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29,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MYR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9" w:type="dxa"/>
        <w:jc w:val="left"/>
        <w:tblInd w:w="0" w:type="dxa"/>
        <w:tblLayout w:type="fixed"/>
        <w:tblCellMar>
          <w:top w:w="28" w:type="dxa"/>
          <w:left w:w="28" w:type="dxa"/>
          <w:bottom w:w="28" w:type="dxa"/>
          <w:right w:w="28" w:type="dxa"/>
        </w:tblCellMar>
      </w:tblPr>
      <w:tblGrid>
        <w:gridCol w:w="829"/>
        <w:gridCol w:w="729"/>
        <w:gridCol w:w="736"/>
        <w:gridCol w:w="394"/>
        <w:gridCol w:w="394"/>
        <w:gridCol w:w="398"/>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1-08325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36-3158643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65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295"/>
        <w:gridCol w:w="295"/>
        <w:gridCol w:w="295"/>
        <w:gridCol w:w="294"/>
        <w:gridCol w:w="294"/>
        <w:gridCol w:w="296"/>
        <w:gridCol w:w="109"/>
        <w:gridCol w:w="109"/>
        <w:gridCol w:w="109"/>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12121 Grant Street,</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Suite 610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Thornton,</w:t>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80241</w:t>
            </w:r>
          </w:p>
        </w:tc>
      </w:tr>
      <w:tr>
        <w:trPr/>
        <w:tc>
          <w:tcPr>
            <w:tcW w:w="33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20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(303) 286-8000</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MYRG</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7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29, 2026, MYR Group Inc. (the “Company”) issued a press release announcing its financial results for the three and six months ended June 30, 2026. The press release is furnished hereto as Exhibit 99.1.</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information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 is being furnished with this Current Report on Form 8-K.</w:t>
      </w:r>
    </w:p>
    <w:tbl>
      <w:tblPr>
        <w:tblW w:w="9540" w:type="dxa"/>
        <w:jc w:val="left"/>
        <w:tblInd w:w="0" w:type="dxa"/>
        <w:tblLayout w:type="fixed"/>
        <w:tblCellMar>
          <w:top w:w="28" w:type="dxa"/>
          <w:left w:w="28" w:type="dxa"/>
          <w:bottom w:w="28" w:type="dxa"/>
          <w:right w:w="28" w:type="dxa"/>
        </w:tblCellMar>
      </w:tblPr>
      <w:tblGrid>
        <w:gridCol w:w="174"/>
        <w:gridCol w:w="153"/>
        <w:gridCol w:w="154"/>
        <w:gridCol w:w="2653"/>
        <w:gridCol w:w="2653"/>
        <w:gridCol w:w="375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yrg-2026630x8kxexx991.htm">
              <w:r>
                <w:rPr>
                  <w:rStyle w:val="InternetLink"/>
                  <w:rFonts w:ascii="Times New Roman;serif" w:hAnsi="Times New Roman;serif"/>
                  <w:b w:val="false"/>
                  <w:color w:val="0000FF"/>
                  <w:sz w:val="20"/>
                  <w:u w:val="single"/>
                </w:rPr>
                <w:t>99.1</w:t>
              </w:r>
            </w:hyperlink>
          </w:p>
        </w:tc>
        <w:tc>
          <w:tcPr>
            <w:tcW w:w="905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myrg-2026630x8kxexx991.htm">
              <w:r>
                <w:rPr>
                  <w:rStyle w:val="InternetLink"/>
                  <w:rFonts w:ascii="Times New Roman;serif" w:hAnsi="Times New Roman;serif"/>
                  <w:b w:val="false"/>
                  <w:color w:val="000080"/>
                  <w:sz w:val="20"/>
                  <w:u w:val="single"/>
                </w:rPr>
                <w:t xml:space="preserve">MYR Group Inc. Press Release, dated </w:t>
              </w:r>
            </w:hyperlink>
            <w:hyperlink w:anchor="myrg-2026630x8kxexx991.htm">
              <w:r>
                <w:rPr>
                  <w:rStyle w:val="InternetLink"/>
                  <w:rFonts w:ascii="Times New Roman;serif" w:hAnsi="Times New Roman;serif"/>
                  <w:b w:val="false"/>
                  <w:color w:val="000080"/>
                  <w:sz w:val="20"/>
                  <w:u w:val="single"/>
                </w:rPr>
                <w:t>July</w:t>
              </w:r>
            </w:hyperlink>
            <w:hyperlink w:anchor="myrg-2026630x8kxexx991.htm">
              <w:r>
                <w:rPr>
                  <w:rStyle w:val="InternetLink"/>
                  <w:rFonts w:ascii="Times New Roman;serif" w:hAnsi="Times New Roman;serif"/>
                  <w:b w:val="false"/>
                  <w:color w:val="000080"/>
                  <w:sz w:val="20"/>
                  <w:u w:val="single"/>
                </w:rPr>
                <w:t xml:space="preserve"> 29, 2026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20" w:type="dxa"/>
        <w:jc w:val="left"/>
        <w:tblInd w:w="0" w:type="dxa"/>
        <w:tblLayout w:type="fixed"/>
        <w:tblCellMar>
          <w:top w:w="28" w:type="dxa"/>
          <w:left w:w="28" w:type="dxa"/>
          <w:bottom w:w="28" w:type="dxa"/>
          <w:right w:w="28" w:type="dxa"/>
        </w:tblCellMar>
      </w:tblPr>
      <w:tblGrid>
        <w:gridCol w:w="656"/>
        <w:gridCol w:w="576"/>
        <w:gridCol w:w="582"/>
        <w:gridCol w:w="188"/>
        <w:gridCol w:w="188"/>
        <w:gridCol w:w="188"/>
        <w:gridCol w:w="401"/>
        <w:gridCol w:w="401"/>
        <w:gridCol w:w="401"/>
        <w:gridCol w:w="1206"/>
        <w:gridCol w:w="1206"/>
        <w:gridCol w:w="1727"/>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MYR GROUP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29, 2026</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KELLY M. HUNTINGTON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M. Huntington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240" w:after="283"/>
        <w:jc w:val="left"/>
        <w:rPr/>
      </w:pPr>
      <w:r>
        <w:rPr/>
        <w:drawing>
          <wp:inline distT="0" distB="0" distL="0" distR="0">
            <wp:extent cx="1428750" cy="666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666750"/>
                    </a:xfrm>
                    <a:prstGeom prst="rect">
                      <a:avLst/>
                    </a:prstGeom>
                  </pic:spPr>
                </pic:pic>
              </a:graphicData>
            </a:graphic>
          </wp:inline>
        </w:drawing>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MYR Group Inc. Announces Second-Quarter and First-Half 2026 Results</w:t>
      </w:r>
    </w:p>
    <w:p>
      <w:pPr>
        <w:pStyle w:val="TextBody"/>
        <w:bidi w:val="0"/>
        <w:spacing w:lineRule="auto" w:line="288" w:before="160" w:after="283"/>
        <w:jc w:val="left"/>
        <w:rPr/>
      </w:pPr>
      <w:r>
        <w:rPr>
          <w:rFonts w:ascii="Times New Roman;serif" w:hAnsi="Times New Roman;serif"/>
          <w:b w:val="false"/>
          <w:color w:val="000000"/>
          <w:sz w:val="20"/>
        </w:rPr>
        <w:t xml:space="preserve">Thornton, Colo., July 29, 2026 – </w:t>
      </w:r>
      <w:r>
        <w:rPr>
          <w:rFonts w:ascii="Times New Roman;serif" w:hAnsi="Times New Roman;serif"/>
          <w:b/>
          <w:color w:val="000000"/>
          <w:sz w:val="20"/>
        </w:rPr>
        <w:t>MYR Group Inc. (“MYR or the "Company”) (NASDAQ: MYRG)</w:t>
      </w:r>
      <w:r>
        <w:rPr>
          <w:rFonts w:ascii="Times New Roman;serif" w:hAnsi="Times New Roman;serif"/>
          <w:b w:val="false"/>
          <w:color w:val="000000"/>
          <w:sz w:val="20"/>
        </w:rPr>
        <w:t xml:space="preserve">, a holding company of leading specialty contractors serving the electric utility infrastructure, commercial and industrial construction markets in the United States and Canada, announced today its second-quarter and first-half 2026 financial results.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Highlights for Second Quarter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revenues of $1.08 billion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net income of $49.9 million, or $3.17 per diluted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quarterly EBITDA of $85.0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Record backlog of $3.16 billion</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Management Comments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Rick Swartz, MYR’s President and CEO, said, “Our strong second quarter performance drove record quarterly revenues of $1.08 billion, while backlog reached $3.16 billion at quarter-end. These results reflect the continued strength of our core markets, ongoing investment in electrical infrastructure, and sustained customer demand across our business. The acquisition of Valley Electric and Comet Electric, which closed on July 1, further enhances our C&amp;I capabilities and expands our geographic footprint, allowing us to deliver a broader range of solutions to both existing and new customers. We continue to see a healthy pipeline of quality bidding opportunities and remain focused on pursuing strategic growth opportunities while strengthening the long-standing relationships that are central to our success. With strong market fundamentals, a growing portfolio of capabilities, and a disciplined approach to project selection and execution, we believe we are well positioned to deliver continued growth and create long-term value for our shareholders.”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MYR reported second-quarter 2026 revenues of $1.08 billion, an increase of $181.4 million, compared to the second quarter of 2025. Specifically, our Transmission and Distribution (“T&amp;D”) segment reported quarterly revenues of $524.0 million, an increase of $17.7 million, from the second quarter of 2025, due to increases in revenue on T&amp;E contracts and unit price contracts, partially offset by a decrease in revenue on fixed price contracts. Our Commercial and Industrial (“C&amp;I”) segment reported record quarterly revenues of $557.7 million, an increase of $163.6 million, from the second quarter of 2025, primarily due to an increase in revenue on fixed priced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to $142.7 million in the second quarter of 2026, compared to $103.7 million for the second quarter of 2025. The increase in gross profit was due to higher margin and revenues. Gross margin increased to 13.2 percent for the second quarter of 2026 from 11.5 percent for the second quarter of 2025. The increase in gross margin was primarily due to significant changes in our estimated gross profit on certain projects, related to better-than-anticipated productivity, favorable job close outs and an increase in scope on certain projects. These margin increases were partially offset by an increase in costs associated with project inefficiencies on certain projects. Changes in estimates of gross profit on certain projects resulted in a net gross margin increase of 0.9 percent for the second quarter of 2026, compared to a net gross margin decrease of 1.0 percent for the second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("SG&amp;A") increased to $74.4 million in the second quarter of 2026, compared to $63.3 million for the second quarter of 2025. The period-over-period increase was primarily due to an increase in employee incentive compensation costs and an increase in employee-related expenses to support future growth.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to $0.9 million in the second quarter of 2026. Interest income was not significant for the second quarter of 2025. The period-over-period increase was primarily due to higher average balances held in money market accounts in the second quarter of 2026 as compared to the second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to $0.7 million in the second quarter of 2026, compared to $1.9 million for the second quarter of 2025. The period-over-period decrease was primarily due to lower average outstanding debt balances during the second quarter of 2026 as compared to the second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was $17.3 million for the second quarter of 2026, with an effective tax rate of 25.7 percent, compared to an income tax expense of $10.9 million for the second quarter of 2025, with an effective tax rate of 29.2 percent. The period-over-period change in tax rate was primarily due to a favorable impact from stock compensation excess tax benefits, partially offset by the impact of the net CFC tested income (“NCTI”) and other permanent difference items.</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net income was $49.9 million, or $3.17 per diluted share, compared to $26.5 million, or $1.70 per diluted share, for the same period of 2025. Second-quarter 2026 EBITDA, a non-GAAP financial measure, was $85.0 million, compared to $55.6 million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First-Half Results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MYR reported first-half 2026 revenues of $2.08 billion, an increase of $348.2 million, compared to the first half of 2025. Specifically, our T&amp;D segment reported revenues of $1.06 billion, an increase of $97.0 million, from the first half of 2025, due to increases in revenue on unit price contracts and T&amp;E contracts, partially offset by a decrease in revenue on fixed price contracts. Our C&amp;I segment reported revenues of $1.02 billion, an increase of $251.2 million, from the first half of 2025, primarily due to an increase in revenue on fixed priced contracts.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Consolidated gross profit increased to $277.1 million in the first half of 2026, compared to $200.6 million in the first half of 2025. The increase in gross profit was due to higher margin and revenues. Gross margin increased to 13.3 percent for the first half of 2026 from 11.6 percent for the first half of 2025. The increase in gross margin was primarily due to significant changes in our estimated gross profit on certain projects, related to better-than-anticipated productivity, an increase in scope on certain projects and favorable job close outs. These margin increases were partially offset by an increase in costs associated with project inefficiencies on certain projects. Gross margin was also positively impacted during the first half of 2026, by a larger portion of our projects progressing at higher contractual margins, some of which are nearing or are at completion. Changes in estimates of gross profit on certain projects resulted in a net gross margin increase of 0.7 percent for the first half of 2026, compared to a net gross margin decrease of 1.2 percent for the first half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increased to $143.8 million in the first half of 2026, compared to $125.8 million for the first half of 2025. The period-over-period increase was primarily due to an increase in employee incentive compensation costs and an increase in employee-related expenses to support future growth.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increased to $1.8 million in the first half of 2026, compared to $0.2 million for the first half of 2025. The period-over-period increase was primarily due to higher average balances held in money market accounts in the first half of 2026 as compared to the first half of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decreased to $1.4 million in the first half of 2026, compared to $3.3 million for the first half of 2025. The period-over-period decrease was primarily due to lower average outstanding debt balances and lower interest rates during the first half of 2026 as compared to the first half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was $34.5 million for the first half of 2026, with an effective tax rate of 26.3 percent, compared to income tax expense of $20.4 million for the first half of 2025, with an effective tax rate of 29.1 percent. The period-over-period change in tax rate was primarily due to a favorable impact from stock compensation excess tax benefits, partially offset by the impact of NCTI and other permanent difference items.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2026, net income was $96.7 million, or $6.15 per diluted share, compared to $49.8 million, or $3.15 per diluted share,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MYR's backlog was $3.16 billion, which was an increase of $518.4 million, or 19.6 percent, from the $2.64 billion reported as of June 30, 2025. As of June 30, 2026, T&amp;D backlog was $1.27 billion and C&amp;I backlog was $1.89 billion. </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MYR had $460.5 million of borrowing availability under its $490 million revolving credit facility and $137.9 million in cash and cash equivalents.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supplement MYR’s financial statements presented in accordance with generally accepted accounting principles in the United States (“GAAP”), MYR uses certain non-GAAP measures. Reconciliation to the nearest GAAP measures of all non-GAAP measures included in this press release can be found at the end of this release. MYR’s definitions of these non-GAAP measures may differ from similarly titled measures used by others. These non-GAAP measures should be considered supplemental to, and not a substitute for, financial information prepared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MYR believes that these non-GAAP measures are useful because they (i) provide both management and investors meaningful supplemental information regarding financial performance by excluding certain expenses and benefits that may not be indicative of recurring core business operating results, (ii) permit investors to view MYR’s performance using the same tools that management uses to evaluate MYR’s past performance, reportable business segments and prospects for future performance, (iii) publicly disclose results that are relevant to financial covenants included in MYR’s credit facility and (iv) otherwise provide supplemental information that may be useful to investors in evaluating MYR.</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MYR will host a conference call to discuss its second-quarter 2026 results on Thursday, July 30, 2026 at 8:00 a.m. Mountain time. To participate via telephone and join the call live, please register in advance here: https://register-conf.media-server.com/register/BIbbc17de83db84b5cb42140dcb9c30efe. Upon registration, telephone participants will receive a confirmation email detailing how to join the conference call, including the dial-in number and a unique passcode. Participants may access the audio-only webcast of the conference call from the Investors page of MYR Group’s website at myrgroup.com. </w:t>
      </w:r>
    </w:p>
    <w:p>
      <w:pPr>
        <w:pStyle w:val="TextBody"/>
        <w:bidi w:val="0"/>
        <w:spacing w:lineRule="auto" w:line="288" w:before="160" w:after="283"/>
        <w:jc w:val="left"/>
        <w:rPr/>
      </w:pPr>
      <w:r>
        <w:rPr>
          <w:rFonts w:ascii="Times New Roman;serif" w:hAnsi="Times New Roman;serif"/>
          <w:b/>
          <w:color w:val="000000"/>
          <w:sz w:val="20"/>
        </w:rPr>
        <w:t>About MYR Group Inc.</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MYR Group is a holding company of leading, specialty electrical contractors providing services throughout the United States and Canada through two business segments: Transmission &amp; Distribution (T&amp;D) and Commercial &amp; Industrial (C&amp;I). MYR Group subsidiaries have the experience and expertise to complete electrical installations of any type and size. Through their T&amp;D segment they provide services on electric transmission, distribution networks, substation facilities, clean energy projects and electric vehicle charging infrastructure. Their comprehensive T&amp;D services include design, engineering, procurement, construction, upgrade, maintenance and repair services. T&amp;D customers include investor-owned utilities, cooperatives, private developers, government-funded utilities, independent power producers, independent transmission companies, industrial facility owners and other contractors. Through their C&amp;I segment, they provide a broad range of services which include the design, installation, maintenance and repair of commercial and industrial wiring generally for data centers, clean energy projects, airports, hospitals, hotels, commercial and industrial facilities, manufacturing plants, processing facilities, water/waste-water treatment facilities, mining facilities, intelligent transportation systems, roadway lighting, signalization, stadiums and electric vehicle charging infrastructure. C&amp;I customers include general contractors, commercial and industrial facility owners, government agencies and developers. For more information, visit myrgroup.com.</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Various statements in this announcement, including those that express a belief, expectation, or intention, as well as those that are not statements of historical fact, are forward-looking statements. The forward-looking statements may include projections and estimates concerning the timing and success of specific projects and our future production, revenue, income, capital spending, segment improvements and investments. Forward-looking statements are generally accompanied by words such as “anticipate,” “believe,” “estimate,” “expect,” “intend,” “likely,” “may,” “objective,” “outlook,” “plan,” “project,” “possible,” “potential,” “should,” “unlikely,” or other words that convey the uncertainty of future events or outcomes. The forward-looking statements in this announcement speak only as of the date of this announcement.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No forward-looking statement can be guaranteed and actual results may differ materially from those projected. Forward-looking statements in this announcement should be evaluated together with the many uncertainties that affect MYR's business, particularly those mentioned in the risk factors and cautionary statements in Item 1A. of MYR's Annual Report on Form 10-K for the fiscal year ended December 31, 2025, and in any risk factors or cautionary statements contained in MYR's subsequent Quarterly Reports on Form 10-Q or Current Reports on Form 8-K.</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MYR Group Inc. Contact:</w:t>
      </w:r>
    </w:p>
    <w:p>
      <w:pPr>
        <w:pStyle w:val="TextBody"/>
        <w:bidi w:val="0"/>
        <w:spacing w:lineRule="auto" w:line="288" w:before="0" w:after="0"/>
        <w:jc w:val="left"/>
        <w:rPr/>
      </w:pPr>
      <w:r>
        <w:rPr>
          <w:rFonts w:ascii="Times New Roman;serif" w:hAnsi="Times New Roman;serif"/>
          <w:b w:val="false"/>
          <w:color w:val="000000"/>
          <w:sz w:val="20"/>
        </w:rPr>
        <w:t xml:space="preserve">Jennifer Harper, Vice President, Investor Relations &amp; Treasurer, 847-979-5835, </w:t>
      </w:r>
      <w:r>
        <w:rPr>
          <w:rFonts w:ascii="Times New Roman;serif" w:hAnsi="Times New Roman;serif"/>
          <w:b w:val="false"/>
          <w:color w:val="000000"/>
          <w:sz w:val="20"/>
          <w:u w:val="single"/>
        </w:rPr>
        <w:t>investorinfo@myrgroup.com</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 and December 31, 2025</w:t>
      </w:r>
    </w:p>
    <w:tbl>
      <w:tblPr>
        <w:tblW w:w="10205" w:type="dxa"/>
        <w:jc w:val="left"/>
        <w:tblInd w:w="0" w:type="dxa"/>
        <w:tblLayout w:type="fixed"/>
        <w:tblCellMar>
          <w:top w:w="28" w:type="dxa"/>
          <w:left w:w="28" w:type="dxa"/>
          <w:bottom w:w="28" w:type="dxa"/>
          <w:right w:w="28" w:type="dxa"/>
        </w:tblCellMar>
      </w:tblPr>
      <w:tblGrid>
        <w:gridCol w:w="2918"/>
        <w:gridCol w:w="2277"/>
        <w:gridCol w:w="2284"/>
        <w:gridCol w:w="196"/>
        <w:gridCol w:w="871"/>
        <w:gridCol w:w="109"/>
        <w:gridCol w:w="109"/>
        <w:gridCol w:w="109"/>
        <w:gridCol w:w="109"/>
        <w:gridCol w:w="196"/>
        <w:gridCol w:w="871"/>
        <w:gridCol w:w="156"/>
      </w:tblGrid>
      <w:tr>
        <w:trPr/>
        <w:tc>
          <w:tcPr>
            <w:tcW w:w="2918"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 except share and per share data)</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$2,190 and $934,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net of allowances of $514 and $534,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receivable for insurance claims in excess of deductibles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Refundable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1,060,761 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$435,570 and $413,962,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Intangible assets, net of accumulated amortization of $41,854 and $39,967,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for insurance claims in excess of deductibles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joint ventures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1,644,079 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accrued self-insurance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795,277 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self-insurance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 net of current maturities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obligations, net of current maturities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983,656 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stock—$0.01 par value per share; 4,000,000 authorized shares; none issued and outstanding at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stock—$0.01 par value per share; 100,000,000 authorized shares; 15,569,250 and 15,522,834 shares issued and outstanding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660,423 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1,672,465 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1,644,079 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93"/>
        <w:gridCol w:w="1271"/>
        <w:gridCol w:w="127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9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per share data)</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costs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1,533,333 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70,161 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and potential common shares outstanding:</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20"/>
              </w:rPr>
              <w:t>Diluted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 and 2025</w:t>
      </w:r>
    </w:p>
    <w:tbl>
      <w:tblPr>
        <w:tblW w:w="8712" w:type="dxa"/>
        <w:jc w:val="left"/>
        <w:tblInd w:w="0" w:type="dxa"/>
        <w:tblLayout w:type="fixed"/>
        <w:tblCellMar>
          <w:top w:w="28" w:type="dxa"/>
          <w:left w:w="28" w:type="dxa"/>
          <w:bottom w:w="28" w:type="dxa"/>
          <w:right w:w="28" w:type="dxa"/>
        </w:tblCellMar>
      </w:tblPr>
      <w:tblGrid>
        <w:gridCol w:w="2257"/>
        <w:gridCol w:w="1989"/>
        <w:gridCol w:w="1993"/>
        <w:gridCol w:w="196"/>
        <w:gridCol w:w="736"/>
        <w:gridCol w:w="109"/>
        <w:gridCol w:w="109"/>
        <w:gridCol w:w="109"/>
        <w:gridCol w:w="109"/>
        <w:gridCol w:w="196"/>
        <w:gridCol w:w="646"/>
        <w:gridCol w:w="109"/>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flows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for insurance claims in excess of deductibles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self-insurance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revolving lines of credit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revolving lines of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equipment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obligations under 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Selected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 and Reconciliation of Non-GAAP Measure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Six and Twelve Months Ended June 30, 2026 and 2025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 December 31, 2025, June 30, 2025 and June 30, 2024</w:t>
      </w:r>
    </w:p>
    <w:tbl>
      <w:tblPr>
        <w:tblW w:w="10205" w:type="dxa"/>
        <w:jc w:val="left"/>
        <w:tblInd w:w="0" w:type="dxa"/>
        <w:tblLayout w:type="fixed"/>
        <w:tblCellMar>
          <w:top w:w="28" w:type="dxa"/>
          <w:left w:w="28" w:type="dxa"/>
          <w:bottom w:w="28" w:type="dxa"/>
          <w:right w:w="28" w:type="dxa"/>
        </w:tblCellMar>
      </w:tblPr>
      <w:tblGrid>
        <w:gridCol w:w="1414"/>
        <w:gridCol w:w="1188"/>
        <w:gridCol w:w="1196"/>
        <w:gridCol w:w="211"/>
        <w:gridCol w:w="976"/>
        <w:gridCol w:w="271"/>
        <w:gridCol w:w="109"/>
        <w:gridCol w:w="109"/>
        <w:gridCol w:w="109"/>
        <w:gridCol w:w="211"/>
        <w:gridCol w:w="826"/>
        <w:gridCol w:w="271"/>
        <w:gridCol w:w="109"/>
        <w:gridCol w:w="109"/>
        <w:gridCol w:w="109"/>
        <w:gridCol w:w="211"/>
        <w:gridCol w:w="646"/>
        <w:gridCol w:w="285"/>
        <w:gridCol w:w="109"/>
        <w:gridCol w:w="109"/>
        <w:gridCol w:w="109"/>
        <w:gridCol w:w="211"/>
        <w:gridCol w:w="608"/>
        <w:gridCol w:w="323"/>
        <w:gridCol w:w="109"/>
        <w:gridCol w:w="109"/>
        <w:gridCol w:w="158"/>
      </w:tblGrid>
      <w:tr>
        <w:trPr/>
        <w:tc>
          <w:tcPr>
            <w:tcW w:w="141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Last twelve months ended </w:t>
              <w:br/>
              <w:t>June 30,</w:t>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(dollars in thousands, except share and per share data)</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Statement of Operations Data:</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3,451,783</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363,845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124,595</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115,695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Data:</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per common share:</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and potential common shares outstanding:</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Times New Roman;serif" w:hAnsi="Times New Roman;serif"/>
                <w:b w:val="false"/>
                <w:color w:val="000000"/>
                <w:sz w:val="20"/>
              </w:rPr>
              <w:t>Diluted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tbl>
      <w:tblPr>
        <w:tblW w:w="8909" w:type="dxa"/>
        <w:jc w:val="left"/>
        <w:tblInd w:w="0" w:type="dxa"/>
        <w:tblLayout w:type="fixed"/>
        <w:tblCellMar>
          <w:top w:w="28" w:type="dxa"/>
          <w:left w:w="28" w:type="dxa"/>
          <w:bottom w:w="28" w:type="dxa"/>
          <w:right w:w="28" w:type="dxa"/>
        </w:tblCellMar>
      </w:tblPr>
      <w:tblGrid>
        <w:gridCol w:w="977"/>
        <w:gridCol w:w="860"/>
        <w:gridCol w:w="86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2024</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Summary Balance Sheet Data:</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754,417 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660,423 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583,234 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633,342 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funded debt (3)</w:t>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710" w:type="dxa"/>
        <w:jc w:val="left"/>
        <w:tblInd w:w="0" w:type="dxa"/>
        <w:tblLayout w:type="fixed"/>
        <w:tblCellMar>
          <w:top w:w="28" w:type="dxa"/>
          <w:left w:w="28" w:type="dxa"/>
          <w:bottom w:w="28" w:type="dxa"/>
          <w:right w:w="28" w:type="dxa"/>
        </w:tblCellMar>
      </w:tblPr>
      <w:tblGrid>
        <w:gridCol w:w="693"/>
        <w:gridCol w:w="306"/>
        <w:gridCol w:w="307"/>
        <w:gridCol w:w="211"/>
        <w:gridCol w:w="976"/>
        <w:gridCol w:w="109"/>
        <w:gridCol w:w="109"/>
        <w:gridCol w:w="109"/>
        <w:gridCol w:w="109"/>
        <w:gridCol w:w="307"/>
        <w:gridCol w:w="309"/>
        <w:gridCol w:w="417"/>
        <w:gridCol w:w="109"/>
        <w:gridCol w:w="109"/>
        <w:gridCol w:w="109"/>
        <w:gridCol w:w="211"/>
        <w:gridCol w:w="826"/>
        <w:gridCol w:w="109"/>
        <w:gridCol w:w="109"/>
        <w:gridCol w:w="109"/>
        <w:gridCol w:w="109"/>
        <w:gridCol w:w="307"/>
        <w:gridCol w:w="309"/>
        <w:gridCol w:w="417"/>
        <w:gridCol w:w="109"/>
        <w:gridCol w:w="109"/>
        <w:gridCol w:w="109"/>
        <w:gridCol w:w="211"/>
        <w:gridCol w:w="976"/>
        <w:gridCol w:w="109"/>
        <w:gridCol w:w="109"/>
        <w:gridCol w:w="109"/>
        <w:gridCol w:w="109"/>
        <w:gridCol w:w="307"/>
        <w:gridCol w:w="309"/>
        <w:gridCol w:w="417"/>
        <w:gridCol w:w="109"/>
        <w:gridCol w:w="109"/>
        <w:gridCol w:w="109"/>
        <w:gridCol w:w="211"/>
        <w:gridCol w:w="976"/>
        <w:gridCol w:w="109"/>
        <w:gridCol w:w="109"/>
        <w:gridCol w:w="109"/>
        <w:gridCol w:w="109"/>
        <w:gridCol w:w="307"/>
        <w:gridCol w:w="309"/>
        <w:gridCol w:w="366"/>
      </w:tblGrid>
      <w:tr>
        <w:trPr/>
        <w:tc>
          <w:tcPr>
            <w:tcW w:w="69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(dollars in thousands)</w:t>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Results: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&amp;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40" w:after="283"/>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Measures and 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Twelve Months Ended June 30, 2026 and 2025</w:t>
      </w:r>
    </w:p>
    <w:tbl>
      <w:tblPr>
        <w:tblW w:w="10205" w:type="dxa"/>
        <w:jc w:val="left"/>
        <w:tblInd w:w="0" w:type="dxa"/>
        <w:tblLayout w:type="fixed"/>
        <w:tblCellMar>
          <w:top w:w="28" w:type="dxa"/>
          <w:left w:w="28" w:type="dxa"/>
          <w:bottom w:w="28" w:type="dxa"/>
          <w:right w:w="28" w:type="dxa"/>
        </w:tblCellMar>
      </w:tblPr>
      <w:tblGrid>
        <w:gridCol w:w="1612"/>
        <w:gridCol w:w="1325"/>
        <w:gridCol w:w="1332"/>
        <w:gridCol w:w="211"/>
        <w:gridCol w:w="826"/>
        <w:gridCol w:w="109"/>
        <w:gridCol w:w="109"/>
        <w:gridCol w:w="109"/>
        <w:gridCol w:w="109"/>
        <w:gridCol w:w="211"/>
        <w:gridCol w:w="826"/>
        <w:gridCol w:w="109"/>
        <w:gridCol w:w="109"/>
        <w:gridCol w:w="109"/>
        <w:gridCol w:w="109"/>
        <w:gridCol w:w="211"/>
        <w:gridCol w:w="826"/>
        <w:gridCol w:w="271"/>
        <w:gridCol w:w="109"/>
        <w:gridCol w:w="109"/>
        <w:gridCol w:w="109"/>
        <w:gridCol w:w="211"/>
        <w:gridCol w:w="826"/>
        <w:gridCol w:w="318"/>
      </w:tblGrid>
      <w:tr>
        <w:trPr/>
        <w:tc>
          <w:tcPr>
            <w:tcW w:w="161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Last twelve months ended </w:t>
              <w:br/>
              <w:t>June 30,</w:t>
            </w:r>
          </w:p>
        </w:tc>
      </w:tr>
      <w:tr>
        <w:trPr/>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share, per share data, ratios and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Performance Measures (4):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Diluted Share (6)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EBIA, net of taxes (7)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Period End Share (9)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(10)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per Period End Share (11)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Debt to Equity Ratio (12)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Turnover (13)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Assets (14)</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Equity (15)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Return on Invested Capital (16)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Non-GAAP Measures: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EBITDA: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188,439 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per Diluted Share to EBITDA per Diluted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per share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per Diluted Share (6)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Non-GAAP measure: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interest and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EBIA, net of taxes (7)</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84,258 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Free Cash Flow:</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used in purchasing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(64,266)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MYR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Performance Measures and 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June 30, 2026, 2025 and 2024</w:t>
      </w:r>
    </w:p>
    <w:tbl>
      <w:tblPr>
        <w:tblW w:w="10205" w:type="dxa"/>
        <w:jc w:val="left"/>
        <w:tblInd w:w="0" w:type="dxa"/>
        <w:tblLayout w:type="fixed"/>
        <w:tblCellMar>
          <w:top w:w="28" w:type="dxa"/>
          <w:left w:w="28" w:type="dxa"/>
          <w:bottom w:w="28" w:type="dxa"/>
          <w:right w:w="28" w:type="dxa"/>
        </w:tblCellMar>
      </w:tblPr>
      <w:tblGrid>
        <w:gridCol w:w="2685"/>
        <w:gridCol w:w="2312"/>
        <w:gridCol w:w="2326"/>
        <w:gridCol w:w="230"/>
        <w:gridCol w:w="904"/>
        <w:gridCol w:w="119"/>
        <w:gridCol w:w="109"/>
        <w:gridCol w:w="109"/>
        <w:gridCol w:w="109"/>
        <w:gridCol w:w="230"/>
        <w:gridCol w:w="901"/>
        <w:gridCol w:w="171"/>
      </w:tblGrid>
      <w:tr>
        <w:trPr/>
        <w:tc>
          <w:tcPr>
            <w:tcW w:w="2685"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 except per share amounts)</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Book Value to Tangible Book Value:</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(total shareholders' equity)</w:t>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754,417 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(182,393)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(190,514)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(10)</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572,024 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392,720 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Book Value per Period End Share to Tangible Book Value per Period End Share:</w:t>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per period end share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per period end share</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Book Value per Period End Share (11)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Calculation of Period End Shares: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common equivalents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 End Shares (17)</w:t>
            </w:r>
          </w:p>
        </w:tc>
        <w:tc>
          <w:tcPr>
            <w:tcW w:w="113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15,571 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61" w:type="dxa"/>
        <w:jc w:val="left"/>
        <w:tblInd w:w="0" w:type="dxa"/>
        <w:tblLayout w:type="fixed"/>
        <w:tblCellMar>
          <w:top w:w="28" w:type="dxa"/>
          <w:left w:w="28" w:type="dxa"/>
          <w:bottom w:w="28" w:type="dxa"/>
          <w:right w:w="28" w:type="dxa"/>
        </w:tblCellMar>
      </w:tblPr>
      <w:tblGrid>
        <w:gridCol w:w="1824"/>
        <w:gridCol w:w="1604"/>
        <w:gridCol w:w="1611"/>
        <w:gridCol w:w="234"/>
        <w:gridCol w:w="919"/>
        <w:gridCol w:w="121"/>
        <w:gridCol w:w="109"/>
        <w:gridCol w:w="109"/>
        <w:gridCol w:w="109"/>
        <w:gridCol w:w="234"/>
        <w:gridCol w:w="919"/>
        <w:gridCol w:w="121"/>
        <w:gridCol w:w="109"/>
        <w:gridCol w:w="109"/>
        <w:gridCol w:w="109"/>
        <w:gridCol w:w="234"/>
        <w:gridCol w:w="916"/>
        <w:gridCol w:w="170"/>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Invested Capital to Shareholders Equity:</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value (total shareholders' equity)</w:t>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754,417 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583,234 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633,342 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total funded debt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(137,872)</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Capital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625,917 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676,538 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Invested Capital (18)</w:t>
            </w:r>
          </w:p>
        </w:tc>
        <w:tc>
          <w:tcPr>
            <w:tcW w:w="23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636,138 </w:t>
            </w:r>
          </w:p>
        </w:tc>
        <w:tc>
          <w:tcPr>
            <w:tcW w:w="12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661,449 </w:t>
            </w:r>
          </w:p>
        </w:tc>
        <w:tc>
          <w:tcPr>
            <w:tcW w:w="12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at the end of this earnings release.</w:t>
      </w:r>
    </w:p>
    <w:p>
      <w:pPr>
        <w:pStyle w:val="TextBody"/>
        <w:bidi w:val="0"/>
        <w:spacing w:before="240" w:after="283"/>
        <w:ind w:left="0" w:right="0" w:hanging="5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(1)Last-twelve-months earnings per share is the sum of earnings per share reported in the last four quarters.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(2)Last-twelve-months weighted average basic and diluted shares were determined by adding the weighted average shares reported for the last four quarters and dividing by four.</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(3)Funded debt includes outstanding borrowings under our revolving credit facility and our outstanding equipment notes.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(4)These financial performance measures are provided as supplemental information to the financial statements. These measures are used by management to evaluate our past performance, our prospects for future performance and our ability to comply with certain material covenants as defined within our credit agreement, and to compare our results with those of our peers. In addition, we believe that certain of the measures, such as book value, tangible book value, free cash flow, asset turnover, return on equity, and debt leverage are measures that are monitored by sureties, lenders, lessors, suppliers and certain investors. Our calculation of each measure is described in the following notes; our calculation may not be the same as the calculations made by other companies.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(5)EBITDA is defined as earnings before interest, taxes, depreciation and amortization. EBITDA is not recognized under GAAP and does not purport to be an alternative to net income as a measure of operating performance or to net cash flows provided by operating activities as a measure of liquidity. Certain material covenants contained within our credit agreement are based on EBITDA with certain additional adjustments, including our interest coverage ratio and leverage ratio, which we must comply with to avoid potential immediate repayment of amounts borrowed or additional fees to seek relief from our lenders. In addition, management considers EBITDA a useful measure because it provides MYR Group Inc. and its investors with an additional tool to compare our operating performance on a consistent basis by removing the impact of certain items that management believes to not directly reflect the company’s core operations. Management further believes that EBITDA is useful to investors and other external users of our financial statements in evaluating the company’s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(6)EBITDA per diluted share is calculated by dividing EBITDA by the weighted average number of diluted shares outstanding for the period. EBITDA per diluted share is not recognized under GAAP and does not purport to be an alternative to income per diluted share.</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(7)EBIA, net of taxes is defined as net income plus net interest plus amortization of intangible assets, less the tax impact of net interest and amortization of intangible assets. The tax impact of net interest and amortization of intangible assets is computed by multiplying net interest and amortization of intangible assets by the effective tax rate. Management uses EBIA, net of taxes, to measure our results exclusive of the impact of financing and amortization of intangible assets costs.</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(8)Free cash flow, which is defined as cash flow provided by operating activities minus cash flow used in purchasing property and equipment, is not recognized under GAAP and does not purport to be an alternative to net income, cash flow from operations or the change in cash on the balance sheet. Management views free cash flow as a measure of operational performance, liquidity and financial health.</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(9)Book value per period end share is calculated by dividing total shareholders’ equity at the end of the period by the period end shares outstanding.</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(10)Tangible book value is calculated by subtracting goodwill and intangible assets outstanding at the end of the period from shareholders’ equity. Tangible book value is not recognized under GAAP and does not purport to be an alternative to book value or shareholders’ equity.</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(11)Tangible book value per period end share is calculated by dividing tangible book value at the end of the period by the period end number of shares outstanding. Tangible book value per period end share is not recognized under GAAP and does not purport to be an alternative to income per diluted share.</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(12)The funded debt to equity ratio is calculated by dividing total funded debt at the end of the period by total shareholders’ equity at the end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(13)Asset turnover is calculated by dividing the current period revenue by total assets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(14)Return on assets is calculated by dividing net income for the period by total assets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(15)Return on equity is calculated by dividing net income for the period by total shareholders’ equity at the beginning of the period.</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(16)Return on invested capital is calculated by dividing EBIA, net of taxes, less any dividends, by average invested capital. Return on invested capital is not recognized under GAAP, and is a key metric used by management to determine our executive compensation.</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(17)Period end shares is calculated by adding average common stock equivalents for the quarter to the period end balance of common stock outstanding. Period end shares is not recognized under GAAP and does not purport to be an alternative to diluted shares. Management views period end shares as a better measure of shares outstanding as of the end of the period.</w:t>
      </w:r>
    </w:p>
    <w:p>
      <w:pPr>
        <w:pStyle w:val="TextBody"/>
        <w:bidi w:val="0"/>
        <w:spacing w:lineRule="auto" w:line="288"/>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(18)Average invested capital is calculated by adding net funded debt (total funded debt less cash and marketable securities) to total shareholders’ equity and calculating the average of the beginning and ending of each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5394</Words>
  <Characters>29628</Characters>
  <CharactersWithSpaces>34370</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