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3" w:lineRule="exact"/>
        <w:rPr>
          <w:sz w:val="24"/>
          <w:szCs w:val="24"/>
          <w:color w:val="auto"/>
        </w:rPr>
      </w:pPr>
    </w:p>
    <w:tbl>
      <w:tblPr>
        <w:tblLayout w:type="fixed"/>
        <w:tblInd w:w="2260" w:type="dxa"/>
        <w:tblCellMar>
          <w:top w:w="0" w:type="dxa"/>
          <w:left w:w="0" w:type="dxa"/>
          <w:bottom w:w="0" w:type="dxa"/>
          <w:right w:w="0" w:type="dxa"/>
        </w:tblCellMar>
      </w:tblPr>
      <w:tr>
        <w:trPr>
          <w:trHeight w:val="212"/>
        </w:trPr>
        <w:tc>
          <w:tcPr>
            <w:tcW w:w="272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92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2720" w:type="dxa"/>
            <w:vAlign w:val="bottom"/>
          </w:tcPr>
          <w:p>
            <w:pPr>
              <w:jc w:val="center"/>
              <w:ind w:right="118"/>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92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72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920" w:type="dxa"/>
            <w:vAlign w:val="bottom"/>
          </w:tcPr>
          <w:p>
            <w:pPr>
              <w:spacing w:after="0"/>
              <w:rPr>
                <w:sz w:val="18"/>
                <w:szCs w:val="18"/>
                <w:color w:val="auto"/>
              </w:rPr>
            </w:pPr>
          </w:p>
        </w:tc>
      </w:tr>
      <w:tr>
        <w:trPr>
          <w:trHeight w:val="432"/>
        </w:trPr>
        <w:tc>
          <w:tcPr>
            <w:tcW w:w="27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 xml:space="preserve">1701 Golf Road, </w:t>
            </w:r>
            <w:r>
              <w:rPr>
                <w:rFonts w:ascii="Times New Roman" w:cs="Times New Roman" w:eastAsia="Times New Roman" w:hAnsi="Times New Roman"/>
                <w:sz w:val="17"/>
                <w:szCs w:val="17"/>
                <w:b w:val="1"/>
                <w:bCs w:val="1"/>
                <w:color w:val="auto"/>
              </w:rPr>
              <w:t>Suite 3-1012</w:t>
            </w:r>
          </w:p>
        </w:tc>
        <w:tc>
          <w:tcPr>
            <w:tcW w:w="3920" w:type="dxa"/>
            <w:vAlign w:val="bottom"/>
          </w:tcPr>
          <w:p>
            <w:pPr>
              <w:spacing w:after="0"/>
              <w:rPr>
                <w:sz w:val="24"/>
                <w:szCs w:val="24"/>
                <w:color w:val="auto"/>
              </w:rPr>
            </w:pPr>
          </w:p>
        </w:tc>
      </w:tr>
      <w:tr>
        <w:trPr>
          <w:trHeight w:val="270"/>
        </w:trPr>
        <w:tc>
          <w:tcPr>
            <w:tcW w:w="27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Rolling Meadows, IL</w:t>
            </w:r>
          </w:p>
        </w:tc>
        <w:tc>
          <w:tcPr>
            <w:tcW w:w="392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60008</w:t>
            </w:r>
          </w:p>
        </w:tc>
      </w:tr>
      <w:tr>
        <w:trPr>
          <w:trHeight w:val="256"/>
        </w:trPr>
        <w:tc>
          <w:tcPr>
            <w:tcW w:w="272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92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(Zip Code)</w:t>
            </w:r>
          </w:p>
        </w:tc>
      </w:tr>
      <w:tr>
        <w:trPr>
          <w:trHeight w:val="415"/>
        </w:trPr>
        <w:tc>
          <w:tcPr>
            <w:tcW w:w="2720" w:type="dxa"/>
            <w:vAlign w:val="bottom"/>
          </w:tcPr>
          <w:p>
            <w:pPr>
              <w:spacing w:after="0"/>
              <w:rPr>
                <w:sz w:val="24"/>
                <w:szCs w:val="24"/>
                <w:color w:val="auto"/>
              </w:rPr>
            </w:pPr>
          </w:p>
        </w:tc>
        <w:tc>
          <w:tcPr>
            <w:tcW w:w="3920" w:type="dxa"/>
            <w:vAlign w:val="bottom"/>
          </w:tcPr>
          <w:p>
            <w:pPr>
              <w:jc w:val="right"/>
              <w:ind w:right="2679"/>
              <w:spacing w:after="0"/>
              <w:rPr>
                <w:sz w:val="20"/>
                <w:szCs w:val="20"/>
                <w:color w:val="auto"/>
              </w:rPr>
            </w:pPr>
            <w:r>
              <w:rPr>
                <w:rFonts w:ascii="Times New Roman" w:cs="Times New Roman" w:eastAsia="Times New Roman" w:hAnsi="Times New Roman"/>
                <w:sz w:val="16"/>
                <w:szCs w:val="16"/>
                <w:b w:val="1"/>
                <w:bCs w:val="1"/>
                <w:color w:val="auto"/>
              </w:rPr>
              <w:t>(847) 290-1891</w:t>
            </w:r>
          </w:p>
        </w:tc>
      </w:tr>
    </w:tbl>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62" w:lineRule="exact"/>
        <w:rPr>
          <w:sz w:val="24"/>
          <w:szCs w:val="24"/>
          <w:color w:val="auto"/>
        </w:rPr>
      </w:pPr>
    </w:p>
    <w:p>
      <w:pPr>
        <w:ind w:right="2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10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ind w:right="36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334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243"/>
        </w:trPr>
        <w:tc>
          <w:tcPr>
            <w:tcW w:w="334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37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340" w:type="dxa"/>
            <w:vAlign w:val="bottom"/>
          </w:tcPr>
          <w:p>
            <w:pPr>
              <w:spacing w:after="0"/>
              <w:rPr>
                <w:sz w:val="22"/>
                <w:szCs w:val="22"/>
                <w:color w:val="auto"/>
              </w:rPr>
            </w:pPr>
          </w:p>
        </w:tc>
        <w:tc>
          <w:tcPr>
            <w:tcW w:w="37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28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3"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October 23, 2020, there were 16,727,116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900" w:type="dxa"/>
            <w:vAlign w:val="bottom"/>
            <w:gridSpan w:val="10"/>
            <w:shd w:val="clear" w:color="auto" w:fill="CCEEFF"/>
          </w:tcPr>
          <w:p>
            <w:pPr>
              <w:jc w:val="center"/>
              <w:ind w:right="2780"/>
              <w:spacing w:after="0" w:line="223" w:lineRule="exact"/>
              <w:rPr>
                <w:rFonts w:ascii="Times New Roman" w:cs="Times New Roman" w:eastAsia="Times New Roman" w:hAnsi="Times New Roman"/>
                <w:sz w:val="20"/>
                <w:szCs w:val="20"/>
                <w:b w:val="1"/>
                <w:bCs w:val="1"/>
                <w:u w:val="single" w:color="auto"/>
                <w:color w:val="0000FF"/>
                <w:w w:val="98"/>
              </w:rPr>
            </w:pPr>
            <w:hyperlink w:anchor="page2">
              <w:r>
                <w:rPr>
                  <w:rFonts w:ascii="Times New Roman" w:cs="Times New Roman" w:eastAsia="Times New Roman" w:hAnsi="Times New Roman"/>
                  <w:sz w:val="20"/>
                  <w:szCs w:val="20"/>
                  <w:b w:val="1"/>
                  <w:bCs w:val="1"/>
                  <w:u w:val="single" w:color="auto"/>
                  <w:color w:val="0000FF"/>
                  <w:w w:val="98"/>
                </w:rPr>
                <w:t>Part I—Financial Information</w:t>
              </w:r>
            </w:hyperlink>
          </w:p>
        </w:tc>
        <w:tc>
          <w:tcPr>
            <w:tcW w:w="1520" w:type="dxa"/>
            <w:vAlign w:val="bottom"/>
            <w:shd w:val="clear" w:color="auto" w:fill="CCEEFF"/>
          </w:tcPr>
          <w:p>
            <w:pPr>
              <w:spacing w:after="0"/>
              <w:rPr>
                <w:sz w:val="19"/>
                <w:szCs w:val="19"/>
                <w:color w:val="auto"/>
              </w:rPr>
            </w:pPr>
          </w:p>
        </w:tc>
      </w:tr>
      <w:tr>
        <w:trPr>
          <w:trHeight w:val="243"/>
        </w:trPr>
        <w:tc>
          <w:tcPr>
            <w:tcW w:w="1060" w:type="dxa"/>
            <w:vAlign w:val="bottom"/>
          </w:tcPr>
          <w:p>
            <w:pPr>
              <w:ind w:left="140"/>
              <w:spacing w:after="0"/>
              <w:rPr>
                <w:rFonts w:ascii="Times New Roman" w:cs="Times New Roman" w:eastAsia="Times New Roman" w:hAnsi="Times New Roman"/>
                <w:sz w:val="20"/>
                <w:szCs w:val="20"/>
                <w:u w:val="single" w:color="auto"/>
                <w:color w:val="0000FF"/>
              </w:rPr>
            </w:pPr>
            <w:hyperlink w:anchor="page3">
              <w:r>
                <w:rPr>
                  <w:rFonts w:ascii="Times New Roman" w:cs="Times New Roman" w:eastAsia="Times New Roman" w:hAnsi="Times New Roman"/>
                  <w:sz w:val="20"/>
                  <w:szCs w:val="20"/>
                  <w:u w:val="single" w:color="auto"/>
                  <w:color w:val="0000FF"/>
                </w:rPr>
                <w:t>Item 1.</w:t>
              </w:r>
            </w:hyperlink>
          </w:p>
        </w:tc>
        <w:tc>
          <w:tcPr>
            <w:tcW w:w="8660" w:type="dxa"/>
            <w:vAlign w:val="bottom"/>
            <w:gridSpan w:val="14"/>
          </w:tcPr>
          <w:p>
            <w:pPr>
              <w:spacing w:after="0"/>
              <w:rPr>
                <w:rFonts w:ascii="Times New Roman" w:cs="Times New Roman" w:eastAsia="Times New Roman" w:hAnsi="Times New Roman"/>
                <w:sz w:val="20"/>
                <w:szCs w:val="20"/>
                <w:u w:val="single" w:color="auto"/>
                <w:color w:val="0000FF"/>
              </w:rPr>
            </w:pPr>
            <w:hyperlink w:anchor="page3">
              <w:r>
                <w:rPr>
                  <w:rFonts w:ascii="Times New Roman" w:cs="Times New Roman" w:eastAsia="Times New Roman" w:hAnsi="Times New Roman"/>
                  <w:sz w:val="20"/>
                  <w:szCs w:val="20"/>
                  <w:u w:val="single" w:color="auto"/>
                  <w:color w:val="0000FF"/>
                </w:rPr>
                <w:t>Financial Statements</w:t>
              </w:r>
            </w:hyperlink>
          </w:p>
        </w:tc>
        <w:tc>
          <w:tcPr>
            <w:tcW w:w="15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w:t>
              </w:r>
            </w:hyperlink>
          </w:p>
        </w:tc>
      </w:tr>
      <w:tr>
        <w:trPr>
          <w:trHeight w:val="203"/>
        </w:trPr>
        <w:tc>
          <w:tcPr>
            <w:tcW w:w="1060" w:type="dxa"/>
            <w:vAlign w:val="bottom"/>
            <w:shd w:val="clear" w:color="auto" w:fill="CCEEFF"/>
          </w:tcPr>
          <w:p>
            <w:pPr>
              <w:spacing w:after="0"/>
              <w:rPr>
                <w:sz w:val="17"/>
                <w:szCs w:val="17"/>
                <w:color w:val="auto"/>
              </w:rPr>
            </w:pPr>
          </w:p>
        </w:tc>
        <w:tc>
          <w:tcPr>
            <w:tcW w:w="8660" w:type="dxa"/>
            <w:vAlign w:val="bottom"/>
            <w:gridSpan w:val="14"/>
            <w:shd w:val="clear" w:color="auto" w:fill="CCEEFF"/>
          </w:tcPr>
          <w:p>
            <w:pPr>
              <w:spacing w:after="0" w:line="203" w:lineRule="exact"/>
              <w:rPr>
                <w:rFonts w:ascii="Times New Roman" w:cs="Times New Roman" w:eastAsia="Times New Roman" w:hAnsi="Times New Roman"/>
                <w:sz w:val="20"/>
                <w:szCs w:val="20"/>
                <w:color w:val="0000FF"/>
              </w:rPr>
            </w:pPr>
            <w:hyperlink w:anchor="page3">
              <w:r>
                <w:rPr>
                  <w:rFonts w:ascii="Times New Roman" w:cs="Times New Roman" w:eastAsia="Times New Roman" w:hAnsi="Times New Roman"/>
                  <w:sz w:val="20"/>
                  <w:szCs w:val="20"/>
                  <w:u w:val="single" w:color="auto"/>
                  <w:color w:val="0000FF"/>
                </w:rPr>
                <w:t>Consolidated Balance Sheets as of</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September 30, 2020 </w:t>
            </w:r>
            <w:hyperlink w:anchor="page3">
              <w:r>
                <w:rPr>
                  <w:rFonts w:ascii="Times New Roman" w:cs="Times New Roman" w:eastAsia="Times New Roman" w:hAnsi="Times New Roman"/>
                  <w:sz w:val="20"/>
                  <w:szCs w:val="20"/>
                  <w:u w:val="single" w:color="auto"/>
                  <w:color w:val="0000FF"/>
                </w:rPr>
                <w:t xml:space="preserve">(unaudited) and </w:t>
              </w:r>
            </w:hyperlink>
            <w:r>
              <w:rPr>
                <w:rFonts w:ascii="Times New Roman" w:cs="Times New Roman" w:eastAsia="Times New Roman" w:hAnsi="Times New Roman"/>
                <w:sz w:val="20"/>
                <w:szCs w:val="20"/>
                <w:color w:val="0000FF"/>
              </w:rPr>
              <w:t>December 31, 2019</w:t>
            </w:r>
          </w:p>
        </w:tc>
        <w:tc>
          <w:tcPr>
            <w:tcW w:w="1520" w:type="dxa"/>
            <w:vAlign w:val="bottom"/>
            <w:shd w:val="clear" w:color="auto" w:fill="CCEEFF"/>
          </w:tcPr>
          <w:p>
            <w:pPr>
              <w:jc w:val="right"/>
              <w:spacing w:after="0" w:line="202" w:lineRule="exact"/>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w:t>
              </w:r>
            </w:hyperlink>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8660" w:type="dxa"/>
            <w:vAlign w:val="bottom"/>
            <w:gridSpan w:val="14"/>
          </w:tcPr>
          <w:p>
            <w:pPr>
              <w:spacing w:after="0" w:line="189" w:lineRule="exact"/>
              <w:rPr>
                <w:rFonts w:ascii="Times New Roman" w:cs="Times New Roman" w:eastAsia="Times New Roman" w:hAnsi="Times New Roman"/>
                <w:sz w:val="20"/>
                <w:szCs w:val="20"/>
                <w:color w:val="0000FF"/>
              </w:rPr>
            </w:pPr>
            <w:hyperlink w:anchor="page3">
              <w:r>
                <w:rPr>
                  <w:rFonts w:ascii="Times New Roman" w:cs="Times New Roman" w:eastAsia="Times New Roman" w:hAnsi="Times New Roman"/>
                  <w:sz w:val="20"/>
                  <w:szCs w:val="20"/>
                  <w:u w:val="single" w:color="auto"/>
                  <w:color w:val="0000FF"/>
                </w:rPr>
                <w:t>Unaudited Consolidated Statements of Operations and Comprehensive Income for the</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Three and Nine</w:t>
            </w:r>
          </w:p>
        </w:tc>
        <w:tc>
          <w:tcPr>
            <w:tcW w:w="1520" w:type="dxa"/>
            <w:vAlign w:val="bottom"/>
          </w:tcPr>
          <w:p>
            <w:pPr>
              <w:jc w:val="right"/>
              <w:spacing w:after="0" w:line="189" w:lineRule="exact"/>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176"/>
        </w:trPr>
        <w:tc>
          <w:tcPr>
            <w:tcW w:w="1060" w:type="dxa"/>
            <w:vAlign w:val="bottom"/>
          </w:tcPr>
          <w:p>
            <w:pPr>
              <w:spacing w:after="0"/>
              <w:rPr>
                <w:sz w:val="15"/>
                <w:szCs w:val="15"/>
                <w:color w:val="auto"/>
              </w:rPr>
            </w:pPr>
          </w:p>
        </w:tc>
        <w:tc>
          <w:tcPr>
            <w:tcW w:w="6840" w:type="dxa"/>
            <w:vAlign w:val="bottom"/>
            <w:gridSpan w:val="9"/>
          </w:tcPr>
          <w:p>
            <w:pPr>
              <w:spacing w:after="0" w:line="176" w:lineRule="exact"/>
              <w:rPr>
                <w:rFonts w:ascii="Times New Roman" w:cs="Times New Roman" w:eastAsia="Times New Roman" w:hAnsi="Times New Roman"/>
                <w:sz w:val="20"/>
                <w:szCs w:val="20"/>
                <w:color w:val="0000FF"/>
              </w:rPr>
            </w:pPr>
            <w:hyperlink w:anchor="page3">
              <w:r>
                <w:rPr>
                  <w:rFonts w:ascii="Times New Roman" w:cs="Times New Roman" w:eastAsia="Times New Roman" w:hAnsi="Times New Roman"/>
                  <w:sz w:val="20"/>
                  <w:szCs w:val="20"/>
                  <w:u w:val="single" w:color="auto"/>
                  <w:color w:val="0000FF"/>
                </w:rPr>
                <w:t>Months Ended</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September 30, 2020 </w:t>
            </w:r>
            <w:hyperlink w:anchor="page3">
              <w:r>
                <w:rPr>
                  <w:rFonts w:ascii="Times New Roman" w:cs="Times New Roman" w:eastAsia="Times New Roman" w:hAnsi="Times New Roman"/>
                  <w:sz w:val="20"/>
                  <w:szCs w:val="20"/>
                  <w:color w:val="0000FF"/>
                </w:rPr>
                <w:t xml:space="preserve">and </w:t>
              </w:r>
            </w:hyperlink>
            <w:r>
              <w:rPr>
                <w:rFonts w:ascii="Times New Roman" w:cs="Times New Roman" w:eastAsia="Times New Roman" w:hAnsi="Times New Roman"/>
                <w:sz w:val="20"/>
                <w:szCs w:val="20"/>
                <w:color w:val="0000FF"/>
              </w:rPr>
              <w:t>2019</w:t>
            </w:r>
          </w:p>
        </w:tc>
        <w:tc>
          <w:tcPr>
            <w:tcW w:w="980" w:type="dxa"/>
            <w:vAlign w:val="bottom"/>
            <w:tcBorders>
              <w:top w:val="single" w:sz="8" w:color="0000FF"/>
            </w:tcBorders>
            <w:gridSpan w:val="2"/>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8660" w:type="dxa"/>
            <w:vAlign w:val="bottom"/>
            <w:gridSpan w:val="14"/>
            <w:shd w:val="clear" w:color="auto" w:fill="CCEEFF"/>
          </w:tcPr>
          <w:p>
            <w:pPr>
              <w:spacing w:after="0" w:line="189" w:lineRule="exact"/>
              <w:rPr>
                <w:rFonts w:ascii="Times New Roman" w:cs="Times New Roman" w:eastAsia="Times New Roman" w:hAnsi="Times New Roman"/>
                <w:sz w:val="20"/>
                <w:szCs w:val="20"/>
                <w:color w:val="0000FF"/>
              </w:rPr>
            </w:pPr>
            <w:hyperlink w:anchor="page4">
              <w:r>
                <w:rPr>
                  <w:rFonts w:ascii="Times New Roman" w:cs="Times New Roman" w:eastAsia="Times New Roman" w:hAnsi="Times New Roman"/>
                  <w:sz w:val="20"/>
                  <w:szCs w:val="20"/>
                  <w:u w:val="single" w:color="auto"/>
                  <w:color w:val="0000FF"/>
                </w:rPr>
                <w:t>Unaudited Consolidated Statements of Stockholders’ Equity for the</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Three and Nine </w:t>
            </w:r>
            <w:hyperlink w:anchor="page4">
              <w:r>
                <w:rPr>
                  <w:rFonts w:ascii="Times New Roman" w:cs="Times New Roman" w:eastAsia="Times New Roman" w:hAnsi="Times New Roman"/>
                  <w:sz w:val="20"/>
                  <w:szCs w:val="20"/>
                  <w:color w:val="0000FF"/>
                </w:rPr>
                <w:t>Months Ended</w:t>
              </w:r>
            </w:hyperlink>
          </w:p>
        </w:tc>
        <w:tc>
          <w:tcPr>
            <w:tcW w:w="1520" w:type="dxa"/>
            <w:vAlign w:val="bottom"/>
            <w:shd w:val="clear" w:color="auto" w:fill="CCEEFF"/>
          </w:tcPr>
          <w:p>
            <w:pPr>
              <w:jc w:val="right"/>
              <w:spacing w:after="0" w:line="189" w:lineRule="exact"/>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176"/>
        </w:trPr>
        <w:tc>
          <w:tcPr>
            <w:tcW w:w="1060" w:type="dxa"/>
            <w:vAlign w:val="bottom"/>
            <w:tcBorders>
              <w:top w:val="single" w:sz="8" w:color="CCEEFF"/>
            </w:tcBorders>
            <w:shd w:val="clear" w:color="auto" w:fill="CCEEFF"/>
          </w:tcPr>
          <w:p>
            <w:pPr>
              <w:spacing w:after="0"/>
              <w:rPr>
                <w:sz w:val="15"/>
                <w:szCs w:val="15"/>
                <w:color w:val="auto"/>
              </w:rPr>
            </w:pPr>
          </w:p>
        </w:tc>
        <w:tc>
          <w:tcPr>
            <w:tcW w:w="5380" w:type="dxa"/>
            <w:vAlign w:val="bottom"/>
            <w:tcBorders>
              <w:top w:val="single" w:sz="8" w:color="CCEEFF"/>
            </w:tcBorders>
            <w:gridSpan w:val="7"/>
            <w:shd w:val="clear" w:color="auto" w:fill="CCEEFF"/>
          </w:tcPr>
          <w:p>
            <w:pPr>
              <w:spacing w:after="0" w:line="176" w:lineRule="exact"/>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0000FF"/>
              </w:rPr>
              <w:t xml:space="preserve">September 30, 2020 </w:t>
            </w:r>
            <w:hyperlink w:anchor="page4">
              <w:r>
                <w:rPr>
                  <w:rFonts w:ascii="Times New Roman" w:cs="Times New Roman" w:eastAsia="Times New Roman" w:hAnsi="Times New Roman"/>
                  <w:sz w:val="20"/>
                  <w:szCs w:val="20"/>
                  <w:color w:val="0000FF"/>
                </w:rPr>
                <w:t xml:space="preserve">and </w:t>
              </w:r>
            </w:hyperlink>
            <w:r>
              <w:rPr>
                <w:rFonts w:ascii="Times New Roman" w:cs="Times New Roman" w:eastAsia="Times New Roman" w:hAnsi="Times New Roman"/>
                <w:sz w:val="20"/>
                <w:szCs w:val="20"/>
                <w:color w:val="0000FF"/>
              </w:rPr>
              <w:t>2019</w:t>
            </w:r>
          </w:p>
        </w:tc>
        <w:tc>
          <w:tcPr>
            <w:tcW w:w="2440" w:type="dxa"/>
            <w:vAlign w:val="bottom"/>
            <w:tcBorders>
              <w:top w:val="single" w:sz="8" w:color="0000FF"/>
            </w:tcBorders>
            <w:gridSpan w:val="4"/>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gridSpan w:val="2"/>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060" w:type="dxa"/>
            <w:vAlign w:val="bottom"/>
          </w:tcPr>
          <w:p>
            <w:pPr>
              <w:spacing w:after="0"/>
              <w:rPr>
                <w:sz w:val="17"/>
                <w:szCs w:val="17"/>
                <w:color w:val="auto"/>
              </w:rPr>
            </w:pPr>
          </w:p>
        </w:tc>
        <w:tc>
          <w:tcPr>
            <w:tcW w:w="8660" w:type="dxa"/>
            <w:vAlign w:val="bottom"/>
            <w:gridSpan w:val="14"/>
          </w:tcPr>
          <w:p>
            <w:pPr>
              <w:spacing w:after="0" w:line="203" w:lineRule="exact"/>
              <w:rPr>
                <w:rFonts w:ascii="Times New Roman" w:cs="Times New Roman" w:eastAsia="Times New Roman" w:hAnsi="Times New Roman"/>
                <w:sz w:val="20"/>
                <w:szCs w:val="20"/>
                <w:color w:val="0000FF"/>
              </w:rPr>
            </w:pPr>
            <w:hyperlink w:anchor="page5">
              <w:r>
                <w:rPr>
                  <w:rFonts w:ascii="Times New Roman" w:cs="Times New Roman" w:eastAsia="Times New Roman" w:hAnsi="Times New Roman"/>
                  <w:sz w:val="20"/>
                  <w:szCs w:val="20"/>
                  <w:color w:val="0000FF"/>
                </w:rPr>
                <w:t xml:space="preserve">Unaudited Consolidated Statements of Cash Flows for the </w:t>
              </w:r>
            </w:hyperlink>
            <w:r>
              <w:rPr>
                <w:rFonts w:ascii="Times New Roman" w:cs="Times New Roman" w:eastAsia="Times New Roman" w:hAnsi="Times New Roman"/>
                <w:sz w:val="20"/>
                <w:szCs w:val="20"/>
                <w:color w:val="0000FF"/>
              </w:rPr>
              <w:t xml:space="preserve">Nine Months Ended September 30, 2020 </w:t>
            </w:r>
            <w:hyperlink w:anchor="page5">
              <w:r>
                <w:rPr>
                  <w:rFonts w:ascii="Times New Roman" w:cs="Times New Roman" w:eastAsia="Times New Roman" w:hAnsi="Times New Roman"/>
                  <w:sz w:val="20"/>
                  <w:szCs w:val="20"/>
                  <w:u w:val="single" w:color="auto"/>
                  <w:color w:val="0000FF"/>
                </w:rPr>
                <w:t>and</w:t>
              </w:r>
            </w:hyperlink>
          </w:p>
        </w:tc>
        <w:tc>
          <w:tcPr>
            <w:tcW w:w="1520" w:type="dxa"/>
            <w:vAlign w:val="bottom"/>
          </w:tcPr>
          <w:p>
            <w:pPr>
              <w:jc w:val="right"/>
              <w:spacing w:after="0" w:line="202" w:lineRule="exact"/>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169"/>
        </w:trPr>
        <w:tc>
          <w:tcPr>
            <w:tcW w:w="1060" w:type="dxa"/>
            <w:vAlign w:val="bottom"/>
          </w:tcPr>
          <w:p>
            <w:pPr>
              <w:spacing w:after="0"/>
              <w:rPr>
                <w:sz w:val="14"/>
                <w:szCs w:val="14"/>
                <w:color w:val="auto"/>
              </w:rPr>
            </w:pPr>
          </w:p>
        </w:tc>
        <w:tc>
          <w:tcPr>
            <w:tcW w:w="3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9"/>
                <w:szCs w:val="19"/>
                <w:color w:val="0000FF"/>
                <w:w w:val="94"/>
              </w:rPr>
              <w:t>2019</w:t>
            </w:r>
          </w:p>
        </w:tc>
        <w:tc>
          <w:tcPr>
            <w:tcW w:w="82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8660" w:type="dxa"/>
            <w:vAlign w:val="bottom"/>
            <w:gridSpan w:val="14"/>
            <w:shd w:val="clear" w:color="auto" w:fill="CCEEFF"/>
          </w:tcPr>
          <w:p>
            <w:pPr>
              <w:spacing w:after="0"/>
              <w:rPr>
                <w:rFonts w:ascii="Times New Roman" w:cs="Times New Roman" w:eastAsia="Times New Roman" w:hAnsi="Times New Roman"/>
                <w:sz w:val="20"/>
                <w:szCs w:val="20"/>
                <w:u w:val="single" w:color="auto"/>
                <w:color w:val="0000FF"/>
              </w:rPr>
            </w:pPr>
            <w:hyperlink w:anchor="page6">
              <w:r>
                <w:rPr>
                  <w:rFonts w:ascii="Times New Roman" w:cs="Times New Roman" w:eastAsia="Times New Roman" w:hAnsi="Times New Roman"/>
                  <w:sz w:val="20"/>
                  <w:szCs w:val="20"/>
                  <w:u w:val="single" w:color="auto"/>
                  <w:color w:val="0000FF"/>
                </w:rPr>
                <w:t>Notes to Unaudited Consolidated Financial Statements</w:t>
              </w:r>
            </w:hyperlink>
          </w:p>
        </w:tc>
        <w:tc>
          <w:tcPr>
            <w:tcW w:w="1520" w:type="dxa"/>
            <w:vAlign w:val="bottom"/>
            <w:shd w:val="clear" w:color="auto" w:fill="CCEEFF"/>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r>
      <w:tr>
        <w:trPr>
          <w:trHeight w:val="243"/>
        </w:trPr>
        <w:tc>
          <w:tcPr>
            <w:tcW w:w="1060" w:type="dxa"/>
            <w:vAlign w:val="bottom"/>
          </w:tcPr>
          <w:p>
            <w:pPr>
              <w:ind w:left="60"/>
              <w:spacing w:after="0"/>
              <w:rPr>
                <w:rFonts w:ascii="Times New Roman" w:cs="Times New Roman" w:eastAsia="Times New Roman" w:hAnsi="Times New Roman"/>
                <w:sz w:val="20"/>
                <w:szCs w:val="20"/>
                <w:u w:val="single" w:color="auto"/>
                <w:color w:val="0000FF"/>
              </w:rPr>
            </w:pPr>
            <w:hyperlink w:anchor="page23">
              <w:r>
                <w:rPr>
                  <w:rFonts w:ascii="Times New Roman" w:cs="Times New Roman" w:eastAsia="Times New Roman" w:hAnsi="Times New Roman"/>
                  <w:sz w:val="20"/>
                  <w:szCs w:val="20"/>
                  <w:u w:val="single" w:color="auto"/>
                  <w:color w:val="0000FF"/>
                </w:rPr>
                <w:t>Item 2.</w:t>
              </w:r>
            </w:hyperlink>
          </w:p>
        </w:tc>
        <w:tc>
          <w:tcPr>
            <w:tcW w:w="8660" w:type="dxa"/>
            <w:vAlign w:val="bottom"/>
            <w:gridSpan w:val="14"/>
          </w:tcPr>
          <w:p>
            <w:pPr>
              <w:spacing w:after="0"/>
              <w:rPr>
                <w:rFonts w:ascii="Times New Roman" w:cs="Times New Roman" w:eastAsia="Times New Roman" w:hAnsi="Times New Roman"/>
                <w:sz w:val="20"/>
                <w:szCs w:val="20"/>
                <w:u w:val="single" w:color="auto"/>
                <w:color w:val="0000FF"/>
              </w:rPr>
            </w:pPr>
            <w:hyperlink w:anchor="page23">
              <w:r>
                <w:rPr>
                  <w:rFonts w:ascii="Times New Roman" w:cs="Times New Roman" w:eastAsia="Times New Roman" w:hAnsi="Times New Roman"/>
                  <w:sz w:val="20"/>
                  <w:szCs w:val="20"/>
                  <w:u w:val="single" w:color="auto"/>
                  <w:color w:val="0000FF"/>
                </w:rPr>
                <w:t>Management’s Discussion and Analysis of Financial Condition and Results of Operations</w:t>
              </w:r>
            </w:hyperlink>
          </w:p>
        </w:tc>
        <w:tc>
          <w:tcPr>
            <w:tcW w:w="152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23</w:t>
              </w:r>
            </w:hyperlink>
          </w:p>
        </w:tc>
      </w:tr>
      <w:tr>
        <w:trPr>
          <w:trHeight w:val="243"/>
        </w:trPr>
        <w:tc>
          <w:tcPr>
            <w:tcW w:w="1060" w:type="dxa"/>
            <w:vAlign w:val="bottom"/>
            <w:shd w:val="clear" w:color="auto" w:fill="CCEEFF"/>
          </w:tcPr>
          <w:p>
            <w:pPr>
              <w:ind w:left="60"/>
              <w:spacing w:after="0"/>
              <w:rPr>
                <w:rFonts w:ascii="Times New Roman" w:cs="Times New Roman" w:eastAsia="Times New Roman" w:hAnsi="Times New Roman"/>
                <w:sz w:val="20"/>
                <w:szCs w:val="20"/>
                <w:u w:val="single" w:color="auto"/>
                <w:color w:val="0000FF"/>
              </w:rPr>
            </w:pPr>
            <w:hyperlink w:anchor="page37">
              <w:r>
                <w:rPr>
                  <w:rFonts w:ascii="Times New Roman" w:cs="Times New Roman" w:eastAsia="Times New Roman" w:hAnsi="Times New Roman"/>
                  <w:sz w:val="20"/>
                  <w:szCs w:val="20"/>
                  <w:u w:val="single" w:color="auto"/>
                  <w:color w:val="0000FF"/>
                </w:rPr>
                <w:t>Item 3.</w:t>
              </w:r>
            </w:hyperlink>
          </w:p>
        </w:tc>
        <w:tc>
          <w:tcPr>
            <w:tcW w:w="8660" w:type="dxa"/>
            <w:vAlign w:val="bottom"/>
            <w:gridSpan w:val="14"/>
            <w:shd w:val="clear" w:color="auto" w:fill="CCEEFF"/>
          </w:tcPr>
          <w:p>
            <w:pPr>
              <w:spacing w:after="0"/>
              <w:rPr>
                <w:rFonts w:ascii="Times New Roman" w:cs="Times New Roman" w:eastAsia="Times New Roman" w:hAnsi="Times New Roman"/>
                <w:sz w:val="20"/>
                <w:szCs w:val="20"/>
                <w:u w:val="single" w:color="auto"/>
                <w:color w:val="0000FF"/>
              </w:rPr>
            </w:pPr>
            <w:hyperlink w:anchor="page37">
              <w:r>
                <w:rPr>
                  <w:rFonts w:ascii="Times New Roman" w:cs="Times New Roman" w:eastAsia="Times New Roman" w:hAnsi="Times New Roman"/>
                  <w:sz w:val="20"/>
                  <w:szCs w:val="20"/>
                  <w:u w:val="single" w:color="auto"/>
                  <w:color w:val="0000FF"/>
                </w:rPr>
                <w:t>Quantitative and Qualitative Disclosures About Market Risk</w:t>
              </w:r>
            </w:hyperlink>
          </w:p>
        </w:tc>
        <w:tc>
          <w:tcPr>
            <w:tcW w:w="1520" w:type="dxa"/>
            <w:vAlign w:val="bottom"/>
            <w:shd w:val="clear" w:color="auto" w:fill="CCEEFF"/>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36</w:t>
              </w:r>
            </w:hyperlink>
          </w:p>
        </w:tc>
      </w:tr>
      <w:tr>
        <w:trPr>
          <w:trHeight w:val="243"/>
        </w:trPr>
        <w:tc>
          <w:tcPr>
            <w:tcW w:w="1060" w:type="dxa"/>
            <w:vAlign w:val="bottom"/>
          </w:tcPr>
          <w:p>
            <w:pPr>
              <w:ind w:left="60"/>
              <w:spacing w:after="0"/>
              <w:rPr>
                <w:rFonts w:ascii="Times New Roman" w:cs="Times New Roman" w:eastAsia="Times New Roman" w:hAnsi="Times New Roman"/>
                <w:sz w:val="20"/>
                <w:szCs w:val="20"/>
                <w:u w:val="single" w:color="auto"/>
                <w:color w:val="0000FF"/>
              </w:rPr>
            </w:pPr>
            <w:hyperlink w:anchor="page37">
              <w:r>
                <w:rPr>
                  <w:rFonts w:ascii="Times New Roman" w:cs="Times New Roman" w:eastAsia="Times New Roman" w:hAnsi="Times New Roman"/>
                  <w:sz w:val="20"/>
                  <w:szCs w:val="20"/>
                  <w:u w:val="single" w:color="auto"/>
                  <w:color w:val="0000FF"/>
                </w:rPr>
                <w:t>Item 4.</w:t>
              </w:r>
            </w:hyperlink>
          </w:p>
        </w:tc>
        <w:tc>
          <w:tcPr>
            <w:tcW w:w="8660" w:type="dxa"/>
            <w:vAlign w:val="bottom"/>
            <w:gridSpan w:val="14"/>
          </w:tcPr>
          <w:p>
            <w:pPr>
              <w:spacing w:after="0"/>
              <w:rPr>
                <w:rFonts w:ascii="Times New Roman" w:cs="Times New Roman" w:eastAsia="Times New Roman" w:hAnsi="Times New Roman"/>
                <w:sz w:val="20"/>
                <w:szCs w:val="20"/>
                <w:u w:val="single" w:color="auto"/>
                <w:color w:val="0000FF"/>
              </w:rPr>
            </w:pPr>
            <w:hyperlink w:anchor="page37">
              <w:r>
                <w:rPr>
                  <w:rFonts w:ascii="Times New Roman" w:cs="Times New Roman" w:eastAsia="Times New Roman" w:hAnsi="Times New Roman"/>
                  <w:sz w:val="20"/>
                  <w:szCs w:val="20"/>
                  <w:u w:val="single" w:color="auto"/>
                  <w:color w:val="0000FF"/>
                </w:rPr>
                <w:t>Controls and Procedures</w:t>
              </w:r>
            </w:hyperlink>
          </w:p>
        </w:tc>
        <w:tc>
          <w:tcPr>
            <w:tcW w:w="1520" w:type="dxa"/>
            <w:vAlign w:val="bottom"/>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36</w:t>
              </w:r>
            </w:hyperlink>
          </w:p>
        </w:tc>
      </w:tr>
      <w:tr>
        <w:trPr>
          <w:trHeight w:val="243"/>
        </w:trPr>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900" w:type="dxa"/>
            <w:vAlign w:val="bottom"/>
            <w:gridSpan w:val="10"/>
            <w:shd w:val="clear" w:color="auto" w:fill="CCEEFF"/>
          </w:tcPr>
          <w:p>
            <w:pPr>
              <w:jc w:val="center"/>
              <w:ind w:right="2780"/>
              <w:spacing w:after="0"/>
              <w:rPr>
                <w:rFonts w:ascii="Times New Roman" w:cs="Times New Roman" w:eastAsia="Times New Roman" w:hAnsi="Times New Roman"/>
                <w:sz w:val="20"/>
                <w:szCs w:val="20"/>
                <w:b w:val="1"/>
                <w:bCs w:val="1"/>
                <w:u w:val="single" w:color="auto"/>
                <w:color w:val="0000FF"/>
                <w:w w:val="98"/>
              </w:rPr>
            </w:pPr>
            <w:hyperlink w:anchor="page37">
              <w:r>
                <w:rPr>
                  <w:rFonts w:ascii="Times New Roman" w:cs="Times New Roman" w:eastAsia="Times New Roman" w:hAnsi="Times New Roman"/>
                  <w:sz w:val="20"/>
                  <w:szCs w:val="20"/>
                  <w:b w:val="1"/>
                  <w:bCs w:val="1"/>
                  <w:u w:val="single" w:color="auto"/>
                  <w:color w:val="0000FF"/>
                  <w:w w:val="98"/>
                </w:rPr>
                <w:t>Part II—Other Information</w:t>
              </w:r>
            </w:hyperlink>
          </w:p>
        </w:tc>
        <w:tc>
          <w:tcPr>
            <w:tcW w:w="1520" w:type="dxa"/>
            <w:vAlign w:val="bottom"/>
            <w:shd w:val="clear" w:color="auto" w:fill="CCEEFF"/>
          </w:tcPr>
          <w:p>
            <w:pPr>
              <w:spacing w:after="0"/>
              <w:rPr>
                <w:sz w:val="21"/>
                <w:szCs w:val="21"/>
                <w:color w:val="auto"/>
              </w:rPr>
            </w:pPr>
          </w:p>
        </w:tc>
      </w:tr>
      <w:tr>
        <w:trPr>
          <w:trHeight w:val="243"/>
        </w:trPr>
        <w:tc>
          <w:tcPr>
            <w:tcW w:w="1060" w:type="dxa"/>
            <w:vAlign w:val="bottom"/>
          </w:tcPr>
          <w:p>
            <w:pPr>
              <w:ind w:left="60"/>
              <w:spacing w:after="0"/>
              <w:rPr>
                <w:rFonts w:ascii="Times New Roman" w:cs="Times New Roman" w:eastAsia="Times New Roman" w:hAnsi="Times New Roman"/>
                <w:sz w:val="20"/>
                <w:szCs w:val="20"/>
                <w:u w:val="single" w:color="auto"/>
                <w:color w:val="0000FF"/>
              </w:rPr>
            </w:pPr>
            <w:hyperlink w:anchor="page38">
              <w:r>
                <w:rPr>
                  <w:rFonts w:ascii="Times New Roman" w:cs="Times New Roman" w:eastAsia="Times New Roman" w:hAnsi="Times New Roman"/>
                  <w:sz w:val="20"/>
                  <w:szCs w:val="20"/>
                  <w:u w:val="single" w:color="auto"/>
                  <w:color w:val="0000FF"/>
                </w:rPr>
                <w:t>Item 1.</w:t>
              </w:r>
            </w:hyperlink>
          </w:p>
        </w:tc>
        <w:tc>
          <w:tcPr>
            <w:tcW w:w="8660" w:type="dxa"/>
            <w:vAlign w:val="bottom"/>
            <w:gridSpan w:val="14"/>
          </w:tcPr>
          <w:p>
            <w:pPr>
              <w:spacing w:after="0"/>
              <w:rPr>
                <w:rFonts w:ascii="Times New Roman" w:cs="Times New Roman" w:eastAsia="Times New Roman" w:hAnsi="Times New Roman"/>
                <w:sz w:val="20"/>
                <w:szCs w:val="20"/>
                <w:u w:val="single" w:color="auto"/>
                <w:color w:val="0000FF"/>
              </w:rPr>
            </w:pPr>
            <w:hyperlink w:anchor="page38">
              <w:r>
                <w:rPr>
                  <w:rFonts w:ascii="Times New Roman" w:cs="Times New Roman" w:eastAsia="Times New Roman" w:hAnsi="Times New Roman"/>
                  <w:sz w:val="20"/>
                  <w:szCs w:val="20"/>
                  <w:u w:val="single" w:color="auto"/>
                  <w:color w:val="0000FF"/>
                </w:rPr>
                <w:t>Legal Proceedings</w:t>
              </w:r>
            </w:hyperlink>
          </w:p>
        </w:tc>
        <w:tc>
          <w:tcPr>
            <w:tcW w:w="152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37</w:t>
              </w:r>
            </w:hyperlink>
          </w:p>
        </w:tc>
      </w:tr>
      <w:tr>
        <w:trPr>
          <w:trHeight w:val="243"/>
        </w:trPr>
        <w:tc>
          <w:tcPr>
            <w:tcW w:w="1060" w:type="dxa"/>
            <w:vAlign w:val="bottom"/>
            <w:shd w:val="clear" w:color="auto" w:fill="CCEEFF"/>
          </w:tcPr>
          <w:p>
            <w:pPr>
              <w:ind w:left="60"/>
              <w:spacing w:after="0"/>
              <w:rPr>
                <w:rFonts w:ascii="Times New Roman" w:cs="Times New Roman" w:eastAsia="Times New Roman" w:hAnsi="Times New Roman"/>
                <w:sz w:val="20"/>
                <w:szCs w:val="20"/>
                <w:color w:val="0000FF"/>
              </w:rPr>
            </w:pPr>
            <w:hyperlink w:anchor="page38">
              <w:r>
                <w:rPr>
                  <w:rFonts w:ascii="Times New Roman" w:cs="Times New Roman" w:eastAsia="Times New Roman" w:hAnsi="Times New Roman"/>
                  <w:sz w:val="20"/>
                  <w:szCs w:val="20"/>
                  <w:u w:val="single" w:color="auto"/>
                  <w:color w:val="0000FF"/>
                </w:rPr>
                <w:t>Item 1A</w:t>
              </w:r>
              <w:r>
                <w:rPr>
                  <w:rFonts w:ascii="Times New Roman" w:cs="Times New Roman" w:eastAsia="Times New Roman" w:hAnsi="Times New Roman"/>
                  <w:sz w:val="20"/>
                  <w:szCs w:val="20"/>
                  <w:color w:val="0000FF"/>
                </w:rPr>
                <w:t>.</w:t>
              </w:r>
            </w:hyperlink>
          </w:p>
        </w:tc>
        <w:tc>
          <w:tcPr>
            <w:tcW w:w="8660" w:type="dxa"/>
            <w:vAlign w:val="bottom"/>
            <w:gridSpan w:val="14"/>
            <w:shd w:val="clear" w:color="auto" w:fill="CCEEFF"/>
          </w:tcPr>
          <w:p>
            <w:pPr>
              <w:spacing w:after="0"/>
              <w:rPr>
                <w:rFonts w:ascii="Times New Roman" w:cs="Times New Roman" w:eastAsia="Times New Roman" w:hAnsi="Times New Roman"/>
                <w:sz w:val="20"/>
                <w:szCs w:val="20"/>
                <w:u w:val="single" w:color="auto"/>
                <w:color w:val="0000FF"/>
              </w:rPr>
            </w:pPr>
            <w:hyperlink w:anchor="page38">
              <w:r>
                <w:rPr>
                  <w:rFonts w:ascii="Times New Roman" w:cs="Times New Roman" w:eastAsia="Times New Roman" w:hAnsi="Times New Roman"/>
                  <w:sz w:val="20"/>
                  <w:szCs w:val="20"/>
                  <w:u w:val="single" w:color="auto"/>
                  <w:color w:val="0000FF"/>
                </w:rPr>
                <w:t>Risk Factors</w:t>
              </w:r>
            </w:hyperlink>
          </w:p>
        </w:tc>
        <w:tc>
          <w:tcPr>
            <w:tcW w:w="1520" w:type="dxa"/>
            <w:vAlign w:val="bottom"/>
            <w:shd w:val="clear" w:color="auto" w:fill="CCEEFF"/>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37</w:t>
              </w:r>
            </w:hyperlink>
          </w:p>
        </w:tc>
      </w:tr>
      <w:tr>
        <w:trPr>
          <w:trHeight w:val="243"/>
        </w:trPr>
        <w:tc>
          <w:tcPr>
            <w:tcW w:w="1060" w:type="dxa"/>
            <w:vAlign w:val="bottom"/>
          </w:tcPr>
          <w:p>
            <w:pPr>
              <w:ind w:left="60"/>
              <w:spacing w:after="0"/>
              <w:rPr>
                <w:rFonts w:ascii="Times New Roman" w:cs="Times New Roman" w:eastAsia="Times New Roman" w:hAnsi="Times New Roman"/>
                <w:sz w:val="20"/>
                <w:szCs w:val="20"/>
                <w:u w:val="single" w:color="auto"/>
                <w:color w:val="0000FF"/>
              </w:rPr>
            </w:pPr>
            <w:hyperlink w:anchor="page38">
              <w:r>
                <w:rPr>
                  <w:rFonts w:ascii="Times New Roman" w:cs="Times New Roman" w:eastAsia="Times New Roman" w:hAnsi="Times New Roman"/>
                  <w:sz w:val="20"/>
                  <w:szCs w:val="20"/>
                  <w:u w:val="single" w:color="auto"/>
                  <w:color w:val="0000FF"/>
                </w:rPr>
                <w:t>Item 2.</w:t>
              </w:r>
            </w:hyperlink>
          </w:p>
        </w:tc>
        <w:tc>
          <w:tcPr>
            <w:tcW w:w="8660" w:type="dxa"/>
            <w:vAlign w:val="bottom"/>
            <w:gridSpan w:val="14"/>
          </w:tcPr>
          <w:p>
            <w:pPr>
              <w:spacing w:after="0"/>
              <w:rPr>
                <w:rFonts w:ascii="Times New Roman" w:cs="Times New Roman" w:eastAsia="Times New Roman" w:hAnsi="Times New Roman"/>
                <w:sz w:val="20"/>
                <w:szCs w:val="20"/>
                <w:u w:val="single" w:color="auto"/>
                <w:color w:val="0000FF"/>
              </w:rPr>
            </w:pPr>
            <w:hyperlink w:anchor="page38">
              <w:r>
                <w:rPr>
                  <w:rFonts w:ascii="Times New Roman" w:cs="Times New Roman" w:eastAsia="Times New Roman" w:hAnsi="Times New Roman"/>
                  <w:sz w:val="20"/>
                  <w:szCs w:val="20"/>
                  <w:u w:val="single" w:color="auto"/>
                  <w:color w:val="0000FF"/>
                </w:rPr>
                <w:t>Unregistered Sales of Equity Securities and Use of Proceeds</w:t>
              </w:r>
            </w:hyperlink>
          </w:p>
        </w:tc>
        <w:tc>
          <w:tcPr>
            <w:tcW w:w="152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38</w:t>
              </w:r>
            </w:hyperlink>
          </w:p>
        </w:tc>
      </w:tr>
      <w:tr>
        <w:trPr>
          <w:trHeight w:val="243"/>
        </w:trPr>
        <w:tc>
          <w:tcPr>
            <w:tcW w:w="1060" w:type="dxa"/>
            <w:vAlign w:val="bottom"/>
            <w:shd w:val="clear" w:color="auto" w:fill="CCEEFF"/>
          </w:tcPr>
          <w:p>
            <w:pPr>
              <w:ind w:left="60"/>
              <w:spacing w:after="0"/>
              <w:rPr>
                <w:rFonts w:ascii="Times New Roman" w:cs="Times New Roman" w:eastAsia="Times New Roman" w:hAnsi="Times New Roman"/>
                <w:sz w:val="20"/>
                <w:szCs w:val="20"/>
                <w:u w:val="single" w:color="auto"/>
                <w:color w:val="0000FF"/>
              </w:rPr>
            </w:pPr>
            <w:hyperlink w:anchor="page39">
              <w:r>
                <w:rPr>
                  <w:rFonts w:ascii="Times New Roman" w:cs="Times New Roman" w:eastAsia="Times New Roman" w:hAnsi="Times New Roman"/>
                  <w:sz w:val="20"/>
                  <w:szCs w:val="20"/>
                  <w:u w:val="single" w:color="auto"/>
                  <w:color w:val="0000FF"/>
                </w:rPr>
                <w:t>Item 6.</w:t>
              </w:r>
            </w:hyperlink>
          </w:p>
        </w:tc>
        <w:tc>
          <w:tcPr>
            <w:tcW w:w="8660" w:type="dxa"/>
            <w:vAlign w:val="bottom"/>
            <w:gridSpan w:val="14"/>
            <w:shd w:val="clear" w:color="auto" w:fill="CCEEFF"/>
          </w:tcPr>
          <w:p>
            <w:pPr>
              <w:spacing w:after="0"/>
              <w:rPr>
                <w:rFonts w:ascii="Times New Roman" w:cs="Times New Roman" w:eastAsia="Times New Roman" w:hAnsi="Times New Roman"/>
                <w:sz w:val="20"/>
                <w:szCs w:val="20"/>
                <w:u w:val="single" w:color="auto"/>
                <w:color w:val="0000FF"/>
              </w:rPr>
            </w:pPr>
            <w:hyperlink w:anchor="page39">
              <w:r>
                <w:rPr>
                  <w:rFonts w:ascii="Times New Roman" w:cs="Times New Roman" w:eastAsia="Times New Roman" w:hAnsi="Times New Roman"/>
                  <w:sz w:val="20"/>
                  <w:szCs w:val="20"/>
                  <w:u w:val="single" w:color="auto"/>
                  <w:color w:val="0000FF"/>
                </w:rPr>
                <w:t>Exhibits</w:t>
              </w:r>
            </w:hyperlink>
          </w:p>
        </w:tc>
        <w:tc>
          <w:tcPr>
            <w:tcW w:w="1520" w:type="dxa"/>
            <w:vAlign w:val="bottom"/>
            <w:shd w:val="clear" w:color="auto" w:fill="CCEEFF"/>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39</w:t>
              </w:r>
            </w:hyperlink>
          </w:p>
        </w:tc>
      </w:tr>
    </w:tbl>
    <w:p>
      <w:pPr>
        <w:spacing w:after="0" w:line="1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12,397</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$1,761 and $3,364,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388,479</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$502 and $147,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221,591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217,109</w:t>
            </w:r>
          </w:p>
        </w:tc>
      </w:tr>
      <w:tr>
        <w:trPr>
          <w:trHeight w:val="19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Refundable income taxes</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r>
        <w:trPr>
          <w:trHeight w:val="19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12,811</w:t>
            </w:r>
          </w:p>
        </w:tc>
      </w:tr>
      <w:tr>
        <w:trPr>
          <w:trHeight w:val="23"/>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658,762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639,184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$290,088 and $272,865,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185,344</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66,060</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$13,889 and $10,880, respectively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51,918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54,940</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30,976</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r>
      <w:tr>
        <w:trPr>
          <w:trHeight w:val="23"/>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1,018,911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1,007,871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8,737</w:t>
            </w:r>
          </w:p>
        </w:tc>
      </w:tr>
      <w:tr>
        <w:trPr>
          <w:trHeight w:val="19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r>
      <w:tr>
        <w:trPr>
          <w:trHeight w:val="19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192,107</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125,611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105,486</w:t>
            </w:r>
          </w:p>
        </w:tc>
      </w:tr>
      <w:tr>
        <w:trPr>
          <w:trHeight w:val="19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18,780</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64,364</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459,554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396,814</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20,945</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157,087</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16,884</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w:t>
            </w:r>
          </w:p>
        </w:tc>
      </w:tr>
      <w:tr>
        <w:trPr>
          <w:trHeight w:val="23"/>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610,307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643,396</w:t>
            </w:r>
          </w:p>
        </w:tc>
      </w:tr>
      <w:tr>
        <w:trPr>
          <w:trHeight w:val="17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66"/>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September 30, 2020 and</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December 31, 2019</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shares;16,719,330 and 16,648,616 shares issued and outstanding at</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92"/>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September 30, 2020 and December 31, 2019, respectively</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92"/>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152,532</w:t>
            </w:r>
          </w:p>
        </w:tc>
      </w:tr>
      <w:tr>
        <w:trPr>
          <w:trHeight w:val="24"/>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19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212,219</w:t>
            </w:r>
          </w:p>
        </w:tc>
      </w:tr>
      <w:tr>
        <w:trPr>
          <w:trHeight w:val="24"/>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 attributable to MYR Group Inc.</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408,600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364,471</w:t>
            </w:r>
          </w:p>
        </w:tc>
      </w:tr>
      <w:tr>
        <w:trPr>
          <w:trHeight w:val="19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4"/>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408,604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364,475</w:t>
            </w:r>
          </w:p>
        </w:tc>
      </w:tr>
      <w:tr>
        <w:trPr>
          <w:trHeight w:val="209"/>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1,018,911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1,007,871</w:t>
            </w: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1,500,084</w:t>
            </w:r>
          </w:p>
        </w:tc>
      </w:tr>
      <w:tr>
        <w:trPr>
          <w:trHeight w:val="27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531,429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524,017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1,440,013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1,354,848</w:t>
            </w:r>
          </w:p>
        </w:tc>
      </w:tr>
      <w:tr>
        <w:trPr>
          <w:trHeight w:val="243"/>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145,236</w:t>
            </w: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108,598</w:t>
            </w: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36,298</w:t>
            </w: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7"/>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32,206</w:t>
            </w: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r>
      <w:tr>
        <w:trPr>
          <w:trHeight w:val="237"/>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23,439</w:t>
            </w: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6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24,915</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 attributable to MYR Group Inc.:</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w:t>
            </w:r>
          </w:p>
        </w:tc>
      </w:tr>
      <w:tr>
        <w:trPr>
          <w:trHeight w:val="27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16,692</w:t>
            </w:r>
          </w:p>
        </w:tc>
      </w:tr>
      <w:tr>
        <w:trPr>
          <w:trHeight w:val="270"/>
        </w:trPr>
        <w:tc>
          <w:tcPr>
            <w:tcW w:w="5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7"/>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w:t>
            </w:r>
          </w:p>
        </w:tc>
      </w:tr>
      <w:tr>
        <w:trPr>
          <w:trHeight w:val="27"/>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6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MYR Group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24,716</w:t>
            </w: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MYR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Group Inc.</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6"/>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50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9"/>
        </w:trPr>
        <w:tc>
          <w:tcPr>
            <w:tcW w:w="2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67"/>
        </w:trPr>
        <w:tc>
          <w:tcPr>
            <w:tcW w:w="2680" w:type="dxa"/>
            <w:vAlign w:val="bottom"/>
            <w:gridSpan w:val="2"/>
          </w:tcPr>
          <w:p>
            <w:pPr>
              <w:ind w:left="9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4"/>
                <w:szCs w:val="14"/>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9"/>
        </w:trPr>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2018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322,984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324,464</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6,620</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2019</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148,938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181,882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330,727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331,474</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6,358</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2019</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16,644</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150,177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189,089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339,039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338,937</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10,461</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9"/>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16,647</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151,350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199,444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350,568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350,572</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1"/>
        </w:trPr>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2019</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152,532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212,219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364,471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364,475</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9,932</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Adjustment to adopt ASC 326</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2020</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16,685</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153,477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221,698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374,982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374,986</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13,385</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2020</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16,709</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154,594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235,083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389,446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389,450</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17,292</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issued under compensation plans, net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w:t>
            </w:r>
          </w:p>
        </w:tc>
      </w:tr>
      <w:tr>
        <w:trPr>
          <w:trHeight w:val="17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0"/>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issued - other</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16,719</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156,461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252,375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408,600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408,604</w:t>
            </w: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8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Contract assets,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 for insurance claims in excess of deductibles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37,874</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self insurance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acquired business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(39,354)</w:t>
            </w:r>
          </w:p>
        </w:tc>
        <w:tc>
          <w:tcPr>
            <w:tcW w:w="0" w:type="dxa"/>
            <w:vAlign w:val="bottom"/>
          </w:tcPr>
          <w:p>
            <w:pPr>
              <w:spacing w:after="0"/>
              <w:rPr>
                <w:sz w:val="1"/>
                <w:szCs w:val="1"/>
                <w:color w:val="auto"/>
              </w:rPr>
            </w:pPr>
          </w:p>
        </w:tc>
      </w:tr>
      <w:tr>
        <w:trPr>
          <w:trHeight w:val="237"/>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(116,176)</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borrowings (repayments) under revolving lines of credit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 under equipment notes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 of principal obligations under equipment notes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principal obligations under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refinancing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6"/>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86,016</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right="72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firstLine="648"/>
        <w:spacing w:after="0" w:line="255" w:lineRule="auto"/>
        <w:rPr>
          <w:sz w:val="20"/>
          <w:szCs w:val="20"/>
          <w:color w:val="auto"/>
        </w:rPr>
      </w:pPr>
      <w:r>
        <w:rPr>
          <w:rFonts w:ascii="Times New Roman" w:cs="Times New Roman" w:eastAsia="Times New Roman" w:hAnsi="Times New Roman"/>
          <w:sz w:val="18"/>
          <w:szCs w:val="18"/>
          <w:color w:val="auto"/>
        </w:rPr>
        <w:t>MYR Group Inc. (the “Company”) is a holding company of specialty electrical construction service providers and is currently conducting operations through wholly owned subsidiaries, including: The L. E. Myers Co., a Delaware corporation; Harlan Electric Company, a Michigan corporation; Great Southwestern Construction, Inc., a Colorado corporation; Sturgeon Electric Company, Inc., a Michigan corporation; MYR Energy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CSI Electrical Contractors, Inc., a Delaware corporation; MYR Transmission Services Canada, Ltd., a British Columbia corporation; Northern Transmission Services, Ltd., a British Columbia corporation and Western Pacific Enterprises Ltd., a British Columbia corporation.</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8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Since March of 2020, the COVID-19 pandemic has had a significant impact on the global economy, including the US and Canadian economies. As the situation continues to evolve, the Company is closely monitoring the impact of the COVID-19 pandemic on all aspects of our business, including how it impacts our customers, subcontractors, suppliers, vendors and employees. The COVID-19 pandemic caused a slowdown of certain projects due to specific state, local, municipal and customer mandated stay-at-home orders and new project requirements that were established to protect construction workers and the general public, most of which have impacted our C&amp;I segment. Although the majority of stay-at-home orders have been phased out, we are still experiencing impacts associated with the COVID-19 project-specific protocols. We expect the project-specific requirements to remain in place which will continue to impact project schedules and workflow going forward.</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is unable to predict the ultimate impact that COVID-19 will have on our business, employees, liquidity, financial condition, results of operations and cash flows. Most of the Company’s operations are considered critical and essential businesses, making our projects generally exempt from stay-at-home or similar orders in certain parts of the United States and western Canada. However, if this pandemic persists for an extended timeframe our business could be more significantly impacted as a result of prolonged unfavorable economic conditions. The Company began implementing changes in March of 2020 in an effort to protect our employees and customers and to support appropriate health and safety protocols, including implementing alternative and flexible work arrangements where possible. As the conditions surrounding the ongoing COVID-19 pandemic remain fluid, and if disruptions do re-emerge, they could materially adversely impact our business. The key estimates that could potentially be impacted include estimates of costs to complete contracts, the recoverability of goodwill and intangibles and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 year presentation. The consolidated balance sheet as of December 31, 2019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2019, included in the Company’s Annual Report on Form 10-K, which was filed with the SEC on March 4, 2020 (the "2019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gains, recorded in other income, net, for the nine months ended September 30, 2020 were not significant. Foreign currency gains, recorded in other income, net, for the nine months ended September 30, 2019 were $0.1 million. Effective foreign currency transaction gains and losses, arising primarily from long-term monetary assets and liabilities, are recorded in the foreign currency translation adjustment line on the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and 2019, the Company had recognized revenues of $19.1 million and $31.1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three months ended September 30, 2020, changes in estimates pertaining to certain projects decreased consolidated gross margin by 0.3%, which resulted in decreases in operating income of $1.9 million, net income attributable to MYR Group Inc. of $1.5 million and diluted earnings per common share attributable to MYR Group Inc. of $0.09. During the nine months ended September 30, 2020, changes in estimates pertaining to certain projects decreased consolidated gross margin by 0.4%, which resulted in decreases in operating income of $7.6 million, net income attributable to MYR Group Inc. of $5.5 million and diluted earnings per common share attributable to MYR Group Inc. of $0.33.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2019, changes in estimates pertaining to certain projects increased consolidated gross margin by 0.2%, which resulted in increases in operating income of $0.9 million, net income attributable to MYR Group Inc. of $0.8 million and diluted earnings per common share attributable to MYR Group Inc. of $0.05. During the nine months ended September 30, 2019, changes in estimates pertaining to certain projects decreased consolidated gross margin by 0.5%, which resulted in decreases in operating income of $7.8 million, net income attributable to MYR Group Inc. of $3.3 million and diluted earnings per common share attributable to MYR Group Inc. of $0.20.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introduced an expected credit loss methodology for the measurement and recognition of credit losses on most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trade receivables and off-balance sheet credit exposures. Under this guidance, an entity is required to consider a broader range of information to estimate expected credit losses, which may result in earlier recognition of losses. This ASU also requires disclosure of information regarding how a company developed its allowance, including changes in the factors that influenced management’s estimate of expected credit losses and the reasons for those changes. On January 1, 2020, the Company adopted this ASU resulting in a $0.3 million cumulative-effect adjustment to retained earnings associated with the increase in the Company’s allowance for doubtful accounts. Additionally, in connection with the adoption of this ASU the Company adjusted its presentation for allowance for doubtful accounts associated with unbilled revenue, which represents a portion of the Company’s contract assets, and were previously classified as accounts receivable net of allowances. Total allowance for doubtful accounts associated with contract assets as of September 30, 2020 and at the time of adopting this ASU were $0.5 million and $0.4 million, respectively. The Company’s consolidated balance sheet as of December 31, 2019 and consolidated statements of cash flows for the year ended December 31, 2019 have not been adjusted for this change in treatment of allowance for doubtful accounts associated with unbilled revenue. See Note 3–Contract Assets and Liabilities for further information related to the Company’s contract assets.</w:t>
      </w:r>
    </w:p>
    <w:p>
      <w:pPr>
        <w:spacing w:after="0" w:line="187"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Company adopted this ASU on a prospective basis in January 2020 and there was no effect on the Company’s consolidated financial statements.</w:t>
      </w:r>
    </w:p>
    <w:p>
      <w:pPr>
        <w:spacing w:after="0" w:line="180" w:lineRule="exact"/>
        <w:rPr>
          <w:sz w:val="20"/>
          <w:szCs w:val="20"/>
          <w:color w:val="auto"/>
        </w:rPr>
      </w:pPr>
    </w:p>
    <w:p>
      <w:pPr>
        <w:ind w:right="4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modifies the disclosure requirements for Level 1, Level 2 and Level 3 instruments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hierarchy. The Company adopted this ASU in January 2020 and there was no effect on the consolidated financial statements or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which simplifies the accounting for income taxes, eliminates certain exceptions within ASC 740, Income Taxes, and clarifies certain aspects of the current guidance to promote consistent application among reporting entities. The guidance is effective for fiscal years beginning after December 15, 2020, and interim periods within those fiscal years, with early adoption permitted. Upon adoption, the Company must apply certain aspects of this standard retrospectively for all periods presented while other aspects are applied on a modified retrospective basis through a cumulative-effect adjustment to retained earnings as of the beginning of the fiscal year of adoption. The Company does not expect that this pronouncement will have a significant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CSI Electrical Contractors, Inc.</w:t>
      </w:r>
    </w:p>
    <w:p>
      <w:pPr>
        <w:spacing w:after="0" w:line="227"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July 15, 2019, the Company completed the acquisition of substantially all the assets of CSI Electrical Contractors, Inc. (“CSI”), an electrical contracting firm based in California. CSI provides services to a broad array of end markets under the Company’s C&amp;I segment. The total consideration, after net asset adjustments of approximately $1.0 million, was $80.7 million, which was funded through borrowings under the Company’s credit facility. The Company finalized the purchase price accounting relating to the acquisition of CSI in 2019.</w:t>
      </w:r>
    </w:p>
    <w:p>
      <w:pPr>
        <w:spacing w:after="0" w:line="180"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purchase agreement also includes contingent consideration provisions for margin guarantee adjustments based upon contract performance subsequent to the acquisition. The contracts were valued at fair value at the acquisition date, causing no margin guarantee estimate or adjustments for fair value. Changes in contract estimates, such as modified costs to complete or change order recognition, will result in changes to these margin guarantee estimates. Changes in contingent consideration, subsequent to the acquisition, related to the margin guarantee adjustments on contracts of approximately $0.6 million, all of which occurred prior to June 30, 2020 were recorded in other expense for the nine months ended September 30, 2020. Future margin guarantee adjustments, if any, are expected to be recognized through 2020. The Company could also be required to make compensation payments contingent on the successful achievement of certain performance targets and continued employment of certain key executives of CSI. These payments are recognized as compensation expense on the Company’s consolidated statements of operations as incurred. For the three and nine months ended September 30, 2020, the Company recognized $1.4 million and $2.5 million, respectively, of compensation expense associated with these contingent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Contract Assets and Liabilities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September 30, 2020 and $0.1 million as of December 31, 2019.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7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which contain deferred revenue and an accrual for contracts in a loss provision.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64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3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6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7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$31.3 million and $57.7 million for the three and nine months ended September 30, 2020, respectively. The amounts of revenue recognized in the period that were included in the opening contract liability balances were $11.9 million and $39.4 million for the three and nine months ended September 30, 2019, respectively. This revenue consists primarily of work performed on previous billings to customers.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3,532,886</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3,705,392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3,509,472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126,087</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(102,673)</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September 30, 2020, the Company had several leases with residual value guarantees, due to the acquisition of CSI.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16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49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23,284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4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lease obligations</w:t>
            </w:r>
          </w:p>
        </w:tc>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52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5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 years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years</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 years</w:t>
            </w: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years</w:t>
            </w:r>
          </w:p>
        </w:tc>
        <w:tc>
          <w:tcPr>
            <w:tcW w:w="0" w:type="dxa"/>
            <w:vAlign w:val="bottom"/>
          </w:tcPr>
          <w:p>
            <w:pPr>
              <w:spacing w:after="0"/>
              <w:rPr>
                <w:sz w:val="1"/>
                <w:szCs w:val="1"/>
                <w:color w:val="auto"/>
              </w:rPr>
            </w:pPr>
          </w:p>
        </w:tc>
      </w:tr>
      <w:tr>
        <w:trPr>
          <w:trHeight w:val="27"/>
        </w:trPr>
        <w:tc>
          <w:tcPr>
            <w:tcW w:w="826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380" w:type="dxa"/>
            <w:vAlign w:val="bottom"/>
            <w:gridSpan w:val="3"/>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30"/>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costs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2,680</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140" w:type="dxa"/>
            <w:vAlign w:val="bottom"/>
          </w:tcPr>
          <w:p>
            <w:pPr>
              <w:spacing w:after="0"/>
              <w:rPr>
                <w:sz w:val="24"/>
                <w:szCs w:val="24"/>
                <w:color w:val="auto"/>
              </w:rPr>
            </w:pPr>
          </w:p>
        </w:tc>
        <w:tc>
          <w:tcPr>
            <w:tcW w:w="2380" w:type="dxa"/>
            <w:vAlign w:val="bottom"/>
            <w:gridSpan w:val="3"/>
          </w:tcPr>
          <w:p>
            <w:pPr>
              <w:jc w:val="right"/>
              <w:ind w:right="722"/>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6"/>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6,676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r>
      <w:tr>
        <w:trPr>
          <w:trHeight w:val="243"/>
        </w:trPr>
        <w:tc>
          <w:tcPr>
            <w:tcW w:w="8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5,592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r>
    </w:tbl>
    <w:p>
      <w:pPr>
        <w:spacing w:after="0" w:line="225"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September 30, 2020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4"/>
                <w:szCs w:val="14"/>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Lease</w:t>
            </w:r>
          </w:p>
        </w:tc>
      </w:t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6"/>
                <w:szCs w:val="16"/>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2020</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7"/>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37"/>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23,305</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6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September 30, 2020, the minimum lease payments required under these leases totaled $3.6 million, which are due over the next 3.8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2020 and December 31, 2019, the Company determined that the carrying value of cash and cash equivalents approximated fair value based on Level 1 inputs. As of September 30, 2020, the fair values of the Company’s long-term debt and finance lease obligations were based on Level 2 inputs. As of December 31, 2019, the fair values of the Company's long-term debt and finance lease obligations were based on Level 2 inputs. The Company’s long-term debt was based on variable and fixed interest rates at September 30, 2020 and December 31, 2019,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3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5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1"/>
                <w:szCs w:val="11"/>
                <w:color w:val="auto"/>
              </w:rPr>
            </w:pPr>
          </w:p>
        </w:tc>
        <w:tc>
          <w:tcPr>
            <w:tcW w:w="112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89"/>
        </w:trPr>
        <w:tc>
          <w:tcPr>
            <w:tcW w:w="28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9/13/2019</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9/28/2018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29"/>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2</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9/28/2018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3</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3.97%</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29"/>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30"/>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6/25/2019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7</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6/24/2019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30"/>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12/27/2019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12/24/2019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Semi-annual</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62,004</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165,824</w:t>
            </w:r>
          </w:p>
        </w:tc>
        <w:tc>
          <w:tcPr>
            <w:tcW w:w="0" w:type="dxa"/>
            <w:vAlign w:val="bottom"/>
          </w:tcPr>
          <w:p>
            <w:pPr>
              <w:spacing w:after="0"/>
              <w:rPr>
                <w:sz w:val="1"/>
                <w:szCs w:val="1"/>
                <w:color w:val="auto"/>
              </w:rPr>
            </w:pPr>
          </w:p>
        </w:tc>
      </w:tr>
      <w:tr>
        <w:trPr>
          <w:trHeight w:val="155"/>
        </w:trPr>
        <w:tc>
          <w:tcPr>
            <w:tcW w:w="28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current portion of long-term</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13, 2019, the Company entered into a five-year amended and restated credit agreement (the “Credit Agreement”) with a syndicate of banks led by JPMorgan Chase Bank, N.A. and Bank of America, N.A, that provides for a $375 million facility (the “Facility”), not to exceed three times Consolidated EBITDA (as defined in the Credit Agreement) less Consolidated Total Indebtedness (as defined in the Credit Agreement), which can be used for revolving loans and up to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nine months ended September 30, 2020 was 2.36% per annum.</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September 30, 2020.</w:t>
      </w:r>
    </w:p>
    <w:p>
      <w:pPr>
        <w:spacing w:after="0" w:line="183"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had letters of credit outstanding under the Facility of approximately $11.3 million, including $10.7 million related to the Company's payment obligation under its insurance programs and approximately $0.6 million related to contract performance obligations.</w:t>
      </w:r>
    </w:p>
    <w:p>
      <w:pPr>
        <w:spacing w:after="0" w:line="17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2019, the Company had letters of credit outstanding under the Facility of approximately $10.6 million, including $10.0 million related to the Company's payment obligation under its insurance programs and approximately $0.6 million related to contract performance obligations.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totaling $1.2 million as of September 30, 2020, related to the line of credit. As permitted under ASU No. 2015-15, debt issuance costs have been deferred and are presented as an asset within other assets, which is amortized as interest expense over the term of the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had four Equipment Notes outstanding under the Master Loan Agreements that are collateralized by equipment and vehicles owned by the Company. The following table sets forth our remaining principal payments for the Company’s outstanding Equipment Notes as of September 30,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Equipment Notes</w:t>
            </w:r>
          </w:p>
        </w:tc>
      </w:t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23"/>
        </w:trPr>
        <w:tc>
          <w:tcPr>
            <w:tcW w:w="9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37"/>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31,564</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64"/>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27,246</w:t>
            </w:r>
          </w:p>
        </w:tc>
      </w:tr>
      <w:tr>
        <w:trPr>
          <w:trHeight w:val="20"/>
        </w:trPr>
        <w:tc>
          <w:tcPr>
            <w:tcW w:w="9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include a guaranteed not-to-exceed maximum price.</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11–Segment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and nine months ended September 30, 2020 and 2019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248,596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14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24,322</w:t>
            </w:r>
          </w:p>
        </w:tc>
        <w:tc>
          <w:tcPr>
            <w:tcW w:w="14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14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607,901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19,518</w:t>
            </w:r>
          </w:p>
        </w:tc>
        <w:tc>
          <w:tcPr>
            <w:tcW w:w="14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2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32,868</w:t>
            </w:r>
          </w:p>
        </w:tc>
        <w:tc>
          <w:tcPr>
            <w:tcW w:w="14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14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288,274</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583,214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nine months ended September 30, 2020 and 2019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6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654,797</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59,712</w:t>
            </w:r>
          </w:p>
        </w:tc>
        <w:tc>
          <w:tcPr>
            <w:tcW w:w="14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61,876</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27,269</w:t>
            </w:r>
          </w:p>
        </w:tc>
        <w:tc>
          <w:tcPr>
            <w:tcW w:w="14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803,654</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1,639,422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6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469,700</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42,361</w:t>
            </w:r>
          </w:p>
        </w:tc>
        <w:tc>
          <w:tcPr>
            <w:tcW w:w="14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2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82,592</w:t>
            </w:r>
          </w:p>
        </w:tc>
        <w:tc>
          <w:tcPr>
            <w:tcW w:w="14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82,033</w:t>
            </w:r>
          </w:p>
        </w:tc>
        <w:tc>
          <w:tcPr>
            <w:tcW w:w="14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823,398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676,686</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1,500,084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three months ended September 30, 2020 and 2019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40" w:type="dxa"/>
            <w:vAlign w:val="bottom"/>
          </w:tcPr>
          <w:p>
            <w:pPr>
              <w:spacing w:after="0"/>
              <w:rPr>
                <w:sz w:val="16"/>
                <w:szCs w:val="16"/>
                <w:color w:val="auto"/>
              </w:rPr>
            </w:pPr>
          </w:p>
        </w:tc>
        <w:tc>
          <w:tcPr>
            <w:tcW w:w="38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r>
      <w:tr>
        <w:trPr>
          <w:trHeight w:val="189"/>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40" w:type="dxa"/>
            <w:vAlign w:val="bottom"/>
            <w:tcBorders>
              <w:top w:val="single" w:sz="8" w:color="auto"/>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60" w:type="dxa"/>
            <w:vAlign w:val="bottom"/>
            <w:tcBorders>
              <w:top w:val="single" w:sz="8" w:color="auto"/>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r>
      <w:tr>
        <w:trPr>
          <w:trHeight w:val="264"/>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185,007</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196,083</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36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r>
      <w:tr>
        <w:trPr>
          <w:trHeight w:val="270"/>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114,732</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18.9</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98,857</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17.0</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308,162</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50.7</w:t>
            </w:r>
          </w:p>
        </w:tc>
        <w:tc>
          <w:tcPr>
            <w:tcW w:w="14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288,274</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49.4</w:t>
            </w:r>
          </w:p>
        </w:tc>
        <w:tc>
          <w:tcPr>
            <w:tcW w:w="13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C&amp;I</w:t>
            </w:r>
          </w:p>
        </w:tc>
      </w:tr>
      <w:tr>
        <w:trPr>
          <w:trHeight w:val="22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607,901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583,214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nine months ended September 30, 2020 and 2019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240" w:type="dxa"/>
            <w:vAlign w:val="bottom"/>
          </w:tcPr>
          <w:p>
            <w:pPr>
              <w:spacing w:after="0"/>
              <w:rPr>
                <w:sz w:val="16"/>
                <w:szCs w:val="16"/>
                <w:color w:val="auto"/>
              </w:rPr>
            </w:pPr>
          </w:p>
        </w:tc>
        <w:tc>
          <w:tcPr>
            <w:tcW w:w="38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23"/>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6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537,762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36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298,006</w:t>
            </w:r>
          </w:p>
        </w:tc>
        <w:tc>
          <w:tcPr>
            <w:tcW w:w="10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18.2</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270,084</w:t>
            </w:r>
          </w:p>
        </w:tc>
        <w:tc>
          <w:tcPr>
            <w:tcW w:w="120" w:type="dxa"/>
            <w:vAlign w:val="bottom"/>
          </w:tcPr>
          <w:p>
            <w:pPr>
              <w:spacing w:after="0"/>
              <w:rPr>
                <w:sz w:val="21"/>
                <w:szCs w:val="21"/>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18.0</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803,654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49.0</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676,686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45.1</w:t>
            </w:r>
          </w:p>
        </w:tc>
        <w:tc>
          <w:tcPr>
            <w:tcW w:w="136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6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1,639,422</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1,500,084</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had $1.60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7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September 30, 2020 that the Company expects to be realized and the amount of the remaining performance obligations that the Company reasonably estimates will not be recognized within the next twelve months.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September 30, 2020</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 at December 31,</w:t>
            </w: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 to not be</w:t>
            </w:r>
          </w:p>
        </w:tc>
        <w:tc>
          <w:tcPr>
            <w:tcW w:w="1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7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2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120" w:type="dxa"/>
            <w:vAlign w:val="bottom"/>
          </w:tcPr>
          <w:p>
            <w:pPr>
              <w:spacing w:after="0"/>
              <w:rPr>
                <w:sz w:val="16"/>
                <w:szCs w:val="16"/>
                <w:color w:val="auto"/>
              </w:rPr>
            </w:pPr>
          </w:p>
        </w:tc>
        <w:tc>
          <w:tcPr>
            <w:tcW w:w="15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T&amp;D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381,850</w:t>
            </w:r>
          </w:p>
        </w:tc>
        <w:tc>
          <w:tcPr>
            <w:tcW w:w="0" w:type="dxa"/>
            <w:vAlign w:val="bottom"/>
          </w:tcPr>
          <w:p>
            <w:pPr>
              <w:spacing w:after="0"/>
              <w:rPr>
                <w:sz w:val="1"/>
                <w:szCs w:val="1"/>
                <w:color w:val="auto"/>
              </w:rPr>
            </w:pPr>
          </w:p>
        </w:tc>
      </w:tr>
      <w:tr>
        <w:trPr>
          <w:trHeight w:val="243"/>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C&amp;I</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1,027,193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1,604,760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1,409,043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and nine months ended September 30, 2020 and 2019. The Company’s effective tax rate for the three and nine months ended September 30, 2020 was 27.4% and 27.7%, respectively, of pretax income compared to the effective tax rate for the three and nine months ended September 30, 2019 of 26.4% and 27.2%, respectively.</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three and nine months ended September 30, 2020 was primarily due to state income taxes and foreign earnings and the associated impact of the global intangible low tax income (“GILTI”) and other permanent difference items.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three and nine months ended September 30, 2019, was primarily due to state income taxes offset by the impact of the Company’s noncontrolling interest.</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$0.4 million and $0.2 million as of September 30, 2020 and December 31, 2019, which were included in other liabilities in the accompanying consolidated balance sheets.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2020 and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2017 through 2019 tax returns are subject to examination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authorities. The Company’s tax returns are subject to examination by various state authorities for the years 2016 through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had approximately $3.0 million in outstanding purchase orders for certain construction equipment, with cash payments scheduled to occur over the next three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2020, an aggregate of approximately $1.36 billion in original face amount of bonds issued by the Company’s sureties were outstanding. The Company estimated the remaining cost to complete these bonded projects was approximately $660.2 million as of September 30, 2020.</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two equity compensation plans under which stock-based compensation has been granted: the 2017 Long-Term Incentive Plan (which was amended and restated as of April 23, 2020) (the “LTIP”) and the 2007 Long-Term Incentive Plan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units, (h) stock bonuses, (i) dividend equivalents, and (j) any combination of such grants.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Ordinarily the number of restricted stock awards and ROIC-based performance share awards are determined by dividing the amount of the equity compensation award allocated to each award type, by the closing price of the Company’s common stock on the date of the grant. However, as a result of the negative impact of the COVID-19 pandemic on the Company’s stock price during late March and early April of 2020, the Company’s compensation committee elected to utilize the Company's average closing stock price during the last 30 trading days of 2019 to determine the number of restricted stock and ROIC-based performance shares granted in 2020. The use of this 30-trading day average resulted in the utilization of an average stock price of $33.57, instead of the grant date closing stock price of $26.75.</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has outstanding grants of time-vested stock awards in the form of restricted stock awards and restricted stock units. During the nine months ended September 30, 2020, the Company granted 104,857 shares of time-vested stock awards under the LTIP to employees and to our non-employee directors at a weighted average grant date fair value of $26.75. These time-vested stock awards granted to non-employee directors vest over one year, time-vested stock awards granted to employees vest ratably on April 27, 2021, March 23, 2022 and March 23, 2023. During the nine months ended September 30, 2020, 77,397 shares of time-vested stock awards vested at a weighted average grant date fair value of $34.31.</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79,788 performance share awards under the LTIP at target, which cliff vest on December 31, 2022, at a weighted average grant date fair value of $34.10.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upon attainment of the stated performance targets and minimum service requirements and are paid in shares of the Company’s common stock.</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plan participants exercised options to purchase 14,980 shares of the Company’s common stock with a weighted average exercise price of $20.42.</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 Organization, Business and Significant Accounting Policies to the 2019 Annual Report.</w:t>
      </w:r>
    </w:p>
    <w:p>
      <w:pPr>
        <w:spacing w:after="0" w:line="187"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42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7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3"/>
                <w:szCs w:val="23"/>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3"/>
        </w:trPr>
        <w:tc>
          <w:tcPr>
            <w:tcW w:w="5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T&amp;D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294,940</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835,768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823,398</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288,274</w:t>
            </w: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676,686</w:t>
            </w:r>
          </w:p>
        </w:tc>
      </w:tr>
      <w:tr>
        <w:trPr>
          <w:trHeight w:val="237"/>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607,901</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583,214</w:t>
            </w:r>
          </w:p>
        </w:tc>
        <w:tc>
          <w:tcPr>
            <w:tcW w:w="2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1,639,422</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1,500,084</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T&amp;D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48,706</w:t>
            </w:r>
          </w:p>
        </w:tc>
      </w:tr>
      <w:tr>
        <w:trPr>
          <w:trHeight w:val="27"/>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r>
      <w:tr>
        <w:trPr>
          <w:trHeight w:val="243"/>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Corporate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(32,773)</w:t>
            </w:r>
          </w:p>
        </w:tc>
      </w:tr>
      <w:tr>
        <w:trPr>
          <w:trHeight w:val="27"/>
        </w:trPr>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contract revenues attributable to the Company’s Canadian operations were $19.6 million and $58.6 million, respectively, predominantly in the C&amp;I segment. For the three and nine months ended September 30, 2019, contract revenues attributable to the Company’s Canadian operations were $22.3 million and $55.8 million, respectively, predominantly in the C&amp;I segment.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Noncontrolling Interest</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July 2, 2018, through the acquisition of certain assets of the Huen Electric, Inc., Huen Electric New Jersey Inc., and Huen New York, Inc. (collectively,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consolidated statements of stockholders’ equity,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w:t>
      </w:r>
    </w:p>
    <w:p>
      <w:pPr>
        <w:spacing w:after="0" w:line="19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acquired joint venture made no distributions to its partners, and the Company made no capital contributions to the joint venture, during the three and nine months ended September 30, 2020. Additionally, there have been no changes in ownership during the three and nine months ended September 30, 2020. The project associated with this joint venture was substantially completed in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earnings per share attributable to MYR Group Inc. using the treasury stock method. Under the treasury stock method, basic earnings per share attributable to MYR Group Inc.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183" w:lineRule="exact"/>
        <w:rPr>
          <w:sz w:val="20"/>
          <w:szCs w:val="20"/>
          <w:color w:val="auto"/>
        </w:rPr>
      </w:pPr>
    </w:p>
    <w:p>
      <w:pPr>
        <w:ind w:right="160" w:firstLine="648"/>
        <w:spacing w:after="0" w:line="278" w:lineRule="auto"/>
        <w:rPr>
          <w:sz w:val="20"/>
          <w:szCs w:val="20"/>
          <w:color w:val="auto"/>
        </w:rPr>
      </w:pPr>
      <w:r>
        <w:rPr>
          <w:rFonts w:ascii="Times New Roman" w:cs="Times New Roman" w:eastAsia="Times New Roman" w:hAnsi="Times New Roman"/>
          <w:sz w:val="18"/>
          <w:szCs w:val="18"/>
          <w:color w:val="auto"/>
        </w:rPr>
        <w:t>Net income attributable to MYR Group Inc. and the weighted average number of common shares used to compute basic and diluted earnings per share were as follows: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5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 attributable to MYR Group Inc.: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and 2019,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performance awards that were excluded from the calculation of dilutive securities: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8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accompanying unaudited consolidated financial statements and with our Annual Report on Form 10-K for the year ended December 31, 2019 (the “2019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2019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22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contractors servicing the T&amp;D sector of the electric utility industry in the United States and provide T&amp;D services in western Canada. Our T&amp;D customers include many of the leading companies in the industry. We have operated in the commercial and industrial industry since 1912. We are one of the largest electrical contractors servicing the C&amp;I industry in the United States and in western Canada. Our C&amp;I customers include facility owners and general contractors.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project management team,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Since March of 2020, the COVID-19 pandemic has had a significant impact on the global economy, including the US and Canadian economies. As the situation continues to evolve, the Company is closely monitoring the impact of the COVID-19 pandemic on all aspects of our business, including how it impacts our customers, subcontractors, suppliers, vendors and employees. The COVID-19 pandemic caused a slowdown of certain projects due to specific state, local, municipal and customer mandated stay-at-home orders and new project requirements that were established to protect construction workers and the general public, most of which have impacted our C&amp;I segment. Although the majority of stay-at-home orders have been phased-out, we are still experiencing impacts associated with the COVID-19 project-specific protocols. We expect the project-specific requirements to remain in place which will continue to impact project schedules and workflow going forward.</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is unable to predict the ultimate impact that COVID-19 will have on our business, employees, liquidity, financial condition, results of operations and cash flows. Most of the Company’s operations are considered critical and essential businesses, making our projects generally exempt from stay-at-home or similar orders in certain parts of the United States and western Canada. However, if this pandemic persists for an extended timeframe our business could be more significantly impacted as a result of prolonged unfavorable economic conditions. The Company began implementing changes in March of 2020 in an effort to protect our employees and customers and to support appropriate health and safety protocols, including implementing alternative and flexible work arrangements where possible. As the conditions surrounding the ongoing COVID-19 pandemic remain fluid, and if disruptions do re-emerge, they could materially adversely impact our business. Our key estimates that could potentially be impacted include estimates of costs to complete contracts, the recoverability of goodwill and intangibles and allowance for doubtful accounts.</w:t>
      </w:r>
    </w:p>
    <w:p>
      <w:pPr>
        <w:spacing w:after="0" w:line="192"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We had consolidated revenues for the nine months ended September 30, 2020 of $1.6 billion, of which 51.0% was attributable to our T&amp;D customers and 49.0% was attributable to our C&amp;I customers. Our consolidated revenues for the nine months ended September 30, 2019 were $1.5 billion. For the nine months ended September 30, 2020, our net income attributable to MYR Group Inc.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$40.6 million and $95.2 million, respectively, compared to $24.9 million and $69.7 million, respectively,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14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1"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2020 will not likely occur before 2021. Bidding and construction activity for small to medium-size transmission projects and upgrades remains steady, and we expect this trend to continue, primarily due to reliability and economic drivers. However, in light of the uncertain COVID-19 environment, we continue to believe there may be a future slowdown of construction activity in the transmission market, the recovery of which will be dependent upon the pace and timing of the United States overall recovery from the COVID-19 pandemic.</w:t>
      </w:r>
    </w:p>
    <w:p>
      <w:pPr>
        <w:spacing w:after="0" w:line="8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Because of reduced spending by United States utilities on their distribution systems for several years, we believe there is a need for sustained investment by utilities on their distribution systems to properly maintain or meet reliability requirements. We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2021, however, in light of the uncertain COVID-19 environment we continue to believe there may be a future slowdown of construction activity in distribution systems, the recovery of which will be dependent upon the pace and timing of the United States overall recovery from the COVID-19 pandemic.</w:t>
      </w:r>
    </w:p>
    <w:p>
      <w:pPr>
        <w:spacing w:after="0" w:line="18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Amid the ongoing COVID-19 pandemic, we expect C&amp;I bidding opportunities to be impacted and market uncertainty could contribute to an overall deceleration in projects coming out to bid. Recovery of the C&amp;I market will be heavily dependent on overall economic recovery. We are hopeful that stimulus packages will provide greater opportunity and are encouraged by the possible approval of a long-awaited infrastructure bill. We believe that the primary markets we serve may be somewhat less vulnerable to economic slowing, such as health care, transportation, data centers, warehousing, renewable energy and water projects. Many signs indicate that the service industry and small project market could quickly rebound in the near future as pent-up demand will need to be addressed.</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the United States has experienced a decade of privately funded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On July 15, 2019, we completed the acquisition of substantially all the assets of CSI Electrical Contractors, Inc. (“CSI”), which expanded our C&amp;I operations in California. The total consideration was approximately $80.7 million, funded through borrowings under our credit facility. We ended the third quarter of 2020 with $310.4 million available under our credit facility. We believe that our financial position, positive cash flows and other operational strengths will enable us to manage the current challenges and uncertainties in the markets we serve, including new challenges and uncertainties associated with the ongoing COVID-19 pandemic, and give us the flexibility to successfully execute our strategies. In light of the uncertainties around the economic impacts from the COVID-19 pandemic, we are focused on controlling our costs and capital expenditures to preserve our ability to continue to fund our operations; however, we continue to invest in developing key management and craft personnel in both our T&amp;D and C&amp;I markets and in procuring the specific specialty equipment and tooling needed to win and execute projects of all sizes and complexity.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backlog was $1.72 billion at September 30, 2020, compared to $1.50 billion at December 31, 2019 and $1.37 billion at September 30, 2019. Our backlog at September 30, 2020 increased 11.0% from June 30, 2020. Backlog in the T&amp;D segment increased $225.8 million and C&amp;I backlog decreased $54.9 million compared to June 30, 2020. Our backlog as of September 30, 2020 included our proportionate share of joint venture backlog totaling $28.6 million, compared to $28.7 million at June 30, 2020.</w:t>
      </w:r>
    </w:p>
    <w:p>
      <w:pPr>
        <w:spacing w:after="0" w:line="18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Backlog at September 30, 2020</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tcPr>
          <w:p>
            <w:pPr>
              <w:jc w:val="center"/>
              <w:ind w:right="97"/>
              <w:spacing w:after="0" w:line="135" w:lineRule="exact"/>
              <w:rPr>
                <w:sz w:val="20"/>
                <w:szCs w:val="20"/>
                <w:color w:val="auto"/>
              </w:rPr>
            </w:pPr>
            <w:r>
              <w:rPr>
                <w:rFonts w:ascii="Times New Roman" w:cs="Times New Roman" w:eastAsia="Times New Roman" w:hAnsi="Times New Roman"/>
                <w:sz w:val="14"/>
                <w:szCs w:val="14"/>
                <w:b w:val="1"/>
                <w:bCs w:val="1"/>
                <w:color w:val="auto"/>
              </w:rPr>
              <w:t>Amount estimated to not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89"/>
        </w:trPr>
        <w:tc>
          <w:tcPr>
            <w:tcW w:w="5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 recognized within 12 months</w:t>
            </w:r>
          </w:p>
        </w:tc>
        <w:tc>
          <w:tcPr>
            <w:tcW w:w="160" w:type="dxa"/>
            <w:vAlign w:val="bottom"/>
          </w:tcPr>
          <w:p>
            <w:pPr>
              <w:spacing w:after="0"/>
              <w:rPr>
                <w:sz w:val="16"/>
                <w:szCs w:val="16"/>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5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T&amp;D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469,898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1,029,305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1,499,203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Bonding Requirements and Parent Guarantees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September 30, 2020, we had approximately $1.36 billion in original face amount of surety bonds outstanding. Our estimated remaining cost to complete these bonded projects was approximately $660.2 million as of September 30, 2020.</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6"/>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740" w:type="dxa"/>
            <w:vAlign w:val="bottom"/>
          </w:tcPr>
          <w:p>
            <w:pPr>
              <w:spacing w:after="0"/>
              <w:rPr>
                <w:sz w:val="12"/>
                <w:szCs w:val="12"/>
                <w:color w:val="auto"/>
              </w:rPr>
            </w:pPr>
          </w:p>
        </w:tc>
      </w:tr>
      <w:tr>
        <w:trPr>
          <w:trHeight w:val="166"/>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40" w:type="dxa"/>
            <w:vAlign w:val="bottom"/>
          </w:tcPr>
          <w:p>
            <w:pPr>
              <w:spacing w:after="0"/>
              <w:rPr>
                <w:sz w:val="14"/>
                <w:szCs w:val="14"/>
                <w:color w:val="auto"/>
              </w:rPr>
            </w:pPr>
          </w:p>
        </w:tc>
      </w:tr>
      <w:tr>
        <w:trPr>
          <w:trHeight w:val="29"/>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740" w:type="dxa"/>
            <w:vAlign w:val="bottom"/>
          </w:tcPr>
          <w:p>
            <w:pPr>
              <w:spacing w:after="0"/>
              <w:rPr>
                <w:sz w:val="14"/>
                <w:szCs w:val="14"/>
                <w:color w:val="auto"/>
              </w:rPr>
            </w:pPr>
          </w:p>
        </w:tc>
      </w:tr>
      <w:tr>
        <w:trPr>
          <w:trHeight w:val="29"/>
        </w:trPr>
        <w:tc>
          <w:tcPr>
            <w:tcW w:w="3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29"/>
        </w:trPr>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3"/>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607,901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583,214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1,639,422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9"/>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1,500,084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17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costs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531,429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1,440,013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6"/>
              </w:rPr>
              <w:t>87.8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1,354,848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90.3</w:t>
            </w:r>
          </w:p>
        </w:tc>
      </w:tr>
      <w:tr>
        <w:trPr>
          <w:trHeight w:val="29"/>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76,472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6"/>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9.7</w:t>
            </w:r>
          </w:p>
        </w:tc>
      </w:tr>
      <w:tr>
        <w:trPr>
          <w:trHeight w:val="17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Selling, general and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9"/>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administrative expenses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51,443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137,688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8"/>
              </w:rPr>
              <w:t>8.4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7.2</w:t>
            </w:r>
          </w:p>
        </w:tc>
      </w:tr>
      <w:tr>
        <w:trPr>
          <w:trHeight w:val="17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8"/>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r>
      <w:tr>
        <w:trPr>
          <w:trHeight w:val="29"/>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2"/>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sale of property and equipment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6"/>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r>
      <w:tr>
        <w:trPr>
          <w:trHeight w:val="167"/>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Income from operations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24,929</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17,262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60,679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3.7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36,298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r>
      <w:tr>
        <w:trPr>
          <w:trHeight w:val="29"/>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73"/>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40" w:type="dxa"/>
            <w:vAlign w:val="bottom"/>
          </w:tcPr>
          <w:p>
            <w:pPr>
              <w:spacing w:after="0"/>
              <w:rPr>
                <w:sz w:val="15"/>
                <w:szCs w:val="15"/>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6"/>
              </w:rPr>
              <w:t>(0.2)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(0.3)</w:t>
            </w:r>
          </w:p>
        </w:tc>
      </w:tr>
      <w:tr>
        <w:trPr>
          <w:trHeight w:val="173"/>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56,188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8"/>
              </w:rPr>
              <w:t>3.5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32,206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r>
      <w:tr>
        <w:trPr>
          <w:trHeight w:val="17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8"/>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0.5</w:t>
            </w:r>
          </w:p>
        </w:tc>
      </w:tr>
      <w:tr>
        <w:trPr>
          <w:trHeight w:val="29"/>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77"/>
              <w:spacing w:after="0"/>
              <w:rPr>
                <w:sz w:val="20"/>
                <w:szCs w:val="20"/>
                <w:color w:val="auto"/>
              </w:rPr>
            </w:pPr>
            <w:r>
              <w:rPr>
                <w:rFonts w:ascii="Times New Roman" w:cs="Times New Roman" w:eastAsia="Times New Roman" w:hAnsi="Times New Roman"/>
                <w:sz w:val="13"/>
                <w:szCs w:val="13"/>
                <w:color w:val="auto"/>
                <w:w w:val="98"/>
              </w:rPr>
              <w:t>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r>
      <w:tr>
        <w:trPr>
          <w:trHeight w:val="17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w:t>
            </w:r>
          </w:p>
        </w:tc>
        <w:tc>
          <w:tcPr>
            <w:tcW w:w="140" w:type="dxa"/>
            <w:vAlign w:val="bottom"/>
          </w:tcPr>
          <w:p>
            <w:pPr>
              <w:spacing w:after="0"/>
              <w:rPr>
                <w:sz w:val="15"/>
                <w:szCs w:val="15"/>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r>
      <w:tr>
        <w:trPr>
          <w:trHeight w:val="29"/>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MYR Group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Three Months Ended September 30, 2019</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$607.9 million for the three months ended September 30, 2020 compared to $583.2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increase of $24.7 million, or 4.2%, was primarily due to incremental revenues from the CSI acquisition and storm work related to certain weather events. These increase were partially offset by impacts related to the COVID-19 pandemic primarily associated with our C&amp;I segment and a delay in start-up activity on certain transmission projects.</w:t>
      </w:r>
    </w:p>
    <w:p>
      <w:pPr>
        <w:spacing w:after="0" w:line="20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was 12.6% for the three months ended September 30, 2020 compared to 10.2%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increase in gross margin was primarily due to an increase in higher margin and storm-related work, better-than-anticipated productivity on certain projects and settlements related to previously unrecognized revenues on project claims and change orders. These improvements were partially offset by labor inefficiencies on certain projects and decreases in revenue recognized on pending claims and change orders for which the Company is seeking reimbursement. Changes in estimates of gross profit on certain projects resulted in a gross margin decrease of 0.3% and an increase of 0.2% for the three months ended September 30, 2020 and 2019, respectively.</w:t>
      </w:r>
    </w:p>
    <w:p>
      <w:pPr>
        <w:spacing w:after="0" w:line="182"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$76.5 million for the three months ended September 30, 2020 compared to $59.2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increase of $17.3 million, or 29.2% was due to higher revenues and margins.</w:t>
      </w:r>
    </w:p>
    <w:p>
      <w:pPr>
        <w:spacing w:after="0" w:line="1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was $51.4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2020 compared to $41.7 million for the three months ended September 30, 2019. The period-over-period increase of $9.7 million was primarily due to an increase in bonus, profit sharing and other employee-related expenses to support the growth in our operations, as well as incremental cost associated with our CSI operations, and an increase in contingent compensation expense related to a prior acquisition.</w:t>
      </w:r>
    </w:p>
    <w:p>
      <w:pPr>
        <w:spacing w:after="0" w:line="180"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Gain on sale of property and equipment</w:t>
      </w:r>
      <w:r>
        <w:rPr>
          <w:rFonts w:ascii="Times New Roman" w:cs="Times New Roman" w:eastAsia="Times New Roman" w:hAnsi="Times New Roman"/>
          <w:sz w:val="18"/>
          <w:szCs w:val="18"/>
          <w:color w:val="auto"/>
        </w:rPr>
        <w:t>. Gains from the sale of property and equipment for the three months ended September 30, 2020 were $0.5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$1.2 million for the three months ended September 30, 2019. Gains from the sale of property and equipment are attributable to routine sales of property and equipment no longer useful or valuable to our ongoing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$1.1 million for the three months ended September 30, 2020 compared to $2.1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The period-over-period decrease of $1.0 million was primarily due to a decrease in our outstanding debt and a decrease in our weighted average interest rate during the three months ended September 30, 2020 as compared to the three months ended September 30, 2019, partially offset by prepayment penalties from early retirements of equipment notes.</w:t>
      </w:r>
    </w:p>
    <w:p>
      <w:pPr>
        <w:spacing w:after="0" w:line="180"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$6.5 million for the three months ended September 30, 2020, with an effective tax rate of 27.4%,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$3.8 million for the three months ended September 30, 2019, with an effective tax rate of 26.4%. The increase in the tax rate for the three months ended September 30, 2020 was primarily due to the impact of the global intangible low tax income (“GILTI”) and other permanent difference items.</w:t>
      </w:r>
    </w:p>
    <w:p>
      <w:pPr>
        <w:spacing w:after="0" w:line="180" w:lineRule="exact"/>
        <w:rPr>
          <w:sz w:val="20"/>
          <w:szCs w:val="20"/>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MYR Group Inc. </w:t>
      </w:r>
      <w:r>
        <w:rPr>
          <w:rFonts w:ascii="Times New Roman" w:cs="Times New Roman" w:eastAsia="Times New Roman" w:hAnsi="Times New Roman"/>
          <w:sz w:val="18"/>
          <w:szCs w:val="18"/>
          <w:color w:val="auto"/>
        </w:rPr>
        <w:t>Net income attributable to MYR Group Inc. was $17.3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compared to $10.4 million for the three months ended September 30, 2019. The increase was primarily due to the reasons stated earlier.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0" w:type="dxa"/>
            <w:vAlign w:val="bottom"/>
          </w:tcPr>
          <w:p>
            <w:pPr>
              <w:spacing w:after="0"/>
              <w:rPr>
                <w:sz w:val="1"/>
                <w:szCs w:val="1"/>
                <w:color w:val="auto"/>
              </w:rPr>
            </w:pPr>
          </w:p>
        </w:tc>
      </w:tr>
      <w:tr>
        <w:trPr>
          <w:trHeight w:val="23"/>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288,274</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583,214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28,521</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three months ended September 30, 2020 were $299.7 million compared to $294.9 million for the three months ended September 30, 2019, an increase of $4.8 million, or 1.6%. The increase in revenue was primarily related to an increase in storm work related to certain weather events partially offset by a delay in start-up activity on certain transmission projects.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Revenues from transmission projects represented 61.7% and 66.5% of T&amp;D segment revenue for the three months ended September 30, 2020 and 2019, respectively. Additionally, for the three months ended September 30, 2020, measured by revenue in our T&amp;D segment, we provided 42.2% of our T&amp;D services under fixed-price contracts, as compared to 53.4% for the three months ended September 30, 2019.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income for our T&amp;D segment for the three months ended September 30, 2020 was $32.4 million, an increase of $14.7 million,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82.7%, from the three months ended September 30, 2019. The increase in T&amp;D operating income from the prior year was primarily due to higher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better-than-anticipated productivity on a certain projects, an increase in storm related work and settlements related to previously unrecognized revenues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claims. These increases were partially offset by decreases in revenue recognized on a pending claim and change order on a project for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seeking reimbursement as well as labor inefficiencies on another project. As a percentage of revenues, operating income for our T&amp;D 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10.8% for the three months ended September 30, 2020 compared to 6.0% for the three months ended September 30, 2019.</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Revenues for our C&amp;I segment for the three months ended September 30, 2020 were $308.2 million compared to $288.3 million for the three months ended September 30, 2019, an increase of $19.9 million, or 6.9%, primarily due to increases in volume associated with the CSI acquisition and transportation-related services, partially offset by slowdowns associated with the COVID-19 pandemic. Measured by revenue in our C&amp;I segment, we provided 80.7% of our services under fixed-price contracts for the three months ended September 30, 2020, compared to 76.6% for the three months ended September 30, 2019.</w:t>
      </w:r>
    </w:p>
    <w:p>
      <w:pPr>
        <w:spacing w:after="0" w:line="21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our C&amp;I segment for the three months ended September 30, 2020 was $11.7 million, an increase of $0.9 million, over the three months ended September 30, 2019. The period-over-period increase in operating income was due to higher revenues, an increase in higher margin work and better-than-anticipated productivity on certain projects. These increases were partially offset by labor inefficiencies on certain projects. As a percentage of revenues, operating income for our C&amp;I segment was 3.8% for the three months ended September 30, 2020 compared to 3.7% for the three months ended September 30,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Nine Months Ended September 30, 2019</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$1.6 billion for the nine months ended September 30, 2020 compared to $1.5 billion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increase of $0.1 billion, or 9.3%, was primarily due to incremental revenues from the CSI acquisition, partially offset by a decrease due to the timing of activity on various-sized C&amp;I projects, along with impacts related to the COVID-19 pandemic primarily associated with our C&amp;I segment.</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was 12.2% for the nine months ended September 30, 2020 compared to 9.7%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increase in gross margin was primarily due to an increase in higher margin and storm-related work as well as better-than-anticipated productivity on certain projects. These increases were partially offset by labor inefficiencies on certain projects. Additionally, gross margin during the nine months ended September 30, 2019 was negatively impacted by projects at lower than historical margins and inefficiencies associated with a joint venture project, that has since been completed. Changes in estimates of gross profit on certain projects resulted in gross margin decreases of 0.4% and 0.5% for the nine months ended September 30, 2020 and 2019, respectively.</w:t>
      </w:r>
    </w:p>
    <w:p>
      <w:pPr>
        <w:spacing w:after="0" w:line="182"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$199.4 million for the nine months ended September 30, 2020 compared to $145.2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the increase of $54.2 million, or 37.3% was due to higher revenues and margins.</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was $137.7 million for the nine months ended September 30, 2020 compared to $108.6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2019. The period-over-period increase of $29.1 million was primarily due to the acquisition of CSI, along with an increase in bonus, profit sharing and other employee-related expenses to support the growth in our operations.</w:t>
      </w:r>
    </w:p>
    <w:p>
      <w:pPr>
        <w:spacing w:after="0" w:line="173"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for the nine months ended September 30, 2020 were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$2.5 million for the nine months ended September 30, 2019. Gains from the sale of property and equipment are attributable to routine sales of property and equipment no longer useful or valuable to our ongoing operations.</w:t>
      </w:r>
    </w:p>
    <w:p>
      <w:pPr>
        <w:spacing w:after="0" w:line="17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$3.9 million for the nine months ended September 30, 2020 compared to $4.5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This decrease was primarily attributable to a decrease in our outstanding debt and a decrease in our weighted average interest rate during the nine months ended September 30, 2020 as compared to the nine months ended September 30, 2019, partially offset by prepayment penalties from early retirements of equipment notes.</w:t>
      </w:r>
    </w:p>
    <w:p>
      <w:pPr>
        <w:spacing w:after="0" w:line="18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expense was $0.6 million for the nine months ended September 30, 2020, primarily attributable to a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related to margin guarantees on certain contracts associated with the acquisition of CSI recognized in the three months ended September 30, 2020. Other income was $0.4 million for the nine months ended September 30, 2019.</w:t>
      </w:r>
    </w:p>
    <w:p>
      <w:pPr>
        <w:spacing w:after="0" w:line="173"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$15.6 million for the nine months ended September 30, 2020, with an effective tax rate of 27.7%,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$8.8 million for the nine months ended September 30, 2019, with an effective tax rate of 27.2%.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 attributable to MYR Group Inc</w:t>
      </w:r>
      <w:r>
        <w:rPr>
          <w:rFonts w:ascii="Times New Roman" w:cs="Times New Roman" w:eastAsia="Times New Roman" w:hAnsi="Times New Roman"/>
          <w:sz w:val="18"/>
          <w:szCs w:val="18"/>
          <w:color w:val="auto"/>
        </w:rPr>
        <w:t>. Net income attributable to MYR Group Inc. was $40.6 million for the nine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compared to $24.9 million for the nine months ended September 30, 2019. The increase was primarily due to the reasons stated earlier.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1,639,422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nine months ended September 30, 2020 were $835.8 million compared to $823.4 million for the nine months ended September 30, 2019, an increase of $12.4 million, or 1.5%. The increase in revenue was primarily related to an increase in revenue on distribution projects, partially offset by a decrease in revenue on transmission projects.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Revenues from transmission projects represented 64.3% and 67.2% of T&amp;D segment revenue for the nine months ended September 30, 2020 and 2019, respectively. Additionally, for the nine months ended September 30, 2020, measured by revenue in our T&amp;D segment, we provided 44.7% of our T&amp;D services under fixed-price contracts, as compared to 49.8% for the nine months ended September 30, 2019.</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our T&amp;D segment for the nine months ended September 30, 2020 was $74.2 million, an increase of $25.5 million, or 52.3%, from the nine months ended September 30, 2019. The increase in T&amp;D operating income from the prior year was primarily due to higher revenues, better-than-anticipated productivity on certain projects and an increase in higher margin work on certain projects. These increases were partially offset by labor and material inefficiencies and inclement weather experienced on certain projects. As a percentage of revenues, operating income for our T&amp;D segment was 8.9% for the nine months ended September 30, 2020 compared to 5.9% for the nine months ended September 30,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Revenues for our C&amp;I segment for the nine months ended September 30, 2020 were $803.7 million compared to $676.7 million for the nine months ended September 30, 2019, an increase of $127.0 million, or 18.8%, primarily due to incremental revenues from the CSI acquisition, partially offset by a decrease due to the timing of activity on various-sized projects along with impacts related to the COVID-19 pandemic. Measured by revenue in our C&amp;I segment, we provided 81.5% of our services under fixed-price contracts for the nine months ended September 30, 2020, compared to 69.4%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our C&amp;I segment for the nine months ended September 30, 2020 was $30.0 million, an increase of $9.6 million over the nine months ended September 30, 2019. The period-over-period increase in operating income was primarily due to higher revenues, an increase in higher margin work on certain projects and better-than-anticipated productivity on certain projects, partially offset by labor inefficiencies on certain projects. As a percentage of revenues, operating income for our C&amp;I segment was 3.7% for the nine months ended September 30, 2020 compared to 3.0% for the nine months ended September 30,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attributable to MYR Group Inc. plus net income from noncontrolling interest, interest expense net of interest income, provision for income taxes and depreciation and amortization. EBITDA, a non-GAAP financial measure,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9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11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Add:</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86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95,153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8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(34,724)</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95,153</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2020, we had working capital of $199.2 million. We define working capital as current assets less current liabilities. During the nine months ended September 30, 2020, operating activities of our business provided net cash of $128.6 million, compared to $31.7 million of cash provided for the nine months ended September 30, 2019. Cash flow from operations is primarily influenced by demand for our services, operating margins, timing of contract performance and the type of services we provide to our customers. The $96.9 million year-over-year increase in cash provided by operating activities was primarily due to favorable net changes in operating assets and liabilities of $76.2 million and increase in net income of $17.2 million and depreciation and amortization of $2.0 million. The favorable change in operating assets and liabilities was primarily due to the net favorable year-over-year increases in various working capital accounts that relate primarily to construction activities (accounts receivable, contract assets, accounts payable and contract liabilities) of $38.9 million and a favorable change of $29.9 million in other liabilities, of which $17.2 million is due to the timing of payroll and the related tax payments, which we have elected to defer under the Coronavirus Aid, Relief, and Economic Security Act ("CARES Act"). The increase in cash provided by working capital accounts, primarily related to construction activities, was primarily due to favorable changes in contract assets and contract liabilities due to the timing of billings and payments under our contracts.</w:t>
      </w:r>
    </w:p>
    <w:p>
      <w:pPr>
        <w:spacing w:after="0" w:line="19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2020, we used net cash in investing activities of $25.3 million, consisting of $27.5 million for capital expenditures, partially offset by $2.1 million of proceeds from the sale of equipment.</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2020, financing activities used net cash of $96.6 million, consisting primarily of $65.2 million of repayments under our revolving line of credit, $30.4 million of repayments of principal obligations under our equipment notes of which mostly consists of prepayments of our principal obligations, $0.9 million of repayments of finance lease obligations and share repurchases of $0.4 million, all of which represented shares surrendered to satisfy tax obligations under our stock compensation programs during the nine months ended September 30,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anticipate that our borrowing availability of $310.4 million at September 30, 2020 under our revolving line of credit and future cash flow from operations will provide sufficient cash to enable us to meet our future operating needs, debt service requirements, capital expenditures, acquisition and joint venture opportunities, share repurchases, and any new challenges and uncertainties associated with the COVID-19 pandemic. Although we believe that we have adequate cash and borrowing capacity to meet our liquidity needs, any large projects or acquisitions may require additional capital. Additionally, in light of the uncertainties around the economic impacts from the ongoing COVID-19 pandemic, we are focused on controlling our costs and capital expenditures to preserve our ability to continue to fund our operations; however, we continue to invest in developing key management and craft personnel in both our T&amp;D and C&amp;I markets and in procuring the specific specialty equipment and tooling needed to win and execute projects of all sizes and complexity.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not to exceed three times Consolidated EBITDA (as defined in the Credit Agreement) less Consolidated Total Indebtedness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190"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w:t>
      </w:r>
    </w:p>
    <w:p>
      <w:pPr>
        <w:spacing w:after="0" w:line="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spacing w:after="0" w:line="181"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September 30, 2020.</w:t>
      </w:r>
    </w:p>
    <w:p>
      <w:pPr>
        <w:spacing w:after="0" w:line="180"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we had $38.6 million of debt outstanding under the Facility and letters of credit outstanding of approximately $11.3 million. As of December 31, 2019, we had $103.8 million of debt outstanding under the Facility and letters of credit outstanding of approximately $10.6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we had four executed and outstanding Equipment Notes that are collateralized by equipment and vehicles owned by us. In addition to regularly schedule payments we retired five of our Equipment Notes during the nine months ended September 30, 2020. The outstanding balance of these Equipment Notes was $31.6 million as of September 30, 2020 and $62.0 million as of December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off-balance sheet transactions, please refer to Note 9–Commitments and Contingencies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September 30, 2020 and 2019, none of our customers individually exceeded 10%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2019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2019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117"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Increased competition can place downward pressure on contract prices and profit margins and may limit the number of projects that we are awarded.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market conditions, as well as regulatory and environmental requirements, may adversely impact our customers’ future spending and, as a result, our operations and growth.</w:t>
      </w:r>
    </w:p>
    <w:p>
      <w:pPr>
        <w:spacing w:after="0" w:line="53"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53"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may be exposed to potential risk if a project is terminated or canceled, if our customers encounter financial difficulties or if we encounter disputes with our customers.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labor intensive and we may be unable to attract and retain qualified personnel.</w:t>
      </w:r>
    </w:p>
    <w:p>
      <w:pPr>
        <w:spacing w:after="0" w:line="117"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53"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ordinary course of our business, we may become subject to lawsuits or indemnity claims, which could materially and adversely affect our business and results of operations.</w:t>
      </w:r>
    </w:p>
    <w:p>
      <w:pPr>
        <w:spacing w:after="0" w:line="67"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may incur liabilities and suffer negative financial or reputational impacts relating to occupational health and safety matters including those related to hazards such as wildfires and other natural disasters.</w:t>
      </w:r>
    </w:p>
    <w:p>
      <w:pPr>
        <w:spacing w:after="0" w:line="7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could outpace the capability of our internal resources and limit our ability to support growth.</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suppliers, subcontractors and equipment manufacturers could expose us to the risk of loss in our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117"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electricity transmission and renewable energy may impact demand for our services.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profits.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220" w:hanging="324"/>
        <w:spacing w:after="0" w:line="252" w:lineRule="auto"/>
        <w:tabs>
          <w:tab w:leader="none" w:pos="9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the unavailability or cancellation of third party insurance coverages would increase our overall risk exposure and could disrupt our operations.</w:t>
      </w:r>
    </w:p>
    <w:p>
      <w:pPr>
        <w:spacing w:after="0" w:line="7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major customer may have an adverse effect on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trade credit to customers for purchases of our services, and may have difficulty collecting receivables from them.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hire or retain key personnel could disrupt our business.</w:t>
      </w:r>
    </w:p>
    <w:p>
      <w:pPr>
        <w:spacing w:after="0" w:line="117"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may have an adverse impact on our business, employees, liquidity,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117" w:lineRule="exact"/>
        <w:rPr>
          <w:rFonts w:ascii="Times New Roman" w:cs="Times New Roman" w:eastAsia="Times New Roman" w:hAnsi="Times New Roman"/>
          <w:sz w:val="18"/>
          <w:szCs w:val="18"/>
          <w:color w:val="auto"/>
        </w:rPr>
      </w:pPr>
    </w:p>
    <w:p>
      <w:pPr>
        <w:ind w:left="980" w:right="8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53"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could be adversely affected as a result of asset impairments.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in the future to sufficient funding to finance desired growth and operations.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number of operational risks which may result in unexpected costs or liabilities.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interpretation of tax laws could impact the determination of our income tax liabilities.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11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may experience significant price and volume fluctuations and future issuances of our common stock could lead to dilution of our issued and outstanding common stock.</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restrict our ability to expand and harm our business and prospects.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laws applicable to our Canadian activities, including the U.S. Foreign Corrupt Practices Act and similar anti-bribery laws, could have an adverse effect on us.</w:t>
      </w:r>
    </w:p>
    <w:p>
      <w:pPr>
        <w:spacing w:after="0" w:line="53"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controls, we may not be able to report our financial results accurately or timely or prevent or detect fraud, which could have a material adverse effect on our business or the market price of our common stock.</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prices of certain materials and commodities used in our business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organizational documents and Delaware law could delay or prevent a change in control of our company.</w:t>
      </w:r>
    </w:p>
    <w:p>
      <w:pPr>
        <w:spacing w:after="0" w:line="130" w:lineRule="exact"/>
        <w:rPr>
          <w:rFonts w:ascii="Times New Roman" w:cs="Times New Roman" w:eastAsia="Times New Roman" w:hAnsi="Times New Roman"/>
          <w:sz w:val="18"/>
          <w:szCs w:val="18"/>
          <w:color w:val="auto"/>
        </w:rPr>
      </w:pPr>
    </w:p>
    <w:p>
      <w:pPr>
        <w:ind w:left="980" w:right="400" w:hanging="324"/>
        <w:spacing w:after="0" w:line="255" w:lineRule="auto"/>
        <w:tabs>
          <w:tab w:leader="none" w:pos="9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we were not party to any derivative instruments. We did not use any material derivative financial instruments during the nine months ended September 30, 2020 and 2019, including instruments for trading, hedging or speculating on changes in interest rates or commodity prices of materials used in our business.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2020, we had $38.6 million of debt outstanding under the Facility. Borrowings under the Facility are based upon an interest rate that will vary depending upon the prime rate, federal funds rate and Adjusted LIBOR. If the prime rate, federal funds rate or Adjusted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September 30, 2020, which is subject to variable rates, permanently increased by 1%, the increase in interest expense on all revolving debt would decrease future income before provision for income taxes and cash flows by approximately $0.4 million annually. If market rates of interest on all our revolving debt, which is subject to variable rates as of September 30, 2020, permanently decreased by 1%, the decrease in interest expense on all debt would increase future income before provision for income taxes and cash flows by the same amount.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Borrowings under our Equipment Notes are at fixed rates established on the date the respective Equipment Note was executed.</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2019, management’s assessment of our internal control over financial reporting excluded the internal control over financial reporting of CSI Electrical Contractors, Inc., which was acquired on July 15, 2019. Pursuant to the SEC’s general guidance that a recently acquired business may be omitted from the scope of an assessment in the year of the acquisition, the scope of our assessment does not include CSI Electrical Contractors, Inc. Our assessment of the effectiveness of internal control over financial reporting as of December 31, 2020 will include CSI Electrical Contractors, Inc. As of September 30, 2020, CSI Electrical Contractors, Inc. represented a total of approximately 16.5% and 18.1% of total assets and net assets, respectively, and 15.1% and 7.6% of contract revenues and income before income taxes, respectively, for the quarter then ended.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9–Commitments and Contingencies—Litigation and Other Legal Matters in the accompanying notes to our Consolidated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2019 Annual Report. The information below includes additional risks relating to the COVID-19 pandemic. The impact of COVID-19 may also exacerbate other risks discussed in Item 1A. “Risk Factors” in our 2019 Annual Report, any of which could have a material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have an adverse impact on our business, employees, liquidity, financial condition, results of operations and cash flows.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December 2019, there was an outbreak of a novel strain of coronavirus (COVID-19) in China that has since spread to nearly all regions of the world. The outbreak was subsequently declared a pandemic by the World Health Organization in March 2020. To date, the COVID-19 outbreak and preventative measures taken to contain or mitigate the outbreak have caused, and are continuing to cause, business slowdowns or shutdowns in affected areas and significant disruption in the financial markets both globally and in the United States and Canada.</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response to the pandemic and related mitigation measures, we began implementing changes in our business in March 2020 in an effort to protect our employees and customers, and to support appropriate health and safety protocols, including implementing remote, alternative and flexible work arrangements, where possible. While these measures have been necessary and appropriate, they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our response to the pandemic continues to evolve, we may incur additional costs and could experience adverse impacts to our business, each of which may be significant. We have focused on controlling our costs and capital expenditures to preserve our ability to continue to fund our operations and may need to take additional actions to reduce spending in the future. Although we are unable to predict the ultimate impact of the COVID-19 outbreak at this time, the pandemic could adversely affect, our business, employees, liquidity, financial condition, results of operations and cash flows. Such effects may be material and the potential impacts include, but are not limited to:</w:t>
      </w:r>
    </w:p>
    <w:p>
      <w:pPr>
        <w:spacing w:after="0" w:line="183" w:lineRule="exact"/>
        <w:rPr>
          <w:sz w:val="20"/>
          <w:szCs w:val="20"/>
          <w:color w:val="auto"/>
        </w:rPr>
      </w:pPr>
    </w:p>
    <w:p>
      <w:pPr>
        <w:ind w:left="980" w:right="3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due to transportation delays, travel restrictions, raw material cost increases and shortages, and closures of businesses or facilities;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operating effectiveness due to workforce disruptions resulting from “shelter-in-place” and “stay-at-home” orders, and the unavailability of key personnel necessary to conduct our business activities; and</w:t>
      </w:r>
    </w:p>
    <w:p>
      <w:pPr>
        <w:spacing w:after="0" w:line="161"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financial markets, which could have a negative impact on our ability to access capital and additional sources of financing in the future.</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situation surrounding COVID-19 remains fluid, and given its inherent uncertainty, the pandemic may have an adverse impact on our business in the near term. Should these conditions persist for a prolonged period, the COVID-19 pandemic, including any of the above factors and others that are currently unknown, may have a material adverse effect on our business, employees, liquidity, financial condition, results of operations and cash flows. In addition, we cannot predict the impact that COVID-19 will have on our customers and suppliers, and any adverse impacts on these parties may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Issuances of Common Stock. </w:t>
      </w:r>
      <w:r>
        <w:rPr>
          <w:rFonts w:ascii="Times New Roman" w:cs="Times New Roman" w:eastAsia="Times New Roman" w:hAnsi="Times New Roman"/>
          <w:sz w:val="18"/>
          <w:szCs w:val="18"/>
          <w:color w:val="auto"/>
        </w:rPr>
        <w:t>On July 23, 2020, 366 unregistered shares of our common stock, valued in the aggregate at $11,968 were issued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71"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Company did not repurchase any shares of its common stock during the period from July 1, 2020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2020.</w:t>
      </w:r>
    </w:p>
    <w:p>
      <w:pPr>
        <w:spacing w:after="0" w:line="15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On October 22, 2020, the Company’s Board of Directors authorized a new $50.0 million share repurchase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November 2, 2020. The Company intends to fund the share repurchase program from cash on hand and through borrowings under its credit facility. The new share repurchase program will expire on November 2, 2021, or when the authorized funds are exhausted, whichever is earlier.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8"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31.1</w:t>
              </w:r>
            </w:hyperlink>
          </w:p>
        </w:tc>
        <w:tc>
          <w:tcPr>
            <w:tcW w:w="10120" w:type="dxa"/>
            <w:vAlign w:val="bottom"/>
          </w:tcPr>
          <w:p>
            <w:pPr>
              <w:ind w:left="80"/>
              <w:spacing w:after="0"/>
              <w:rPr>
                <w:rFonts w:ascii="Times New Roman" w:cs="Times New Roman" w:eastAsia="Times New Roman" w:hAnsi="Times New Roman"/>
                <w:sz w:val="20"/>
                <w:szCs w:val="20"/>
                <w:u w:val="single" w:color="auto"/>
                <w:color w:val="0000FF"/>
              </w:rPr>
            </w:pPr>
            <w:hyperlink w:anchor="page42">
              <w:r>
                <w:rPr>
                  <w:rFonts w:ascii="Times New Roman" w:cs="Times New Roman" w:eastAsia="Times New Roman" w:hAnsi="Times New Roman"/>
                  <w:sz w:val="20"/>
                  <w:szCs w:val="20"/>
                  <w:u w:val="single" w:color="auto"/>
                  <w:color w:val="0000FF"/>
                </w:rPr>
                <w:t>Certification of Chief Executive Officer pursuant to SEC Rule 13a-14(a)/15d-14(a)†</w:t>
              </w:r>
            </w:hyperlink>
          </w:p>
        </w:tc>
      </w:tr>
      <w:tr>
        <w:trPr>
          <w:trHeight w:val="21"/>
        </w:trPr>
        <w:tc>
          <w:tcPr>
            <w:tcW w:w="11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63"/>
        </w:trPr>
        <w:tc>
          <w:tcPr>
            <w:tcW w:w="11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31.2</w:t>
              </w:r>
            </w:hyperlink>
          </w:p>
        </w:tc>
        <w:tc>
          <w:tcPr>
            <w:tcW w:w="10120" w:type="dxa"/>
            <w:vAlign w:val="bottom"/>
            <w:tcBorders>
              <w:bottom w:val="single" w:sz="8" w:color="CCEEFF"/>
            </w:tcBorders>
            <w:shd w:val="clear" w:color="auto" w:fill="CCEEFF"/>
          </w:tcPr>
          <w:p>
            <w:pPr>
              <w:ind w:left="80"/>
              <w:spacing w:after="0"/>
              <w:rPr>
                <w:rFonts w:ascii="Times New Roman" w:cs="Times New Roman" w:eastAsia="Times New Roman" w:hAnsi="Times New Roman"/>
                <w:sz w:val="20"/>
                <w:szCs w:val="20"/>
                <w:u w:val="single" w:color="auto"/>
                <w:color w:val="0000FF"/>
              </w:rPr>
            </w:pPr>
            <w:hyperlink w:anchor="page43">
              <w:r>
                <w:rPr>
                  <w:rFonts w:ascii="Times New Roman" w:cs="Times New Roman" w:eastAsia="Times New Roman" w:hAnsi="Times New Roman"/>
                  <w:sz w:val="20"/>
                  <w:szCs w:val="20"/>
                  <w:u w:val="single" w:color="auto"/>
                  <w:color w:val="0000FF"/>
                </w:rPr>
                <w:t>Certification of Chief Financial Officer pursuant to SEC Rule 13a-14(a)/15d-14(a)†</w:t>
              </w:r>
            </w:hyperlink>
          </w:p>
        </w:tc>
      </w:tr>
      <w:tr>
        <w:trPr>
          <w:trHeight w:val="263"/>
        </w:trPr>
        <w:tc>
          <w:tcPr>
            <w:tcW w:w="1120" w:type="dxa"/>
            <w:vAlign w:val="bottom"/>
          </w:tcPr>
          <w:p>
            <w:pPr>
              <w:jc w:val="right"/>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32.1</w:t>
              </w:r>
            </w:hyperlink>
          </w:p>
        </w:tc>
        <w:tc>
          <w:tcPr>
            <w:tcW w:w="10120" w:type="dxa"/>
            <w:vAlign w:val="bottom"/>
          </w:tcPr>
          <w:p>
            <w:pPr>
              <w:ind w:left="80"/>
              <w:spacing w:after="0"/>
              <w:rPr>
                <w:rFonts w:ascii="Times New Roman" w:cs="Times New Roman" w:eastAsia="Times New Roman" w:hAnsi="Times New Roman"/>
                <w:sz w:val="20"/>
                <w:szCs w:val="20"/>
                <w:u w:val="single" w:color="auto"/>
                <w:color w:val="0000FF"/>
              </w:rPr>
            </w:pPr>
            <w:hyperlink w:anchor="page44">
              <w:r>
                <w:rPr>
                  <w:rFonts w:ascii="Times New Roman" w:cs="Times New Roman" w:eastAsia="Times New Roman" w:hAnsi="Times New Roman"/>
                  <w:sz w:val="20"/>
                  <w:szCs w:val="20"/>
                  <w:u w:val="single" w:color="auto"/>
                  <w:color w:val="0000FF"/>
                </w:rPr>
                <w:t>Certification of Chief Executive Officer pursuant to 18 U.S.C. §1350†</w:t>
              </w:r>
            </w:hyperlink>
          </w:p>
        </w:tc>
      </w:tr>
      <w:tr>
        <w:trPr>
          <w:trHeight w:val="21"/>
        </w:trPr>
        <w:tc>
          <w:tcPr>
            <w:tcW w:w="11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63"/>
        </w:trPr>
        <w:tc>
          <w:tcPr>
            <w:tcW w:w="112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32.2</w:t>
              </w:r>
            </w:hyperlink>
          </w:p>
        </w:tc>
        <w:tc>
          <w:tcPr>
            <w:tcW w:w="10120" w:type="dxa"/>
            <w:vAlign w:val="bottom"/>
            <w:tcBorders>
              <w:bottom w:val="single" w:sz="8" w:color="CCEEFF"/>
            </w:tcBorders>
            <w:shd w:val="clear" w:color="auto" w:fill="CCEEFF"/>
          </w:tcPr>
          <w:p>
            <w:pPr>
              <w:ind w:left="80"/>
              <w:spacing w:after="0"/>
              <w:rPr>
                <w:rFonts w:ascii="Times New Roman" w:cs="Times New Roman" w:eastAsia="Times New Roman" w:hAnsi="Times New Roman"/>
                <w:sz w:val="20"/>
                <w:szCs w:val="20"/>
                <w:u w:val="single" w:color="auto"/>
                <w:color w:val="0000FF"/>
              </w:rPr>
            </w:pPr>
            <w:hyperlink w:anchor="page45">
              <w:r>
                <w:rPr>
                  <w:rFonts w:ascii="Times New Roman" w:cs="Times New Roman" w:eastAsia="Times New Roman" w:hAnsi="Times New Roman"/>
                  <w:sz w:val="20"/>
                  <w:szCs w:val="20"/>
                  <w:u w:val="single" w:color="auto"/>
                  <w:color w:val="0000FF"/>
                </w:rPr>
                <w:t>Certification of Chief Financial Officer pursuant to 18 U.S.C. §1350†</w:t>
              </w:r>
            </w:hyperlink>
          </w:p>
        </w:tc>
      </w:tr>
      <w:tr>
        <w:trPr>
          <w:trHeight w:val="270"/>
        </w:trPr>
        <w:tc>
          <w:tcPr>
            <w:tcW w:w="1120" w:type="dxa"/>
            <w:vAlign w:val="bottom"/>
          </w:tcPr>
          <w:p>
            <w:pPr>
              <w:spacing w:after="0"/>
              <w:rPr>
                <w:sz w:val="23"/>
                <w:szCs w:val="23"/>
                <w:color w:val="auto"/>
              </w:rPr>
            </w:pPr>
          </w:p>
        </w:tc>
        <w:tc>
          <w:tcPr>
            <w:tcW w:w="10120" w:type="dxa"/>
            <w:vAlign w:val="bottom"/>
          </w:tcPr>
          <w:p>
            <w:pPr>
              <w:spacing w:after="0"/>
              <w:rPr>
                <w:sz w:val="23"/>
                <w:szCs w:val="23"/>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
        </w:trPr>
        <w:tc>
          <w:tcPr>
            <w:tcW w:w="1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
        </w:trPr>
        <w:tc>
          <w:tcPr>
            <w:tcW w:w="112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200" w:hanging="413"/>
        <w:spacing w:after="0"/>
        <w:tabs>
          <w:tab w:leader="none" w:pos="12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Electronically filed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October 28, 2020</w:t>
      </w:r>
      <w:r>
        <w:rPr>
          <w:sz w:val="20"/>
          <w:szCs w:val="20"/>
          <w:color w:val="auto"/>
        </w:rPr>
        <w:tab/>
      </w:r>
      <w:r>
        <w:rPr>
          <w:rFonts w:ascii="Times New Roman" w:cs="Times New Roman" w:eastAsia="Times New Roman" w:hAnsi="Times New Roman"/>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Betty R. Johnson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121" w:right="6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October 28, 2020</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Betty R. Johnson,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28, 2020</w:t>
      </w:r>
      <w:r>
        <w:rPr>
          <w:sz w:val="20"/>
          <w:szCs w:val="20"/>
          <w:color w:val="auto"/>
        </w:rPr>
        <w:tab/>
      </w:r>
      <w:r>
        <w:rPr>
          <w:rFonts w:ascii="Times New Roman" w:cs="Times New Roman" w:eastAsia="Times New Roman" w:hAnsi="Times New Roman"/>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780" w:hanging="652"/>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2020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28, 2020</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Betty R. Johnson, Senior Vice President, Chief Financial Officer and Treasurer of MYR Group, Inc. (the “Company”),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 1350, as adopted pursuant to § 906 of the Sarbanes-Oxley Act of 2002, that:</w:t>
      </w:r>
    </w:p>
    <w:p>
      <w:pPr>
        <w:spacing w:after="0" w:line="207" w:lineRule="exact"/>
        <w:rPr>
          <w:sz w:val="20"/>
          <w:szCs w:val="20"/>
          <w:color w:val="auto"/>
        </w:rPr>
      </w:pPr>
    </w:p>
    <w:p>
      <w:pPr>
        <w:ind w:left="660" w:right="780" w:hanging="652"/>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2020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October 28, 2020</w:t>
      </w:r>
      <w:r>
        <w:rPr>
          <w:sz w:val="20"/>
          <w:szCs w:val="20"/>
          <w:color w:val="auto"/>
        </w:rPr>
        <w:tab/>
      </w:r>
      <w:r>
        <w:rPr>
          <w:rFonts w:ascii="Times New Roman" w:cs="Times New Roman" w:eastAsia="Times New Roman" w:hAnsi="Times New Roman"/>
          <w:sz w:val="18"/>
          <w:szCs w:val="18"/>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and Treasurer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2"/>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2020-10-28T15:18:09Z</dcterms:created>
  <dcterms:modified xsi:type="dcterms:W3CDTF">2020-10-28T15:18:09Z</dcterms:modified>
</cp:coreProperties>
</file>