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ind w:left="3360" w:right="1840" w:hanging="3352"/>
        <w:spacing w:after="0" w:line="258" w:lineRule="auto"/>
        <w:tabs>
          <w:tab w:leader="none" w:pos="41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w:t>
      </w:r>
      <w:r>
        <w:rPr>
          <w:rFonts w:ascii="Arial" w:cs="Arial" w:eastAsia="Arial" w:hAnsi="Arial"/>
          <w:sz w:val="21"/>
          <w:szCs w:val="21"/>
          <w:b w:val="1"/>
          <w:bCs w:val="1"/>
          <w:color w:val="auto"/>
        </w:rPr>
        <w:t>or the quarterly period ended September 30, 2017</w:t>
      </w:r>
    </w:p>
    <w:p>
      <w:pPr>
        <w:spacing w:after="0" w:line="173"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17145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MYR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3280" w:type="dxa"/>
            <w:vAlign w:val="bottom"/>
          </w:tcPr>
          <w:p>
            <w:pPr>
              <w:jc w:val="center"/>
              <w:ind w:right="450"/>
              <w:spacing w:after="0"/>
              <w:rPr>
                <w:sz w:val="20"/>
                <w:szCs w:val="20"/>
                <w:color w:val="auto"/>
              </w:rPr>
            </w:pPr>
            <w:r>
              <w:rPr>
                <w:rFonts w:ascii="Arial" w:cs="Arial" w:eastAsia="Arial" w:hAnsi="Arial"/>
                <w:sz w:val="18"/>
                <w:szCs w:val="18"/>
                <w:b w:val="1"/>
                <w:bCs w:val="1"/>
                <w:color w:val="auto"/>
                <w:w w:val="93"/>
              </w:rPr>
              <w:t>Delaware</w:t>
            </w:r>
          </w:p>
        </w:tc>
        <w:tc>
          <w:tcPr>
            <w:tcW w:w="5220" w:type="dxa"/>
            <w:vAlign w:val="bottom"/>
          </w:tcPr>
          <w:p>
            <w:pPr>
              <w:jc w:val="right"/>
              <w:ind w:right="790"/>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3280" w:type="dxa"/>
            <w:vAlign w:val="bottom"/>
          </w:tcPr>
          <w:p>
            <w:pPr>
              <w:jc w:val="center"/>
              <w:ind w:right="450"/>
              <w:spacing w:after="0"/>
              <w:rPr>
                <w:sz w:val="20"/>
                <w:szCs w:val="20"/>
                <w:color w:val="auto"/>
              </w:rPr>
            </w:pPr>
            <w:r>
              <w:rPr>
                <w:rFonts w:ascii="Arial" w:cs="Arial" w:eastAsia="Arial" w:hAnsi="Arial"/>
                <w:sz w:val="18"/>
                <w:szCs w:val="18"/>
                <w:color w:val="auto"/>
                <w:w w:val="93"/>
              </w:rPr>
              <w:t>(State or other jurisdiction of</w:t>
            </w:r>
          </w:p>
        </w:tc>
        <w:tc>
          <w:tcPr>
            <w:tcW w:w="5220" w:type="dxa"/>
            <w:vAlign w:val="bottom"/>
          </w:tcPr>
          <w:p>
            <w:pPr>
              <w:jc w:val="center"/>
              <w:ind w:left="25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80" w:type="dxa"/>
            <w:vAlign w:val="bottom"/>
          </w:tcPr>
          <w:p>
            <w:pPr>
              <w:jc w:val="center"/>
              <w:ind w:right="490"/>
              <w:spacing w:after="0"/>
              <w:rPr>
                <w:sz w:val="20"/>
                <w:szCs w:val="20"/>
                <w:color w:val="auto"/>
              </w:rPr>
            </w:pPr>
            <w:r>
              <w:rPr>
                <w:rFonts w:ascii="Arial" w:cs="Arial" w:eastAsia="Arial" w:hAnsi="Arial"/>
                <w:sz w:val="18"/>
                <w:szCs w:val="18"/>
                <w:color w:val="auto"/>
                <w:w w:val="93"/>
              </w:rPr>
              <w:t>incorporation or organization)</w:t>
            </w:r>
          </w:p>
        </w:tc>
        <w:tc>
          <w:tcPr>
            <w:tcW w:w="5220" w:type="dxa"/>
            <w:vAlign w:val="bottom"/>
          </w:tcPr>
          <w:p>
            <w:pPr>
              <w:spacing w:after="0"/>
              <w:rPr>
                <w:sz w:val="20"/>
                <w:szCs w:val="20"/>
                <w:color w:val="auto"/>
              </w:rPr>
            </w:pPr>
          </w:p>
        </w:tc>
      </w:tr>
      <w:tr>
        <w:trPr>
          <w:trHeight w:val="441"/>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1701 Golf Road, Suite 3-1012</w:t>
            </w:r>
          </w:p>
        </w:tc>
        <w:tc>
          <w:tcPr>
            <w:tcW w:w="5220" w:type="dxa"/>
            <w:vAlign w:val="bottom"/>
          </w:tcPr>
          <w:p>
            <w:pPr>
              <w:spacing w:after="0"/>
              <w:rPr>
                <w:sz w:val="24"/>
                <w:szCs w:val="24"/>
                <w:color w:val="auto"/>
              </w:rPr>
            </w:pPr>
          </w:p>
        </w:tc>
      </w:tr>
      <w:tr>
        <w:trPr>
          <w:trHeight w:val="220"/>
        </w:trPr>
        <w:tc>
          <w:tcPr>
            <w:tcW w:w="328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Rolling Meadows, IL</w:t>
            </w:r>
          </w:p>
        </w:tc>
        <w:tc>
          <w:tcPr>
            <w:tcW w:w="5220" w:type="dxa"/>
            <w:vAlign w:val="bottom"/>
          </w:tcPr>
          <w:p>
            <w:pPr>
              <w:jc w:val="right"/>
              <w:ind w:right="1010"/>
              <w:spacing w:after="0"/>
              <w:rPr>
                <w:sz w:val="20"/>
                <w:szCs w:val="20"/>
                <w:color w:val="auto"/>
              </w:rPr>
            </w:pPr>
            <w:r>
              <w:rPr>
                <w:rFonts w:ascii="Arial" w:cs="Arial" w:eastAsia="Arial" w:hAnsi="Arial"/>
                <w:sz w:val="18"/>
                <w:szCs w:val="18"/>
                <w:b w:val="1"/>
                <w:bCs w:val="1"/>
                <w:color w:val="auto"/>
              </w:rPr>
              <w:t>60008</w:t>
            </w:r>
          </w:p>
        </w:tc>
      </w:tr>
      <w:tr>
        <w:trPr>
          <w:trHeight w:val="230"/>
        </w:trPr>
        <w:tc>
          <w:tcPr>
            <w:tcW w:w="328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5220" w:type="dxa"/>
            <w:vAlign w:val="bottom"/>
          </w:tcPr>
          <w:p>
            <w:pPr>
              <w:jc w:val="center"/>
              <w:ind w:left="2490"/>
              <w:spacing w:after="0"/>
              <w:rPr>
                <w:sz w:val="20"/>
                <w:szCs w:val="20"/>
                <w:color w:val="auto"/>
              </w:rPr>
            </w:pPr>
            <w:r>
              <w:rPr>
                <w:rFonts w:ascii="Arial" w:cs="Arial" w:eastAsia="Arial" w:hAnsi="Arial"/>
                <w:sz w:val="18"/>
                <w:szCs w:val="18"/>
                <w:color w:val="auto"/>
                <w:w w:val="94"/>
              </w:rPr>
              <w:t>(Zip Code)</w:t>
            </w:r>
          </w:p>
        </w:tc>
      </w:tr>
      <w:tr>
        <w:trPr>
          <w:trHeight w:val="432"/>
        </w:trPr>
        <w:tc>
          <w:tcPr>
            <w:tcW w:w="3280" w:type="dxa"/>
            <w:vAlign w:val="bottom"/>
          </w:tcPr>
          <w:p>
            <w:pPr>
              <w:spacing w:after="0"/>
              <w:rPr>
                <w:sz w:val="24"/>
                <w:szCs w:val="24"/>
                <w:color w:val="auto"/>
              </w:rPr>
            </w:pPr>
          </w:p>
        </w:tc>
        <w:tc>
          <w:tcPr>
            <w:tcW w:w="5220" w:type="dxa"/>
            <w:vAlign w:val="bottom"/>
          </w:tcPr>
          <w:p>
            <w:pPr>
              <w:jc w:val="right"/>
              <w:ind w:right="3570"/>
              <w:spacing w:after="0"/>
              <w:rPr>
                <w:sz w:val="20"/>
                <w:szCs w:val="20"/>
                <w:color w:val="auto"/>
              </w:rPr>
            </w:pPr>
            <w:r>
              <w:rPr>
                <w:rFonts w:ascii="Arial" w:cs="Arial" w:eastAsia="Arial" w:hAnsi="Arial"/>
                <w:sz w:val="18"/>
                <w:szCs w:val="18"/>
                <w:b w:val="1"/>
                <w:bCs w:val="1"/>
                <w:color w:val="auto"/>
              </w:rPr>
              <w:t>(847) 290-1891</w:t>
            </w:r>
          </w:p>
        </w:tc>
      </w:tr>
    </w:tbl>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8"/>
          <w:szCs w:val="18"/>
          <w:u w:val="single" w:color="auto"/>
          <w:color w:val="auto"/>
        </w:rPr>
        <w:t>egistrant’s telephone number, including area co</w:t>
      </w:r>
      <w:r>
        <w:rPr>
          <w:rFonts w:ascii="Arial" w:cs="Arial" w:eastAsia="Arial" w:hAnsi="Arial"/>
          <w:sz w:val="18"/>
          <w:szCs w:val="18"/>
          <w:color w:val="auto"/>
        </w:rPr>
        <w:t>de)</w:t>
      </w:r>
    </w:p>
    <w:p>
      <w:pPr>
        <w:spacing w:after="0" w:line="251"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4840" w:type="dxa"/>
            <w:vAlign w:val="bottom"/>
          </w:tcPr>
          <w:p>
            <w:pPr>
              <w:jc w:val="center"/>
              <w:ind w:right="141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680" w:type="dxa"/>
            <w:vAlign w:val="bottom"/>
          </w:tcPr>
          <w:p>
            <w:pPr>
              <w:jc w:val="center"/>
              <w:ind w:left="1390"/>
              <w:spacing w:after="0" w:line="207" w:lineRule="exact"/>
              <w:rPr>
                <w:sz w:val="20"/>
                <w:szCs w:val="20"/>
                <w:color w:val="auto"/>
              </w:rPr>
            </w:pPr>
            <w:r>
              <w:rPr>
                <w:rFonts w:ascii="Arial" w:cs="Arial" w:eastAsia="Arial" w:hAnsi="Arial"/>
                <w:sz w:val="18"/>
                <w:szCs w:val="18"/>
                <w:color w:val="auto"/>
                <w:w w:val="92"/>
              </w:rPr>
              <w:t xml:space="preserve">Accelerated filer </w:t>
            </w:r>
            <w:r>
              <w:rPr>
                <w:rFonts w:ascii="MS PGothic" w:cs="MS PGothic" w:eastAsia="MS PGothic" w:hAnsi="MS PGothic"/>
                <w:sz w:val="18"/>
                <w:szCs w:val="18"/>
                <w:color w:val="auto"/>
                <w:w w:val="92"/>
              </w:rPr>
              <w:t>☒</w:t>
            </w:r>
          </w:p>
        </w:tc>
      </w:tr>
      <w:tr>
        <w:trPr>
          <w:trHeight w:val="216"/>
        </w:trPr>
        <w:tc>
          <w:tcPr>
            <w:tcW w:w="4840" w:type="dxa"/>
            <w:vAlign w:val="bottom"/>
          </w:tcPr>
          <w:p>
            <w:pPr>
              <w:jc w:val="center"/>
              <w:ind w:right="143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680" w:type="dxa"/>
            <w:vAlign w:val="bottom"/>
          </w:tcPr>
          <w:p>
            <w:pPr>
              <w:jc w:val="center"/>
              <w:ind w:left="141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83"/>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(Do not check if a smaller reporting company)</w:t>
            </w:r>
          </w:p>
        </w:tc>
        <w:tc>
          <w:tcPr>
            <w:tcW w:w="3680" w:type="dxa"/>
            <w:vAlign w:val="bottom"/>
          </w:tcPr>
          <w:p>
            <w:pPr>
              <w:jc w:val="center"/>
              <w:ind w:left="141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spacing w:after="0" w:line="18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27, 2017, there were 16,462,023 outstanding shares of the registrant’s $0.01 par value common stock.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MYR Group Inc.’s internet website address is www.myrgroup.com. Our annual reports on Form 10-K, quarterly reports on Form 10-Q, current reports on Form 8-K, and amendments to those reports filed or furnished pursuant to Section 13(a) or 15(d) of the Securities Exchange Act of 1934 (the “Exchange Act”) will be available free of charge through our website as soon as reasonably practicable after they are electronically filed with, or furnished to, the Securities and Exchange Commission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gridSpan w:val="6"/>
          </w:tcPr>
          <w:p>
            <w:pPr>
              <w:ind w:left="2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7480" w:type="dxa"/>
            <w:vAlign w:val="bottom"/>
            <w:tcBorders>
              <w:top w:val="single" w:sz="8" w:color="CCEEFF"/>
            </w:tcBorders>
            <w:gridSpan w:val="9"/>
            <w:shd w:val="clear" w:color="auto" w:fill="CCEEFF"/>
          </w:tcPr>
          <w:p>
            <w:pPr>
              <w:jc w:val="center"/>
              <w:ind w:right="2340"/>
              <w:spacing w:after="0"/>
              <w:rPr>
                <w:sz w:val="20"/>
                <w:szCs w:val="20"/>
                <w:color w:val="auto"/>
              </w:rPr>
            </w:pPr>
            <w:r>
              <w:rPr>
                <w:rFonts w:ascii="Arial" w:cs="Arial" w:eastAsia="Arial" w:hAnsi="Arial"/>
                <w:sz w:val="18"/>
                <w:szCs w:val="18"/>
                <w:b w:val="1"/>
                <w:bCs w:val="1"/>
                <w:color w:val="auto"/>
                <w:w w:val="95"/>
              </w:rPr>
              <w:t>Part I—Financial Information</w:t>
            </w: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20" w:type="dxa"/>
            <w:vAlign w:val="bottom"/>
            <w:gridSpan w:val="13"/>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2017 (unaudited) and December 31, 2016</w:t>
              </w:r>
            </w:hyperlink>
          </w:p>
        </w:tc>
        <w:tc>
          <w:tcPr>
            <w:tcW w:w="3200" w:type="dxa"/>
            <w:vAlign w:val="bottom"/>
            <w:gridSpan w:val="3"/>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560" w:type="dxa"/>
            <w:vAlign w:val="bottom"/>
            <w:tcBorders>
              <w:bottom w:val="single" w:sz="8" w:color="0000EE"/>
            </w:tcBorders>
            <w:gridSpan w:val="15"/>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and Comprehensive Income for the Three and Nine Months Ended September 30,</w:t>
              </w:r>
            </w:hyperlink>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and 2016</w:t>
              </w:r>
            </w:hyperlink>
          </w:p>
        </w:tc>
        <w:tc>
          <w:tcPr>
            <w:tcW w:w="58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Cash Flows for the Nine Months Ended September 30, 2017 and 2016</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80" w:type="dxa"/>
            <w:vAlign w:val="bottom"/>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1940" w:type="dxa"/>
            <w:vAlign w:val="bottom"/>
            <w:gridSpan w:val="2"/>
          </w:tcPr>
          <w:p>
            <w:pPr>
              <w:spacing w:after="0"/>
              <w:rPr>
                <w:sz w:val="15"/>
                <w:szCs w:val="15"/>
                <w:color w:val="auto"/>
              </w:rPr>
            </w:pPr>
          </w:p>
        </w:tc>
        <w:tc>
          <w:tcPr>
            <w:tcW w:w="56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2.</w:t>
              </w:r>
            </w:hyperlink>
          </w:p>
        </w:tc>
        <w:tc>
          <w:tcPr>
            <w:tcW w:w="520" w:type="dxa"/>
            <w:vAlign w:val="bottom"/>
            <w:gridSpan w:val="2"/>
            <w:shd w:val="clear" w:color="auto" w:fill="CCEEFF"/>
          </w:tcPr>
          <w:p>
            <w:pPr>
              <w:spacing w:after="0"/>
              <w:rPr>
                <w:sz w:val="17"/>
                <w:szCs w:val="17"/>
                <w:color w:val="auto"/>
              </w:rPr>
            </w:pPr>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3.</w:t>
              </w:r>
            </w:hyperlink>
          </w:p>
        </w:tc>
        <w:tc>
          <w:tcPr>
            <w:tcW w:w="52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360" w:type="dxa"/>
            <w:vAlign w:val="bottom"/>
            <w:tcBorders>
              <w:top w:val="single" w:sz="8" w:color="CCEEFF"/>
            </w:tcBorders>
            <w:gridSpan w:val="4"/>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7480" w:type="dxa"/>
            <w:vAlign w:val="bottom"/>
            <w:tcBorders>
              <w:top w:val="single" w:sz="8" w:color="CCEEFF"/>
            </w:tcBorders>
            <w:gridSpan w:val="9"/>
          </w:tcPr>
          <w:p>
            <w:pPr>
              <w:jc w:val="center"/>
              <w:ind w:right="2340"/>
              <w:spacing w:after="0" w:line="176" w:lineRule="exact"/>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Part II—Other Information</w:t>
              </w:r>
            </w:hyperlink>
          </w:p>
        </w:tc>
        <w:tc>
          <w:tcPr>
            <w:tcW w:w="38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1.</w:t>
              </w:r>
            </w:hyperlink>
          </w:p>
        </w:tc>
        <w:tc>
          <w:tcPr>
            <w:tcW w:w="520" w:type="dxa"/>
            <w:vAlign w:val="bottom"/>
            <w:gridSpan w:val="2"/>
            <w:shd w:val="clear" w:color="auto" w:fill="CCEEFF"/>
          </w:tcPr>
          <w:p>
            <w:pPr>
              <w:spacing w:after="0"/>
              <w:rPr>
                <w:sz w:val="15"/>
                <w:szCs w:val="15"/>
                <w:color w:val="auto"/>
              </w:rPr>
            </w:pPr>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9820" w:type="dxa"/>
            <w:vAlign w:val="bottom"/>
            <w:gridSpan w:val="16"/>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2.</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460" w:type="dxa"/>
            <w:vAlign w:val="bottom"/>
            <w:tcBorders>
              <w:bottom w:val="single" w:sz="8" w:color="CCEEFF"/>
            </w:tcBorders>
            <w:gridSpan w:val="6"/>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820" w:type="dxa"/>
            <w:vAlign w:val="bottom"/>
            <w:gridSpan w:val="16"/>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80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9820" w:type="dxa"/>
            <w:vAlign w:val="bottom"/>
            <w:gridSpan w:val="16"/>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23,846</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Accounts receivable, net of allowances of $606 and $432,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274,249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234,642</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69,950</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3,785</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Refundable income taxes,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w:t>
            </w: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8,202</w:t>
            </w:r>
          </w:p>
        </w:tc>
      </w:tr>
      <w:tr>
        <w:trPr>
          <w:trHeight w:val="210"/>
        </w:trPr>
        <w:tc>
          <w:tcPr>
            <w:tcW w:w="8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393,434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Property and equipment, net of accumulated depreciation of $228,185 and $209,466,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150,248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154,891</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Intangible assets, net of accumulated amortization of $5,262 and $4,684,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10,769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11,566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14,692</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2,666</w:t>
            </w:r>
          </w:p>
        </w:tc>
      </w:tr>
      <w:tr>
        <w:trPr>
          <w:trHeight w:val="223"/>
        </w:trPr>
        <w:tc>
          <w:tcPr>
            <w:tcW w:w="84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60" w:type="dxa"/>
            <w:vAlign w:val="bottom"/>
            <w:shd w:val="clear" w:color="auto" w:fill="CCEEFF"/>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119,172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99,942</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42,321</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Current portion of accrued self insurance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12,083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42,382</w:t>
            </w:r>
          </w:p>
        </w:tc>
      </w:tr>
      <w:tr>
        <w:trPr>
          <w:trHeight w:val="210"/>
        </w:trPr>
        <w:tc>
          <w:tcPr>
            <w:tcW w:w="846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196,222</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18,565</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79,497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59,070</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32,092</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2,997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r>
      <w:tr>
        <w:trPr>
          <w:trHeight w:val="210"/>
        </w:trPr>
        <w:tc>
          <w:tcPr>
            <w:tcW w:w="84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310,321</w:t>
            </w:r>
          </w:p>
        </w:tc>
        <w:tc>
          <w:tcPr>
            <w:tcW w:w="10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stock—$0.01 par value per share; 4,000,000 authorized shares;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 issued and outstanding at September 30, 2017 and December 31, 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60" w:type="dxa"/>
            <w:vAlign w:val="bottom"/>
          </w:tcPr>
          <w:p>
            <w:pPr>
              <w:ind w:left="360"/>
              <w:spacing w:after="0" w:line="201" w:lineRule="exact"/>
              <w:rPr>
                <w:sz w:val="20"/>
                <w:szCs w:val="20"/>
                <w:color w:val="auto"/>
              </w:rPr>
            </w:pPr>
            <w:r>
              <w:rPr>
                <w:rFonts w:ascii="Arial" w:cs="Arial" w:eastAsia="Arial" w:hAnsi="Arial"/>
                <w:sz w:val="18"/>
                <w:szCs w:val="18"/>
                <w:color w:val="auto"/>
              </w:rPr>
              <w:t>Common stock—$0.01 par value per share; 100,000,000 authorized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w w:val="92"/>
              </w:rPr>
              <w:t>16,458,523 and 16,333,139 shares issued and outstanding at September 30, 2017 and December 31, 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140,100</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129,662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123,345</w:t>
            </w:r>
          </w:p>
        </w:tc>
      </w:tr>
      <w:tr>
        <w:trPr>
          <w:trHeight w:val="210"/>
        </w:trPr>
        <w:tc>
          <w:tcPr>
            <w:tcW w:w="84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272,560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263,174</w:t>
            </w:r>
          </w:p>
        </w:tc>
        <w:tc>
          <w:tcPr>
            <w:tcW w:w="100" w:type="dxa"/>
            <w:vAlign w:val="bottom"/>
            <w:tcBorders>
              <w:bottom w:val="single" w:sz="8" w:color="CCEEFF"/>
            </w:tcBorders>
          </w:tcPr>
          <w:p>
            <w:pPr>
              <w:spacing w:after="0"/>
              <w:rPr>
                <w:sz w:val="18"/>
                <w:szCs w:val="18"/>
                <w:color w:val="auto"/>
              </w:rPr>
            </w:pPr>
          </w:p>
        </w:tc>
      </w:tr>
      <w:tr>
        <w:trPr>
          <w:trHeight w:val="223"/>
        </w:trPr>
        <w:tc>
          <w:tcPr>
            <w:tcW w:w="84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620,597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7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MYR GROUP INC.</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60" w:type="dxa"/>
            <w:vAlign w:val="bottom"/>
            <w:gridSpan w:val="14"/>
          </w:tcPr>
          <w:p>
            <w:pPr>
              <w:ind w:left="1600"/>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4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revenues</w:t>
            </w:r>
          </w:p>
        </w:tc>
        <w:tc>
          <w:tcPr>
            <w:tcW w:w="16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373,502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283,259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1,029,816</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798,827</w:t>
            </w:r>
          </w:p>
        </w:tc>
        <w:tc>
          <w:tcPr>
            <w:tcW w:w="80" w:type="dxa"/>
            <w:vAlign w:val="bottom"/>
            <w:shd w:val="clear" w:color="auto" w:fill="CCEEFF"/>
          </w:tcPr>
          <w:p>
            <w:pPr>
              <w:spacing w:after="0"/>
              <w:rPr>
                <w:sz w:val="18"/>
                <w:szCs w:val="18"/>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Contract costs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338,649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249,196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941,706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706,048</w:t>
            </w:r>
          </w:p>
        </w:tc>
        <w:tc>
          <w:tcPr>
            <w:tcW w:w="80" w:type="dxa"/>
            <w:vAlign w:val="bottom"/>
          </w:tcPr>
          <w:p>
            <w:pPr>
              <w:spacing w:after="0"/>
              <w:rPr>
                <w:sz w:val="19"/>
                <w:szCs w:val="19"/>
                <w:color w:val="auto"/>
              </w:rPr>
            </w:pPr>
          </w:p>
        </w:tc>
      </w:tr>
      <w:tr>
        <w:trPr>
          <w:trHeight w:val="210"/>
        </w:trPr>
        <w:tc>
          <w:tcPr>
            <w:tcW w:w="42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23,814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23,203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74,617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69,579</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8"/>
                <w:szCs w:val="18"/>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(1,079)</w:t>
            </w:r>
          </w:p>
        </w:tc>
      </w:tr>
      <w:tr>
        <w:trPr>
          <w:trHeight w:val="210"/>
        </w:trPr>
        <w:tc>
          <w:tcPr>
            <w:tcW w:w="42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(833)</w:t>
            </w: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10"/>
        </w:trPr>
        <w:tc>
          <w:tcPr>
            <w:tcW w:w="4260" w:type="dxa"/>
            <w:vAlign w:val="bottom"/>
          </w:tcPr>
          <w:p>
            <w:pPr>
              <w:ind w:left="540"/>
              <w:spacing w:after="0"/>
              <w:rPr>
                <w:sz w:val="20"/>
                <w:szCs w:val="20"/>
                <w:color w:val="auto"/>
              </w:rPr>
            </w:pPr>
            <w:r>
              <w:rPr>
                <w:rFonts w:ascii="Arial" w:cs="Arial" w:eastAsia="Arial" w:hAnsi="Arial"/>
                <w:sz w:val="18"/>
                <w:szCs w:val="18"/>
                <w:color w:val="auto"/>
              </w:rPr>
              <w:t>Income before provision for income taxes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80" w:type="dxa"/>
            <w:vAlign w:val="bottom"/>
            <w:shd w:val="clear" w:color="auto" w:fill="CCEEFF"/>
          </w:tcPr>
          <w:p>
            <w:pPr>
              <w:spacing w:after="0"/>
              <w:rPr>
                <w:sz w:val="19"/>
                <w:szCs w:val="19"/>
                <w:color w:val="auto"/>
              </w:rPr>
            </w:pPr>
          </w:p>
        </w:tc>
      </w:tr>
      <w:tr>
        <w:trPr>
          <w:trHeight w:val="263"/>
        </w:trPr>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2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per common share: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—Basic</w:t>
            </w:r>
          </w:p>
        </w:tc>
        <w:tc>
          <w:tcPr>
            <w:tcW w:w="162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0.47</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80" w:type="dxa"/>
            <w:vAlign w:val="bottom"/>
            <w:shd w:val="clear" w:color="auto" w:fill="CCEEFF"/>
          </w:tcPr>
          <w:p>
            <w:pPr>
              <w:spacing w:after="0"/>
              <w:rPr>
                <w:sz w:val="18"/>
                <w:szCs w:val="18"/>
                <w:color w:val="auto"/>
              </w:rPr>
            </w:pPr>
          </w:p>
        </w:tc>
      </w:tr>
      <w:tr>
        <w:trPr>
          <w:trHeight w:val="202"/>
        </w:trPr>
        <w:tc>
          <w:tcPr>
            <w:tcW w:w="588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Weighted average number of common shares and potential common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60" w:type="dxa"/>
            <w:vAlign w:val="bottom"/>
          </w:tcPr>
          <w:p>
            <w:pPr>
              <w:ind w:left="340"/>
              <w:spacing w:after="0"/>
              <w:rPr>
                <w:sz w:val="20"/>
                <w:szCs w:val="20"/>
                <w:color w:val="auto"/>
              </w:rPr>
            </w:pPr>
            <w:r>
              <w:rPr>
                <w:rFonts w:ascii="Arial" w:cs="Arial" w:eastAsia="Arial" w:hAnsi="Arial"/>
                <w:sz w:val="18"/>
                <w:szCs w:val="18"/>
                <w:color w:val="auto"/>
              </w:rPr>
              <w:t>shares outstanding:</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16,263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16,474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16,177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16,476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17,817</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2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5,145</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6,146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7,575</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13,633</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r>
      <w:tr>
        <w:trPr>
          <w:trHeight w:val="210"/>
        </w:trPr>
        <w:tc>
          <w:tcPr>
            <w:tcW w:w="4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426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92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302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7,575</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flows provided by (used in)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28,906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3,479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520"/>
              <w:spacing w:after="0" w:line="201" w:lineRule="exact"/>
              <w:rPr>
                <w:sz w:val="20"/>
                <w:szCs w:val="20"/>
                <w:color w:val="auto"/>
              </w:rPr>
            </w:pPr>
            <w:r>
              <w:rPr>
                <w:rFonts w:ascii="Arial" w:cs="Arial" w:eastAsia="Arial" w:hAnsi="Arial"/>
                <w:sz w:val="18"/>
                <w:szCs w:val="18"/>
                <w:color w:val="auto"/>
              </w:rPr>
              <w:t>Costs and estimated earnings in excess of billings 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uncompleted contracts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(36,980)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14,803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520"/>
              <w:spacing w:after="0" w:line="201" w:lineRule="exact"/>
              <w:rPr>
                <w:sz w:val="20"/>
                <w:szCs w:val="20"/>
                <w:color w:val="auto"/>
              </w:rPr>
            </w:pPr>
            <w:r>
              <w:rPr>
                <w:rFonts w:ascii="Arial" w:cs="Arial" w:eastAsia="Arial" w:hAnsi="Arial"/>
                <w:sz w:val="18"/>
                <w:szCs w:val="18"/>
                <w:color w:val="auto"/>
              </w:rPr>
              <w:t>Billings in excess of costs and estimated earnings 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uncompleted contracts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provided by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(24,909)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 under revolving lines of credit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 of principal obligations under capital leases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Repurchase of common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3,718</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flows provided by (used in) financing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rPr>
          <w:sz w:val="20"/>
          <w:szCs w:val="20"/>
          <w:color w:val="auto"/>
        </w:rPr>
      </w:pPr>
      <w:r>
        <w:rPr>
          <w:rFonts w:ascii="Arial" w:cs="Arial" w:eastAsia="Arial" w:hAnsi="Arial"/>
          <w:sz w:val="15"/>
          <w:szCs w:val="15"/>
          <w:color w:val="auto"/>
        </w:rPr>
        <w:t>Net decrease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Beginning of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20"/>
        <w:spacing w:after="0"/>
        <w:tabs>
          <w:tab w:leader="none" w:pos="2160" w:val="left"/>
        </w:tabs>
        <w:rPr>
          <w:sz w:val="20"/>
          <w:szCs w:val="20"/>
          <w:color w:val="auto"/>
        </w:rPr>
      </w:pPr>
      <w:r>
        <w:rPr>
          <w:rFonts w:ascii="Arial" w:cs="Arial" w:eastAsia="Arial" w:hAnsi="Arial"/>
          <w:sz w:val="18"/>
          <w:szCs w:val="18"/>
          <w:color w:val="auto"/>
        </w:rPr>
        <w:t>(22,164)</w:t>
      </w:r>
      <w:r>
        <w:rPr>
          <w:sz w:val="20"/>
          <w:szCs w:val="20"/>
          <w:color w:val="auto"/>
        </w:rPr>
        <w:tab/>
      </w:r>
      <w:r>
        <w:rPr>
          <w:rFonts w:ascii="Arial" w:cs="Arial" w:eastAsia="Arial" w:hAnsi="Arial"/>
          <w:sz w:val="18"/>
          <w:szCs w:val="18"/>
          <w:color w:val="auto"/>
        </w:rPr>
        <w:t>(39,213)</w:t>
      </w:r>
    </w:p>
    <w:p>
      <w:pPr>
        <w:spacing w:after="0" w:line="224" w:lineRule="exact"/>
        <w:rPr>
          <w:sz w:val="20"/>
          <w:szCs w:val="20"/>
          <w:color w:val="auto"/>
        </w:rPr>
      </w:pPr>
    </w:p>
    <w:p>
      <w:pPr>
        <w:ind w:left="780"/>
        <w:spacing w:after="0"/>
        <w:tabs>
          <w:tab w:leader="none" w:pos="2220" w:val="left"/>
        </w:tabs>
        <w:rPr>
          <w:sz w:val="20"/>
          <w:szCs w:val="20"/>
          <w:color w:val="auto"/>
        </w:rPr>
      </w:pPr>
      <w:r>
        <w:rPr>
          <w:rFonts w:ascii="Arial" w:cs="Arial" w:eastAsia="Arial" w:hAnsi="Arial"/>
          <w:sz w:val="18"/>
          <w:szCs w:val="18"/>
          <w:color w:val="auto"/>
        </w:rPr>
        <w:t>23,846</w:t>
      </w:r>
      <w:r>
        <w:rPr>
          <w:sz w:val="20"/>
          <w:szCs w:val="20"/>
          <w:color w:val="auto"/>
        </w:rPr>
        <w:tab/>
      </w:r>
      <w:r>
        <w:rPr>
          <w:rFonts w:ascii="Arial" w:cs="Arial" w:eastAsia="Arial" w:hAnsi="Arial"/>
          <w:sz w:val="18"/>
          <w:szCs w:val="18"/>
          <w:color w:val="auto"/>
        </w:rPr>
        <w:t>39,797</w:t>
      </w:r>
    </w:p>
    <w:p>
      <w:pPr>
        <w:spacing w:after="0" w:line="36" w:lineRule="exact"/>
        <w:rPr>
          <w:sz w:val="20"/>
          <w:szCs w:val="20"/>
          <w:color w:val="auto"/>
        </w:rPr>
      </w:pPr>
    </w:p>
    <w:p>
      <w:pPr>
        <w:spacing w:after="0"/>
        <w:tabs>
          <w:tab w:leader="none" w:pos="840" w:val="left"/>
          <w:tab w:leader="none" w:pos="14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1,682</w:t>
        <w:tab/>
        <w:t>$</w:t>
      </w:r>
      <w:r>
        <w:rPr>
          <w:sz w:val="20"/>
          <w:szCs w:val="20"/>
          <w:color w:val="auto"/>
        </w:rPr>
        <w:tab/>
      </w:r>
      <w:r>
        <w:rPr>
          <w:rFonts w:ascii="Arial" w:cs="Arial" w:eastAsia="Arial" w:hAnsi="Arial"/>
          <w:sz w:val="16"/>
          <w:szCs w:val="16"/>
          <w:color w:val="auto"/>
        </w:rPr>
        <w:t>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1732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activities:</w:t>
            </w:r>
          </w:p>
        </w:tc>
        <w:tc>
          <w:tcPr>
            <w:tcW w:w="1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Acquisition of property and equipment acquired under capital lease arrangements</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5,580</w:t>
            </w:r>
          </w:p>
        </w:tc>
      </w:tr>
      <w:tr>
        <w:trPr>
          <w:trHeight w:val="216"/>
        </w:trPr>
        <w:tc>
          <w:tcPr>
            <w:tcW w:w="7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Noncash financing activities:</w:t>
            </w:r>
          </w:p>
        </w:tc>
        <w:tc>
          <w:tcPr>
            <w:tcW w:w="1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 initiated</w:t>
            </w:r>
          </w:p>
        </w:tc>
        <w:tc>
          <w:tcPr>
            <w:tcW w:w="17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right="740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MYR Group Inc. (the “Company”) is a holding company with subsidiaries that are specialty electrical construction service providers. Its wholly-owned subsidiaries include: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MYR Transmission Services Canada, Ltd., a British Columbia corporation; Northern Transmission Services, Ltd., a British Columbia corporation; and Western Pacific Enterprises Ltd., a British Columbia corporation.</w:t>
      </w:r>
    </w:p>
    <w:p>
      <w:pPr>
        <w:spacing w:after="0" w:line="18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 reports its results under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throughout the United States and parts of Canada. T&amp;D provides a broad range of services, which include design, engineering, procurement, construction, upgrade, maintenance and repair services, with a particular focus on construction, maintenance and repair. C&amp;I provides services to general contractors, commercial and industrial facility owners, local governments and developers in the western and northeastern United States and western Canada.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accompanying unaudited consolidated financial statements of the Company have been prepared in accordance with accounting principles generally accepted in the United States of America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and cash flows with respect to the interim consolidated financial statements, have been included. The consolidated balance sheet as of December 31, 2016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2016, included in the Company’s annual report on Form 10-K, which was filed with the SEC on March 9, 2017. Certain amounts in the prior period consolidated financial statements have been reclassified to conform with the current year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Cumulative translation adjustments are included as a separate component of accumulated other comprehensive income in shareholders’ equity. Foreign currency transaction gains and losses, arising primarily from changes in exchange rates on short term monetary assets and liabilities, are recorded in the “other income, net” line on the consolidated statements of operations. Foreign currency loss was not significant for the nine months ended September 30, 2017, compared to a foreign currency loss of $0.1 million for the nine months ended September 30, 2016. Foreign currency transaction gains and losses, arising primarily from long-term monetary assets and liabilities, are recorded in the foreign currency translation adjustment line on the consolidated statements of comprehensive income.</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does not charge interest to its customers and carries its customer receivables at their face amounts, less an allowance for doubtful accounts. Included in accounts receivable are balances billed to customers pursuant to retainage provisions in certain contracts that are due upon completion of the contract and acceptance by the customer, or earlier as provided by the contract. Based on the Company’s experience in recent years, the majority of customer balances at each balance sheet date are collected within twelve months. As is common practice in the industry, the Company classifies all accounts receivable, including retainage, as current assets. The contracting cycle for certain long-term contracts may extend beyond one year, and accordingly, collection of retainage on those contracts may extend beyond one year. The Company expects a majority of the retainage recorded at September 30, 2017 to be collected within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1"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 the nine months ended September 30, 2017, the Company recognized revenues of $6.5 million related to significant change orders and/or claims that had been included as contract price adjustments on certain contracts which are in the process of being negotiated in the normal course of business.</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percentage of completion method of accounting requires the Company to make estimates about the expected revenue and gross profit on each of its contracts in process. The estimates are reviewed and revised quarterly, as needed. During the three months ended September 30, 2017, changes in estimates pertaining to certain projects decreased consolidated gross margin by 0.9%, which resulted in decreases in operating income of $3.2 million, net income of $1.9 million and diluted earnings per common share of $0.12. During the nine months ended September 30, 2017, changes in estimates pertaining to certain projects decreased consolidated gross margin by 0.7%, which resulted in decreases in operating income of $7.7 million, net income of $4.6 million and diluted earnings per common share of $0.28.</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three months ended September 30, 2016, changes in estimates pertaining to certain projects increased consolidated gross margin by 0.7%, which resulted in increases in operating income of $2.0 million, net income of $1.2 million and diluted earnings per common share of $0.07. During the nine months ended September 30, 2016, changes in estimates pertaining to certain projects decreased consolidated gross margin by 0.5%, which resulted in decreases in operating income of $3.6 million, net income of $2.2 million and diluted earnings per common share of $0.12.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The amendments under this pronouncement made modifications to the accounting treatment for forfeitures, required withholding on stock compensation and the financial statement presentation of excess tax benefits or deficiencies and certain components of stock compensation. The standard was effective for interim and annual reporting periods beginning after December 15, 2016, with early adoption permitted. On January 1, 2017, the Company adopted this ASU on a prospective basis except for forfeitures, which it adopted on a modified retrospective basis. The adoption of this ASU had the following impacts:</w:t>
      </w:r>
    </w:p>
    <w:p>
      <w:pPr>
        <w:spacing w:after="0" w:line="173" w:lineRule="exact"/>
        <w:rPr>
          <w:sz w:val="20"/>
          <w:szCs w:val="20"/>
          <w:color w:val="auto"/>
        </w:rPr>
      </w:pPr>
    </w:p>
    <w:p>
      <w:pPr>
        <w:ind w:left="660" w:right="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Excess tax benefits were not significant for the three months ended September 30, 2017 and were $1.0 million for the nine months ended September 30, 2017. The excess tax benefits were reflected as income tax benefits in the Consolidated Statements of Operations and Comprehensive Income, prior to adoption of this ASU, this amount would have been recorded in additional paid-in capital.</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left="660" w:right="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adoption of this ASU eliminated the additional paid-in capital pool resulting in the excess tax benefits and deficiencies to be excluded from assumed future proceeds in the calculation of diluted shares, which caused an immaterial increase in diluted weighted average shares outstanding for the three and nine months ended September 30, 2017. The Company typically experiences the largest volume of restricted stock vesting in the first quarter of its fiscal year. The extent of excess tax benefits/deficiencies is subject to variation in the Company’s stock price and the timing/extent of restricted stock, performance share and phantom stock vesting and stock option exercises.</w:t>
      </w:r>
    </w:p>
    <w:p>
      <w:pPr>
        <w:spacing w:after="0" w:line="199" w:lineRule="exact"/>
        <w:rPr>
          <w:rFonts w:ascii="Arial" w:cs="Arial" w:eastAsia="Arial" w:hAnsi="Arial"/>
          <w:sz w:val="17"/>
          <w:szCs w:val="17"/>
          <w:color w:val="auto"/>
        </w:rPr>
      </w:pPr>
    </w:p>
    <w:p>
      <w:pPr>
        <w:jc w:val="both"/>
        <w:ind w:left="660" w:right="28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elected to discontinue estimating forfeitures and will account for forfeitures as they occur. The net cumulative effect of this change was recognized as a $0.2 million reduction to retained earnings as of January 1, 2017, with a corresponding increase in additional paid in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which simplifies the subsequent measurement of goodwill, through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clarifies the definition of a business with the objective of adding guidance to assist entities with evaluating whether transactions should be accounted for as acquisitions (or disposals) of assets or businesses. The update is effective for annual reporting periods beginning after December 15, 2017, and interim periods within those fiscal years. Early adoption is permitted for financial statements that have not been previously issued. The guidance requires application on a prospective basis. The Company does not expect that this pronouncement will have a significant impact on its financial statements.</w:t>
      </w:r>
    </w:p>
    <w:p>
      <w:pPr>
        <w:spacing w:after="0" w:line="158"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modifies existing guidance and is intended to reduce the diversity in practice with respect to the accounting for income tax consequences of intra-entity transfers of assets. This update requires entities to immediately recognize the tax consequences on intercompany asset transfers (excluding inventory) at the transaction date, and eliminates the recognition exception within current guidance. The update is effective for annual reporting periods beginning after December 15, 2017, and interim periods within those fiscal years. Early adoption is permitted. The guidance requires application using a modified retrospective approach. The Company is evaluating the impact this pronouncement will have on its financial statements.</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w:t>
      </w:r>
      <w:r>
        <w:rPr>
          <w:rFonts w:ascii="Arial" w:cs="Arial" w:eastAsia="Arial" w:hAnsi="Arial"/>
          <w:sz w:val="18"/>
          <w:szCs w:val="18"/>
          <w:i w:val="1"/>
          <w:iCs w:val="1"/>
          <w:color w:val="auto"/>
        </w:rPr>
        <w:t>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which is intended to reduce diversity in practice in how eight specific transactions are classified in the statement of cash flows. The update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reporting periods beginning after December 15, 2017, and interim periods within those fiscal years. Early adoption is permitted, provided that all of the amendments are adopted in the same period. The guidance requires application using a retrospective approach. The Company is evaluating the impact this update will have on its financial statements.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under this pronouncement will change the way all leases with durations of one year or more are treated. Under this guidance, lessees will be required to recognize virtually all leases on the balance sheet as a right-of-use asset and an associated financing lease liability or capital lease liability. The right-of-use asset represents the lessee’s right to use, or to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This update is effective for annual reporting periods, and interim periods within those reporting periods, beginning after December 15, 2018. The Company continues to evaluate the impact this pronouncement will have on its policies and procedures pertaining to its existing and future lease arrangements, disclosure requirements and on the Company’s financial statements. The Company expects most of its existing long-term operating lease commitments will be recognized as lease liabilities and right-of-use assets upon adoption.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firstLine="648"/>
        <w:spacing w:after="0" w:line="28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amendments under this pronouncement will change how an entity recognizes revenue from contracts it enters to transfer goods, services or nonfinancial assets to its customers. These changes created a comprehensive framework for all entities in all industries to apply in the determination of when to recognize revenue, and, therefore, supersede virtually all existing revenue recognition requirements and guidance. This framework is expected to result in less complex guidance in application while providing a consistent and comparable methodology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Step 1: Identify the contract(s) with the customer; Step 2: Identify the performance obligations in the contract; Step 3: Determine the transaction price; Step 4: Allocate the transaction price to the performance obligations in the contract; Step 5: Recognize revenue when, or as, the entity satisfies the performance obligations. In addition, the amendments require expanded disclosure to enable the users of the financial statements to understand the nature, timing and uncertainty of revenue and cash flow arising from contracts with customers. On August 16, 2015, the FASB deferred the effective date by one year to December 15, 2017 for annual reporting periods beginning after that date, permitting early adoption of the standard, but not before the original effective date of December 15, 2016.</w:t>
      </w:r>
    </w:p>
    <w:p>
      <w:pPr>
        <w:spacing w:after="0" w:line="16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plans to adopt the amendments under this ASU using the modified retrospective transition approach on January 1, 2018. Under the modified retrospective transition approach, the Company will recognize any changes from the beginning of the year of initial application through retained earnings with no restatement of comparative periods. While the Company is still evaluating the requirements of this update, it currently does not expect the update to materially affect its results of operations, financial position or cash flows. This preliminary conclusion is based on the Company’s belief that it will generally continue to recognize revenues from long-term service contracts over time as services are performed and the underlying obligation to the customer is fulfilled. The Company has identified and is in the process of implementing changes to its processes and internal controls to meet the reporting and disclosure requirements of this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Pacific Enterprises Ltd.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October 28, 2016, the Company completed the acquisition of substantially all of the assets of Western Pacific Enterprises GP and of Western Pacific Enterprises Ltd., except for certain real estate owned by Western Pacific Enterprises Ltd., with the company continuing operations under the name Western Pacific Enterprises Ltd. (“WPE”), an electrical contracting firm in western Canada. With its main headquarters in Coquitlam, British Columbia, WPE provides a wide range of commercial and industrial electrical construction capabilities under the Company’s C&amp;I segment. WPE also provides substation construction capabilities under the Company’s T&amp;D segment. The total consideration paid was approximately $12.1 million, which was funded through borrowings from our line of credit. Total consideration paid included $2.2 million subject to potential net asset adjustments once finalized by the end of 2017 as stipulated in the purchase agreement. These net asset adjustments were approximately $0.8 million as of the October 28, 2016 closing date and as of September 30, 2017. The Company accounted for the net asset adjustments as a reduction to consideration paid which will be funded through the return of funds held in a $1.9 million escrow account, established at the time of purchase.</w:t>
      </w:r>
    </w:p>
    <w:p>
      <w:pPr>
        <w:spacing w:after="0" w:line="18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purchase agreement also includes contingent consideration provisions for margin guarantee adjustments based upon performance subsequent to the acquisition on certain contracts. Changes in contingent consideration related to the margin guarantee adjustments on certain contracts of approximately $1.5 million was recorded in other expense and $0.2 million was recorded in other income for the three and nine months ended September 30, 2017, respectively. Future margin guarantee adjustments, if any, are expected to be recognized in the fourth quarter of 2017 and in 2018. In the event these margin guarantee adjustments exceed the amounts remaining in escrow, the Company is entitled under the WPE purchase agreement to recourse against the sellers. The Company may incur losses to the extent any amounts in excess of the escrow are not recovered from the sellers in the WPE acquisition. The Company could also be required to make compensation payments contingent on the successful achievement of certain performance targets and continued employment of certain key executives of WPE. These payments are recognized as compensation expense in the consolidated statement of operations as incurred. The Company has recognized approximately $0.3 million of compensation expense associated with these contingent payments since the WPE acquisition.</w:t>
      </w:r>
    </w:p>
    <w:p>
      <w:pPr>
        <w:spacing w:after="0" w:line="16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results of operations for WPE are included in the Company’s consolidated statement of operations and the C&amp;I segment from the date of acquisition. Costs of approximately $0.4 million related to the acquisition were included in selling, general and administrative expenses in the consolidated statement of operations for the year ended December 31,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following table summarizes the allocation of the opening balance sheet from the date of acquisition through September 30, 2017:</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700" w:type="dxa"/>
            <w:vAlign w:val="bottom"/>
            <w:gridSpan w:val="4"/>
          </w:tcPr>
          <w:p>
            <w:pPr>
              <w:ind w:left="320"/>
              <w:spacing w:after="0"/>
              <w:rPr>
                <w:sz w:val="20"/>
                <w:szCs w:val="20"/>
                <w:color w:val="auto"/>
              </w:rPr>
            </w:pPr>
            <w:r>
              <w:rPr>
                <w:rFonts w:ascii="Arial" w:cs="Arial" w:eastAsia="Arial" w:hAnsi="Arial"/>
                <w:sz w:val="18"/>
                <w:szCs w:val="18"/>
                <w:b w:val="1"/>
                <w:bCs w:val="1"/>
                <w:color w:val="auto"/>
                <w:w w:val="95"/>
              </w:rPr>
              <w:t>acquisition date)</w:t>
            </w: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Measurement</w:t>
            </w:r>
          </w:p>
        </w:tc>
        <w:tc>
          <w:tcPr>
            <w:tcW w:w="6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Adjusted acquisition</w:t>
            </w:r>
          </w:p>
        </w:tc>
        <w:tc>
          <w:tcPr>
            <w:tcW w:w="0" w:type="dxa"/>
            <w:vAlign w:val="bottom"/>
          </w:tcPr>
          <w:p>
            <w:pPr>
              <w:spacing w:after="0"/>
              <w:rPr>
                <w:sz w:val="1"/>
                <w:szCs w:val="1"/>
                <w:color w:val="auto"/>
              </w:rPr>
            </w:pPr>
          </w:p>
        </w:tc>
      </w:tr>
      <w:tr>
        <w:trPr>
          <w:trHeight w:val="216"/>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October 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amounts as of</w:t>
            </w:r>
          </w:p>
        </w:tc>
        <w:tc>
          <w:tcPr>
            <w:tcW w:w="0" w:type="dxa"/>
            <w:vAlign w:val="bottom"/>
          </w:tcPr>
          <w:p>
            <w:pPr>
              <w:spacing w:after="0"/>
              <w:rPr>
                <w:sz w:val="1"/>
                <w:szCs w:val="1"/>
                <w:color w:val="auto"/>
              </w:rPr>
            </w:pPr>
          </w:p>
        </w:tc>
      </w:tr>
      <w:tr>
        <w:trPr>
          <w:trHeight w:val="234"/>
        </w:trPr>
        <w:tc>
          <w:tcPr>
            <w:tcW w:w="57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Adjustments</w:t>
            </w:r>
          </w:p>
        </w:tc>
        <w:tc>
          <w:tcPr>
            <w:tcW w:w="60" w:type="dxa"/>
            <w:vAlign w:val="bottom"/>
          </w:tcPr>
          <w:p>
            <w:pPr>
              <w:spacing w:after="0"/>
              <w:rPr>
                <w:sz w:val="20"/>
                <w:szCs w:val="20"/>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September 30,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net asset adjustments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11,283</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20,249</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Costs and estimated earnings in excess of billings on uncompleted contracts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4"/>
              </w:rPr>
              <w:t>Billings in excess of costs and estimated earnings on uncompleted contracts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identifiable assets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intangible assets</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has developed preliminary estimates of fair value of the assets acquired and liabilities assumed for the purposes of allocating the purchase price. Further adjustments are expected to the allocation as net asset adjustments are finalized. A portion of the goodwill is expected to be tax deductible per applicable Canadian Revenue Authority regulations. The Company expects to complete the purchase accounting in the fourth quarter of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September 30, 2017 and December 31, 2016, the Company determined that the carrying value of cash and cash equivalents approximated fair value based on Level 1 inputs. As of September 30, 2017 and December 31, 2016, the fair values of the Company’s long-term debt and capital lease obligations were based on Level 2 inputs. The Company’s long-term debt was based on variable and fixed interest rates at September 30, 2017 and December 31, 2016, for new issues with similar remaining maturities and approximated carrying value. In addition, based on borrowing rates currently available to the Company for borrowings with similar terms, the carrying values of the Company's capital lease obligations also approximated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Contracts in Process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asset position for contracts in process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660"/>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Costs and estimated earnings on uncompleted contracts</w:t>
            </w:r>
          </w:p>
        </w:tc>
        <w:tc>
          <w:tcPr>
            <w:tcW w:w="1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1,886,286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2,194,695</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Less: Billings to date</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1,822,319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2,167,066</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8</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net asset position for contracts in process included in the accompanying consolidated balance sheets was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w:t>
            </w:r>
          </w:p>
        </w:tc>
        <w:tc>
          <w:tcPr>
            <w:tcW w:w="4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Costs and estimated earnings in excess of billings on uncompleted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contracts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107,818</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69,950</w:t>
            </w:r>
          </w:p>
        </w:tc>
        <w:tc>
          <w:tcPr>
            <w:tcW w:w="0" w:type="dxa"/>
            <w:vAlign w:val="bottom"/>
          </w:tcPr>
          <w:p>
            <w:pPr>
              <w:spacing w:after="0"/>
              <w:rPr>
                <w:sz w:val="1"/>
                <w:szCs w:val="1"/>
                <w:color w:val="auto"/>
              </w:rPr>
            </w:pPr>
          </w:p>
        </w:tc>
      </w:tr>
      <w:tr>
        <w:trPr>
          <w:trHeight w:val="202"/>
        </w:trPr>
        <w:tc>
          <w:tcPr>
            <w:tcW w:w="56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Billings in excess of costs and estimated earnings on uncompleted</w:t>
            </w:r>
          </w:p>
        </w:tc>
        <w:tc>
          <w:tcPr>
            <w:tcW w:w="240" w:type="dxa"/>
            <w:vAlign w:val="bottom"/>
          </w:tcPr>
          <w:p>
            <w:pPr>
              <w:spacing w:after="0"/>
              <w:rPr>
                <w:sz w:val="17"/>
                <w:szCs w:val="17"/>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(43,851)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(42,321)</w:t>
            </w:r>
          </w:p>
        </w:tc>
        <w:tc>
          <w:tcPr>
            <w:tcW w:w="0" w:type="dxa"/>
            <w:vAlign w:val="bottom"/>
          </w:tcPr>
          <w:p>
            <w:pPr>
              <w:spacing w:after="0"/>
              <w:rPr>
                <w:sz w:val="1"/>
                <w:szCs w:val="1"/>
                <w:color w:val="auto"/>
              </w:rPr>
            </w:pPr>
          </w:p>
        </w:tc>
      </w:tr>
      <w:tr>
        <w:trPr>
          <w:trHeight w:val="230"/>
        </w:trPr>
        <w:tc>
          <w:tcPr>
            <w:tcW w:w="5600" w:type="dxa"/>
            <w:vAlign w:val="bottom"/>
            <w:gridSpan w:val="2"/>
          </w:tcPr>
          <w:p>
            <w:pPr>
              <w:ind w:left="32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30, 2016, the Company entered into a five-year amended and restated credit agreement (the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The Company has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have been, and will be, used for refinancing existing debt, working capital, capital expenditures, acquisitions and other general corporate purposes.</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Amounts borrowed under the Credit Agreement in U.S. dollars bear interest, at the Company’s option, at a rate equal to either (1) the Alternate Base Rate (as defined in the Credit Agreement), plus an applicable margin ranging from 0.00% to 1.00%; or (2) the Adjusted LIBO Rate (as defined in the Credit Agreement) plus an applicable margin ranging from 1.00% to 2.00%. Amounts borrowed under the Credit Agreement in any currency other than U.S. dollars bear interest at a rate equal to the Adjusted LIBO Rate plus an applicable margin ranging from 1.00% to 2.00%. The applicable margin is determined based on the Company’s consolidated Leverage Ratio (as defined in the Credit Agreement). Letters of credit issued under the Facility are subject to a letter of credit fee of 1.125% to 2.125% for standby or commercial letters of credit, or 0.625% to 1.125% for performance letters of credit, based on the Company’s consolidated Leverage Ratio. The Company is subject to a commitment fee of 0.20% to 0.375% based on the Company’s consolidated Leverage Ratio on any unused portion of the Facility. The Credit Agreement restricts certain types of payments when the Company’s consolidated Leverage Ratio exceeds 2.25. The weighted average interest rate on borrowings outstanding through September 30, 2017, was 2.00% per annum.</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if given effect, shall begin in the quarter in which such permitted acquisition is consummated and shall continue in effect for four consecutive fiscal quarters. The Company was in compliance with all of its covenants under the Credit Agreement as of September 30,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 outstanding under the Facility as of September 30, 2017 and December 31, 2016, was $79.5 million and $59.1 million, respectively.</w:t>
      </w:r>
    </w:p>
    <w:p>
      <w:pPr>
        <w:spacing w:after="0" w:line="24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of September 30, 2017, the Company had irrevocable standby letters of credit outstanding under the Facility of approximately $20.9 million, including $17.6 million related to the Company’s payment obligation under its insurance programs and approximately $3.3 million related to contract performance obligations. As of December 31, 2016, the Company had irrevocable standby letters of credit outstanding under the Facility of approximately $23.7 million, including $17.6 million related to the Company’s payment obligation under its insurance programs and approximately $6.1 million related to contract performance obligations.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 w:name="page12"/>
    <w:bookmarkEnd w:id="11"/>
    <w:p>
      <w:pPr>
        <w:ind w:right="40" w:firstLine="648"/>
        <w:spacing w:after="0" w:line="259" w:lineRule="auto"/>
        <w:rPr>
          <w:sz w:val="20"/>
          <w:szCs w:val="20"/>
          <w:color w:val="auto"/>
        </w:rPr>
      </w:pPr>
      <w:r>
        <w:rPr>
          <w:rFonts w:ascii="Arial" w:cs="Arial" w:eastAsia="Arial" w:hAnsi="Arial"/>
          <w:sz w:val="18"/>
          <w:szCs w:val="18"/>
          <w:color w:val="auto"/>
        </w:rPr>
        <w:t xml:space="preserve">The Company has remaining deferred debt issuance costs totaling $0.8 million as of September 30, 2017, related to entry into the Credit Agreement. As permitted under ASU No. 2015-15, </w:t>
      </w:r>
      <w:r>
        <w:rPr>
          <w:rFonts w:ascii="Arial" w:cs="Arial" w:eastAsia="Arial" w:hAnsi="Arial"/>
          <w:sz w:val="18"/>
          <w:szCs w:val="18"/>
          <w:i w:val="1"/>
          <w:iCs w:val="1"/>
          <w:color w:val="auto"/>
        </w:rPr>
        <w:t>Presentation and Subsequent Measurement of Debt Issuance Costs Associated with Line-of-Credit Arrangements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835)</w:t>
      </w:r>
      <w:r>
        <w:rPr>
          <w:rFonts w:ascii="Arial" w:cs="Arial" w:eastAsia="Arial" w:hAnsi="Arial"/>
          <w:sz w:val="18"/>
          <w:szCs w:val="18"/>
          <w:color w:val="auto"/>
        </w:rPr>
        <w:t>, debt issuance costs have been deferred and are presented as an asset within other assets, which is amortized as interest expense over the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U.S. federal statutory tax rate is 35%. The Company’s effective tax rates for the three and nine months ended September 30, 2017 were 44.8% and 45.6%, respectively, of pretax income, compared to the effective tax rates for the three and nine months ended September 30, 2016 of 40.4% and 39.1%, respectively.</w:t>
      </w:r>
    </w:p>
    <w:p>
      <w:pPr>
        <w:spacing w:after="0" w:line="18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difference between the U.S. federal statutory tax rate and the Company’s effective tax rate for the three months ended September 30, 2017 was primarily caused by the inability to utilize losses experienced in certain Canadian operations. The difference between the U.S. federal statutory tax rate and the Company’s effective tax rate for the nine months ended September 30, 2017 was caused by the inability to utilize losses experienced in certain Canadian operations, partially offset by excess tax benefits of approximately $1.0 million pertaining to the vesting of stock awards and the exercise of stock options.</w:t>
      </w:r>
    </w:p>
    <w:p>
      <w:pPr>
        <w:spacing w:after="0" w:line="15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nine months ended September 30, 2016 was principally due to state income taxes.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$0.3 million as of September 30, 2017 and December 31, 2016, which were included in other liabilities in the accompanying consolidated balance sheets.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because of the unrecognized tax benefits was not significant for the nine months ended September 30, 2017 and 2016.</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is subject to taxation in various jurisdictions. The Company’s tax returns for 2015 and 2016 are subject to examination by U.S. federal authorities. The Company’s tax returns are subject to examination by various state authorities for the years 2012 through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September 30, 2017, the Company had approximately $10.2 million in outstanding purchase orders for certain construction equipment, with cash outlay scheduled to occur over the next six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coverages. The deductible per occurrence for each line of coverage is up to $1.0 million. The Company’s health benefit plans are subject to a deductible up to $0.2 million for qualified individuals. Losses up to the deductible amounts are accrued based upon the Company’s estimates of the ultimate liability for claims reported and an estimate of claims incurred but not yet reported.</w:t>
      </w:r>
    </w:p>
    <w:p>
      <w:pPr>
        <w:spacing w:after="0" w:line="187"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2017, an aggregate of approximately $410.9 million in original face amount of bonds issued by the Company’s sureties were outstanding. Our estimated remaining cost to complete these bonded projects was approximately $21.8 million as of September 30, 2017.</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right="22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100" w:firstLine="693"/>
        <w:spacing w:after="0" w:line="297"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 Obligations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From time to time, the Company enters into leasing arrangements for real estate, vehicles and construction equipment. Some of the leases entered into under these agreements were recorded as capital leases while others were treated as operating leases. As of September 30, 2017, the Company had no outstanding commitments to enter into future leases under its master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leases some vehicles and equipment under capital leases. The economic substance of the leases is a financing transaction for acquisition of the vehicles and equipment. Accordingly, these leases are included in the balance sheets in property and equipment, net of accumulated depreciation, with a corresponding amount recorded in current portion of capital lease obligations or capital lease obligations, net of current maturities, as appropriate. The capital lease assets are amortized over the life of the lease or, if shorter, the life of the leased asset, on a straight-line basis and included in depreciation expense in the statements of operations. The interest associated with capital lease obligations is included in interest expense in the statements of operations.</w:t>
      </w:r>
    </w:p>
    <w:p>
      <w:pPr>
        <w:spacing w:after="0" w:line="19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September 30, 2017, the Company had approximately $4.1 million of capital lease obligations outstanding, $1.1 million of which was classified as a current liability. As of December 31, 2016, the Company had approximately $4.9 million of capital lease obligations outstanding, $1.1 million of which was classified as a current liability.</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September 30, 2017 and December 31, 2016, $4.1 million and $5.0 million, respectively, of leased assets were capitalized in construction equipment, net of accumulated depreciation.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from time to time, leases real estate, construction equipment and office equipment under operating leases with remaining terms ranging from one to twelve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future minimum lease payments required under capital leases and operating leases, together with the present value of capital leases,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were as follows: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Capital</w:t>
            </w: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Lease</w:t>
            </w: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Obligations</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Obligations</w:t>
            </w: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Remainder of 2017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Interest</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present value of minimum lease payments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Less: Current portion of capital lease obligations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capital lease obligations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(the “LTIP”) and the 2007 Long-Term Incentive Plan (the “2007 Plan”). Upon the adoption of the LTIP during the second quarter of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(h) stock bonuses, (i) dividend equivalents, and (j) any combination of such awards.</w:t>
      </w:r>
    </w:p>
    <w:p>
      <w:pPr>
        <w:spacing w:after="0" w:line="15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nine months ended September 30, 2017, the Company granted 43,972 shares of restricted stock under the 2007 Plan, which vest ratably over three years, at a weighted average grant date fair value of $39.52. Additionally, 96,524 shares of restricted stock vested during the nine months ended September 30, 2017, at a weighted average grant date fair value of $25.13.</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During the nine months ended September 30, 2017, the Company granted 22,380 restricted stock units under the LTIP, which vest ratably over three years, at a weighted average grant date fair value of $33.50. Additionally, 3,250 shares of phantom stock vested during the nine months ended September 30, 2017, at a weighted average grant date fair value of $26.92.</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nine months ended September 30, 2017, the Company granted 47,454 performance share awards under the 2007 Plan, at target, which cliff vest on December 31, 2019, at a weighted average grant date fair value of $47.12. The number of shares actually earned under a performance award may vary from zero to 200% of the target shares awarded, based upon the Company’s performance compared to certain metrics. The metrics used were determined at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common shares of the Company’s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2017, plan participants exercised 73,297 stock options with a weighted average exercise price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$15.65.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right="20" w:firstLine="648"/>
        <w:spacing w:after="0" w:line="288" w:lineRule="auto"/>
        <w:rPr>
          <w:sz w:val="20"/>
          <w:szCs w:val="20"/>
          <w:color w:val="auto"/>
        </w:rPr>
      </w:pPr>
      <w:r>
        <w:rPr>
          <w:rFonts w:ascii="Arial" w:cs="Arial" w:eastAsia="Arial" w:hAnsi="Arial"/>
          <w:sz w:val="16"/>
          <w:szCs w:val="16"/>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of 3.0 years. The Company recognizes stock-based compensation expense related to market-based performance awards based on the grant date fair value, which is computed using a Monte Carlo simulation. The fair value is expensed over the service period, which is approximately 2.8 years. The Company recognizes stock-based compensation expense related to internal measure-based performance awards based on the grant date fair value, which was the closing price of the Company’s stock on the date of grant. The fair value is expensed over the service period of approximately 2.8 years, and the Company adjusts the stock-based compensation expense related to internal metric-based performance awards according to its determination of the potential achievement of the performance target at each reporting date. The fair value of restricted stock units granted to directors in 2017 and restricted stock awards and phantom stock granted to directors in 2016 was expensed on the date of the grant because the award agreements contain provisions which call for the vesting of all shares awarded upon change in control or resignation from the board for any reason except breach of fiduciary duty.</w:t>
      </w:r>
    </w:p>
    <w:p>
      <w:pPr>
        <w:spacing w:after="0" w:line="16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The Company adopted ASU No.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on January 1, 2017. See Note 1 to the Financial Statements for further information regarding ASU No.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MYR Group is a holding company with subsidiaries that are specialty electrical contractors that serve the United States and Canadian electrical infrastructure markets.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safety costs, professional fees and management fees. The accounting policies of the segments are the same as those described in the Summary of Significant Accounting Policies in the Company’s Annual Report on Form 10-K for the year ended December 31, 2016.</w:t>
      </w:r>
    </w:p>
    <w:p>
      <w:pPr>
        <w:spacing w:after="0" w:line="16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Transmission and Distribution: The T&amp;D segment provides a broad range of services on electric transmission and distribution networks and on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 throughout the United States and parts of Canada.</w:t>
      </w:r>
    </w:p>
    <w:p>
      <w:pPr>
        <w:spacing w:after="0" w:line="16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C&amp;I segment services are generally performed in the western and northeastern United States and in western Canada.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8"/>
              </w:rPr>
              <w:t>Three months ended</w:t>
            </w:r>
          </w:p>
        </w:tc>
        <w:tc>
          <w:tcPr>
            <w:tcW w:w="140" w:type="dxa"/>
            <w:vAlign w:val="bottom"/>
          </w:tcPr>
          <w:p>
            <w:pPr>
              <w:spacing w:after="0"/>
              <w:rPr>
                <w:sz w:val="19"/>
                <w:szCs w:val="19"/>
                <w:color w:val="auto"/>
              </w:rPr>
            </w:pPr>
          </w:p>
        </w:tc>
        <w:tc>
          <w:tcPr>
            <w:tcW w:w="18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2"/>
              </w:rPr>
              <w:t>Nine months ended</w:t>
            </w:r>
          </w:p>
        </w:tc>
        <w:tc>
          <w:tcPr>
            <w:tcW w:w="172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8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1720" w:type="dxa"/>
            <w:vAlign w:val="bottom"/>
          </w:tcPr>
          <w:p>
            <w:pPr>
              <w:spacing w:after="0"/>
              <w:rPr>
                <w:sz w:val="20"/>
                <w:szCs w:val="20"/>
                <w:color w:val="auto"/>
              </w:rPr>
            </w:pPr>
          </w:p>
        </w:tc>
      </w:tr>
      <w:tr>
        <w:trPr>
          <w:trHeight w:val="223"/>
        </w:trPr>
        <w:tc>
          <w:tcPr>
            <w:tcW w:w="5560" w:type="dxa"/>
            <w:vAlign w:val="bottom"/>
            <w:gridSpan w:val="2"/>
          </w:tcPr>
          <w:p>
            <w:pPr>
              <w:ind w:left="172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T&amp;D</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215,970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206,441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651,498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568,044</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C&amp;I</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157,532</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76,818</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378,318</w:t>
            </w: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230,783</w:t>
            </w:r>
          </w:p>
        </w:tc>
        <w:tc>
          <w:tcPr>
            <w:tcW w:w="1720" w:type="dxa"/>
            <w:vAlign w:val="bottom"/>
          </w:tcPr>
          <w:p>
            <w:pPr>
              <w:spacing w:after="0"/>
              <w:rPr>
                <w:sz w:val="19"/>
                <w:szCs w:val="19"/>
                <w:color w:val="auto"/>
              </w:rPr>
            </w:pPr>
          </w:p>
        </w:tc>
      </w:tr>
      <w:tr>
        <w:trPr>
          <w:trHeight w:val="263"/>
        </w:trPr>
        <w:tc>
          <w:tcPr>
            <w:tcW w:w="1720" w:type="dxa"/>
            <w:vAlign w:val="bottom"/>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373,502</w:t>
            </w: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283,259</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1,029,816</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798,827</w:t>
            </w:r>
          </w:p>
        </w:tc>
        <w:tc>
          <w:tcPr>
            <w:tcW w:w="1720" w:type="dxa"/>
            <w:vAlign w:val="bottom"/>
          </w:tcPr>
          <w:p>
            <w:pPr>
              <w:spacing w:after="0"/>
              <w:rPr>
                <w:sz w:val="22"/>
                <w:szCs w:val="22"/>
                <w:color w:val="auto"/>
              </w:rPr>
            </w:pPr>
          </w:p>
        </w:tc>
      </w:tr>
      <w:tr>
        <w:trPr>
          <w:trHeight w:val="197"/>
        </w:trPr>
        <w:tc>
          <w:tcPr>
            <w:tcW w:w="1720" w:type="dxa"/>
            <w:vAlign w:val="bottom"/>
          </w:tcPr>
          <w:p>
            <w:pPr>
              <w:spacing w:after="0"/>
              <w:rPr>
                <w:sz w:val="17"/>
                <w:szCs w:val="17"/>
                <w:color w:val="auto"/>
              </w:rPr>
            </w:pPr>
          </w:p>
        </w:tc>
        <w:tc>
          <w:tcPr>
            <w:tcW w:w="38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T&amp;D</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9,251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14,550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22,467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40,804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C&amp;I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19,668</w:t>
            </w: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General Corporate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(8,334)</w:t>
            </w: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(8,454)</w:t>
            </w: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(26,633)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(26,849)</w:t>
            </w:r>
          </w:p>
        </w:tc>
        <w:tc>
          <w:tcPr>
            <w:tcW w:w="172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23,588</w:t>
            </w: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79"/>
              </w:rPr>
              <w:t>13</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jc w:val="both"/>
        <w:ind w:right="160" w:firstLine="648"/>
        <w:spacing w:after="0" w:line="286" w:lineRule="auto"/>
        <w:rPr>
          <w:sz w:val="20"/>
          <w:szCs w:val="20"/>
          <w:color w:val="auto"/>
        </w:rPr>
      </w:pPr>
      <w:r>
        <w:rPr>
          <w:rFonts w:ascii="Arial" w:cs="Arial" w:eastAsia="Arial" w:hAnsi="Arial"/>
          <w:sz w:val="17"/>
          <w:szCs w:val="17"/>
          <w:color w:val="auto"/>
        </w:rPr>
        <w:t>For the three and nine months ended September 30, 2017, contract revenues attributable to the Company’s Canadian operations were $25.4 million and $61.8 million, respectively, predominantly in the C&amp;I segment. For the three and nine months ended September 30, 2016, contract revenues attributable to the Company’s Canadian operations were $9.4 million and $15.9 million, respectively, predominantly in the T&amp;D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shareholders by the weighted average number of common shares outstanding during the period, and diluted earnings per share are computed by dividing net income available to shareholders by the weighted average number of common shares outstanding during the period plus all potentially dilutive common stock equivalents, except in cases where the effect of the common stock equivalent would be anti-dilutive.</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income available to common shareholders and the weighted average number of common shares used to compute basic and diluted earnings per share were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9"/>
                <w:szCs w:val="19"/>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Nine months ended</w:t>
            </w:r>
          </w:p>
        </w:tc>
      </w:tr>
      <w:tr>
        <w:trPr>
          <w:trHeight w:val="234"/>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r>
      <w:tr>
        <w:trPr>
          <w:trHeight w:val="210"/>
        </w:trPr>
        <w:tc>
          <w:tcPr>
            <w:tcW w:w="4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6,146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7,575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13,633</w:t>
            </w:r>
          </w:p>
        </w:tc>
      </w:tr>
      <w:tr>
        <w:trPr>
          <w:trHeight w:val="216"/>
        </w:trPr>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16,314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15,805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17,489</w:t>
            </w: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Weighted average dilutive securities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r>
      <w:tr>
        <w:trPr>
          <w:trHeight w:val="223"/>
        </w:trPr>
        <w:tc>
          <w:tcPr>
            <w:tcW w:w="42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1"/>
              </w:rPr>
              <w:t>Weighted average common shares outstanding, diluted</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per common share, 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0.78</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Income per common share, 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0.77</w:t>
            </w:r>
          </w:p>
        </w:tc>
      </w:tr>
    </w:tbl>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and nine months ended September 30, 2017 and 2016,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stock options and performance awards that were excluded from the calculation of dilutive securities: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72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awards</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2017, the Company’s Board of Directors approved a $20.0 million share repurchase program that began when the previous share repurchase program expired on August 15, 2017. During the nine months ended September 30, 2017, the Company repurchased 92,987 shares of its common stock at a weighted-average price of $32.90 per share; 35,338 of those shares were purchased under its share repurchase programs for approximately $0.8 million, of which 4,500 shares were purchased under our $20.0 million program that expired on August 15, 2017, and 30,838 shares were purchased under the new program that started on August 16, 2017. Additionally, the Company repurchased 57,649 shares of stock, for approximately $2.2 million, from its employees to satisfy tax obligations on shares vested under the LTIP. All of the shares repurchased were retired and returned to authorized but unissued stock. As of September 30, 2017, the Company had $19.3 million of remaining availability to purchase shares under the current share repurchase program, which continues in effect until August 15, 2018, or until the authorized funds are exhausted.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2016 (the “2016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2016 Annual Report.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holding company with subsidiaries that are leading specialty contractors serving the electrical infrastructure market. We manage and report our operations through two industry segments: Transmission and Distribution (“T&amp;D”) and Commercial and Industrial (“C&amp;I”). We have operated in the T&amp;D industry since 1891. We are one of the largest contractors servicing the T&amp;D sector of the electric utility industry in the United States and are expanding our T&amp;D services into Canada. Our T&amp;D customers include many of the leading companies in the industry. Our C&amp;I electrical contracting services have operated since 1912. We provide C&amp;I services to general contractors, commercial and industrial facility owners, local governments and developers in the western and northern United States and western Canada.</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had consolidated revenues for the nine months ended September 30, 2017 of $1.03 billion, of which 63.3% was attributable to our T&amp;D customers and 36.7% was attributable to our C&amp;I customers. Our consolidated revenues for the nine months ended September 30, 2016 were $798.8 million. For the nine months ended September 30, 2017, our net income and EBITDA (1) were $7.6 million and $45.2 million, respectively, compared to $13.6 million and $52.7 million, respectively, for the nine months ended September 30, 2016.</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benefited from increases in transmission projects spending throughout the last several years despite economic and political uncertainty and we believe there is an ongoing need for utilities to sustain investment in their transmission systems to maintain reliability and capacity. Consequently, we believe we will continue to see significant bidding activity on large transmission projects through the remainder of this year as well as in 2018. The timing of multi-year transmission project awards and substantial construction activity is difficult to predict due to regulatory requirements and right-of-way permits needed to commence construction. Significant construction on any large, multi-year projects awarded this year will not likely occur until 2018. Bidding and construction activity for small to medium-size transmission projects and upgrades remains strong, and we expect this trend to continue, primarily due to electric infrastructure reliability and economic drivers. Competition and the unpredictability of awards in the transmission market may impact our ability to maintain adequate utilization of equipment and manpower resources, which is important to maintaining contract margins. In addition, project execution, adverse weather and project delays, among other factors, have impacted our margins in the past and could affect our margins in the future. We believe that spending by clients on their distribution systems is generally improving; however, this spending can be highly variable from quarter to quarter in response to weather, client budget constraints and regulatory pressures. Contract margins and fleet billing rates are generally lower in our distribution business than what we realize in our transmission business.</w:t>
      </w:r>
    </w:p>
    <w:p>
      <w:pPr>
        <w:spacing w:after="0" w:line="18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expect to see increased bidding opportunities in our C&amp;I segment throughout the remainder of this year. We expect the long-term growth in our C&amp;I segment to generally track the economic growth of the regions we serve and benefit to the extent economic conditions continue to improve in the markets we serve. We also expect to see increased bidding opportunities in the new C&amp;I markets we recently entered through strategic acquisitions and organic expansions.</w:t>
      </w:r>
    </w:p>
    <w:p>
      <w:pPr>
        <w:spacing w:after="0" w:line="187"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We strive to maintain our status as a preferred provider to our T&amp;D and C&amp;I customers. We continue to implement a three-pronged strategy of organic growth, strategic acquisitions that further expand our capabilities and prudent capital returns as further described below.</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Organic Growth </w:t>
      </w:r>
      <w:r>
        <w:rPr>
          <w:rFonts w:ascii="Arial" w:cs="Arial" w:eastAsia="Arial" w:hAnsi="Arial"/>
          <w:sz w:val="18"/>
          <w:szCs w:val="18"/>
          <w:color w:val="auto"/>
        </w:rPr>
        <w:t>We continue to evaluate opportunities to expand our operations into new markets in the United States and Canada. We expanded our</w:t>
      </w:r>
      <w:r>
        <w:rPr>
          <w:rFonts w:ascii="Arial" w:cs="Arial" w:eastAsia="Arial" w:hAnsi="Arial"/>
          <w:sz w:val="18"/>
          <w:szCs w:val="18"/>
          <w:i w:val="1"/>
          <w:iCs w:val="1"/>
          <w:color w:val="auto"/>
        </w:rPr>
        <w:t xml:space="preserve"> </w:t>
      </w:r>
      <w:r>
        <w:rPr>
          <w:rFonts w:ascii="Arial" w:cs="Arial" w:eastAsia="Arial" w:hAnsi="Arial"/>
          <w:sz w:val="18"/>
          <w:szCs w:val="18"/>
          <w:color w:val="auto"/>
        </w:rPr>
        <w:t>C&amp;I services in California during 2016 and 2017 and in Utah during 2017, while continuing to support previous growth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7" w:lineRule="exact"/>
        <w:rPr>
          <w:sz w:val="20"/>
          <w:szCs w:val="20"/>
          <w:color w:val="auto"/>
        </w:rPr>
      </w:pPr>
    </w:p>
    <w:p>
      <w:pPr>
        <w:ind w:left="5640" w:right="2700" w:hanging="5632"/>
        <w:spacing w:after="0" w:line="778"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Strategic Acquisitions </w:t>
      </w:r>
      <w:r>
        <w:rPr>
          <w:rFonts w:ascii="Arial" w:cs="Arial" w:eastAsia="Arial" w:hAnsi="Arial"/>
          <w:sz w:val="18"/>
          <w:szCs w:val="18"/>
          <w:color w:val="auto"/>
        </w:rPr>
        <w:t>On October 28, 2016, we acquired substantially all of the assets of Western Pacific Enterprises (“WPE”), which expanded our</w:t>
      </w:r>
      <w:r>
        <w:rPr>
          <w:rFonts w:ascii="Arial" w:cs="Arial" w:eastAsia="Arial" w:hAnsi="Arial"/>
          <w:sz w:val="18"/>
          <w:szCs w:val="18"/>
          <w:i w:val="1"/>
          <w:iCs w:val="1"/>
          <w:color w:val="auto"/>
        </w:rPr>
        <w:t xml:space="preserve"> </w:t>
      </w:r>
      <w:r>
        <w:rPr>
          <w:rFonts w:ascii="Arial" w:cs="Arial" w:eastAsia="Arial" w:hAnsi="Arial"/>
          <w:sz w:val="18"/>
          <w:szCs w:val="18"/>
          <w:color w:val="auto"/>
        </w:rPr>
        <w:t>C&amp;I operations and enhanced our T&amp;D presence in western Canada. We continue to look for acquisition opportunities that are compatible with our culture while enhancing shareholder value.</w:t>
      </w:r>
    </w:p>
    <w:p>
      <w:pPr>
        <w:spacing w:after="0" w:line="181"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i w:val="1"/>
          <w:iCs w:val="1"/>
          <w:color w:val="auto"/>
        </w:rPr>
        <w:t xml:space="preserve">Prudent Capital Returns </w:t>
      </w:r>
      <w:r>
        <w:rPr>
          <w:rFonts w:ascii="Arial" w:cs="Arial" w:eastAsia="Arial" w:hAnsi="Arial"/>
          <w:sz w:val="17"/>
          <w:szCs w:val="17"/>
          <w:color w:val="auto"/>
        </w:rPr>
        <w:t>Under our share repurchase programs, we have repurchased a total of 6,060,316 shares of our common stock for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share price of $23.64 per share. On July 27, 2017, the Company’s Board of Directors approved a $20.0 million share repurchase program that began when the previous share repurchase program expired on August 15, 2017. As of September 30, 2017, we had $19.3 million of remaining availability to purchase shares under the program, which continues in effect until August 15, 2018, or until the authorized funds are exhausted.</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continue to invest in developing key management and craft personnel in both our T&amp;D and C&amp;I markets and in procuring the specialty equipment and tooling needed to win and execute projects of all sizes and complexity. We ended the third quarter of 2017 with $149.6 million available under our credit facility. We believe that our financial position and operational strengths will enable us to manage the current challenges and uncertainties in the markets we serve and give us the flexibility to successfully execute our three-pronged strategy.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backlog as our estimated revenue on uncompleted contracts, including the amount of revenue on contracts for which work has not begun, less the revenue we have recognized under these contracts. A customer’s intention to award us work under a fixed-price contract is not included in backlog unless there is an actual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only includes projects that have a signed contract or an agreed upon work order to perform work on mutually accepted terms and conditions. Backlog should not be relied upon as a stand-alone indicator of future events.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backlog was $701.7 million at September 30, 2017, compared to $632.5 million at June 30, 2017 and $620.6 million at September 30, 2016. Our backlog at September 30, 2017 increased $69.2 million, or 10.9%, from June 30, 2017. Backlog in the T&amp;D segment increased $18.6 million and C&amp;I backlog increased $50.6 million compared to June 30, 2017. The increase in backlog does not include any amount related to the previously announced Denver Central 70 Project. We expect this project to be added to backlog during 2018.</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4"/>
              </w:rPr>
              <w:t>Backlog at September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3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Amount estimated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to not be recognized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Total backlog at</w:t>
            </w: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within 12 months</w:t>
            </w: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2016</w:t>
            </w:r>
          </w:p>
        </w:tc>
      </w:tr>
      <w:tr>
        <w:trPr>
          <w:trHeight w:val="210"/>
        </w:trPr>
        <w:tc>
          <w:tcPr>
            <w:tcW w:w="3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313,597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386,701</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rPr>
              <w:t>C&amp;I</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388,080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74,052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302,131</w:t>
            </w:r>
          </w:p>
        </w:tc>
      </w:tr>
      <w:tr>
        <w:trPr>
          <w:trHeight w:val="223"/>
        </w:trPr>
        <w:tc>
          <w:tcPr>
            <w:tcW w:w="37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701,677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September, 2017, we had approximately $410.9 million in original face amount of surety bonds outstanding. Our estimated remaining cost to complete these bonded projects was approximately $21.8 million as of September 30,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160" w:firstLine="648"/>
        <w:spacing w:after="0" w:line="312"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consolidated statements of operations data and such data as a percentage of revenues for the periods indicated:</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9"/>
              </w:rPr>
              <w:t>Three months ended</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88"/>
              </w:rPr>
              <w:t>Nine months ended</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w w:val="89"/>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1"/>
              </w:rPr>
              <w:t>Amount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1"/>
              </w:rPr>
              <w:t>Amount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Percent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4"/>
              </w:rPr>
              <w:t>Amount</w:t>
            </w: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Percent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4"/>
              </w:rPr>
              <w:t>Amount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1,029,816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costs</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338,649</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249,196</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941,706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706,048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administrative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23,814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23,203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Gain on sale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property and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9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9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c>
          <w:tcPr>
            <w:tcW w:w="9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8"/>
                <w:szCs w:val="18"/>
                <w:color w:val="auto"/>
              </w:rPr>
            </w:pPr>
          </w:p>
        </w:tc>
        <w:tc>
          <w:tcPr>
            <w:tcW w:w="9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Borders>
              <w:top w:val="single" w:sz="8" w:color="CCEEFF"/>
            </w:tcBorders>
            <w:shd w:val="clear" w:color="auto" w:fill="CCEEFF"/>
          </w:tcPr>
          <w:p>
            <w:pPr>
              <w:ind w:left="300"/>
              <w:spacing w:after="0" w:line="182" w:lineRule="exact"/>
              <w:rPr>
                <w:sz w:val="20"/>
                <w:szCs w:val="20"/>
                <w:color w:val="auto"/>
              </w:rPr>
            </w:pPr>
            <w:r>
              <w:rPr>
                <w:rFonts w:ascii="Arial" w:cs="Arial" w:eastAsia="Arial" w:hAnsi="Arial"/>
                <w:sz w:val="18"/>
                <w:szCs w:val="18"/>
                <w:color w:val="auto"/>
              </w:rPr>
              <w:t>Income from</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operations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Other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300"/>
              <w:spacing w:after="0" w:line="182" w:lineRule="exact"/>
              <w:rPr>
                <w:sz w:val="20"/>
                <w:szCs w:val="20"/>
                <w:color w:val="auto"/>
              </w:rPr>
            </w:pPr>
            <w:r>
              <w:rPr>
                <w:rFonts w:ascii="Arial" w:cs="Arial" w:eastAsia="Arial" w:hAnsi="Arial"/>
                <w:sz w:val="18"/>
                <w:szCs w:val="18"/>
                <w:color w:val="auto"/>
              </w:rPr>
              <w:t>Income before</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460"/>
              <w:spacing w:after="0"/>
              <w:rPr>
                <w:sz w:val="20"/>
                <w:szCs w:val="20"/>
                <w:color w:val="auto"/>
              </w:rPr>
            </w:pPr>
            <w:r>
              <w:rPr>
                <w:rFonts w:ascii="Arial" w:cs="Arial" w:eastAsia="Arial" w:hAnsi="Arial"/>
                <w:sz w:val="18"/>
                <w:szCs w:val="18"/>
                <w:color w:val="auto"/>
              </w:rPr>
              <w:t>provision for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9,322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10,314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5,145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6,146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to Three Months Ended September 30, 2016</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$90.2 million, or 31.9%, to $373.5 million for the three months ended September 30, 2017 from $283.3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2016. The increase was primarily due to increased spending from existing C&amp;I customers, the WPE acquisition in late 2016 and an increase in distribution projects.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decreased to 9.3% for the three months ended September 30, 2017 from 12.0%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2016. The decrease in gross margin was primarily due to lower margins on certain T&amp;D projects due to weather and lower productivity, as well as project delays and schedule extensions related to a T&amp;D project in Canada. Margins were also negatively impacted by costs associated with organic and acquisition growth. Changes in estimates of gross profit on certain projects, including those discussed above, resulted in a gross margin decrease of 0.9% for the three months ended September 30, 2017. Gross margin increased 0.7% due to changes in estimates of gross profit on certain projects for the three months ended September 30, 2016.</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$0.8 million, or 2.3%, to $34.9 million for the three months ended September 30, 2017 from $34.1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2016, due to higher revenue, partially offset by lower overall gross margin.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of $23.8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increased $0.6 million from $23.2 million for the three months ended September 30, 2016. The year-over-year increase was primarily due to $1.4 million of costs associated with our expansion into new geographic markets and higher payroll costs to support operations, largely offset by lower bonus and profit sharing costs. As a percentage of revenues, SG&amp;A decreased to 6.4% for the three months ended September 30, 2017 from 8.2% for the three months ended September 30, 2016.</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September 30, 2017 were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$0.5 million for the three months ended September 30, 2016.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$0.7 million for the three months ended September 30, 2017 compared to $0.4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2016. This increase was primarily attributable to the amount and length of time borrowings under our line of credit were outstanding during the three months ended September 30, 2017 as compared to the three months ended September 30, 2016.</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Other expense was $1.4 million for the three months ended September 30, 2017 compared to other expense of $0.4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2016. The change was primarily attributable to $1.5 million of contingent consideration related to margin guarantees recognized on certain contracts associated with the acquisition of WPE, of which $0.8 million related to adjustments to amounts recognized in the prior periods.</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The income tax provision was $4.2 million for the three months ended September 30, 2017, with an effective tax rate of 44.8%,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provision of $4.2 million for the three months ended September 30, 2016, with an effective tax rate of 40.4%. The increase in the tax rate for the three months ended September 30, 2017 was primarily caused by our inability to utilize losses experienced in certain Canadian operations.</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to $5.1 million for the three months ended September 30, 2017 from $6.1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The decrease was primarily for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8"/>
                <w:szCs w:val="18"/>
                <w:b w:val="1"/>
                <w:bCs w:val="1"/>
                <w:color w:val="auto"/>
              </w:rPr>
              <w:t>Three months ended September 30,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19"/>
                <w:szCs w:val="19"/>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7"/>
              </w:rPr>
              <w:t>Amount</w:t>
            </w: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Percent</w:t>
            </w:r>
          </w:p>
        </w:tc>
        <w:tc>
          <w:tcPr>
            <w:tcW w:w="160" w:type="dxa"/>
            <w:vAlign w:val="bottom"/>
            <w:gridSpan w:val="2"/>
          </w:tcPr>
          <w:p>
            <w:pPr>
              <w:spacing w:after="0"/>
              <w:rPr>
                <w:sz w:val="19"/>
                <w:szCs w:val="19"/>
                <w:color w:val="auto"/>
              </w:rPr>
            </w:pPr>
          </w:p>
        </w:tc>
      </w:tr>
      <w:tr>
        <w:trPr>
          <w:trHeight w:val="210"/>
        </w:trPr>
        <w:tc>
          <w:tcPr>
            <w:tcW w:w="3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Transmission &amp; Distribution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215,970</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57.8% $</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206,441</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72.9%</w:t>
            </w:r>
          </w:p>
        </w:tc>
      </w:tr>
      <w:tr>
        <w:trPr>
          <w:trHeight w:val="230"/>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157,532</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76,818</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r>
      <w:tr>
        <w:trPr>
          <w:trHeight w:val="263"/>
        </w:trPr>
        <w:tc>
          <w:tcPr>
            <w:tcW w:w="3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373,502</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283,259</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197"/>
        </w:trPr>
        <w:tc>
          <w:tcPr>
            <w:tcW w:w="34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Transmission &amp; Distribution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9,251</w:t>
            </w:r>
          </w:p>
        </w:tc>
        <w:tc>
          <w:tcPr>
            <w:tcW w:w="14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14,550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r>
      <w:tr>
        <w:trPr>
          <w:trHeight w:val="230"/>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10,503</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5,043</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r>
      <w:tr>
        <w:trPr>
          <w:trHeight w:val="210"/>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(8,334)</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(8,454)</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11,420</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Revenues for our T&amp;D segment for the three months ended September 30, 2017 were $216.0 million compared to $206.4 million for the three months ended September 30, 2016, an increase of $9.6 million, or 4.6%. The increase in revenue was primarily due to an increase in distribution projects.</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Revenues from transmission projects represented 66.6% and 71.9% of T&amp;D segment revenue for the three months ended September 30, 2017 and 2016, respectively. Additionally, for the three months ended September 30, 2017, measured by revenue in our T&amp;D segment, we provided 30.5% of our T&amp;D services under fixed-price contracts, as compared to 60.9% for the three months ended September 30, 2016.</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Operating income for our T&amp;D segment for the three months ended September 30, 2017 was $9.3 million, a decrease of $5.3 million from the three months ended September 30, 2016. The decline in T&amp;D operating income was primarily due to lower margins on certain T&amp;D projects due to weather and lower productivity, as well as project delays and schedule extensions related to a T&amp;D project in Canada. As a percentage of revenues, operating income for our T&amp;D segment was 4.3% for the three months ended September 30, 2017 compared to 7.0% for the three months ended September 30, 2016.</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Revenues for our C&amp;I segment for the three months ended September 30, 2017 were $157.5 million compared to $76.8 million for the three months ended September 30, 2016, an increase of $80.7 million, or 105.1%, primarily due to increased spending from existing customers and the WPE acquisition in late 2016.</w:t>
      </w:r>
    </w:p>
    <w:p>
      <w:pPr>
        <w:spacing w:after="0" w:line="181"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Measured by revenue in our C&amp;I segment, we provided 55.8% of our services under fixed-price contracts for the three months ended September 30, 2017, compared to 53.5% for the three months ended September 30, 2016.</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Operating income for our C&amp;I segment for the three months ended September 30, 2017 was $10.5 million, an increase of $5.5 million over the three months ended September 30, 2016. The year-over-year increase in operating income was primarily attributable to higher revenue, which was partially offset by costs associated with organic and acquisition growth. As a percentage of revenues, operating income for our C&amp;I segment was 6.7% for the three months ended September 30, 2017 compared to 6.6% for the three months ended September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to Nine Months Ended September 30, 2016</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$231.0 million, or 28.9%, to $1.03 billion for the nine months ended September 30, 2017 from $798.8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2016. The increase was primarily due to increased spending from existing C&amp;I customers, the WPE acquisition in late 2016, higher revenue from large transmission projects and an increase in distribution projects.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decreased to 8.6% for the nine months ended September 30, 2017 from 11.6%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decrease in gross margin was primarily due to write-downs on three projects. Two projects in the Midwest U.S. were significantly impacted by weather resulting in unbudgeted costs associated with right-of-way access, lower productivity and increased road damage and repair requirements. As a result, we wrote down $4.1 million for these projects in the first nine months of 2017. One T&amp;D project in Canada experienced cost impacts mainly associated with project delays and schedule extensions. Although we are working with our client to recover these costs, we have not recognized all of the revenues relating to various pending project claims and change orders, which resulted in write-downs on this project of $3.3 million. A higher mix of smaller, shorter duration T&amp;D work also impacted margins for the nine months ended September 30, 2017. The shift in the mix of work also caused a decline in our fleet utilization and increased mobilization and demobilization costs. Margins were also impacted by costs associated with organic and acquisition growth. These impacts were partially offset by settlements related to previously unrecognized revenues on a project claim and pending change orders. Changes in estimates of gross profit on certain projects, including those discussed above, resulted in a gross margin decrease of 0.7% for the nine months ended September 30, 2017. Gross margin decreased 0.5% due to changes in estimates of gross profit on certain projects for the nine months ended September 30, 2016.</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$4.7 million, or 5.0%, to $88.1 million for the nine months ended September 30, 2017 from $92.8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2016 due to lower overall gross margin, partially offset by higher revenue.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of $74.6 million for the nine months ended September 30, 2017 increased $5.0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$69.6 million for the nine months ended September 30, 2016. The year-over-year increase was primarily due to $6.6 million of costs associated with our expansion into new geographic markets and higher payroll costs to support operations, partially offset by lower bonus and profit sharing costs. Additionally, $1.0 million of costs associated with activist investor activities were incurred in the nine months ended September 30, 2016. As a percentage of revenues, SG&amp;A decreased to 7.2% for the nine months ended September 30, 2017 from 8.7% for the nine months ended September 30, 2016.</w:t>
      </w:r>
    </w:p>
    <w:p>
      <w:pPr>
        <w:spacing w:after="0" w:line="15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nine months ended September 30, 2017 were $2.6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$1.1 million for the nine months ended September 30, 2016.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$1.8 million for the nine months ended September 30, 2017 compared to $0.8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2016. This increase was primarily attributable to the amount and length of time borrowings under our line of credit were outstanding during the nine months ended September 30, 2017 as compared to the nine months ended September 30,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was $0.2 million for the nine months ended September 30, 2017 compared to other expense of $0.4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2016. The change was in part attributable to $0.2 million of contingent consideration related to margin guarantees recognized on certain contracts associated with the acquisition of WPE.</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The income tax provision was $6.4 million for the nine months ended September 30, 2017 with an effective tax rate of 45.6%,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provision of $8.8 million for the nine months ended September 30, 2016 with an effective tax rate of 39.1%. The increase in the tax rate for the nine months ended September 30, 2017 was primarily caused by our inability to utilize losses experienced in certain Canadian operations, partially offset by excess tax benefits of approximately $1.0 million pertaining to the vesting of stock awards and the exercise of stock options.</w:t>
      </w:r>
    </w:p>
    <w:p>
      <w:pPr>
        <w:spacing w:after="0" w:line="15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to $7.6 million for the nine months ended September 30, 2017 from $13.6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The decrease was primarily for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gridSpan w:val="12"/>
          </w:tcPr>
          <w:p>
            <w:pPr>
              <w:jc w:val="right"/>
              <w:ind w:right="8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7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4"/>
              </w:rPr>
              <w:t>Amount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Percent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4"/>
              </w:rPr>
              <w:t>Amount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Percent</w:t>
            </w:r>
          </w:p>
        </w:tc>
        <w:tc>
          <w:tcPr>
            <w:tcW w:w="160" w:type="dxa"/>
            <w:vAlign w:val="bottom"/>
            <w:gridSpan w:val="2"/>
          </w:tcPr>
          <w:p>
            <w:pPr>
              <w:spacing w:after="0"/>
              <w:rPr>
                <w:sz w:val="19"/>
                <w:szCs w:val="19"/>
                <w:color w:val="auto"/>
              </w:rPr>
            </w:pPr>
          </w:p>
        </w:tc>
      </w:tr>
      <w:tr>
        <w:trPr>
          <w:trHeight w:val="210"/>
        </w:trPr>
        <w:tc>
          <w:tcPr>
            <w:tcW w:w="3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Transmission &amp; Distribution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651,498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568,044</w:t>
            </w: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230,783</w:t>
            </w: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r>
      <w:tr>
        <w:trPr>
          <w:trHeight w:val="263"/>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1,029,816</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798,827</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197"/>
        </w:trPr>
        <w:tc>
          <w:tcPr>
            <w:tcW w:w="37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Transmission &amp; Distribution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22,467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40,804</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19,668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9,633</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42,135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50,437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(26,633)</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(26,849)</w:t>
            </w: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374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23,588</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Revenues for our T&amp;D segment for the nine months ended September 30, 2017 were $651.5 million compared to $568.0 million for the nine months ended September 30, 2016, an increase of $83.5 million, or 14.7%. The increase in revenue was primarily due to higher revenue from large transmission projects and an increase in distribution projects.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Revenues from transmission projects represented 70.0% and 74.6% of T&amp;D segment revenue for the nine months ended September 30, 2017 and 2016, respectively. Additionally, for the nine months ended September 30, 2017, measured by revenue in our T&amp;D segment, we provided 30.0% of our T&amp;D services under fixed-price contracts, as compared to 58.7% for the nine months ended September 30, 2016.</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Operating income for our T&amp;D segment for the nine months ended September 30, 2017 was $22.5 million, a decrease of $18.3 million from the nine months ended September 30, 2016. The decline in T&amp;D operating income was primarily due to lower margins caused by write-downs experienced on two projects in the Midwest U.S. and on one project in Canada. Margins were also impacted by a higher mix of smaller, shorter duration work. The shift in the mix of work also caused a decline in our fleet utilization and increased mobilization and demobilization costs. As a percentage of revenues, operating income for our T&amp;D segment was 3.4% for the nine months ended September 30, 2017 compared to 7.2% for the nine months ended September 30, 2016.</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5"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Revenues for our C&amp;I segment for the nine months ended September 30, 2017 were $378.3 million compared to $230.8 million for the nine months ended September 30, 2016, an increase of $147.5 million, or 63.9%, primarily due to increased spending from existing customers and the WPE acquisition in late 2016.</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Measured by revenue in our C&amp;I segment, we provided 58.1% of our services under fixed-price contracts for the nine months ended September 30, 2017, compared to 62.7% for the nine months ended September 30, 2016.</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Operating income for our C&amp;I segment for the nine months ended September 30, 2017 was $19.7 million, an increase of $10.1 million over the nine months ended September 30, 2016. The year-over-year increase in operating income was primarily attributable to higher revenue from large projects, the settlement of a project claim that was previously not recognized in revenue and improved productivity on certain jobs. These were partially offset by costs associated with organic and acquisition growth. As a percentage of revenues, operating income for our C&amp;I segment was 5.2% for the nine months ended September 30, 2017 compared to 4.2% for the nine months ended September 30,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define EBITDA, a performance measure used by management, as net income plus: interest income and expense, provision for income taxes and depreciation and amortization, as shown in the following table. EBITDA, a non-GAAP financial measure, does not purport to be an alternative to net income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book lives placed on assets, capital structure and the method by which assets were acquired.</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Using EBITDA as a performance measure has material limitations as compared to net income, or other financial measures as defined under U.S. GAAP, as it excludes certain recurring items that may be meaningful to investors. EBITDA excludes interest expense or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 tax basis. Using both EBITDA and net income to evaluate the business allows management and investors to (a) assess our relative performance against our competitors and (b) monitor our capacity to generate returns for our stockholders.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9"/>
                <w:szCs w:val="19"/>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Nine months ended</w:t>
            </w:r>
          </w:p>
        </w:tc>
        <w:tc>
          <w:tcPr>
            <w:tcW w:w="144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13,633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i w:val="1"/>
                <w:iCs w:val="1"/>
                <w:color w:val="auto"/>
              </w:rPr>
              <w:t>Add: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4,177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4,168</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8,766</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&amp; amortization</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10,046</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9,748</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29,438</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20,053</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52,665</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21</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ind w:right="20" w:firstLine="648"/>
        <w:spacing w:after="0" w:line="270" w:lineRule="auto"/>
        <w:rPr>
          <w:sz w:val="20"/>
          <w:szCs w:val="20"/>
          <w:color w:val="auto"/>
        </w:rPr>
      </w:pPr>
      <w:r>
        <w:rPr>
          <w:rFonts w:ascii="Arial" w:cs="Arial" w:eastAsia="Arial" w:hAnsi="Arial"/>
          <w:sz w:val="17"/>
          <w:szCs w:val="17"/>
          <w:color w:val="auto"/>
        </w:rPr>
        <w:t>We also use EBITDA as a liquidity measure. Certain material covenants contained within our credit agreement (the “Credit Agreement”) are based on EBITDA. Non-compliance with these financial covenants under the Credit Agreement—our interest coverage ratio, which is defined in the Credit Agreement as Consolidated EBITDA (as defined in the Credit Agreement) divided by interest expense and our Leverage Ratio (as defined in the Credit Agreement)—could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19"/>
                <w:szCs w:val="19"/>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Nine months ended</w:t>
            </w:r>
          </w:p>
        </w:tc>
      </w:tr>
      <w:tr>
        <w:trPr>
          <w:trHeight w:val="234"/>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r>
      <w:tr>
        <w:trPr>
          <w:trHeight w:val="210"/>
        </w:trPr>
        <w:tc>
          <w:tcPr>
            <w:tcW w:w="3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Provided By (Used In) Operating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3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Net cash flows provided by (used in) operating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20" w:type="dxa"/>
            <w:vAlign w:val="bottom"/>
            <w:gridSpan w:val="2"/>
          </w:tcPr>
          <w:p>
            <w:pPr>
              <w:ind w:left="320"/>
              <w:spacing w:after="0"/>
              <w:rPr>
                <w:sz w:val="20"/>
                <w:szCs w:val="20"/>
                <w:color w:val="auto"/>
              </w:rPr>
            </w:pPr>
            <w:r>
              <w:rPr>
                <w:rFonts w:ascii="Arial" w:cs="Arial" w:eastAsia="Arial" w:hAnsi="Arial"/>
                <w:sz w:val="18"/>
                <w:szCs w:val="18"/>
                <w:color w:val="auto"/>
              </w:rPr>
              <w:t>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(40,970)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(5,965)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(21,790)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40,497</w:t>
            </w:r>
          </w:p>
        </w:tc>
      </w:tr>
      <w:tr>
        <w:trPr>
          <w:trHeight w:val="216"/>
        </w:trPr>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Add/(subtract):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57,813</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22,239</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60,552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4,829</w:t>
            </w:r>
          </w:p>
        </w:tc>
      </w:tr>
      <w:tr>
        <w:trPr>
          <w:trHeight w:val="202"/>
        </w:trPr>
        <w:tc>
          <w:tcPr>
            <w:tcW w:w="3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Adjustments to reconcile net income to net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flows provided by (used in) operating activities</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(11,698)</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(10,128)</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(31,187)</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(31,693)</w:t>
            </w:r>
          </w:p>
        </w:tc>
      </w:tr>
      <w:tr>
        <w:trPr>
          <w:trHeight w:val="216"/>
        </w:trPr>
        <w:tc>
          <w:tcPr>
            <w:tcW w:w="3920" w:type="dxa"/>
            <w:vAlign w:val="bottom"/>
            <w:gridSpan w:val="2"/>
          </w:tcPr>
          <w:p>
            <w:pPr>
              <w:ind w:left="320"/>
              <w:spacing w:after="0"/>
              <w:rPr>
                <w:sz w:val="20"/>
                <w:szCs w:val="20"/>
                <w:color w:val="auto"/>
              </w:rPr>
            </w:pPr>
            <w:r>
              <w:rPr>
                <w:rFonts w:ascii="Arial" w:cs="Arial" w:eastAsia="Arial" w:hAnsi="Arial"/>
                <w:sz w:val="18"/>
                <w:szCs w:val="18"/>
                <w:color w:val="auto"/>
              </w:rPr>
              <w:t>Depreciation &amp; amortization</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10,046</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9,748</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29,499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29,438</w:t>
            </w:r>
          </w:p>
        </w:tc>
      </w:tr>
      <w:tr>
        <w:trPr>
          <w:trHeight w:val="216"/>
        </w:trPr>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8,766</w:t>
            </w:r>
          </w:p>
        </w:tc>
      </w:tr>
      <w:tr>
        <w:trPr>
          <w:trHeight w:val="230"/>
        </w:trPr>
        <w:tc>
          <w:tcPr>
            <w:tcW w:w="3920" w:type="dxa"/>
            <w:vAlign w:val="bottom"/>
            <w:gridSpan w:val="2"/>
          </w:tcPr>
          <w:p>
            <w:pPr>
              <w:ind w:left="3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828</w:t>
            </w:r>
          </w:p>
        </w:tc>
      </w:tr>
      <w:tr>
        <w:trPr>
          <w:trHeight w:val="223"/>
        </w:trPr>
        <w:tc>
          <w:tcPr>
            <w:tcW w:w="39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September 30, 2017, we had working capital of $179.8 million. We define working capital as current assets less current liabilities. During the nine months ended September 30, 2017, operating activities of our business used net cash of $21.8 million, compared to $40.5 million of cash provided for the nine months ended September 30, 2016. Cash flow from operations is primarily influenced by demand for our services, operating margins, timing of contract performance and the type of services we provide to our customers. Net cash used or provided by operating activities is driven by our net income adjusted for changes in operating assets and liabilities and non-cash items including, but not limited to, depreciation and amortization, stock-based compensation, deferred income taxes, and the gain on sale of property and equipment. The $62.3 million year-over-year decline in net cash from operating activities was primarily due to unfavorable changes in operating assets and liabilities of $55.7 million and a decrease of $6.1 million in net income, partly offset by a $1.5 million increase in gain on sale of equipment. The unfavorable change in operating assets and liabilities was primarily due to less cash provided by accounts receivable in the first nine months of 2017, mainly due to an increase in volume and the timing of billings and collections. Additionally, our receivable collections in the first nine months of 2016 benefited from improved billing and collection procedures for several of our clients. We also experienced a decrease in other liabilities due to lower bonus and profit sharing accruals.</w:t>
      </w:r>
    </w:p>
    <w:p>
      <w:pPr>
        <w:spacing w:after="0" w:line="1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the nine months ended September 30, 2017, we used net cash in investing activities of $22.1 million, consisting of $24.9 million for capital expenditures, partially offset by $2.8 million of proceeds from the sale of equipment.</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nine months ended September 30, 2017, we had net cash provided of $21.4 million in financing activities, consisting primarily of $20.4 million of borrowings under our revolving lines of credit, $3.7 million of other financing activities partially offset by $3.0 million of share repurchases. The $3.0 million of cash used to purchase shares of our common stock consisted of $2.2 million to purchase shares surrendered by employees to satisfy employee tax obligations under our stock compensation program and $0.8 million purchased under our share repurchase program.</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anticipate that our $149.6 million borrowing availability under our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borrowing capacity to meet our liquidity needs, any large projects or acquisitions may require additional capital.</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Instruments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June 30, 2016, we entered into a five-year amended and restated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and will be, used for refinancing existing debt, working capital, capital expenditures, stock repurchases, acquisitions and other general corporate purposes.</w:t>
      </w:r>
    </w:p>
    <w:p>
      <w:pPr>
        <w:spacing w:after="0" w:line="183"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Amounts borrowed under the Credit Agreement in U.S. dollars bear interest, at our option, at a rate equal to either (1) the Alternate Base Rate (as defined in the Credit Agreement), plus an applicable margin ranging from 0.00% to 1.00%; or (2) the Adjusted LIBO Rate (as defined in the Credit Agreement) plus an applicable margin ranging from 1.00% to 2.00%. Amounts borrowed under the Credit Agreement in any currency other than U.S. dollars bear interest at a rate equal to the Adjusted LIBO Rate plus an applicable margin ranging from 1.00% to 2.00%. The applicable margin is determined based on our consolidated Leverage Ratio (as defined in the Credit Agreement). Letters of credit issued under the Facility are subject to a letter of credit fee of</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1.125% to 2.125% for standby or commercial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1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covenants under the Credit Agreement as of September 30, 2017.</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September 30, 2017, we had $79.5 million of debt outstanding under the Facility and irrevocable standby letters of credit outstanding of approximately $20.9 million. As of December 31, 2016, we had $59.1 million of debt outstanding under the Facility and irrevocable standby letters of credit outstanding of approximately $23.7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non-cancelable operating leases,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For a discussion regarding off-balance sheet transactions, refer to Note 7, “Commitments and Contingencies” in the accompanying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September 30, 2017 and 2016, none of our customers individually exceeded 10.0% of consolidated accounts receivable. Management believes the terms and conditions in its contracts, billing and collection policies are adequate to minimize the potential credit risk.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 “Organization, Business and Basis of Presentation—Recently Issued Accounting Pronouncements” in the accompanying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2016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 looking statements include, without limitation, statements regarding financial forecasts or projections, and our expectations, beliefs, intentions or future strategies that are signified by the words “anticipate,” “believe,” “encouraged,” “estimate,” “expect,” “intend,” “likely,” “may,” “objective,” “outlook,” “plan,” “possible,” “potential,” “project,” “remain confident,” “should” “unlikely,” or other words that convey the uncertainty of future events or outcomes. The forward 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2016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ind w:left="328" w:right="4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employees.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 key customer could have an adverse affect on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Unavailability or cancellation of third party insurance coverage would increase our overall risk exposure and could disrupt our operations.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the necessary bonds, letters of credit, bank guarantees or other financial assurances.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inability to hire or retain key personnel could disrupt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may be affected by seasonal and other variations, including severe weather conditions.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execute or integrate acquisitions or joint ventures successfully.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have access in the future to sufficient funding to finance desired growth and operations.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225"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387"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8"/>
          </w:cols>
          <w:pgMar w:left="572" w:top="1125" w:right="319" w:bottom="1440" w:gutter="0" w:footer="0" w:header="0"/>
        </w:sectPr>
      </w:pPr>
    </w:p>
    <w:bookmarkStart w:id="27" w:name="page28"/>
    <w:bookmarkEnd w:id="27"/>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nature of our business exposes us to warranty claims, which may reduce our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our business partners, may be subject to failures, interruptions or breaches of information technology systems, which could affect our competitive position or damage our reputation.</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 has experienced significant price and volume fluctuations and future sales of our common stock could lead to dilution of our issued and outstanding common stock.</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2017, we were not party to any derivative instruments. We did not use any material derivative financial instruments during the nine months ended September 30, 2017 and 2016, including instruments for trading, hedging or speculating on changes in interest rates or commodity prices of materials used in our business.</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September 30, 2017, we had $79.5 million of debt outstanding under the Facility. Borrowings under the Facility are based upon an interest rate that will vary depending upon the prime rate, federal funds rate and LIBOR. If the prime rate, federal funds rate or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September 30, 2017, which is subject to variable rates, permanently increased by 1%, the increase in interest expense on all revolving debt would decrease future income before provision for income taxes and cash flows by approximately $0.8 million annually. If market rates of interest on all our revolving debt, which is subject to variable rates as of September 30, 2017, permanently decreased by 1%, the decrease in interest expense on all debt would increase future income before provision for income taxes and cash flows by the same amount.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2017.</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permitted by interpretive guidance issued by the Securities and Exchange Commission staff, companies are allowed to exclude acquired businesses from their assessment of internal control over financial reporting during the first year after completion of an acquisition while integrating the acquired company. Accordingly, as WPE was acquired by the Company on October 28, 2016, management's assessment of the effectiveness of the Company's internal control over financial reporting as of December 31, 2016 excluded WPE. Management's evaluation and conclusion as to the effectiveness of the design and operation of the Company's disclosure controls and procedures as of the end of the period covered by this report excludes any evaluation of the internal controls of WPE. WPE represented a total of approximately 5.6% and 1.4% of total assets and net assets, respectively, as of September 30, 2017, and 4.6% and (5.9%) of contract revenues and income from operations, respectively, for the nine months then 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further discussion regarding legal proceedings, please refer to Note 7, “Commitments and Contingencies—Litigation and Other Legal Matters” in the accompanying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the date of this filing, there have been no material changes to the risk factors previously discussed in Item 1A of our 2016 Annual Report. An investment in our common stock involves various risks. When considering an investment in our company, you should carefully consider all of the risk factors described in our 2016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following table includes all of the Company’s repurchases of common stock for the periods shown,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made pursuant to publicly announced plans or programs and those not made pursuant to publicly announced plans or programs. Repurchased shares are retired and returned to authorized but unissued common stock.</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80" w:type="dxa"/>
            <w:vAlign w:val="bottom"/>
          </w:tcPr>
          <w:p>
            <w:pPr>
              <w:spacing w:after="0"/>
              <w:rPr>
                <w:sz w:val="18"/>
                <w:szCs w:val="18"/>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2020" w:type="dxa"/>
            <w:vAlign w:val="bottom"/>
            <w:gridSpan w:val="4"/>
          </w:tcPr>
          <w:p>
            <w:pPr>
              <w:ind w:left="180"/>
              <w:spacing w:after="0"/>
              <w:rPr>
                <w:sz w:val="20"/>
                <w:szCs w:val="20"/>
                <w:color w:val="auto"/>
              </w:rPr>
            </w:pPr>
            <w:r>
              <w:rPr>
                <w:rFonts w:ascii="Arial" w:cs="Arial" w:eastAsia="Arial" w:hAnsi="Arial"/>
                <w:sz w:val="18"/>
                <w:szCs w:val="18"/>
                <w:b w:val="1"/>
                <w:bCs w:val="1"/>
                <w:color w:val="auto"/>
                <w:w w:val="94"/>
              </w:rPr>
              <w:t>May Yet Be Purchased</w:t>
            </w:r>
          </w:p>
        </w:tc>
        <w:tc>
          <w:tcPr>
            <w:tcW w:w="0" w:type="dxa"/>
            <w:vAlign w:val="bottom"/>
          </w:tcPr>
          <w:p>
            <w:pPr>
              <w:spacing w:after="0"/>
              <w:rPr>
                <w:sz w:val="1"/>
                <w:szCs w:val="1"/>
                <w:color w:val="auto"/>
              </w:rPr>
            </w:pPr>
          </w:p>
        </w:tc>
      </w:tr>
      <w:tr>
        <w:trPr>
          <w:trHeight w:val="216"/>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Paid per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3940" w:type="dxa"/>
            <w:vAlign w:val="bottom"/>
            <w:gridSpan w:val="2"/>
            <w:vMerge w:val="continue"/>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Repurchased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July 1, 2017 - July 31, 2017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August 1, 2017 - August 31, 2017</w:t>
            </w:r>
          </w:p>
        </w:tc>
        <w:tc>
          <w:tcPr>
            <w:tcW w:w="1300" w:type="dxa"/>
            <w:vAlign w:val="bottom"/>
          </w:tcPr>
          <w:p>
            <w:pPr>
              <w:jc w:val="right"/>
              <w:spacing w:after="0"/>
              <w:rPr>
                <w:sz w:val="20"/>
                <w:szCs w:val="20"/>
                <w:color w:val="auto"/>
              </w:rPr>
            </w:pPr>
            <w:r>
              <w:rPr>
                <w:rFonts w:ascii="Arial" w:cs="Arial" w:eastAsia="Arial" w:hAnsi="Arial"/>
                <w:sz w:val="18"/>
                <w:szCs w:val="18"/>
                <w:color w:val="auto"/>
              </w:rPr>
              <w:t>33,338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23.81</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33,338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19,317,692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2017 - September 30, 2017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19,268,482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right="3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27, 2017, the Company’s Board of Directors approved a $20.0 million share repurchase program that began when the previous share repurchase program expired on August 15, 2017. The current share repurchase program will expire on August 15, 2018, or when the authorized funds are exhausted.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w w:val="91"/>
              </w:rPr>
              <w:t>Number</w:t>
            </w:r>
          </w:p>
        </w:tc>
        <w:tc>
          <w:tcPr>
            <w:tcW w:w="240" w:type="dxa"/>
            <w:vAlign w:val="bottom"/>
          </w:tcPr>
          <w:p>
            <w:pPr>
              <w:spacing w:after="0"/>
              <w:rPr>
                <w:sz w:val="20"/>
                <w:szCs w:val="20"/>
                <w:color w:val="auto"/>
              </w:rPr>
            </w:pPr>
          </w:p>
        </w:tc>
        <w:tc>
          <w:tcPr>
            <w:tcW w:w="9800" w:type="dxa"/>
            <w:vAlign w:val="bottom"/>
            <w:tcBorders>
              <w:bottom w:val="single" w:sz="8" w:color="auto"/>
            </w:tcBorders>
            <w:gridSpan w:val="3"/>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80" w:type="dxa"/>
            <w:vAlign w:val="bottom"/>
            <w:gridSpan w:val="2"/>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of Chief Executive Officer pursuant to SEC Rule 13a-14(a)/15d-14(a)†</w:t>
              </w:r>
            </w:hyperlink>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378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40" w:type="dxa"/>
            <w:vAlign w:val="bottom"/>
          </w:tcPr>
          <w:p>
            <w:pPr>
              <w:spacing w:after="0"/>
              <w:rPr>
                <w:sz w:val="17"/>
                <w:szCs w:val="17"/>
                <w:color w:val="auto"/>
              </w:rPr>
            </w:pPr>
          </w:p>
        </w:tc>
        <w:tc>
          <w:tcPr>
            <w:tcW w:w="980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of Chief Financial Officer pursuant to SEC Rule 13a-14(a)/15d-14(a)†</w:t>
              </w:r>
            </w:hyperlink>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40" w:type="dxa"/>
            <w:vAlign w:val="bottom"/>
          </w:tcPr>
          <w:p>
            <w:pPr>
              <w:spacing w:after="0"/>
              <w:rPr>
                <w:sz w:val="17"/>
                <w:szCs w:val="17"/>
                <w:color w:val="auto"/>
              </w:rPr>
            </w:pPr>
          </w:p>
        </w:tc>
        <w:tc>
          <w:tcPr>
            <w:tcW w:w="9800" w:type="dxa"/>
            <w:vAlign w:val="bottom"/>
            <w:gridSpan w:val="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Chief Executive Officer pursuant to 18 U.S.C. §1350†</w:t>
              </w:r>
            </w:hyperlink>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4780" w:type="dxa"/>
            <w:vAlign w:val="bottom"/>
            <w:tcBorders>
              <w:left w:val="single" w:sz="8" w:color="0000EE"/>
            </w:tcBorders>
            <w:gridSpan w:val="2"/>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40" w:type="dxa"/>
            <w:vAlign w:val="bottom"/>
          </w:tcPr>
          <w:p>
            <w:pPr>
              <w:spacing w:after="0"/>
              <w:rPr>
                <w:sz w:val="17"/>
                <w:szCs w:val="17"/>
                <w:color w:val="auto"/>
              </w:rPr>
            </w:pPr>
          </w:p>
        </w:tc>
        <w:tc>
          <w:tcPr>
            <w:tcW w:w="980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Certification of Chief Financial Officer pursuant to 18 U.S.C. §1350†</w:t>
              </w:r>
            </w:hyperlink>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438"/>
        </w:trPr>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101.INS</w:t>
            </w:r>
          </w:p>
        </w:tc>
        <w:tc>
          <w:tcPr>
            <w:tcW w:w="9800" w:type="dxa"/>
            <w:vAlign w:val="bottom"/>
            <w:gridSpan w:val="3"/>
          </w:tcPr>
          <w:p>
            <w:pPr>
              <w:spacing w:after="0"/>
              <w:rPr>
                <w:sz w:val="20"/>
                <w:szCs w:val="20"/>
                <w:color w:val="auto"/>
              </w:rPr>
            </w:pPr>
            <w:r>
              <w:rPr>
                <w:rFonts w:ascii="Arial" w:cs="Arial" w:eastAsia="Arial" w:hAnsi="Arial"/>
                <w:sz w:val="18"/>
                <w:szCs w:val="18"/>
                <w:color w:val="auto"/>
              </w:rPr>
              <w:t>XBRL Instance Document *</w:t>
            </w:r>
          </w:p>
        </w:tc>
      </w:tr>
      <w:tr>
        <w:trPr>
          <w:trHeight w:val="216"/>
        </w:trPr>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101.SCH</w:t>
            </w:r>
          </w:p>
        </w:tc>
        <w:tc>
          <w:tcPr>
            <w:tcW w:w="98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101.CAL</w:t>
            </w:r>
          </w:p>
        </w:tc>
        <w:tc>
          <w:tcPr>
            <w:tcW w:w="98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101.DEF</w:t>
            </w:r>
          </w:p>
        </w:tc>
        <w:tc>
          <w:tcPr>
            <w:tcW w:w="98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101.LAB</w:t>
            </w:r>
          </w:p>
        </w:tc>
        <w:tc>
          <w:tcPr>
            <w:tcW w:w="98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101.PRE</w:t>
            </w:r>
          </w:p>
        </w:tc>
        <w:tc>
          <w:tcPr>
            <w:tcW w:w="98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November 1, 2017</w:t>
            </w:r>
          </w:p>
        </w:tc>
        <w:tc>
          <w:tcPr>
            <w:tcW w:w="22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634"/>
        </w:trPr>
        <w:tc>
          <w:tcPr>
            <w:tcW w:w="35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90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2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2017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right="2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2017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2019-12-29T03:43:38Z</dcterms:created>
  <dcterms:modified xsi:type="dcterms:W3CDTF">2019-12-29T03:43:38Z</dcterms:modified>
</cp:coreProperties>
</file>