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391160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350520</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138" w:lineRule="exact"/>
        <w:rPr>
          <w:sz w:val="24"/>
          <w:szCs w:val="24"/>
          <w:color w:val="auto"/>
        </w:rPr>
      </w:pPr>
    </w:p>
    <w:p>
      <w:pPr>
        <w:ind w:left="360" w:hanging="340"/>
        <w:spacing w:after="0"/>
        <w:tabs>
          <w:tab w:leader="none" w:pos="3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30"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For the quarterly period ended March 31, 2022</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OR</w:t>
      </w:r>
    </w:p>
    <w:p>
      <w:pPr>
        <w:spacing w:after="0" w:line="132" w:lineRule="exact"/>
        <w:rPr>
          <w:sz w:val="24"/>
          <w:szCs w:val="24"/>
          <w:color w:val="auto"/>
        </w:rPr>
      </w:pPr>
    </w:p>
    <w:p>
      <w:pPr>
        <w:ind w:left="360" w:hanging="340"/>
        <w:spacing w:after="0"/>
        <w:tabs>
          <w:tab w:leader="none" w:pos="3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92" w:lineRule="exact"/>
        <w:rPr>
          <w:sz w:val="24"/>
          <w:szCs w:val="24"/>
          <w:color w:val="auto"/>
        </w:rPr>
      </w:pPr>
    </w:p>
    <w:p>
      <w:pPr>
        <w:ind w:left="4320"/>
        <w:spacing w:after="0"/>
        <w:tabs>
          <w:tab w:leader="none" w:pos="67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1-08325</w:t>
      </w:r>
    </w:p>
    <w:p>
      <w:pPr>
        <w:spacing w:after="0" w:line="111" w:lineRule="exact"/>
        <w:rPr>
          <w:sz w:val="24"/>
          <w:szCs w:val="24"/>
          <w:color w:val="auto"/>
        </w:rPr>
      </w:pPr>
    </w:p>
    <w:p>
      <w:pPr>
        <w:ind w:left="3260"/>
        <w:spacing w:after="0"/>
        <w:rPr>
          <w:sz w:val="20"/>
          <w:szCs w:val="20"/>
          <w:color w:val="auto"/>
        </w:rPr>
      </w:pPr>
      <w:r>
        <w:rPr>
          <w:rFonts w:ascii="Arial" w:cs="Arial" w:eastAsia="Arial" w:hAnsi="Arial"/>
          <w:sz w:val="15"/>
          <w:szCs w:val="15"/>
          <w:b w:val="1"/>
          <w:bCs w:val="1"/>
          <w:color w:val="auto"/>
        </w:rPr>
        <w:t>_____________________________________________________________</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MYR GROUP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spacing w:after="0" w:line="54" w:lineRule="exact"/>
        <w:rPr>
          <w:sz w:val="24"/>
          <w:szCs w:val="24"/>
          <w:color w:val="auto"/>
        </w:rPr>
      </w:pPr>
    </w:p>
    <w:tbl>
      <w:tblPr>
        <w:tblLayout w:type="fixed"/>
        <w:tblInd w:w="2140" w:type="dxa"/>
        <w:tblCellMar>
          <w:top w:w="0" w:type="dxa"/>
          <w:left w:w="0" w:type="dxa"/>
          <w:bottom w:w="0" w:type="dxa"/>
          <w:right w:w="0" w:type="dxa"/>
        </w:tblCellMar>
      </w:tblPr>
      <w:tr>
        <w:trPr>
          <w:trHeight w:val="202"/>
        </w:trPr>
        <w:tc>
          <w:tcPr>
            <w:tcW w:w="3520" w:type="dxa"/>
            <w:vAlign w:val="bottom"/>
          </w:tcPr>
          <w:p>
            <w:pPr>
              <w:jc w:val="center"/>
              <w:ind w:right="983"/>
              <w:spacing w:after="0"/>
              <w:rPr>
                <w:sz w:val="20"/>
                <w:szCs w:val="20"/>
                <w:color w:val="auto"/>
              </w:rPr>
            </w:pPr>
            <w:r>
              <w:rPr>
                <w:rFonts w:ascii="Arial" w:cs="Arial" w:eastAsia="Arial" w:hAnsi="Arial"/>
                <w:sz w:val="15"/>
                <w:szCs w:val="15"/>
                <w:b w:val="1"/>
                <w:bCs w:val="1"/>
                <w:color w:val="auto"/>
                <w:w w:val="94"/>
              </w:rPr>
              <w:t>Delaware</w:t>
            </w:r>
          </w:p>
        </w:tc>
        <w:tc>
          <w:tcPr>
            <w:tcW w:w="3320" w:type="dxa"/>
            <w:vAlign w:val="bottom"/>
          </w:tcPr>
          <w:p>
            <w:pPr>
              <w:jc w:val="right"/>
              <w:ind w:right="683"/>
              <w:spacing w:after="0"/>
              <w:rPr>
                <w:sz w:val="20"/>
                <w:szCs w:val="20"/>
                <w:color w:val="auto"/>
              </w:rPr>
            </w:pPr>
            <w:r>
              <w:rPr>
                <w:rFonts w:ascii="Arial" w:cs="Arial" w:eastAsia="Arial" w:hAnsi="Arial"/>
                <w:sz w:val="15"/>
                <w:szCs w:val="15"/>
                <w:b w:val="1"/>
                <w:bCs w:val="1"/>
                <w:color w:val="auto"/>
              </w:rPr>
              <w:t>36-3158643</w:t>
            </w:r>
          </w:p>
        </w:tc>
      </w:tr>
      <w:tr>
        <w:trPr>
          <w:trHeight w:val="217"/>
        </w:trPr>
        <w:tc>
          <w:tcPr>
            <w:tcW w:w="3520" w:type="dxa"/>
            <w:vAlign w:val="bottom"/>
          </w:tcPr>
          <w:p>
            <w:pPr>
              <w:jc w:val="center"/>
              <w:ind w:right="1023"/>
              <w:spacing w:after="0"/>
              <w:rPr>
                <w:sz w:val="20"/>
                <w:szCs w:val="20"/>
                <w:color w:val="auto"/>
              </w:rPr>
            </w:pPr>
            <w:r>
              <w:rPr>
                <w:rFonts w:ascii="Arial" w:cs="Arial" w:eastAsia="Arial" w:hAnsi="Arial"/>
                <w:sz w:val="15"/>
                <w:szCs w:val="15"/>
                <w:color w:val="auto"/>
                <w:w w:val="94"/>
              </w:rPr>
              <w:t>(State or other jurisdiction of</w:t>
            </w:r>
          </w:p>
        </w:tc>
        <w:tc>
          <w:tcPr>
            <w:tcW w:w="3320" w:type="dxa"/>
            <w:vAlign w:val="bottom"/>
          </w:tcPr>
          <w:p>
            <w:pPr>
              <w:jc w:val="center"/>
              <w:ind w:left="1003"/>
              <w:spacing w:after="0"/>
              <w:rPr>
                <w:sz w:val="20"/>
                <w:szCs w:val="20"/>
                <w:color w:val="auto"/>
              </w:rPr>
            </w:pPr>
            <w:r>
              <w:rPr>
                <w:rFonts w:ascii="Arial" w:cs="Arial" w:eastAsia="Arial" w:hAnsi="Arial"/>
                <w:sz w:val="15"/>
                <w:szCs w:val="15"/>
                <w:color w:val="auto"/>
                <w:w w:val="96"/>
              </w:rPr>
              <w:t>(I.R.S. Employer Identification No.)</w:t>
            </w:r>
          </w:p>
        </w:tc>
      </w:tr>
      <w:tr>
        <w:trPr>
          <w:trHeight w:val="196"/>
        </w:trPr>
        <w:tc>
          <w:tcPr>
            <w:tcW w:w="3520" w:type="dxa"/>
            <w:vAlign w:val="bottom"/>
          </w:tcPr>
          <w:p>
            <w:pPr>
              <w:jc w:val="center"/>
              <w:ind w:right="983"/>
              <w:spacing w:after="0"/>
              <w:rPr>
                <w:sz w:val="20"/>
                <w:szCs w:val="20"/>
                <w:color w:val="auto"/>
              </w:rPr>
            </w:pPr>
            <w:r>
              <w:rPr>
                <w:rFonts w:ascii="Arial" w:cs="Arial" w:eastAsia="Arial" w:hAnsi="Arial"/>
                <w:sz w:val="15"/>
                <w:szCs w:val="15"/>
                <w:color w:val="auto"/>
                <w:w w:val="95"/>
              </w:rPr>
              <w:t>incorporation or organization)</w:t>
            </w:r>
          </w:p>
        </w:tc>
        <w:tc>
          <w:tcPr>
            <w:tcW w:w="3320" w:type="dxa"/>
            <w:vAlign w:val="bottom"/>
          </w:tcPr>
          <w:p>
            <w:pPr>
              <w:spacing w:after="0"/>
              <w:rPr>
                <w:sz w:val="17"/>
                <w:szCs w:val="17"/>
                <w:color w:val="auto"/>
              </w:rPr>
            </w:pPr>
          </w:p>
        </w:tc>
      </w:tr>
      <w:tr>
        <w:trPr>
          <w:trHeight w:val="438"/>
        </w:trPr>
        <w:tc>
          <w:tcPr>
            <w:tcW w:w="3520" w:type="dxa"/>
            <w:vAlign w:val="bottom"/>
          </w:tcPr>
          <w:p>
            <w:pPr>
              <w:ind w:left="320"/>
              <w:spacing w:after="0"/>
              <w:rPr>
                <w:sz w:val="20"/>
                <w:szCs w:val="20"/>
                <w:color w:val="auto"/>
              </w:rPr>
            </w:pPr>
            <w:r>
              <w:rPr>
                <w:rFonts w:ascii="Arial" w:cs="Arial" w:eastAsia="Arial" w:hAnsi="Arial"/>
                <w:sz w:val="15"/>
                <w:szCs w:val="15"/>
                <w:b w:val="1"/>
                <w:bCs w:val="1"/>
                <w:color w:val="auto"/>
              </w:rPr>
              <w:t>12150 East 112th Avenue</w:t>
            </w:r>
          </w:p>
        </w:tc>
        <w:tc>
          <w:tcPr>
            <w:tcW w:w="3320" w:type="dxa"/>
            <w:vAlign w:val="bottom"/>
          </w:tcPr>
          <w:p>
            <w:pPr>
              <w:spacing w:after="0"/>
              <w:rPr>
                <w:sz w:val="24"/>
                <w:szCs w:val="24"/>
                <w:color w:val="auto"/>
              </w:rPr>
            </w:pPr>
          </w:p>
        </w:tc>
      </w:tr>
      <w:tr>
        <w:trPr>
          <w:trHeight w:val="258"/>
        </w:trPr>
        <w:tc>
          <w:tcPr>
            <w:tcW w:w="3520" w:type="dxa"/>
            <w:vAlign w:val="bottom"/>
          </w:tcPr>
          <w:p>
            <w:pPr>
              <w:ind w:left="420"/>
              <w:spacing w:after="0"/>
              <w:rPr>
                <w:sz w:val="20"/>
                <w:szCs w:val="20"/>
                <w:color w:val="auto"/>
              </w:rPr>
            </w:pPr>
            <w:r>
              <w:rPr>
                <w:rFonts w:ascii="Arial" w:cs="Arial" w:eastAsia="Arial" w:hAnsi="Arial"/>
                <w:sz w:val="15"/>
                <w:szCs w:val="15"/>
                <w:b w:val="1"/>
                <w:bCs w:val="1"/>
                <w:color w:val="auto"/>
              </w:rPr>
              <w:t xml:space="preserve">Henderson,  </w:t>
            </w:r>
            <w:r>
              <w:rPr>
                <w:rFonts w:ascii="Arial" w:cs="Arial" w:eastAsia="Arial" w:hAnsi="Arial"/>
                <w:sz w:val="17"/>
                <w:szCs w:val="17"/>
                <w:b w:val="1"/>
                <w:bCs w:val="1"/>
                <w:color w:val="auto"/>
              </w:rPr>
              <w:t>CO</w:t>
            </w:r>
          </w:p>
        </w:tc>
        <w:tc>
          <w:tcPr>
            <w:tcW w:w="3320" w:type="dxa"/>
            <w:vAlign w:val="bottom"/>
          </w:tcPr>
          <w:p>
            <w:pPr>
              <w:jc w:val="right"/>
              <w:ind w:right="863"/>
              <w:spacing w:after="0"/>
              <w:rPr>
                <w:sz w:val="20"/>
                <w:szCs w:val="20"/>
                <w:color w:val="auto"/>
              </w:rPr>
            </w:pPr>
            <w:r>
              <w:rPr>
                <w:rFonts w:ascii="Arial" w:cs="Arial" w:eastAsia="Arial" w:hAnsi="Arial"/>
                <w:sz w:val="15"/>
                <w:szCs w:val="15"/>
                <w:b w:val="1"/>
                <w:bCs w:val="1"/>
                <w:color w:val="auto"/>
              </w:rPr>
              <w:t>80640</w:t>
            </w:r>
          </w:p>
        </w:tc>
      </w:tr>
      <w:tr>
        <w:trPr>
          <w:trHeight w:val="245"/>
        </w:trPr>
        <w:tc>
          <w:tcPr>
            <w:tcW w:w="3520" w:type="dxa"/>
            <w:vAlign w:val="bottom"/>
          </w:tcPr>
          <w:p>
            <w:pPr>
              <w:jc w:val="center"/>
              <w:ind w:right="983"/>
              <w:spacing w:after="0"/>
              <w:rPr>
                <w:sz w:val="20"/>
                <w:szCs w:val="20"/>
                <w:color w:val="auto"/>
              </w:rPr>
            </w:pPr>
            <w:r>
              <w:rPr>
                <w:rFonts w:ascii="Arial" w:cs="Arial" w:eastAsia="Arial" w:hAnsi="Arial"/>
                <w:sz w:val="15"/>
                <w:szCs w:val="15"/>
                <w:color w:val="auto"/>
                <w:w w:val="95"/>
              </w:rPr>
              <w:t>(Address of principal executive offices)</w:t>
            </w:r>
          </w:p>
        </w:tc>
        <w:tc>
          <w:tcPr>
            <w:tcW w:w="3320" w:type="dxa"/>
            <w:vAlign w:val="bottom"/>
          </w:tcPr>
          <w:p>
            <w:pPr>
              <w:jc w:val="center"/>
              <w:ind w:left="1003"/>
              <w:spacing w:after="0"/>
              <w:rPr>
                <w:sz w:val="20"/>
                <w:szCs w:val="20"/>
                <w:color w:val="auto"/>
              </w:rPr>
            </w:pPr>
            <w:r>
              <w:rPr>
                <w:rFonts w:ascii="Arial" w:cs="Arial" w:eastAsia="Arial" w:hAnsi="Arial"/>
                <w:sz w:val="15"/>
                <w:szCs w:val="15"/>
                <w:color w:val="auto"/>
                <w:w w:val="95"/>
              </w:rPr>
              <w:t>(Zip Code)</w:t>
            </w:r>
          </w:p>
        </w:tc>
      </w:tr>
    </w:tbl>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(303) 286-8000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(Registrant’s telephone number, including area code)</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N/A</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8" w:lineRule="exact"/>
        <w:rPr>
          <w:sz w:val="24"/>
          <w:szCs w:val="24"/>
          <w:color w:val="auto"/>
        </w:rPr>
      </w:pPr>
    </w:p>
    <w:p>
      <w:pPr>
        <w:ind w:left="3260"/>
        <w:spacing w:after="0"/>
        <w:rPr>
          <w:sz w:val="20"/>
          <w:szCs w:val="20"/>
          <w:color w:val="auto"/>
        </w:rPr>
      </w:pPr>
      <w:r>
        <w:rPr>
          <w:rFonts w:ascii="Arial" w:cs="Arial" w:eastAsia="Arial" w:hAnsi="Arial"/>
          <w:sz w:val="15"/>
          <w:szCs w:val="15"/>
          <w:b w:val="1"/>
          <w:bCs w:val="1"/>
          <w:color w:val="auto"/>
        </w:rPr>
        <w:t>_____________________________________________________________</w:t>
      </w:r>
    </w:p>
    <w:p>
      <w:pPr>
        <w:spacing w:after="0" w:line="176" w:lineRule="exact"/>
        <w:rPr>
          <w:sz w:val="24"/>
          <w:szCs w:val="24"/>
          <w:color w:val="auto"/>
        </w:rPr>
      </w:pPr>
    </w:p>
    <w:p>
      <w:pPr>
        <w:ind w:left="32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31"/>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12"/>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MYRG</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The Nasdaq Stock Market, LLC</w:t>
            </w:r>
          </w:p>
        </w:tc>
      </w:tr>
      <w:tr>
        <w:trPr>
          <w:trHeight w:val="212"/>
        </w:trPr>
        <w:tc>
          <w:tcPr>
            <w:tcW w:w="468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(Nasdaq Global Market)</w:t>
            </w:r>
          </w:p>
        </w:tc>
      </w:tr>
    </w:tbl>
    <w:p>
      <w:pPr>
        <w:spacing w:after="0" w:line="198" w:lineRule="exact"/>
        <w:rPr>
          <w:sz w:val="24"/>
          <w:szCs w:val="24"/>
          <w:color w:val="auto"/>
        </w:rPr>
      </w:pPr>
    </w:p>
    <w:p>
      <w:pPr>
        <w:ind w:right="220" w:firstLine="309"/>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97" w:lineRule="exact"/>
        <w:rPr>
          <w:sz w:val="24"/>
          <w:szCs w:val="24"/>
          <w:color w:val="auto"/>
        </w:rPr>
      </w:pPr>
    </w:p>
    <w:p>
      <w:pPr>
        <w:ind w:right="600" w:firstLine="309"/>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84" w:lineRule="exact"/>
        <w:rPr>
          <w:sz w:val="24"/>
          <w:szCs w:val="24"/>
          <w:color w:val="auto"/>
        </w:rPr>
      </w:pPr>
    </w:p>
    <w:p>
      <w:pPr>
        <w:ind w:right="380" w:firstLine="309"/>
        <w:spacing w:after="0" w:line="32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960" w:type="dxa"/>
        <w:tblCellMar>
          <w:top w:w="0" w:type="dxa"/>
          <w:left w:w="0" w:type="dxa"/>
          <w:bottom w:w="0" w:type="dxa"/>
          <w:right w:w="0" w:type="dxa"/>
        </w:tblCellMar>
      </w:tblPr>
      <w:tr>
        <w:trPr>
          <w:trHeight w:val="232"/>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860" w:type="dxa"/>
            <w:vAlign w:val="bottom"/>
          </w:tcPr>
          <w:p>
            <w:pPr>
              <w:ind w:left="480"/>
              <w:spacing w:after="0"/>
              <w:rPr>
                <w:sz w:val="20"/>
                <w:szCs w:val="20"/>
                <w:color w:val="auto"/>
              </w:rPr>
            </w:pPr>
            <w:r>
              <w:rPr>
                <w:rFonts w:ascii="Arial" w:cs="Arial" w:eastAsia="Arial" w:hAnsi="Arial"/>
                <w:sz w:val="15"/>
                <w:szCs w:val="15"/>
                <w:color w:val="auto"/>
              </w:rPr>
              <w:t>x</w:t>
            </w:r>
          </w:p>
        </w:tc>
        <w:tc>
          <w:tcPr>
            <w:tcW w:w="3200" w:type="dxa"/>
            <w:vAlign w:val="bottom"/>
          </w:tcPr>
          <w:p>
            <w:pPr>
              <w:ind w:left="122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9"/>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186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200" w:type="dxa"/>
            <w:vAlign w:val="bottom"/>
          </w:tcPr>
          <w:p>
            <w:pPr>
              <w:ind w:left="122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18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200" w:type="dxa"/>
            <w:vAlign w:val="bottom"/>
          </w:tcPr>
          <w:p>
            <w:pPr>
              <w:ind w:left="1220"/>
              <w:spacing w:after="0"/>
              <w:rPr>
                <w:sz w:val="20"/>
                <w:szCs w:val="20"/>
                <w:color w:val="auto"/>
              </w:rPr>
            </w:pPr>
            <w:r>
              <w:rPr>
                <w:rFonts w:ascii="Arial" w:cs="Arial" w:eastAsia="Arial" w:hAnsi="Arial"/>
                <w:sz w:val="15"/>
                <w:szCs w:val="15"/>
                <w:color w:val="auto"/>
              </w:rPr>
              <w:t>Emerging growth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83" w:lineRule="exact"/>
        <w:rPr>
          <w:sz w:val="24"/>
          <w:szCs w:val="24"/>
          <w:color w:val="auto"/>
        </w:rPr>
      </w:pPr>
    </w:p>
    <w:p>
      <w:pPr>
        <w:ind w:right="200" w:firstLine="309"/>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6" w:lineRule="exact"/>
        <w:rPr>
          <w:sz w:val="24"/>
          <w:szCs w:val="24"/>
          <w:color w:val="auto"/>
        </w:rPr>
      </w:pPr>
    </w:p>
    <w:p>
      <w:pPr>
        <w:ind w:left="320" w:right="3120"/>
        <w:spacing w:after="0" w:line="27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x As of April 22, 2022, there were 17,004,490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563880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540" w:type="dxa"/>
            <w:vAlign w:val="bottom"/>
            <w:gridSpan w:val="10"/>
          </w:tcPr>
          <w:p>
            <w:pPr>
              <w:ind w:left="140"/>
              <w:spacing w:after="0"/>
              <w:rPr>
                <w:sz w:val="20"/>
                <w:szCs w:val="20"/>
                <w:color w:val="auto"/>
              </w:rPr>
            </w:pPr>
            <w:r>
              <w:rPr>
                <w:rFonts w:ascii="Arial" w:cs="Arial" w:eastAsia="Arial" w:hAnsi="Arial"/>
                <w:sz w:val="17"/>
                <w:szCs w:val="17"/>
                <w:b w:val="1"/>
                <w:bCs w:val="1"/>
                <w:color w:val="auto"/>
              </w:rPr>
              <w:t>INDEX</w:t>
            </w:r>
          </w:p>
        </w:tc>
        <w:tc>
          <w:tcPr>
            <w:tcW w:w="1500" w:type="dxa"/>
            <w:vAlign w:val="bottom"/>
          </w:tcPr>
          <w:p>
            <w:pPr>
              <w:spacing w:after="0"/>
              <w:rPr>
                <w:sz w:val="19"/>
                <w:szCs w:val="19"/>
                <w:color w:val="auto"/>
              </w:rPr>
            </w:pPr>
          </w:p>
        </w:tc>
      </w:tr>
      <w:tr>
        <w:trPr>
          <w:trHeight w:val="246"/>
        </w:trPr>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Page</w:t>
            </w:r>
          </w:p>
        </w:tc>
      </w:tr>
      <w:tr>
        <w:trPr>
          <w:trHeight w:val="193"/>
        </w:trPr>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720" w:type="dxa"/>
            <w:vAlign w:val="bottom"/>
            <w:gridSpan w:val="13"/>
            <w:shd w:val="clear" w:color="auto" w:fill="CCEEFF"/>
          </w:tcPr>
          <w:p>
            <w:pPr>
              <w:jc w:val="center"/>
              <w:ind w:right="1960"/>
              <w:spacing w:after="0" w:line="174" w:lineRule="exact"/>
              <w:rPr>
                <w:rFonts w:ascii="Arial" w:cs="Arial" w:eastAsia="Arial" w:hAnsi="Arial"/>
                <w:sz w:val="19"/>
                <w:szCs w:val="19"/>
                <w:b w:val="1"/>
                <w:bCs w:val="1"/>
                <w:color w:val="0000FF"/>
                <w:w w:val="94"/>
              </w:rPr>
            </w:pPr>
            <w:hyperlink w:anchor="page2">
              <w:r>
                <w:rPr>
                  <w:rFonts w:ascii="Arial" w:cs="Arial" w:eastAsia="Arial" w:hAnsi="Arial"/>
                  <w:sz w:val="19"/>
                  <w:szCs w:val="19"/>
                  <w:b w:val="1"/>
                  <w:bCs w:val="1"/>
                  <w:color w:val="0000FF"/>
                  <w:w w:val="94"/>
                </w:rPr>
                <w:t>Part I—Financial Information</w:t>
              </w:r>
            </w:hyperlink>
          </w:p>
        </w:tc>
        <w:tc>
          <w:tcPr>
            <w:tcW w:w="1500" w:type="dxa"/>
            <w:vAlign w:val="bottom"/>
            <w:shd w:val="clear" w:color="auto" w:fill="CCEEFF"/>
          </w:tcPr>
          <w:p>
            <w:pPr>
              <w:spacing w:after="0"/>
              <w:rPr>
                <w:sz w:val="16"/>
                <w:szCs w:val="16"/>
                <w:color w:val="auto"/>
              </w:rPr>
            </w:pPr>
          </w:p>
        </w:tc>
      </w:tr>
      <w:tr>
        <w:trPr>
          <w:trHeight w:val="193"/>
        </w:trPr>
        <w:tc>
          <w:tcPr>
            <w:tcW w:w="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gridSpan w:val="5"/>
          </w:tcPr>
          <w:p>
            <w:pPr>
              <w:ind w:left="80"/>
              <w:spacing w:after="0" w:line="193" w:lineRule="exact"/>
              <w:rPr>
                <w:rFonts w:ascii="Arial" w:cs="Arial" w:eastAsia="Arial" w:hAnsi="Arial"/>
                <w:sz w:val="19"/>
                <w:szCs w:val="19"/>
                <w:color w:val="0000FF"/>
              </w:rPr>
            </w:pPr>
            <w:hyperlink w:anchor="page3">
              <w:r>
                <w:rPr>
                  <w:rFonts w:ascii="Arial" w:cs="Arial" w:eastAsia="Arial" w:hAnsi="Arial"/>
                  <w:sz w:val="19"/>
                  <w:szCs w:val="19"/>
                  <w:color w:val="0000FF"/>
                </w:rPr>
                <w:t>Item 1.</w:t>
              </w:r>
            </w:hyperlink>
          </w:p>
        </w:tc>
        <w:tc>
          <w:tcPr>
            <w:tcW w:w="3120" w:type="dxa"/>
            <w:vAlign w:val="bottom"/>
            <w:tcBorders>
              <w:top w:val="single" w:sz="8" w:color="CCEEFF"/>
            </w:tcBorders>
            <w:gridSpan w:val="8"/>
          </w:tcPr>
          <w:p>
            <w:pPr>
              <w:spacing w:after="0" w:line="193" w:lineRule="exact"/>
              <w:rPr>
                <w:rFonts w:ascii="Arial" w:cs="Arial" w:eastAsia="Arial" w:hAnsi="Arial"/>
                <w:sz w:val="19"/>
                <w:szCs w:val="19"/>
                <w:color w:val="0000FF"/>
              </w:rPr>
            </w:pPr>
            <w:hyperlink w:anchor="page3">
              <w:r>
                <w:rPr>
                  <w:rFonts w:ascii="Arial" w:cs="Arial" w:eastAsia="Arial" w:hAnsi="Arial"/>
                  <w:sz w:val="19"/>
                  <w:szCs w:val="19"/>
                  <w:color w:val="0000FF"/>
                </w:rPr>
                <w:t>Financial Statements</w:t>
              </w:r>
            </w:hyperlink>
          </w:p>
        </w:tc>
        <w:tc>
          <w:tcPr>
            <w:tcW w:w="2440" w:type="dxa"/>
            <w:vAlign w:val="bottom"/>
            <w:tcBorders>
              <w:top w:val="single" w:sz="8" w:color="0000FF"/>
            </w:tcBorders>
            <w:gridSpan w:val="6"/>
          </w:tcPr>
          <w:p>
            <w:pPr>
              <w:spacing w:after="0"/>
              <w:rPr>
                <w:sz w:val="16"/>
                <w:szCs w:val="16"/>
                <w:color w:val="auto"/>
              </w:rPr>
            </w:pPr>
          </w:p>
        </w:tc>
        <w:tc>
          <w:tcPr>
            <w:tcW w:w="3120" w:type="dxa"/>
            <w:vAlign w:val="bottom"/>
            <w:tcBorders>
              <w:top w:val="single" w:sz="8" w:color="CCEEFF"/>
            </w:tcBorders>
            <w:gridSpan w:val="6"/>
          </w:tcPr>
          <w:p>
            <w:pPr>
              <w:spacing w:after="0"/>
              <w:rPr>
                <w:sz w:val="16"/>
                <w:szCs w:val="16"/>
                <w:color w:val="auto"/>
              </w:rPr>
            </w:pPr>
          </w:p>
        </w:tc>
        <w:tc>
          <w:tcPr>
            <w:tcW w:w="1500" w:type="dxa"/>
            <w:vAlign w:val="bottom"/>
            <w:tcBorders>
              <w:top w:val="single" w:sz="8" w:color="CCEEFF"/>
            </w:tcBorders>
          </w:tcPr>
          <w:p>
            <w:pPr>
              <w:jc w:val="right"/>
              <w:spacing w:after="0" w:line="194" w:lineRule="exact"/>
              <w:rPr>
                <w:rFonts w:ascii="Arial" w:cs="Arial" w:eastAsia="Arial" w:hAnsi="Arial"/>
                <w:sz w:val="17"/>
                <w:szCs w:val="17"/>
                <w:color w:val="auto"/>
              </w:rPr>
            </w:pPr>
            <w:hyperlink w:anchor="page3">
              <w:r>
                <w:rPr>
                  <w:rFonts w:ascii="Arial" w:cs="Arial" w:eastAsia="Arial" w:hAnsi="Arial"/>
                  <w:sz w:val="17"/>
                  <w:szCs w:val="17"/>
                  <w:color w:val="auto"/>
                </w:rPr>
                <w:t>2</w:t>
              </w:r>
            </w:hyperlink>
          </w:p>
        </w:tc>
      </w:tr>
      <w:tr>
        <w:trPr>
          <w:trHeight w:val="29"/>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80" w:type="dxa"/>
            <w:vAlign w:val="bottom"/>
            <w:gridSpan w:val="20"/>
            <w:shd w:val="clear" w:color="auto" w:fill="CCEEFF"/>
          </w:tcPr>
          <w:p>
            <w:pPr>
              <w:spacing w:after="0" w:line="203" w:lineRule="exact"/>
              <w:rPr>
                <w:rFonts w:ascii="Arial" w:cs="Arial" w:eastAsia="Arial" w:hAnsi="Arial"/>
                <w:sz w:val="19"/>
                <w:szCs w:val="19"/>
                <w:color w:val="0000FF"/>
              </w:rPr>
            </w:pPr>
            <w:hyperlink w:anchor="page3">
              <w:r>
                <w:rPr>
                  <w:rFonts w:ascii="Arial" w:cs="Arial" w:eastAsia="Arial" w:hAnsi="Arial"/>
                  <w:sz w:val="19"/>
                  <w:szCs w:val="19"/>
                  <w:color w:val="0000FF"/>
                </w:rPr>
                <w:t xml:space="preserve">Consolidated Balance Sheets as of </w:t>
              </w:r>
            </w:hyperlink>
            <w:r>
              <w:rPr>
                <w:rFonts w:ascii="Arial" w:cs="Arial" w:eastAsia="Arial" w:hAnsi="Arial"/>
                <w:sz w:val="19"/>
                <w:szCs w:val="19"/>
                <w:color w:val="0000FF"/>
              </w:rPr>
              <w:t xml:space="preserve">March 31, 2022 </w:t>
            </w:r>
            <w:hyperlink w:anchor="page3">
              <w:r>
                <w:rPr>
                  <w:rFonts w:ascii="Arial" w:cs="Arial" w:eastAsia="Arial" w:hAnsi="Arial"/>
                  <w:sz w:val="19"/>
                  <w:szCs w:val="19"/>
                  <w:color w:val="0000FF"/>
                </w:rPr>
                <w:t xml:space="preserve">(unaudited) and </w:t>
              </w:r>
            </w:hyperlink>
            <w:r>
              <w:rPr>
                <w:rFonts w:ascii="Arial" w:cs="Arial" w:eastAsia="Arial" w:hAnsi="Arial"/>
                <w:sz w:val="19"/>
                <w:szCs w:val="19"/>
                <w:color w:val="0000FF"/>
              </w:rPr>
              <w:t>December 31, 2021</w:t>
            </w:r>
          </w:p>
        </w:tc>
        <w:tc>
          <w:tcPr>
            <w:tcW w:w="1500" w:type="dxa"/>
            <w:vAlign w:val="bottom"/>
            <w:shd w:val="clear" w:color="auto" w:fill="CCEEFF"/>
          </w:tcPr>
          <w:p>
            <w:pPr>
              <w:jc w:val="right"/>
              <w:spacing w:after="0"/>
              <w:rPr>
                <w:rFonts w:ascii="Arial" w:cs="Arial" w:eastAsia="Arial" w:hAnsi="Arial"/>
                <w:sz w:val="17"/>
                <w:szCs w:val="17"/>
                <w:color w:val="auto"/>
              </w:rPr>
            </w:pPr>
            <w:hyperlink w:anchor="page3">
              <w:r>
                <w:rPr>
                  <w:rFonts w:ascii="Arial" w:cs="Arial" w:eastAsia="Arial" w:hAnsi="Arial"/>
                  <w:sz w:val="17"/>
                  <w:szCs w:val="17"/>
                  <w:color w:val="auto"/>
                </w:rPr>
                <w:t>2</w:t>
              </w:r>
            </w:hyperlink>
          </w:p>
        </w:tc>
      </w:tr>
      <w:tr>
        <w:trPr>
          <w:trHeight w:val="39"/>
        </w:trPr>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r>
      <w:tr>
        <w:trPr>
          <w:trHeight w:val="193"/>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80" w:type="dxa"/>
            <w:vAlign w:val="bottom"/>
            <w:gridSpan w:val="20"/>
          </w:tcPr>
          <w:p>
            <w:pPr>
              <w:spacing w:after="0" w:line="193" w:lineRule="exact"/>
              <w:rPr>
                <w:rFonts w:ascii="Arial" w:cs="Arial" w:eastAsia="Arial" w:hAnsi="Arial"/>
                <w:sz w:val="19"/>
                <w:szCs w:val="19"/>
                <w:color w:val="0000FF"/>
                <w:w w:val="95"/>
              </w:rPr>
            </w:pPr>
            <w:hyperlink w:anchor="page3">
              <w:r>
                <w:rPr>
                  <w:rFonts w:ascii="Arial" w:cs="Arial" w:eastAsia="Arial" w:hAnsi="Arial"/>
                  <w:sz w:val="19"/>
                  <w:szCs w:val="19"/>
                  <w:color w:val="0000FF"/>
                  <w:w w:val="95"/>
                </w:rPr>
                <w:t xml:space="preserve">Unaudited Consolidated Statements of Operations and Comprehensive Income for the </w:t>
              </w:r>
            </w:hyperlink>
            <w:r>
              <w:rPr>
                <w:rFonts w:ascii="Arial" w:cs="Arial" w:eastAsia="Arial" w:hAnsi="Arial"/>
                <w:sz w:val="19"/>
                <w:szCs w:val="19"/>
                <w:color w:val="0000FF"/>
                <w:w w:val="95"/>
              </w:rPr>
              <w:t xml:space="preserve">Three </w:t>
            </w:r>
            <w:hyperlink w:anchor="page3">
              <w:r>
                <w:rPr>
                  <w:rFonts w:ascii="Arial" w:cs="Arial" w:eastAsia="Arial" w:hAnsi="Arial"/>
                  <w:sz w:val="19"/>
                  <w:szCs w:val="19"/>
                  <w:color w:val="0000FF"/>
                  <w:w w:val="95"/>
                </w:rPr>
                <w:t>Months Ended</w:t>
              </w:r>
            </w:hyperlink>
          </w:p>
        </w:tc>
        <w:tc>
          <w:tcPr>
            <w:tcW w:w="1500" w:type="dxa"/>
            <w:vAlign w:val="bottom"/>
          </w:tcPr>
          <w:p>
            <w:pPr>
              <w:jc w:val="right"/>
              <w:spacing w:after="0" w:line="194" w:lineRule="exact"/>
              <w:rPr>
                <w:rFonts w:ascii="Arial" w:cs="Arial" w:eastAsia="Arial" w:hAnsi="Arial"/>
                <w:sz w:val="17"/>
                <w:szCs w:val="17"/>
                <w:color w:val="auto"/>
              </w:rPr>
            </w:pPr>
            <w:hyperlink w:anchor="page3">
              <w:r>
                <w:rPr>
                  <w:rFonts w:ascii="Arial" w:cs="Arial" w:eastAsia="Arial" w:hAnsi="Arial"/>
                  <w:sz w:val="17"/>
                  <w:szCs w:val="17"/>
                  <w:color w:val="auto"/>
                </w:rPr>
                <w:t>3</w:t>
              </w:r>
            </w:hyperlink>
          </w:p>
        </w:tc>
      </w:tr>
      <w:tr>
        <w:trPr>
          <w:trHeight w:val="170"/>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7"/>
          </w:tcPr>
          <w:p>
            <w:pPr>
              <w:spacing w:after="0" w:line="161" w:lineRule="exact"/>
              <w:rPr>
                <w:rFonts w:ascii="Arial" w:cs="Arial" w:eastAsia="Arial" w:hAnsi="Arial"/>
                <w:sz w:val="18"/>
                <w:szCs w:val="18"/>
                <w:color w:val="0000FF"/>
                <w:w w:val="94"/>
              </w:rPr>
            </w:pPr>
            <w:r>
              <w:rPr>
                <w:rFonts w:ascii="Arial" w:cs="Arial" w:eastAsia="Arial" w:hAnsi="Arial"/>
                <w:sz w:val="18"/>
                <w:szCs w:val="18"/>
                <w:color w:val="0000FF"/>
                <w:w w:val="94"/>
              </w:rPr>
              <w:t xml:space="preserve">March 31, 2022 </w:t>
            </w:r>
            <w:hyperlink w:anchor="page3">
              <w:r>
                <w:rPr>
                  <w:rFonts w:ascii="Arial" w:cs="Arial" w:eastAsia="Arial" w:hAnsi="Arial"/>
                  <w:sz w:val="18"/>
                  <w:szCs w:val="18"/>
                  <w:color w:val="0000FF"/>
                  <w:w w:val="94"/>
                </w:rPr>
                <w:t xml:space="preserve">and </w:t>
              </w:r>
            </w:hyperlink>
            <w:r>
              <w:rPr>
                <w:rFonts w:ascii="Arial" w:cs="Arial" w:eastAsia="Arial" w:hAnsi="Arial"/>
                <w:sz w:val="18"/>
                <w:szCs w:val="18"/>
                <w:color w:val="0000FF"/>
                <w:w w:val="94"/>
              </w:rPr>
              <w:t>2021</w:t>
            </w:r>
          </w:p>
        </w:tc>
        <w:tc>
          <w:tcPr>
            <w:tcW w:w="6180" w:type="dxa"/>
            <w:vAlign w:val="bottom"/>
            <w:tcBorders>
              <w:top w:val="single" w:sz="8" w:color="0000FF"/>
            </w:tcBorders>
            <w:gridSpan w:val="11"/>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80" w:type="dxa"/>
            <w:vAlign w:val="bottom"/>
            <w:gridSpan w:val="20"/>
            <w:shd w:val="clear" w:color="auto" w:fill="CCEEFF"/>
          </w:tcPr>
          <w:p>
            <w:pPr>
              <w:spacing w:after="0" w:line="203" w:lineRule="exact"/>
              <w:rPr>
                <w:rFonts w:ascii="Arial" w:cs="Arial" w:eastAsia="Arial" w:hAnsi="Arial"/>
                <w:sz w:val="19"/>
                <w:szCs w:val="19"/>
                <w:color w:val="0000FF"/>
                <w:w w:val="94"/>
              </w:rPr>
            </w:pPr>
            <w:hyperlink w:anchor="page4">
              <w:r>
                <w:rPr>
                  <w:rFonts w:ascii="Arial" w:cs="Arial" w:eastAsia="Arial" w:hAnsi="Arial"/>
                  <w:sz w:val="19"/>
                  <w:szCs w:val="19"/>
                  <w:color w:val="0000FF"/>
                  <w:w w:val="94"/>
                </w:rPr>
                <w:t xml:space="preserve">Unaudited Consolidated Statements of Stockholders’ Equity for the </w:t>
              </w:r>
            </w:hyperlink>
            <w:r>
              <w:rPr>
                <w:rFonts w:ascii="Arial" w:cs="Arial" w:eastAsia="Arial" w:hAnsi="Arial"/>
                <w:sz w:val="19"/>
                <w:szCs w:val="19"/>
                <w:color w:val="0000FF"/>
                <w:w w:val="94"/>
              </w:rPr>
              <w:t xml:space="preserve">Three </w:t>
            </w:r>
            <w:hyperlink w:anchor="page4">
              <w:r>
                <w:rPr>
                  <w:rFonts w:ascii="Arial" w:cs="Arial" w:eastAsia="Arial" w:hAnsi="Arial"/>
                  <w:sz w:val="19"/>
                  <w:szCs w:val="19"/>
                  <w:color w:val="0000FF"/>
                  <w:w w:val="94"/>
                </w:rPr>
                <w:t xml:space="preserve">Months Ended </w:t>
              </w:r>
            </w:hyperlink>
            <w:r>
              <w:rPr>
                <w:rFonts w:ascii="Arial" w:cs="Arial" w:eastAsia="Arial" w:hAnsi="Arial"/>
                <w:sz w:val="19"/>
                <w:szCs w:val="19"/>
                <w:color w:val="0000FF"/>
                <w:w w:val="94"/>
              </w:rPr>
              <w:t xml:space="preserve">March 31, 2022 </w:t>
            </w:r>
            <w:hyperlink w:anchor="page4">
              <w:r>
                <w:rPr>
                  <w:rFonts w:ascii="Arial" w:cs="Arial" w:eastAsia="Arial" w:hAnsi="Arial"/>
                  <w:sz w:val="19"/>
                  <w:szCs w:val="19"/>
                  <w:color w:val="0000FF"/>
                  <w:w w:val="94"/>
                </w:rPr>
                <w:t>and</w:t>
              </w:r>
            </w:hyperlink>
          </w:p>
        </w:tc>
        <w:tc>
          <w:tcPr>
            <w:tcW w:w="1500" w:type="dxa"/>
            <w:vAlign w:val="bottom"/>
            <w:shd w:val="clear" w:color="auto" w:fill="CCEEFF"/>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160"/>
        </w:trPr>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0000FF"/>
            </w:tcBorders>
            <w:gridSpan w:val="2"/>
            <w:shd w:val="clear" w:color="auto" w:fill="CCEEFF"/>
          </w:tcPr>
          <w:p>
            <w:pPr>
              <w:spacing w:after="0" w:line="161" w:lineRule="exact"/>
              <w:rPr>
                <w:sz w:val="20"/>
                <w:szCs w:val="20"/>
                <w:color w:val="auto"/>
              </w:rPr>
            </w:pPr>
            <w:r>
              <w:rPr>
                <w:rFonts w:ascii="Arial" w:cs="Arial" w:eastAsia="Arial" w:hAnsi="Arial"/>
                <w:sz w:val="18"/>
                <w:szCs w:val="18"/>
                <w:color w:val="0000FF"/>
              </w:rPr>
              <w:t>2021</w:t>
            </w:r>
          </w:p>
        </w:tc>
        <w:tc>
          <w:tcPr>
            <w:tcW w:w="32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16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92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0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26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r>
      <w:tr>
        <w:trPr>
          <w:trHeight w:val="39"/>
        </w:trPr>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40" w:type="dxa"/>
            <w:vAlign w:val="bottom"/>
            <w:tcBorders>
              <w:bottom w:val="single" w:sz="8" w:color="0000FF"/>
            </w:tcBorders>
            <w:gridSpan w:val="17"/>
          </w:tcPr>
          <w:p>
            <w:pPr>
              <w:spacing w:after="0" w:line="193" w:lineRule="exact"/>
              <w:rPr>
                <w:rFonts w:ascii="Arial" w:cs="Arial" w:eastAsia="Arial" w:hAnsi="Arial"/>
                <w:sz w:val="19"/>
                <w:szCs w:val="19"/>
                <w:color w:val="0000FF"/>
                <w:w w:val="89"/>
              </w:rPr>
            </w:pPr>
            <w:hyperlink w:anchor="page5">
              <w:r>
                <w:rPr>
                  <w:rFonts w:ascii="Arial" w:cs="Arial" w:eastAsia="Arial" w:hAnsi="Arial"/>
                  <w:sz w:val="19"/>
                  <w:szCs w:val="19"/>
                  <w:color w:val="0000FF"/>
                  <w:w w:val="89"/>
                </w:rPr>
                <w:t xml:space="preserve">Unaudited Consolidated Statements of Cash Flows for the </w:t>
              </w:r>
            </w:hyperlink>
            <w:r>
              <w:rPr>
                <w:rFonts w:ascii="Arial" w:cs="Arial" w:eastAsia="Arial" w:hAnsi="Arial"/>
                <w:sz w:val="19"/>
                <w:szCs w:val="19"/>
                <w:color w:val="0000FF"/>
                <w:w w:val="89"/>
              </w:rPr>
              <w:t xml:space="preserve">Three Months Ended March 31, 2022 </w:t>
            </w:r>
            <w:hyperlink w:anchor="page5">
              <w:r>
                <w:rPr>
                  <w:rFonts w:ascii="Arial" w:cs="Arial" w:eastAsia="Arial" w:hAnsi="Arial"/>
                  <w:sz w:val="19"/>
                  <w:szCs w:val="19"/>
                  <w:color w:val="0000FF"/>
                  <w:w w:val="89"/>
                </w:rPr>
                <w:t xml:space="preserve">and </w:t>
              </w:r>
            </w:hyperlink>
            <w:r>
              <w:rPr>
                <w:rFonts w:ascii="Arial" w:cs="Arial" w:eastAsia="Arial" w:hAnsi="Arial"/>
                <w:sz w:val="19"/>
                <w:szCs w:val="19"/>
                <w:color w:val="0000FF"/>
                <w:w w:val="89"/>
              </w:rPr>
              <w:t>2021</w:t>
            </w:r>
          </w:p>
        </w:tc>
        <w:tc>
          <w:tcPr>
            <w:tcW w:w="640" w:type="dxa"/>
            <w:vAlign w:val="bottom"/>
            <w:gridSpan w:val="3"/>
          </w:tcPr>
          <w:p>
            <w:pPr>
              <w:spacing w:after="0"/>
              <w:rPr>
                <w:sz w:val="17"/>
                <w:szCs w:val="17"/>
                <w:color w:val="auto"/>
              </w:rPr>
            </w:pPr>
          </w:p>
        </w:tc>
        <w:tc>
          <w:tcPr>
            <w:tcW w:w="1500" w:type="dxa"/>
            <w:vAlign w:val="bottom"/>
          </w:tcPr>
          <w:p>
            <w:pPr>
              <w:jc w:val="right"/>
              <w:spacing w:after="0" w:line="194" w:lineRule="exact"/>
              <w:rPr>
                <w:rFonts w:ascii="Arial" w:cs="Arial" w:eastAsia="Arial" w:hAnsi="Arial"/>
                <w:sz w:val="17"/>
                <w:szCs w:val="17"/>
                <w:color w:val="auto"/>
              </w:rPr>
            </w:pPr>
            <w:hyperlink w:anchor="page5">
              <w:r>
                <w:rPr>
                  <w:rFonts w:ascii="Arial" w:cs="Arial" w:eastAsia="Arial" w:hAnsi="Arial"/>
                  <w:sz w:val="17"/>
                  <w:szCs w:val="17"/>
                  <w:color w:val="auto"/>
                </w:rPr>
                <w:t>5</w:t>
              </w:r>
            </w:hyperlink>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80" w:type="dxa"/>
            <w:vAlign w:val="bottom"/>
            <w:gridSpan w:val="20"/>
            <w:shd w:val="clear" w:color="auto" w:fill="CCEEFF"/>
          </w:tcPr>
          <w:p>
            <w:pPr>
              <w:spacing w:after="0" w:line="203" w:lineRule="exact"/>
              <w:rPr>
                <w:rFonts w:ascii="Arial" w:cs="Arial" w:eastAsia="Arial" w:hAnsi="Arial"/>
                <w:sz w:val="19"/>
                <w:szCs w:val="19"/>
                <w:color w:val="0000FF"/>
              </w:rPr>
            </w:pPr>
            <w:hyperlink w:anchor="page6">
              <w:r>
                <w:rPr>
                  <w:rFonts w:ascii="Arial" w:cs="Arial" w:eastAsia="Arial" w:hAnsi="Arial"/>
                  <w:sz w:val="19"/>
                  <w:szCs w:val="19"/>
                  <w:color w:val="0000FF"/>
                </w:rPr>
                <w:t>Notes to Unaudited Consolidated Financial Statements</w:t>
              </w:r>
            </w:hyperlink>
          </w:p>
        </w:tc>
        <w:tc>
          <w:tcPr>
            <w:tcW w:w="1500" w:type="dxa"/>
            <w:vAlign w:val="bottom"/>
            <w:shd w:val="clear" w:color="auto" w:fill="CCEEFF"/>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39"/>
        </w:trPr>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r>
      <w:tr>
        <w:trPr>
          <w:trHeight w:val="203"/>
        </w:trPr>
        <w:tc>
          <w:tcPr>
            <w:tcW w:w="60" w:type="dxa"/>
            <w:vAlign w:val="bottom"/>
          </w:tcPr>
          <w:p>
            <w:pPr>
              <w:spacing w:after="0"/>
              <w:rPr>
                <w:sz w:val="17"/>
                <w:szCs w:val="17"/>
                <w:color w:val="auto"/>
              </w:rPr>
            </w:pPr>
          </w:p>
        </w:tc>
        <w:tc>
          <w:tcPr>
            <w:tcW w:w="540" w:type="dxa"/>
            <w:vAlign w:val="bottom"/>
            <w:gridSpan w:val="2"/>
          </w:tcPr>
          <w:p>
            <w:pPr>
              <w:spacing w:after="0" w:line="193" w:lineRule="exact"/>
              <w:rPr>
                <w:rFonts w:ascii="Arial" w:cs="Arial" w:eastAsia="Arial" w:hAnsi="Arial"/>
                <w:sz w:val="19"/>
                <w:szCs w:val="19"/>
                <w:color w:val="0000FF"/>
                <w:w w:val="89"/>
              </w:rPr>
            </w:pPr>
            <w:hyperlink w:anchor="page22">
              <w:r>
                <w:rPr>
                  <w:rFonts w:ascii="Arial" w:cs="Arial" w:eastAsia="Arial" w:hAnsi="Arial"/>
                  <w:sz w:val="19"/>
                  <w:szCs w:val="19"/>
                  <w:color w:val="0000FF"/>
                  <w:w w:val="89"/>
                </w:rPr>
                <w:t>Item 2.</w:t>
              </w:r>
            </w:hyperlink>
          </w:p>
        </w:tc>
        <w:tc>
          <w:tcPr>
            <w:tcW w:w="460" w:type="dxa"/>
            <w:vAlign w:val="bottom"/>
            <w:gridSpan w:val="3"/>
          </w:tcPr>
          <w:p>
            <w:pPr>
              <w:spacing w:after="0"/>
              <w:rPr>
                <w:sz w:val="17"/>
                <w:szCs w:val="17"/>
                <w:color w:val="auto"/>
              </w:rPr>
            </w:pPr>
          </w:p>
        </w:tc>
        <w:tc>
          <w:tcPr>
            <w:tcW w:w="8680" w:type="dxa"/>
            <w:vAlign w:val="bottom"/>
            <w:gridSpan w:val="20"/>
          </w:tcPr>
          <w:p>
            <w:pPr>
              <w:spacing w:after="0" w:line="193" w:lineRule="exact"/>
              <w:rPr>
                <w:rFonts w:ascii="Arial" w:cs="Arial" w:eastAsia="Arial" w:hAnsi="Arial"/>
                <w:sz w:val="19"/>
                <w:szCs w:val="19"/>
                <w:color w:val="0000FF"/>
              </w:rPr>
            </w:pPr>
            <w:hyperlink w:anchor="page22">
              <w:r>
                <w:rPr>
                  <w:rFonts w:ascii="Arial" w:cs="Arial" w:eastAsia="Arial" w:hAnsi="Arial"/>
                  <w:sz w:val="19"/>
                  <w:szCs w:val="19"/>
                  <w:color w:val="0000FF"/>
                </w:rPr>
                <w:t>Management’s Discussion and Analysis of Financial Condition and Results of Operations</w:t>
              </w:r>
            </w:hyperlink>
          </w:p>
        </w:tc>
        <w:tc>
          <w:tcPr>
            <w:tcW w:w="1500" w:type="dxa"/>
            <w:vAlign w:val="bottom"/>
          </w:tcPr>
          <w:p>
            <w:pPr>
              <w:jc w:val="right"/>
              <w:spacing w:after="0" w:line="194" w:lineRule="exact"/>
              <w:rPr>
                <w:rFonts w:ascii="Arial" w:cs="Arial" w:eastAsia="Arial" w:hAnsi="Arial"/>
                <w:sz w:val="17"/>
                <w:szCs w:val="17"/>
                <w:color w:val="auto"/>
              </w:rPr>
            </w:pPr>
            <w:hyperlink w:anchor="page22">
              <w:r>
                <w:rPr>
                  <w:rFonts w:ascii="Arial" w:cs="Arial" w:eastAsia="Arial" w:hAnsi="Arial"/>
                  <w:sz w:val="17"/>
                  <w:szCs w:val="17"/>
                  <w:color w:val="auto"/>
                </w:rPr>
                <w:t>22</w:t>
              </w:r>
            </w:hyperlink>
          </w:p>
        </w:tc>
      </w:tr>
      <w:tr>
        <w:trPr>
          <w:trHeight w:val="221"/>
        </w:trPr>
        <w:tc>
          <w:tcPr>
            <w:tcW w:w="60" w:type="dxa"/>
            <w:vAlign w:val="bottom"/>
            <w:shd w:val="clear" w:color="auto" w:fill="CCEEFF"/>
          </w:tcPr>
          <w:p>
            <w:pPr>
              <w:spacing w:after="0"/>
              <w:rPr>
                <w:sz w:val="19"/>
                <w:szCs w:val="19"/>
                <w:color w:val="auto"/>
              </w:rPr>
            </w:pPr>
          </w:p>
        </w:tc>
        <w:tc>
          <w:tcPr>
            <w:tcW w:w="540" w:type="dxa"/>
            <w:vAlign w:val="bottom"/>
            <w:tcBorders>
              <w:top w:val="single" w:sz="8" w:color="0000FF"/>
            </w:tcBorders>
            <w:gridSpan w:val="2"/>
            <w:shd w:val="clear" w:color="auto" w:fill="CCEEFF"/>
          </w:tcPr>
          <w:p>
            <w:pPr>
              <w:spacing w:after="0" w:line="203" w:lineRule="exact"/>
              <w:rPr>
                <w:rFonts w:ascii="Arial" w:cs="Arial" w:eastAsia="Arial" w:hAnsi="Arial"/>
                <w:sz w:val="19"/>
                <w:szCs w:val="19"/>
                <w:color w:val="0000FF"/>
                <w:w w:val="89"/>
              </w:rPr>
            </w:pPr>
            <w:hyperlink w:anchor="page33">
              <w:r>
                <w:rPr>
                  <w:rFonts w:ascii="Arial" w:cs="Arial" w:eastAsia="Arial" w:hAnsi="Arial"/>
                  <w:sz w:val="19"/>
                  <w:szCs w:val="19"/>
                  <w:color w:val="0000FF"/>
                  <w:w w:val="89"/>
                </w:rPr>
                <w:t>Item 3.</w:t>
              </w:r>
            </w:hyperlink>
          </w:p>
        </w:tc>
        <w:tc>
          <w:tcPr>
            <w:tcW w:w="460" w:type="dxa"/>
            <w:vAlign w:val="bottom"/>
            <w:gridSpan w:val="3"/>
            <w:shd w:val="clear" w:color="auto" w:fill="CCEEFF"/>
          </w:tcPr>
          <w:p>
            <w:pPr>
              <w:spacing w:after="0"/>
              <w:rPr>
                <w:sz w:val="19"/>
                <w:szCs w:val="19"/>
                <w:color w:val="auto"/>
              </w:rPr>
            </w:pPr>
          </w:p>
        </w:tc>
        <w:tc>
          <w:tcPr>
            <w:tcW w:w="6780" w:type="dxa"/>
            <w:vAlign w:val="bottom"/>
            <w:tcBorders>
              <w:top w:val="single" w:sz="8" w:color="0000FF"/>
            </w:tcBorders>
            <w:gridSpan w:val="16"/>
            <w:shd w:val="clear" w:color="auto" w:fill="CCEEFF"/>
          </w:tcPr>
          <w:p>
            <w:pPr>
              <w:spacing w:after="0" w:line="203" w:lineRule="exact"/>
              <w:rPr>
                <w:rFonts w:ascii="Arial" w:cs="Arial" w:eastAsia="Arial" w:hAnsi="Arial"/>
                <w:sz w:val="19"/>
                <w:szCs w:val="19"/>
                <w:color w:val="0000FF"/>
              </w:rPr>
            </w:pPr>
            <w:hyperlink w:anchor="page33">
              <w:r>
                <w:rPr>
                  <w:rFonts w:ascii="Arial" w:cs="Arial" w:eastAsia="Arial" w:hAnsi="Arial"/>
                  <w:sz w:val="19"/>
                  <w:szCs w:val="19"/>
                  <w:color w:val="0000FF"/>
                </w:rPr>
                <w:t>Quantitative and Qualitative Disclosures About Market Risk</w:t>
              </w:r>
            </w:hyperlink>
          </w:p>
        </w:tc>
        <w:tc>
          <w:tcPr>
            <w:tcW w:w="1900" w:type="dxa"/>
            <w:vAlign w:val="bottom"/>
            <w:gridSpan w:val="4"/>
            <w:shd w:val="clear" w:color="auto" w:fill="CCEEFF"/>
          </w:tcPr>
          <w:p>
            <w:pPr>
              <w:spacing w:after="0"/>
              <w:rPr>
                <w:sz w:val="19"/>
                <w:szCs w:val="19"/>
                <w:color w:val="auto"/>
              </w:rPr>
            </w:pPr>
          </w:p>
        </w:tc>
        <w:tc>
          <w:tcPr>
            <w:tcW w:w="1500" w:type="dxa"/>
            <w:vAlign w:val="bottom"/>
            <w:shd w:val="clear" w:color="auto" w:fill="CCEEFF"/>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32</w:t>
              </w:r>
            </w:hyperlink>
          </w:p>
        </w:tc>
      </w:tr>
      <w:tr>
        <w:trPr>
          <w:trHeight w:val="203"/>
        </w:trPr>
        <w:tc>
          <w:tcPr>
            <w:tcW w:w="6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gridSpan w:val="2"/>
          </w:tcPr>
          <w:p>
            <w:pPr>
              <w:spacing w:after="0" w:line="193" w:lineRule="exact"/>
              <w:rPr>
                <w:rFonts w:ascii="Arial" w:cs="Arial" w:eastAsia="Arial" w:hAnsi="Arial"/>
                <w:sz w:val="19"/>
                <w:szCs w:val="19"/>
                <w:color w:val="0000FF"/>
                <w:w w:val="89"/>
              </w:rPr>
            </w:pPr>
            <w:hyperlink w:anchor="page34">
              <w:r>
                <w:rPr>
                  <w:rFonts w:ascii="Arial" w:cs="Arial" w:eastAsia="Arial" w:hAnsi="Arial"/>
                  <w:sz w:val="19"/>
                  <w:szCs w:val="19"/>
                  <w:color w:val="0000FF"/>
                  <w:w w:val="89"/>
                </w:rPr>
                <w:t>Item 4.</w:t>
              </w:r>
            </w:hyperlink>
          </w:p>
        </w:tc>
        <w:tc>
          <w:tcPr>
            <w:tcW w:w="460" w:type="dxa"/>
            <w:vAlign w:val="bottom"/>
            <w:tcBorders>
              <w:top w:val="single" w:sz="8" w:color="CCEEFF"/>
            </w:tcBorders>
            <w:gridSpan w:val="3"/>
          </w:tcPr>
          <w:p>
            <w:pPr>
              <w:spacing w:after="0"/>
              <w:rPr>
                <w:sz w:val="17"/>
                <w:szCs w:val="17"/>
                <w:color w:val="auto"/>
              </w:rPr>
            </w:pPr>
          </w:p>
        </w:tc>
        <w:tc>
          <w:tcPr>
            <w:tcW w:w="4580" w:type="dxa"/>
            <w:vAlign w:val="bottom"/>
            <w:tcBorders>
              <w:top w:val="single" w:sz="8" w:color="0000FF"/>
            </w:tcBorders>
            <w:gridSpan w:val="12"/>
          </w:tcPr>
          <w:p>
            <w:pPr>
              <w:spacing w:after="0" w:line="193" w:lineRule="exact"/>
              <w:rPr>
                <w:rFonts w:ascii="Arial" w:cs="Arial" w:eastAsia="Arial" w:hAnsi="Arial"/>
                <w:sz w:val="19"/>
                <w:szCs w:val="19"/>
                <w:color w:val="0000FF"/>
              </w:rPr>
            </w:pPr>
            <w:hyperlink w:anchor="page34">
              <w:r>
                <w:rPr>
                  <w:rFonts w:ascii="Arial" w:cs="Arial" w:eastAsia="Arial" w:hAnsi="Arial"/>
                  <w:sz w:val="19"/>
                  <w:szCs w:val="19"/>
                  <w:color w:val="0000FF"/>
                </w:rPr>
                <w:t>Controls and Procedures</w:t>
              </w:r>
            </w:hyperlink>
          </w:p>
        </w:tc>
        <w:tc>
          <w:tcPr>
            <w:tcW w:w="4100" w:type="dxa"/>
            <w:vAlign w:val="bottom"/>
            <w:tcBorders>
              <w:top w:val="single" w:sz="8" w:color="CCEEFF"/>
            </w:tcBorders>
            <w:gridSpan w:val="8"/>
          </w:tcPr>
          <w:p>
            <w:pPr>
              <w:spacing w:after="0"/>
              <w:rPr>
                <w:sz w:val="17"/>
                <w:szCs w:val="17"/>
                <w:color w:val="auto"/>
              </w:rPr>
            </w:pPr>
          </w:p>
        </w:tc>
        <w:tc>
          <w:tcPr>
            <w:tcW w:w="1500" w:type="dxa"/>
            <w:vAlign w:val="bottom"/>
            <w:tcBorders>
              <w:top w:val="single" w:sz="8" w:color="CCEEFF"/>
            </w:tcBorders>
          </w:tcPr>
          <w:p>
            <w:pPr>
              <w:jc w:val="right"/>
              <w:spacing w:after="0" w:line="194" w:lineRule="exact"/>
              <w:rPr>
                <w:rFonts w:ascii="Arial" w:cs="Arial" w:eastAsia="Arial" w:hAnsi="Arial"/>
                <w:sz w:val="17"/>
                <w:szCs w:val="17"/>
                <w:color w:val="auto"/>
              </w:rPr>
            </w:pPr>
            <w:hyperlink w:anchor="page34">
              <w:r>
                <w:rPr>
                  <w:rFonts w:ascii="Arial" w:cs="Arial" w:eastAsia="Arial" w:hAnsi="Arial"/>
                  <w:sz w:val="17"/>
                  <w:szCs w:val="17"/>
                  <w:color w:val="auto"/>
                </w:rPr>
                <w:t>33</w:t>
              </w:r>
            </w:hyperlink>
          </w:p>
        </w:tc>
      </w:tr>
      <w:tr>
        <w:trPr>
          <w:trHeight w:val="221"/>
        </w:trPr>
        <w:tc>
          <w:tcPr>
            <w:tcW w:w="6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460" w:type="dxa"/>
            <w:vAlign w:val="bottom"/>
            <w:tcBorders>
              <w:top w:val="single" w:sz="8" w:color="0000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44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280" w:type="dxa"/>
            <w:vAlign w:val="bottom"/>
            <w:tcBorders>
              <w:top w:val="single" w:sz="8" w:color="0000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gridSpan w:val="11"/>
            <w:shd w:val="clear" w:color="auto" w:fill="CCEEFF"/>
          </w:tcPr>
          <w:p>
            <w:pPr>
              <w:jc w:val="center"/>
              <w:ind w:right="3220"/>
              <w:spacing w:after="0" w:line="203" w:lineRule="exact"/>
              <w:rPr>
                <w:rFonts w:ascii="Arial" w:cs="Arial" w:eastAsia="Arial" w:hAnsi="Arial"/>
                <w:sz w:val="19"/>
                <w:szCs w:val="19"/>
                <w:b w:val="1"/>
                <w:bCs w:val="1"/>
                <w:color w:val="0000FF"/>
                <w:w w:val="96"/>
              </w:rPr>
            </w:pPr>
            <w:hyperlink w:anchor="page34">
              <w:r>
                <w:rPr>
                  <w:rFonts w:ascii="Arial" w:cs="Arial" w:eastAsia="Arial" w:hAnsi="Arial"/>
                  <w:sz w:val="19"/>
                  <w:szCs w:val="19"/>
                  <w:b w:val="1"/>
                  <w:bCs w:val="1"/>
                  <w:color w:val="0000FF"/>
                  <w:w w:val="96"/>
                </w:rPr>
                <w:t>Part II—Other Information</w:t>
              </w:r>
            </w:hyperlink>
          </w:p>
        </w:tc>
        <w:tc>
          <w:tcPr>
            <w:tcW w:w="1500" w:type="dxa"/>
            <w:vAlign w:val="bottom"/>
            <w:shd w:val="clear" w:color="auto" w:fill="CCEEFF"/>
          </w:tcPr>
          <w:p>
            <w:pPr>
              <w:spacing w:after="0"/>
              <w:rPr>
                <w:sz w:val="19"/>
                <w:szCs w:val="19"/>
                <w:color w:val="auto"/>
              </w:rPr>
            </w:pPr>
          </w:p>
        </w:tc>
      </w:tr>
      <w:tr>
        <w:trPr>
          <w:trHeight w:val="193"/>
        </w:trPr>
        <w:tc>
          <w:tcPr>
            <w:tcW w:w="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gridSpan w:val="2"/>
          </w:tcPr>
          <w:p>
            <w:pPr>
              <w:spacing w:after="0" w:line="193" w:lineRule="exact"/>
              <w:rPr>
                <w:rFonts w:ascii="Arial" w:cs="Arial" w:eastAsia="Arial" w:hAnsi="Arial"/>
                <w:sz w:val="19"/>
                <w:szCs w:val="19"/>
                <w:color w:val="0000FF"/>
                <w:w w:val="89"/>
              </w:rPr>
            </w:pPr>
            <w:hyperlink w:anchor="page35">
              <w:r>
                <w:rPr>
                  <w:rFonts w:ascii="Arial" w:cs="Arial" w:eastAsia="Arial" w:hAnsi="Arial"/>
                  <w:sz w:val="19"/>
                  <w:szCs w:val="19"/>
                  <w:color w:val="0000FF"/>
                  <w:w w:val="89"/>
                </w:rPr>
                <w:t>Item 1.</w:t>
              </w:r>
            </w:hyperlink>
          </w:p>
        </w:tc>
        <w:tc>
          <w:tcPr>
            <w:tcW w:w="460" w:type="dxa"/>
            <w:vAlign w:val="bottom"/>
            <w:tcBorders>
              <w:top w:val="single" w:sz="8" w:color="CCEEFF"/>
            </w:tcBorders>
            <w:gridSpan w:val="3"/>
          </w:tcPr>
          <w:p>
            <w:pPr>
              <w:spacing w:after="0"/>
              <w:rPr>
                <w:sz w:val="16"/>
                <w:szCs w:val="16"/>
                <w:color w:val="auto"/>
              </w:rPr>
            </w:pPr>
          </w:p>
        </w:tc>
        <w:tc>
          <w:tcPr>
            <w:tcW w:w="3220" w:type="dxa"/>
            <w:vAlign w:val="bottom"/>
            <w:tcBorders>
              <w:top w:val="single" w:sz="8" w:color="CCEEFF"/>
            </w:tcBorders>
            <w:gridSpan w:val="9"/>
          </w:tcPr>
          <w:p>
            <w:pPr>
              <w:spacing w:after="0" w:line="193" w:lineRule="exact"/>
              <w:rPr>
                <w:rFonts w:ascii="Arial" w:cs="Arial" w:eastAsia="Arial" w:hAnsi="Arial"/>
                <w:sz w:val="19"/>
                <w:szCs w:val="19"/>
                <w:color w:val="0000FF"/>
              </w:rPr>
            </w:pPr>
            <w:hyperlink w:anchor="page35">
              <w:r>
                <w:rPr>
                  <w:rFonts w:ascii="Arial" w:cs="Arial" w:eastAsia="Arial" w:hAnsi="Arial"/>
                  <w:sz w:val="19"/>
                  <w:szCs w:val="19"/>
                  <w:color w:val="0000FF"/>
                </w:rPr>
                <w:t>Legal Proceedings</w:t>
              </w:r>
            </w:hyperlink>
          </w:p>
        </w:tc>
        <w:tc>
          <w:tcPr>
            <w:tcW w:w="2240" w:type="dxa"/>
            <w:vAlign w:val="bottom"/>
            <w:tcBorders>
              <w:top w:val="single" w:sz="8" w:color="0000FF"/>
            </w:tcBorders>
            <w:gridSpan w:val="4"/>
          </w:tcPr>
          <w:p>
            <w:pPr>
              <w:spacing w:after="0"/>
              <w:rPr>
                <w:sz w:val="16"/>
                <w:szCs w:val="16"/>
                <w:color w:val="auto"/>
              </w:rPr>
            </w:pPr>
          </w:p>
        </w:tc>
        <w:tc>
          <w:tcPr>
            <w:tcW w:w="3220" w:type="dxa"/>
            <w:vAlign w:val="bottom"/>
            <w:tcBorders>
              <w:top w:val="single" w:sz="8" w:color="CCEEFF"/>
            </w:tcBorders>
            <w:gridSpan w:val="7"/>
          </w:tcPr>
          <w:p>
            <w:pPr>
              <w:spacing w:after="0"/>
              <w:rPr>
                <w:sz w:val="16"/>
                <w:szCs w:val="16"/>
                <w:color w:val="auto"/>
              </w:rPr>
            </w:pPr>
          </w:p>
        </w:tc>
        <w:tc>
          <w:tcPr>
            <w:tcW w:w="1500" w:type="dxa"/>
            <w:vAlign w:val="bottom"/>
            <w:tcBorders>
              <w:top w:val="single" w:sz="8" w:color="CCEEFF"/>
            </w:tcBorders>
          </w:tcPr>
          <w:p>
            <w:pPr>
              <w:jc w:val="right"/>
              <w:spacing w:after="0" w:line="194" w:lineRule="exact"/>
              <w:rPr>
                <w:rFonts w:ascii="Arial" w:cs="Arial" w:eastAsia="Arial" w:hAnsi="Arial"/>
                <w:sz w:val="17"/>
                <w:szCs w:val="17"/>
                <w:color w:val="auto"/>
              </w:rPr>
            </w:pPr>
            <w:hyperlink w:anchor="page35">
              <w:r>
                <w:rPr>
                  <w:rFonts w:ascii="Arial" w:cs="Arial" w:eastAsia="Arial" w:hAnsi="Arial"/>
                  <w:sz w:val="17"/>
                  <w:szCs w:val="17"/>
                  <w:color w:val="auto"/>
                </w:rPr>
                <w:t>34</w:t>
              </w:r>
            </w:hyperlink>
          </w:p>
        </w:tc>
      </w:tr>
      <w:tr>
        <w:trPr>
          <w:trHeight w:val="29"/>
        </w:trPr>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0000FF"/>
            </w:tcBorders>
            <w:gridSpan w:val="4"/>
            <w:shd w:val="clear" w:color="auto" w:fill="CCEEFF"/>
          </w:tcPr>
          <w:p>
            <w:pPr>
              <w:spacing w:after="0" w:line="203" w:lineRule="exact"/>
              <w:rPr>
                <w:rFonts w:ascii="Arial" w:cs="Arial" w:eastAsia="Arial" w:hAnsi="Arial"/>
                <w:sz w:val="19"/>
                <w:szCs w:val="19"/>
                <w:color w:val="0000FF"/>
                <w:w w:val="93"/>
              </w:rPr>
            </w:pPr>
            <w:hyperlink w:anchor="page35">
              <w:r>
                <w:rPr>
                  <w:rFonts w:ascii="Arial" w:cs="Arial" w:eastAsia="Arial" w:hAnsi="Arial"/>
                  <w:sz w:val="19"/>
                  <w:szCs w:val="19"/>
                  <w:color w:val="0000FF"/>
                  <w:w w:val="93"/>
                </w:rPr>
                <w:t>Item 1A.</w:t>
              </w:r>
            </w:hyperlink>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0000FF"/>
            </w:tcBorders>
            <w:gridSpan w:val="3"/>
            <w:shd w:val="clear" w:color="auto" w:fill="CCEEFF"/>
          </w:tcPr>
          <w:p>
            <w:pPr>
              <w:spacing w:after="0" w:line="203" w:lineRule="exact"/>
              <w:rPr>
                <w:rFonts w:ascii="Arial" w:cs="Arial" w:eastAsia="Arial" w:hAnsi="Arial"/>
                <w:sz w:val="19"/>
                <w:szCs w:val="19"/>
                <w:color w:val="0000FF"/>
                <w:w w:val="88"/>
              </w:rPr>
            </w:pPr>
            <w:hyperlink w:anchor="page35">
              <w:r>
                <w:rPr>
                  <w:rFonts w:ascii="Arial" w:cs="Arial" w:eastAsia="Arial" w:hAnsi="Arial"/>
                  <w:sz w:val="19"/>
                  <w:szCs w:val="19"/>
                  <w:color w:val="0000FF"/>
                  <w:w w:val="88"/>
                </w:rPr>
                <w:t>Risk Factors</w:t>
              </w:r>
            </w:hyperlink>
          </w:p>
        </w:tc>
        <w:tc>
          <w:tcPr>
            <w:tcW w:w="7720" w:type="dxa"/>
            <w:vAlign w:val="bottom"/>
            <w:tcBorders>
              <w:bottom w:val="single" w:sz="8" w:color="CCEEFF"/>
            </w:tcBorders>
            <w:gridSpan w:val="17"/>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34</w:t>
              </w:r>
            </w:hyperlink>
          </w:p>
        </w:tc>
      </w:tr>
      <w:tr>
        <w:trPr>
          <w:trHeight w:val="203"/>
        </w:trPr>
        <w:tc>
          <w:tcPr>
            <w:tcW w:w="60" w:type="dxa"/>
            <w:vAlign w:val="bottom"/>
          </w:tcPr>
          <w:p>
            <w:pPr>
              <w:spacing w:after="0"/>
              <w:rPr>
                <w:sz w:val="17"/>
                <w:szCs w:val="17"/>
                <w:color w:val="auto"/>
              </w:rPr>
            </w:pPr>
          </w:p>
        </w:tc>
        <w:tc>
          <w:tcPr>
            <w:tcW w:w="540" w:type="dxa"/>
            <w:vAlign w:val="bottom"/>
            <w:gridSpan w:val="2"/>
          </w:tcPr>
          <w:p>
            <w:pPr>
              <w:spacing w:after="0" w:line="193" w:lineRule="exact"/>
              <w:rPr>
                <w:rFonts w:ascii="Arial" w:cs="Arial" w:eastAsia="Arial" w:hAnsi="Arial"/>
                <w:sz w:val="19"/>
                <w:szCs w:val="19"/>
                <w:color w:val="0000FF"/>
                <w:w w:val="89"/>
              </w:rPr>
            </w:pPr>
            <w:hyperlink w:anchor="page35">
              <w:r>
                <w:rPr>
                  <w:rFonts w:ascii="Arial" w:cs="Arial" w:eastAsia="Arial" w:hAnsi="Arial"/>
                  <w:sz w:val="19"/>
                  <w:szCs w:val="19"/>
                  <w:color w:val="0000FF"/>
                  <w:w w:val="89"/>
                </w:rPr>
                <w:t>Item 2.</w:t>
              </w:r>
            </w:hyperlink>
          </w:p>
        </w:tc>
        <w:tc>
          <w:tcPr>
            <w:tcW w:w="460" w:type="dxa"/>
            <w:vAlign w:val="bottom"/>
            <w:gridSpan w:val="3"/>
          </w:tcPr>
          <w:p>
            <w:pPr>
              <w:spacing w:after="0"/>
              <w:rPr>
                <w:sz w:val="17"/>
                <w:szCs w:val="17"/>
                <w:color w:val="auto"/>
              </w:rPr>
            </w:pPr>
          </w:p>
        </w:tc>
        <w:tc>
          <w:tcPr>
            <w:tcW w:w="8680" w:type="dxa"/>
            <w:vAlign w:val="bottom"/>
            <w:gridSpan w:val="20"/>
          </w:tcPr>
          <w:p>
            <w:pPr>
              <w:spacing w:after="0" w:line="193" w:lineRule="exact"/>
              <w:rPr>
                <w:rFonts w:ascii="Arial" w:cs="Arial" w:eastAsia="Arial" w:hAnsi="Arial"/>
                <w:sz w:val="19"/>
                <w:szCs w:val="19"/>
                <w:color w:val="0000FF"/>
              </w:rPr>
            </w:pPr>
            <w:hyperlink w:anchor="page35">
              <w:r>
                <w:rPr>
                  <w:rFonts w:ascii="Arial" w:cs="Arial" w:eastAsia="Arial" w:hAnsi="Arial"/>
                  <w:sz w:val="19"/>
                  <w:szCs w:val="19"/>
                  <w:color w:val="0000FF"/>
                </w:rPr>
                <w:t>Unregistered Sales of Equity Securities and Use of Proceeds</w:t>
              </w:r>
            </w:hyperlink>
          </w:p>
        </w:tc>
        <w:tc>
          <w:tcPr>
            <w:tcW w:w="1500" w:type="dxa"/>
            <w:vAlign w:val="bottom"/>
          </w:tcPr>
          <w:p>
            <w:pPr>
              <w:jc w:val="right"/>
              <w:spacing w:after="0" w:line="194" w:lineRule="exact"/>
              <w:rPr>
                <w:rFonts w:ascii="Arial" w:cs="Arial" w:eastAsia="Arial" w:hAnsi="Arial"/>
                <w:sz w:val="17"/>
                <w:szCs w:val="17"/>
                <w:color w:val="auto"/>
              </w:rPr>
            </w:pPr>
            <w:hyperlink w:anchor="page35">
              <w:r>
                <w:rPr>
                  <w:rFonts w:ascii="Arial" w:cs="Arial" w:eastAsia="Arial" w:hAnsi="Arial"/>
                  <w:sz w:val="17"/>
                  <w:szCs w:val="17"/>
                  <w:color w:val="auto"/>
                </w:rPr>
                <w:t>34</w:t>
              </w:r>
            </w:hyperlink>
          </w:p>
        </w:tc>
      </w:tr>
      <w:tr>
        <w:trPr>
          <w:trHeight w:val="221"/>
        </w:trPr>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top w:val="single" w:sz="8" w:color="0000FF"/>
              <w:bottom w:val="single" w:sz="8" w:color="0000FF"/>
            </w:tcBorders>
            <w:gridSpan w:val="2"/>
            <w:shd w:val="clear" w:color="auto" w:fill="CCEEFF"/>
          </w:tcPr>
          <w:p>
            <w:pPr>
              <w:spacing w:after="0" w:line="203" w:lineRule="exact"/>
              <w:rPr>
                <w:rFonts w:ascii="Arial" w:cs="Arial" w:eastAsia="Arial" w:hAnsi="Arial"/>
                <w:sz w:val="19"/>
                <w:szCs w:val="19"/>
                <w:color w:val="0000FF"/>
                <w:w w:val="89"/>
              </w:rPr>
            </w:pPr>
            <w:hyperlink w:anchor="page35">
              <w:r>
                <w:rPr>
                  <w:rFonts w:ascii="Arial" w:cs="Arial" w:eastAsia="Arial" w:hAnsi="Arial"/>
                  <w:sz w:val="19"/>
                  <w:szCs w:val="19"/>
                  <w:color w:val="0000FF"/>
                  <w:w w:val="89"/>
                </w:rPr>
                <w:t>Item 6.</w:t>
              </w:r>
            </w:hyperlink>
          </w:p>
        </w:tc>
        <w:tc>
          <w:tcPr>
            <w:tcW w:w="460" w:type="dxa"/>
            <w:vAlign w:val="bottom"/>
            <w:tcBorders>
              <w:bottom w:val="single" w:sz="8" w:color="CCEEFF"/>
            </w:tcBorders>
            <w:gridSpan w:val="3"/>
            <w:shd w:val="clear" w:color="auto" w:fill="CCEEFF"/>
          </w:tcPr>
          <w:p>
            <w:pPr>
              <w:spacing w:after="0"/>
              <w:rPr>
                <w:sz w:val="19"/>
                <w:szCs w:val="19"/>
                <w:color w:val="auto"/>
              </w:rPr>
            </w:pPr>
          </w:p>
        </w:tc>
        <w:tc>
          <w:tcPr>
            <w:tcW w:w="640" w:type="dxa"/>
            <w:vAlign w:val="bottom"/>
            <w:tcBorders>
              <w:top w:val="single" w:sz="8" w:color="0000FF"/>
              <w:bottom w:val="single" w:sz="8" w:color="0000FF"/>
            </w:tcBorders>
            <w:gridSpan w:val="2"/>
            <w:shd w:val="clear" w:color="auto" w:fill="CCEEFF"/>
          </w:tcPr>
          <w:p>
            <w:pPr>
              <w:spacing w:after="0" w:line="203" w:lineRule="exact"/>
              <w:rPr>
                <w:rFonts w:ascii="Arial" w:cs="Arial" w:eastAsia="Arial" w:hAnsi="Arial"/>
                <w:sz w:val="19"/>
                <w:szCs w:val="19"/>
                <w:color w:val="0000FF"/>
                <w:w w:val="93"/>
              </w:rPr>
            </w:pPr>
            <w:hyperlink w:anchor="page35">
              <w:r>
                <w:rPr>
                  <w:rFonts w:ascii="Arial" w:cs="Arial" w:eastAsia="Arial" w:hAnsi="Arial"/>
                  <w:sz w:val="19"/>
                  <w:szCs w:val="19"/>
                  <w:color w:val="0000FF"/>
                  <w:w w:val="93"/>
                </w:rPr>
                <w:t>Exhibits</w:t>
              </w:r>
            </w:hyperlink>
          </w:p>
        </w:tc>
        <w:tc>
          <w:tcPr>
            <w:tcW w:w="3920" w:type="dxa"/>
            <w:vAlign w:val="bottom"/>
            <w:tcBorders>
              <w:top w:val="single" w:sz="8" w:color="0000FF"/>
              <w:bottom w:val="single" w:sz="8" w:color="CCEEFF"/>
            </w:tcBorders>
            <w:gridSpan w:val="9"/>
            <w:shd w:val="clear" w:color="auto" w:fill="CCEEFF"/>
          </w:tcPr>
          <w:p>
            <w:pPr>
              <w:spacing w:after="0"/>
              <w:rPr>
                <w:sz w:val="19"/>
                <w:szCs w:val="19"/>
                <w:color w:val="auto"/>
              </w:rPr>
            </w:pPr>
          </w:p>
        </w:tc>
        <w:tc>
          <w:tcPr>
            <w:tcW w:w="4120" w:type="dxa"/>
            <w:vAlign w:val="bottom"/>
            <w:tcBorders>
              <w:bottom w:val="single" w:sz="8" w:color="CCEEFF"/>
            </w:tcBorders>
            <w:gridSpan w:val="9"/>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35</w:t>
              </w:r>
            </w:hyperlink>
          </w:p>
        </w:tc>
      </w:tr>
    </w:tbl>
    <w:p>
      <w:pPr>
        <w:spacing w:after="0" w:line="284"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MYR GROUP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4"/>
                <w:szCs w:val="14"/>
                <w:color w:val="auto"/>
              </w:rPr>
            </w:pPr>
          </w:p>
        </w:tc>
        <w:tc>
          <w:tcPr>
            <w:tcW w:w="1120" w:type="dxa"/>
            <w:vAlign w:val="bottom"/>
          </w:tcPr>
          <w:p>
            <w:pPr>
              <w:jc w:val="right"/>
              <w:ind w:right="171"/>
              <w:spacing w:after="0"/>
              <w:rPr>
                <w:sz w:val="20"/>
                <w:szCs w:val="20"/>
                <w:color w:val="auto"/>
              </w:rPr>
            </w:pPr>
            <w:r>
              <w:rPr>
                <w:rFonts w:ascii="Arial" w:cs="Arial" w:eastAsia="Arial" w:hAnsi="Arial"/>
                <w:sz w:val="14"/>
                <w:szCs w:val="14"/>
                <w:b w:val="1"/>
                <w:bCs w:val="1"/>
                <w:color w:val="auto"/>
                <w:w w:val="94"/>
              </w:rPr>
              <w:t>December 31,</w:t>
            </w:r>
          </w:p>
        </w:tc>
      </w:tr>
      <w:tr>
        <w:trPr>
          <w:trHeight w:val="178"/>
        </w:trPr>
        <w:tc>
          <w:tcPr>
            <w:tcW w:w="8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5"/>
                <w:szCs w:val="15"/>
                <w:color w:val="auto"/>
              </w:rPr>
            </w:pPr>
          </w:p>
        </w:tc>
        <w:tc>
          <w:tcPr>
            <w:tcW w:w="1080" w:type="dxa"/>
            <w:vAlign w:val="bottom"/>
          </w:tcPr>
          <w:p>
            <w:pPr>
              <w:jc w:val="center"/>
              <w:ind w:right="13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4"/>
        </w:trPr>
        <w:tc>
          <w:tcPr>
            <w:tcW w:w="8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5"/>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(unaudited)</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396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82,092</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Accounts receivable, net of allowances of $2,385 and $2,441, respectively</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386,193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375,353</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assets, net of allowances of $403 and $385, 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243,654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225,075</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Current portion of receivable for insurance claims in excess of deductibles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11,078</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Refundable income taxes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9,228</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45,564</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9"/>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715,595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748,390</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Property and equipment, net of accumulated depreciation of $331,174 and $322,128, respectively</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206,969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196,092</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32,438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20,971</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110,594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66,065</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 of $19,571 and $16,779, 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102,916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49,054</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Receivable for insurance claims in excess of deductibles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32,443</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 in joint ventures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3,978</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4,099</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1,205,579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1,121,092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86"/>
        </w:trPr>
        <w:tc>
          <w:tcPr>
            <w:tcW w:w="8540" w:type="dxa"/>
            <w:vAlign w:val="bottom"/>
            <w:tcBorders>
              <w:bottom w:val="single" w:sz="8" w:color="CCEEFF"/>
            </w:tcBorders>
            <w:gridSpan w:val="2"/>
            <w:shd w:val="clear" w:color="auto" w:fill="CCEEFF"/>
          </w:tcPr>
          <w:p>
            <w:pPr>
              <w:ind w:left="27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Current portion of operating lease obligations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7,765</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finance lease obligations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223,703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200,744</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165,127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167,931</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Current portion of accrued self-insurance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25,916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24,242</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Accrued income taxes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2,021</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Other current liabilities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68,969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94,857</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9"/>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498,264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498,599</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Deferred income tax liabilities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24,627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24,620</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48,657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3,464</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Accrued self-insurance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48,794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50,816</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obligations, net of current maturities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23,180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13,230</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Finance lease obligations, net of current maturities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11,261</w:t>
            </w:r>
          </w:p>
        </w:tc>
      </w:tr>
      <w:tr>
        <w:trPr>
          <w:trHeight w:val="175"/>
        </w:trPr>
        <w:tc>
          <w:tcPr>
            <w:tcW w:w="8540" w:type="dxa"/>
            <w:vAlign w:val="bottom"/>
            <w:gridSpan w:val="2"/>
          </w:tcPr>
          <w:p>
            <w:pPr>
              <w:ind w:left="220"/>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669,301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601,990</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w w:val="91"/>
              </w:rPr>
              <w:t>Preferred stock—$0.01 par value per share; 4,000,000 authorized shares; none issued and outstanding at March 31, 2022 and December 31, 2021</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gridSpan w:val="2"/>
          </w:tcPr>
          <w:p>
            <w:pPr>
              <w:ind w:left="140"/>
              <w:spacing w:after="0"/>
              <w:rPr>
                <w:sz w:val="20"/>
                <w:szCs w:val="20"/>
                <w:color w:val="auto"/>
              </w:rPr>
            </w:pPr>
            <w:r>
              <w:rPr>
                <w:rFonts w:ascii="Arial" w:cs="Arial" w:eastAsia="Arial" w:hAnsi="Arial"/>
                <w:sz w:val="14"/>
                <w:szCs w:val="14"/>
                <w:color w:val="auto"/>
                <w:w w:val="90"/>
              </w:rPr>
              <w:t>Common stock—$0.01 par value per share; 100,000,000 authorized shares; 16,995,250 and 16,870,636 shares issued and outstanding at March 31,</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4"/>
        </w:trPr>
        <w:tc>
          <w:tcPr>
            <w:tcW w:w="8540" w:type="dxa"/>
            <w:vAlign w:val="bottom"/>
            <w:gridSpan w:val="2"/>
          </w:tcPr>
          <w:p>
            <w:pPr>
              <w:ind w:left="300"/>
              <w:spacing w:after="0"/>
              <w:rPr>
                <w:sz w:val="20"/>
                <w:szCs w:val="20"/>
                <w:color w:val="auto"/>
              </w:rPr>
            </w:pPr>
            <w:r>
              <w:rPr>
                <w:rFonts w:ascii="Arial" w:cs="Arial" w:eastAsia="Arial" w:hAnsi="Arial"/>
                <w:sz w:val="14"/>
                <w:szCs w:val="14"/>
                <w:color w:val="auto"/>
              </w:rPr>
              <w:t>2022 and December 31, 2021, respectively</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159,256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163,754</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375,028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355,007</w:t>
            </w:r>
          </w:p>
        </w:tc>
      </w:tr>
      <w:tr>
        <w:trPr>
          <w:trHeight w:val="175"/>
        </w:trPr>
        <w:tc>
          <w:tcPr>
            <w:tcW w:w="8540" w:type="dxa"/>
            <w:vAlign w:val="bottom"/>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536,278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519,102</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1,205,579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1,121,092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MYR GROUP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OPERATIONS AND COMPREHENSIVE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r>
      <w:tr>
        <w:trPr>
          <w:trHeight w:val="178"/>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r>
      <w:tr>
        <w:trPr>
          <w:trHeight w:val="177"/>
        </w:trPr>
        <w:tc>
          <w:tcPr>
            <w:tcW w:w="85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4"/>
        </w:trPr>
        <w:tc>
          <w:tcPr>
            <w:tcW w:w="8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5"/>
        </w:trPr>
        <w:tc>
          <w:tcPr>
            <w:tcW w:w="8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8"/>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revenues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636,624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592,486</w:t>
            </w:r>
          </w:p>
        </w:tc>
      </w:tr>
      <w:tr>
        <w:trPr>
          <w:trHeight w:val="257"/>
        </w:trPr>
        <w:tc>
          <w:tcPr>
            <w:tcW w:w="85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Contract costs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556,139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515,533</w:t>
            </w:r>
          </w:p>
        </w:tc>
      </w:tr>
      <w:tr>
        <w:trPr>
          <w:trHeight w:val="232"/>
        </w:trPr>
        <w:tc>
          <w:tcPr>
            <w:tcW w:w="8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80,485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76,953</w:t>
            </w: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53,564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49,647</w:t>
            </w: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8"/>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w:t>
            </w: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7"/>
                <w:szCs w:val="17"/>
                <w:color w:val="auto"/>
              </w:rPr>
              <w:t>Gain on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(683)</w:t>
            </w: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27,411</w:t>
            </w: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8"/>
        </w:trPr>
        <w:tc>
          <w:tcPr>
            <w:tcW w:w="8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30"/>
        </w:trPr>
        <w:tc>
          <w:tcPr>
            <w:tcW w:w="8580" w:type="dxa"/>
            <w:vAlign w:val="bottom"/>
            <w:gridSpan w:val="2"/>
          </w:tcPr>
          <w:p>
            <w:pPr>
              <w:ind w:left="2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(475)</w:t>
            </w: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8"/>
        </w:trPr>
        <w:tc>
          <w:tcPr>
            <w:tcW w:w="8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23"/>
        </w:trPr>
        <w:tc>
          <w:tcPr>
            <w:tcW w:w="8580" w:type="dxa"/>
            <w:vAlign w:val="bottom"/>
            <w:gridSpan w:val="2"/>
          </w:tcPr>
          <w:p>
            <w:pPr>
              <w:ind w:left="320"/>
              <w:spacing w:after="0"/>
              <w:rPr>
                <w:sz w:val="20"/>
                <w:szCs w:val="20"/>
                <w:color w:val="auto"/>
              </w:rPr>
            </w:pPr>
            <w:r>
              <w:rPr>
                <w:rFonts w:ascii="Arial" w:cs="Arial" w:eastAsia="Arial" w:hAnsi="Arial"/>
                <w:sz w:val="17"/>
                <w:szCs w:val="17"/>
                <w:color w:val="auto"/>
              </w:rPr>
              <w:t>Income before provision for income taxes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24,444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26,990</w:t>
            </w: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8"/>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7,062</w:t>
            </w:r>
          </w:p>
        </w:tc>
      </w:tr>
      <w:tr>
        <w:trPr>
          <w:trHeight w:val="224"/>
        </w:trPr>
        <w:tc>
          <w:tcPr>
            <w:tcW w:w="858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20,688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19,928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per common share:</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30"/>
        </w:trPr>
        <w:tc>
          <w:tcPr>
            <w:tcW w:w="8580" w:type="dxa"/>
            <w:vAlign w:val="bottom"/>
            <w:gridSpan w:val="2"/>
          </w:tcPr>
          <w:p>
            <w:pPr>
              <w:ind w:left="220"/>
              <w:spacing w:after="0"/>
              <w:rPr>
                <w:sz w:val="20"/>
                <w:szCs w:val="20"/>
                <w:color w:val="auto"/>
              </w:rPr>
            </w:pPr>
            <w:r>
              <w:rPr>
                <w:rFonts w:ascii="Arial" w:cs="Arial" w:eastAsia="Arial" w:hAnsi="Arial"/>
                <w:sz w:val="17"/>
                <w:szCs w:val="17"/>
                <w:color w:val="auto"/>
              </w:rPr>
              <w:t>—Basic</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8"/>
        </w:trPr>
        <w:tc>
          <w:tcPr>
            <w:tcW w:w="8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common shares and potential common shares outstanding:</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8"/>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16,760</w:t>
            </w:r>
          </w:p>
        </w:tc>
      </w:tr>
      <w:tr>
        <w:trPr>
          <w:trHeight w:val="257"/>
        </w:trPr>
        <w:tc>
          <w:tcPr>
            <w:tcW w:w="8580" w:type="dxa"/>
            <w:vAlign w:val="bottom"/>
            <w:gridSpan w:val="2"/>
          </w:tcPr>
          <w:p>
            <w:pPr>
              <w:ind w:left="22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17,133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17,045</w:t>
            </w:r>
          </w:p>
        </w:tc>
      </w:tr>
      <w:tr>
        <w:trPr>
          <w:trHeight w:val="246"/>
        </w:trPr>
        <w:tc>
          <w:tcPr>
            <w:tcW w:w="8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20,688</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19,928</w:t>
            </w: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8"/>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0"/>
        </w:trPr>
        <w:tc>
          <w:tcPr>
            <w:tcW w:w="8580" w:type="dxa"/>
            <w:vAlign w:val="bottom"/>
            <w:gridSpan w:val="2"/>
          </w:tcPr>
          <w:p>
            <w:pPr>
              <w:ind w:left="220"/>
              <w:spacing w:after="0"/>
              <w:rPr>
                <w:sz w:val="20"/>
                <w:szCs w:val="20"/>
                <w:color w:val="auto"/>
              </w:rPr>
            </w:pPr>
            <w:r>
              <w:rPr>
                <w:rFonts w:ascii="Arial" w:cs="Arial" w:eastAsia="Arial" w:hAnsi="Arial"/>
                <w:sz w:val="17"/>
                <w:szCs w:val="17"/>
                <w:color w:val="auto"/>
              </w:rPr>
              <w:t>Foreign currency translation adjustment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1"/>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50"/>
        </w:trPr>
        <w:tc>
          <w:tcPr>
            <w:tcW w:w="8580" w:type="dxa"/>
            <w:vAlign w:val="bottom"/>
            <w:gridSpan w:val="2"/>
          </w:tcPr>
          <w:p>
            <w:pPr>
              <w:ind w:left="20"/>
              <w:spacing w:after="0"/>
              <w:rPr>
                <w:sz w:val="20"/>
                <w:szCs w:val="20"/>
                <w:color w:val="auto"/>
              </w:rPr>
            </w:pPr>
            <w:r>
              <w:rPr>
                <w:rFonts w:ascii="Arial" w:cs="Arial" w:eastAsia="Arial" w:hAnsi="Arial"/>
                <w:sz w:val="17"/>
                <w:szCs w:val="17"/>
                <w:color w:val="auto"/>
              </w:rPr>
              <w:t>Total comprehensive income</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22,339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20,181</w:t>
            </w: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MYR GROUP INC.</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CONSOLIDATED STATEMENTS OF STOCKHOLDERS’ EQUITY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MYR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Group Inc.</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7"/>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Preferred</w:t>
            </w:r>
          </w:p>
        </w:tc>
        <w:tc>
          <w:tcPr>
            <w:tcW w:w="1480" w:type="dxa"/>
            <w:vAlign w:val="bottom"/>
            <w:gridSpan w:val="5"/>
          </w:tcPr>
          <w:p>
            <w:pPr>
              <w:ind w:left="28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Stockholders’</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Noncontrolling</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8"/>
        </w:trPr>
        <w:tc>
          <w:tcPr>
            <w:tcW w:w="2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58"/>
        </w:trPr>
        <w:tc>
          <w:tcPr>
            <w:tcW w:w="2740" w:type="dxa"/>
            <w:vAlign w:val="bottom"/>
            <w:gridSpan w:val="2"/>
          </w:tcPr>
          <w:p>
            <w:pPr>
              <w:ind w:left="960"/>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Stock</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Income (Loss)</w:t>
            </w:r>
          </w:p>
        </w:tc>
        <w:tc>
          <w:tcPr>
            <w:tcW w:w="1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Interest</w:t>
            </w:r>
          </w:p>
        </w:tc>
        <w:tc>
          <w:tcPr>
            <w:tcW w:w="140" w:type="dxa"/>
            <w:vAlign w:val="bottom"/>
          </w:tcPr>
          <w:p>
            <w:pPr>
              <w:spacing w:after="0"/>
              <w:rPr>
                <w:sz w:val="13"/>
                <w:szCs w:val="13"/>
                <w:color w:val="auto"/>
              </w:rPr>
            </w:pPr>
          </w:p>
        </w:tc>
        <w:tc>
          <w:tcPr>
            <w:tcW w:w="560" w:type="dxa"/>
            <w:vAlign w:val="bottom"/>
          </w:tcPr>
          <w:p>
            <w:pPr>
              <w:jc w:val="right"/>
              <w:ind w:right="160"/>
              <w:spacing w:after="0"/>
              <w:rPr>
                <w:sz w:val="20"/>
                <w:szCs w:val="20"/>
                <w:color w:val="auto"/>
              </w:rPr>
            </w:pPr>
            <w:r>
              <w:rPr>
                <w:rFonts w:ascii="Arial" w:cs="Arial" w:eastAsia="Arial" w:hAnsi="Arial"/>
                <w:sz w:val="12"/>
                <w:szCs w:val="12"/>
                <w:b w:val="1"/>
                <w:bCs w:val="1"/>
                <w:color w:val="auto"/>
              </w:rPr>
              <w:t>Total</w:t>
            </w:r>
          </w:p>
        </w:tc>
      </w:tr>
      <w:tr>
        <w:trPr>
          <w:trHeight w:val="28"/>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16,734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158,618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270,480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429,288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429,292</w:t>
            </w: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19,928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19,928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19,928</w:t>
            </w: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 issued under compensation plans, net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110</w:t>
            </w: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Stock-based compensation expense</w:t>
            </w:r>
          </w:p>
        </w:tc>
        <w:tc>
          <w:tcPr>
            <w:tcW w:w="12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1,487</w:t>
            </w: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Shares repurchased</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(2,231)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(2,618)</w:t>
            </w: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Other comprehensive income</w:t>
            </w:r>
          </w:p>
        </w:tc>
        <w:tc>
          <w:tcPr>
            <w:tcW w:w="12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253</w:t>
            </w: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 issued - other</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85"/>
        </w:trPr>
        <w:tc>
          <w:tcPr>
            <w:tcW w:w="2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16,817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157,995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290,021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448,460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448,464</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3"/>
        </w:trPr>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16,871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168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163,754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355,007</w:t>
            </w:r>
          </w:p>
        </w:tc>
        <w:tc>
          <w:tcPr>
            <w:tcW w:w="12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519,102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519,102</w:t>
            </w: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20,688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20,688</w:t>
            </w: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Stock issued under compensation plans, net</w:t>
            </w:r>
          </w:p>
        </w:tc>
        <w:tc>
          <w:tcPr>
            <w:tcW w:w="12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1,624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1,624</w:t>
            </w: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Shares repurchased</w:t>
            </w:r>
          </w:p>
        </w:tc>
        <w:tc>
          <w:tcPr>
            <w:tcW w:w="12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(6,791)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(6,791)</w:t>
            </w: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1,651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1,651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1,651</w:t>
            </w:r>
          </w:p>
        </w:tc>
      </w:tr>
      <w:tr>
        <w:trPr>
          <w:trHeight w:val="185"/>
        </w:trPr>
        <w:tc>
          <w:tcPr>
            <w:tcW w:w="2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16,995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159,256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1,824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375,028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536,278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536,278</w:t>
            </w: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MYR GROUP INC.</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8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20,688</w:t>
            </w:r>
          </w:p>
        </w:tc>
        <w:tc>
          <w:tcPr>
            <w:tcW w:w="10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19,928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320"/>
              <w:spacing w:after="0"/>
              <w:rPr>
                <w:sz w:val="20"/>
                <w:szCs w:val="20"/>
                <w:color w:val="auto"/>
              </w:rPr>
            </w:pPr>
            <w:r>
              <w:rPr>
                <w:rFonts w:ascii="Arial" w:cs="Arial" w:eastAsia="Arial" w:hAnsi="Arial"/>
                <w:sz w:val="17"/>
                <w:szCs w:val="17"/>
                <w:color w:val="auto"/>
              </w:rPr>
              <w:t>Depreciation and amortization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11,293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30"/>
        </w:trPr>
        <w:tc>
          <w:tcPr>
            <w:tcW w:w="8540" w:type="dxa"/>
            <w:vAlign w:val="bottom"/>
            <w:gridSpan w:val="2"/>
          </w:tcPr>
          <w:p>
            <w:pPr>
              <w:ind w:left="320"/>
              <w:spacing w:after="0"/>
              <w:rPr>
                <w:sz w:val="20"/>
                <w:szCs w:val="20"/>
                <w:color w:val="auto"/>
              </w:rPr>
            </w:pPr>
            <w:r>
              <w:rPr>
                <w:rFonts w:ascii="Arial" w:cs="Arial" w:eastAsia="Arial" w:hAnsi="Arial"/>
                <w:sz w:val="17"/>
                <w:szCs w:val="17"/>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1,487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0"/>
        </w:trPr>
        <w:tc>
          <w:tcPr>
            <w:tcW w:w="8540" w:type="dxa"/>
            <w:vAlign w:val="bottom"/>
            <w:gridSpan w:val="2"/>
          </w:tcPr>
          <w:p>
            <w:pPr>
              <w:ind w:left="320"/>
              <w:spacing w:after="0"/>
              <w:rPr>
                <w:sz w:val="20"/>
                <w:szCs w:val="20"/>
                <w:color w:val="auto"/>
              </w:rPr>
            </w:pPr>
            <w:r>
              <w:rPr>
                <w:rFonts w:ascii="Arial" w:cs="Arial" w:eastAsia="Arial" w:hAnsi="Arial"/>
                <w:sz w:val="17"/>
                <w:szCs w:val="17"/>
                <w:color w:val="auto"/>
              </w:rPr>
              <w:t>Gain on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Other non-cash items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30"/>
        </w:trPr>
        <w:tc>
          <w:tcPr>
            <w:tcW w:w="8540" w:type="dxa"/>
            <w:vAlign w:val="bottom"/>
            <w:gridSpan w:val="2"/>
          </w:tcPr>
          <w:p>
            <w:pPr>
              <w:ind w:left="320"/>
              <w:spacing w:after="0"/>
              <w:rPr>
                <w:sz w:val="20"/>
                <w:szCs w:val="20"/>
                <w:color w:val="auto"/>
              </w:rPr>
            </w:pPr>
            <w:r>
              <w:rPr>
                <w:rFonts w:ascii="Arial" w:cs="Arial" w:eastAsia="Arial" w:hAnsi="Arial"/>
                <w:sz w:val="17"/>
                <w:szCs w:val="17"/>
                <w:color w:val="auto"/>
              </w:rPr>
              <w:t>Changes in operating assets and liabilities, net of acquisition:</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Accounts receivable, net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12,592</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Contract assets,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(6,991)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Receivable for insurance claims in excess of deductibles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Other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15,314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29,198</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Contract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(18,087)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Accrued self-insurance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Other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(25,413)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(6,238)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5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59,390</w:t>
            </w:r>
          </w:p>
        </w:tc>
        <w:tc>
          <w:tcPr>
            <w:tcW w:w="0" w:type="dxa"/>
            <w:vAlign w:val="bottom"/>
          </w:tcPr>
          <w:p>
            <w:pPr>
              <w:spacing w:after="0"/>
              <w:rPr>
                <w:sz w:val="1"/>
                <w:szCs w:val="1"/>
                <w:color w:val="auto"/>
              </w:rPr>
            </w:pPr>
          </w:p>
        </w:tc>
      </w:tr>
      <w:tr>
        <w:trPr>
          <w:trHeight w:val="210"/>
        </w:trPr>
        <w:tc>
          <w:tcPr>
            <w:tcW w:w="854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sale of property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Cash paid for acquired business, net of cash acquired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(110,576)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Purchases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(7,031)</w:t>
            </w:r>
          </w:p>
        </w:tc>
        <w:tc>
          <w:tcPr>
            <w:tcW w:w="0" w:type="dxa"/>
            <w:vAlign w:val="bottom"/>
          </w:tcPr>
          <w:p>
            <w:pPr>
              <w:spacing w:after="0"/>
              <w:rPr>
                <w:sz w:val="1"/>
                <w:szCs w:val="1"/>
                <w:color w:val="auto"/>
              </w:rPr>
            </w:pPr>
          </w:p>
        </w:tc>
      </w:tr>
      <w:tr>
        <w:trPr>
          <w:trHeight w:val="223"/>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Net cash flows used in investing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(123,586)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(6,380)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Net borrowings under revolving lines of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45,193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Payment of principal obligations under finance leases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Payments related to tax withholding for stock-based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(2,618)</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Other financing activities</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Net cash flows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(2,769)</w:t>
            </w:r>
          </w:p>
        </w:tc>
        <w:tc>
          <w:tcPr>
            <w:tcW w:w="0" w:type="dxa"/>
            <w:vAlign w:val="bottom"/>
          </w:tcPr>
          <w:p>
            <w:pPr>
              <w:spacing w:after="0"/>
              <w:rPr>
                <w:sz w:val="1"/>
                <w:szCs w:val="1"/>
                <w:color w:val="auto"/>
              </w:rPr>
            </w:pPr>
          </w:p>
        </w:tc>
      </w:tr>
      <w:tr>
        <w:trPr>
          <w:trHeight w:val="223"/>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Effect of exchange rate changes on cash</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790</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(63,360)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50,401</w:t>
            </w:r>
          </w:p>
        </w:tc>
        <w:tc>
          <w:tcPr>
            <w:tcW w:w="0" w:type="dxa"/>
            <w:vAlign w:val="bottom"/>
          </w:tcPr>
          <w:p>
            <w:pPr>
              <w:spacing w:after="0"/>
              <w:rPr>
                <w:sz w:val="1"/>
                <w:szCs w:val="1"/>
                <w:color w:val="auto"/>
              </w:rPr>
            </w:pP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and cash equivalents: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Beginning of period</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82,092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22,668</w:t>
            </w:r>
          </w:p>
        </w:tc>
        <w:tc>
          <w:tcPr>
            <w:tcW w:w="0" w:type="dxa"/>
            <w:vAlign w:val="bottom"/>
          </w:tcPr>
          <w:p>
            <w:pPr>
              <w:spacing w:after="0"/>
              <w:rPr>
                <w:sz w:val="1"/>
                <w:szCs w:val="1"/>
                <w:color w:val="auto"/>
              </w:rPr>
            </w:pPr>
          </w:p>
        </w:tc>
      </w:tr>
      <w:tr>
        <w:trPr>
          <w:trHeight w:val="25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End of period</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18,732</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73,069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MYR GROUP INC.</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217" w:lineRule="exact"/>
        <w:rPr>
          <w:sz w:val="20"/>
          <w:szCs w:val="20"/>
          <w:color w:val="auto"/>
        </w:rPr>
      </w:pPr>
    </w:p>
    <w:p>
      <w:pPr>
        <w:ind w:right="7440" w:firstLine="3"/>
        <w:spacing w:after="0" w:line="510" w:lineRule="auto"/>
        <w:tabs>
          <w:tab w:leader="none" w:pos="172"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Business and Basis of Presentation Organization and Business</w:t>
      </w:r>
    </w:p>
    <w:p>
      <w:pPr>
        <w:ind w:right="40" w:firstLine="619"/>
        <w:spacing w:after="0" w:line="274" w:lineRule="auto"/>
        <w:rPr>
          <w:sz w:val="20"/>
          <w:szCs w:val="20"/>
          <w:color w:val="auto"/>
        </w:rPr>
      </w:pPr>
      <w:r>
        <w:rPr>
          <w:rFonts w:ascii="Arial" w:cs="Arial" w:eastAsia="Arial" w:hAnsi="Arial"/>
          <w:sz w:val="16"/>
          <w:szCs w:val="16"/>
          <w:color w:val="auto"/>
        </w:rPr>
        <w:t>MYR Group Inc. (the “Company”) is a holding company of specialty electrical construction service providers and is currently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and clean energy projects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convention centers, clean energy projects, manufacturing plants, processing facilities, water/waste-water treatment facilities, mining facilities, intelligent transportation systems and roadway lighting.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Interim Consolidated Financial Information</w:t>
      </w:r>
    </w:p>
    <w:p>
      <w:pPr>
        <w:spacing w:after="0" w:line="217"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 current year presentation. The consolidated balance sheet as of December 31, 2021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2021, included in the Company’s Annual Report on Form 10-K, which was filed with the SEC on February 23, 2022 (the "2021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Joint Ventures and Noncontrolling Interests</w:t>
      </w:r>
    </w:p>
    <w:p>
      <w:pPr>
        <w:spacing w:after="0" w:line="217"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For joint ventures in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17"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(expense), net” line on the Company’s consolidated statements of operations. Foreign currency gains and losses, recorded in other income, net, for the three months ended March 31, 2022 and 2021 were not significant. Effective foreign currency transaction gains and losses, arising primarily from long-term monetary assets and liabilities, are recorded in the foreign currency translation adjustment line on the Company’s consolidated statements of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7" w:lineRule="exact"/>
        <w:rPr>
          <w:sz w:val="20"/>
          <w:szCs w:val="20"/>
          <w:color w:val="auto"/>
        </w:rPr>
      </w:pPr>
    </w:p>
    <w:p>
      <w:pPr>
        <w:ind w:right="140" w:firstLine="619"/>
        <w:spacing w:after="0" w:line="26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5"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The most significant estimates are related to estimates of costs to complete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3" w:lineRule="exact"/>
        <w:rPr>
          <w:sz w:val="20"/>
          <w:szCs w:val="20"/>
          <w:color w:val="auto"/>
        </w:rPr>
      </w:pPr>
    </w:p>
    <w:p>
      <w:pPr>
        <w:ind w:right="100" w:firstLine="619"/>
        <w:spacing w:after="0" w:line="318" w:lineRule="auto"/>
        <w:rPr>
          <w:sz w:val="20"/>
          <w:szCs w:val="20"/>
          <w:color w:val="auto"/>
        </w:rPr>
      </w:pPr>
      <w:r>
        <w:rPr>
          <w:rFonts w:ascii="Arial" w:cs="Arial" w:eastAsia="Arial" w:hAnsi="Arial"/>
          <w:sz w:val="15"/>
          <w:szCs w:val="15"/>
          <w:color w:val="auto"/>
        </w:rPr>
        <w:t>As of March 31, 2022 and 2021, the Company had recognized revenues of $11.4 million and $14.0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39" w:lineRule="exact"/>
        <w:rPr>
          <w:sz w:val="20"/>
          <w:szCs w:val="20"/>
          <w:color w:val="auto"/>
        </w:rPr>
      </w:pPr>
    </w:p>
    <w:p>
      <w:pPr>
        <w:jc w:val="both"/>
        <w:ind w:right="180" w:firstLine="619"/>
        <w:spacing w:after="0" w:line="290" w:lineRule="auto"/>
        <w:rPr>
          <w:sz w:val="20"/>
          <w:szCs w:val="20"/>
          <w:color w:val="auto"/>
        </w:rPr>
      </w:pPr>
      <w:r>
        <w:rPr>
          <w:rFonts w:ascii="Arial" w:cs="Arial" w:eastAsia="Arial" w:hAnsi="Arial"/>
          <w:sz w:val="16"/>
          <w:szCs w:val="16"/>
          <w:color w:val="auto"/>
        </w:rPr>
        <w:t>The cost-to-cost method of accounting requires the Company to make estimates about the expected revenue and gross profit on each of its contracts in process. During the three months ended March 31, 2022, changes in estimates pertaining to certain projects increased consolidated gross margin by 0.5%, which resulted in increases in operating income of $3.8 million, net income of $2.7 million and diluted earnings per common share of $0.16.</w:t>
      </w:r>
    </w:p>
    <w:p>
      <w:pPr>
        <w:spacing w:after="0" w:line="158" w:lineRule="exact"/>
        <w:rPr>
          <w:sz w:val="20"/>
          <w:szCs w:val="20"/>
          <w:color w:val="auto"/>
        </w:rPr>
      </w:pPr>
    </w:p>
    <w:p>
      <w:pPr>
        <w:jc w:val="both"/>
        <w:ind w:right="160" w:firstLine="619"/>
        <w:spacing w:after="0" w:line="312" w:lineRule="auto"/>
        <w:rPr>
          <w:sz w:val="20"/>
          <w:szCs w:val="20"/>
          <w:color w:val="auto"/>
        </w:rPr>
      </w:pPr>
      <w:r>
        <w:rPr>
          <w:rFonts w:ascii="Arial" w:cs="Arial" w:eastAsia="Arial" w:hAnsi="Arial"/>
          <w:sz w:val="16"/>
          <w:szCs w:val="16"/>
          <w:color w:val="auto"/>
        </w:rPr>
        <w:t>During the three months ended March 31, 2021, changes in estimates pertaining to certain projects increased consolidated gross margin by 0.1%, which resulted in increases in operating income of $0.6 million, net income of $0.4 million and diluted earnings per common share of $0.02.</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3"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17"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In October 2021, the FASB issued ASU No. 2021-08, Business Combinations (Topic 805) Accounting for Contract Assets and Contract Liabilities from Contracts with Customers, which is intended to improve the accounting for acquired revenue contracts with customers in a business combination by addressing diversity in practice and inconsistency related to the recognition of an acquired contract liability and payment terms and their effect on subsequent revenue recognized by the acquirer. Under the new guidance the acquirer is required to recognize contract assets and contract liabilities acquired in a business combination in accordance with Topic 606 as if the acquirer had originated the contracts. The update is effective for fiscal years beginning after December 15, 2022, including interim periods within those fiscal years.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and impact, if any, this update will have on its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Acquisition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Powerline Plus Ltd</w:t>
      </w:r>
    </w:p>
    <w:p>
      <w:pPr>
        <w:spacing w:after="0" w:line="140" w:lineRule="exact"/>
        <w:rPr>
          <w:sz w:val="20"/>
          <w:szCs w:val="20"/>
          <w:color w:val="auto"/>
        </w:rPr>
      </w:pPr>
    </w:p>
    <w:p>
      <w:pPr>
        <w:ind w:firstLine="309"/>
        <w:spacing w:after="0" w:line="293" w:lineRule="auto"/>
        <w:rPr>
          <w:sz w:val="20"/>
          <w:szCs w:val="20"/>
          <w:color w:val="auto"/>
        </w:rPr>
      </w:pPr>
      <w:r>
        <w:rPr>
          <w:rFonts w:ascii="Arial" w:cs="Arial" w:eastAsia="Arial" w:hAnsi="Arial"/>
          <w:sz w:val="15"/>
          <w:szCs w:val="15"/>
          <w:color w:val="auto"/>
        </w:rPr>
        <w:t>On January 4, 2022, the Company acquired all issued and outstanding shares of capital stock of Powerline Plus Ltd. and its affiliate PLP Redimix Ltd. (collectively, the “Powerline Plus Companies"), a full-service electrical distribution construction company based in Toronto, Ontario. Consideration paid, funded through a combination of cash on hand and borrowings under the Facility (as defined below), was $110.6 million, net of cash acquired, and is subject to working capital and net asset adjustments. Additionally, the acquisition includes contingent earn-out consideration that may be payable if the Powerline Plus Companies achieve certain performance targets over a three-year post-acquisition period. As of the acquisition date, the fair value of the contingent earn-out consideration was $10.6 million.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$17.7 million. There were no changes in contingent earn-out consideration, subsequent to the acquisition, for the three months ended March 31, 2022. The results of the Powerline Plus Companies is included in the Company’s consolidated financial statements beginning on the transaction date. Approximately $0.1 million of acquisition-related costs associated with this acquisition were expensed by the Company during the three months ended March 31, 2022.</w:t>
      </w:r>
    </w:p>
    <w:p>
      <w:pPr>
        <w:spacing w:after="0" w:line="99" w:lineRule="exact"/>
        <w:rPr>
          <w:sz w:val="20"/>
          <w:szCs w:val="20"/>
          <w:color w:val="auto"/>
        </w:rPr>
      </w:pPr>
    </w:p>
    <w:p>
      <w:pPr>
        <w:ind w:right="40" w:firstLine="309"/>
        <w:spacing w:after="0" w:line="302" w:lineRule="auto"/>
        <w:rPr>
          <w:sz w:val="20"/>
          <w:szCs w:val="20"/>
          <w:color w:val="auto"/>
        </w:rPr>
      </w:pPr>
      <w:r>
        <w:rPr>
          <w:rFonts w:ascii="Arial" w:cs="Arial" w:eastAsia="Arial" w:hAnsi="Arial"/>
          <w:sz w:val="15"/>
          <w:szCs w:val="15"/>
          <w:color w:val="auto"/>
        </w:rPr>
        <w:t>The purchase agreement also includes contingent consideration provisions for down-side margin guarantee adjustments based upon certain contract performance subsequent to the acquisition. The contracts were valued at fair value at the acquisition date, causing no margin guarantee estimate or adjustments for fair value. Unfavorable changes in contract estimates, such as modified costs to complete or change order recognition, will result in changes to these margin guarantee estimates. Changes in margin guarantee adjustments on contracts, subsequent to the acquisition, were recorded in other income and were not significant for the three months ended March 31, 2022. Future margin guarantee adjustments, if any, are expected to be recognized through 2022 and possibly in early 2023.</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allocation of the opening balance sheet as of the date of the Powerline Plus Companies acquisition: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15"/>
              <w:spacing w:after="0"/>
              <w:rPr>
                <w:sz w:val="20"/>
                <w:szCs w:val="20"/>
                <w:color w:val="auto"/>
              </w:rPr>
            </w:pPr>
            <w:r>
              <w:rPr>
                <w:rFonts w:ascii="Arial" w:cs="Arial" w:eastAsia="Arial" w:hAnsi="Arial"/>
                <w:sz w:val="14"/>
                <w:szCs w:val="14"/>
                <w:b w:val="1"/>
                <w:bCs w:val="1"/>
                <w:color w:val="auto"/>
                <w:w w:val="87"/>
              </w:rPr>
              <w:t>(as of acquisition date)</w:t>
            </w:r>
          </w:p>
        </w:tc>
      </w:tr>
      <w:tr>
        <w:trPr>
          <w:trHeight w:val="178"/>
        </w:trPr>
        <w:tc>
          <w:tcPr>
            <w:tcW w:w="9220" w:type="dxa"/>
            <w:vAlign w:val="bottom"/>
            <w:gridSpan w:val="2"/>
          </w:tcPr>
          <w:p>
            <w:pPr>
              <w:ind w:left="3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5"/>
                <w:szCs w:val="15"/>
                <w:color w:val="auto"/>
              </w:rPr>
            </w:pPr>
          </w:p>
        </w:tc>
        <w:tc>
          <w:tcPr>
            <w:tcW w:w="1560" w:type="dxa"/>
            <w:vAlign w:val="bottom"/>
          </w:tcPr>
          <w:p>
            <w:pPr>
              <w:jc w:val="right"/>
              <w:ind w:right="455"/>
              <w:spacing w:after="0"/>
              <w:rPr>
                <w:sz w:val="20"/>
                <w:szCs w:val="20"/>
                <w:color w:val="auto"/>
              </w:rPr>
            </w:pPr>
            <w:r>
              <w:rPr>
                <w:rFonts w:ascii="Arial" w:cs="Arial" w:eastAsia="Arial" w:hAnsi="Arial"/>
                <w:sz w:val="14"/>
                <w:szCs w:val="14"/>
                <w:b w:val="1"/>
                <w:bCs w:val="1"/>
                <w:color w:val="auto"/>
                <w:w w:val="95"/>
              </w:rPr>
              <w:t>January 4, 2022</w:t>
            </w:r>
          </w:p>
        </w:tc>
      </w:tr>
      <w:tr>
        <w:trPr>
          <w:trHeight w:val="24"/>
        </w:trPr>
        <w:tc>
          <w:tcPr>
            <w:tcW w:w="9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Cash paid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114,429</w:t>
            </w:r>
          </w:p>
        </w:tc>
      </w:tr>
      <w:tr>
        <w:trPr>
          <w:trHeight w:val="23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Contingent consideration - fair value at acquisition date</w:t>
            </w: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10,608</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8"/>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Preliminary estimated net asset adjustments</w:t>
            </w:r>
          </w:p>
        </w:tc>
        <w:tc>
          <w:tcPr>
            <w:tcW w:w="4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563</w:t>
            </w:r>
          </w:p>
        </w:tc>
      </w:tr>
      <w:tr>
        <w:trPr>
          <w:trHeight w:val="223"/>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Total consideration, net of estimated net asset adjustments</w:t>
            </w:r>
          </w:p>
        </w:tc>
        <w:tc>
          <w:tcPr>
            <w:tcW w:w="4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125,600</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8"/>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Less: Acquired cash</w:t>
            </w:r>
          </w:p>
        </w:tc>
        <w:tc>
          <w:tcPr>
            <w:tcW w:w="4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(3,853)</w:t>
            </w:r>
          </w:p>
        </w:tc>
      </w:tr>
      <w:tr>
        <w:trPr>
          <w:trHeight w:val="25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Total consideration less cash acquired, net of estimated net asset adjustments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121,747</w:t>
            </w:r>
          </w:p>
        </w:tc>
      </w:tr>
      <w:tr>
        <w:trPr>
          <w:trHeight w:val="20"/>
        </w:trPr>
        <w:tc>
          <w:tcPr>
            <w:tcW w:w="9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2"/>
        </w:trPr>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Cash and cash equivalents</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3,853</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8"/>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4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12,131</w:t>
            </w:r>
          </w:p>
        </w:tc>
      </w:tr>
      <w:tr>
        <w:trPr>
          <w:trHeight w:val="23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Contract assets, net</w:t>
            </w: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12,443</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8"/>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Refundable income taxes</w:t>
            </w:r>
          </w:p>
        </w:tc>
        <w:tc>
          <w:tcPr>
            <w:tcW w:w="4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3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1,233</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8"/>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Property and equipment</w:t>
            </w:r>
          </w:p>
        </w:tc>
        <w:tc>
          <w:tcPr>
            <w:tcW w:w="4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10,366</w:t>
            </w:r>
          </w:p>
        </w:tc>
      </w:tr>
      <w:tr>
        <w:trPr>
          <w:trHeight w:val="23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Operating lease right-of-use assets</w:t>
            </w: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6,631</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8"/>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4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(8,095)</w:t>
            </w:r>
          </w:p>
        </w:tc>
      </w:tr>
      <w:tr>
        <w:trPr>
          <w:trHeight w:val="23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Contract liabilities</w:t>
            </w: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(1,597)</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8"/>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Accrued income taxes</w:t>
            </w:r>
          </w:p>
        </w:tc>
        <w:tc>
          <w:tcPr>
            <w:tcW w:w="4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w:t>
            </w:r>
          </w:p>
        </w:tc>
      </w:tr>
      <w:tr>
        <w:trPr>
          <w:trHeight w:val="23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Current portion of operating lease obligations</w:t>
            </w: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(1,224)</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8"/>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Current portion of finance lease obligations</w:t>
            </w:r>
          </w:p>
        </w:tc>
        <w:tc>
          <w:tcPr>
            <w:tcW w:w="4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(1,492)</w:t>
            </w:r>
          </w:p>
        </w:tc>
      </w:tr>
      <w:tr>
        <w:trPr>
          <w:trHeight w:val="23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Deferred income tax liabilities</w:t>
            </w: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(672)</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8"/>
        </w:trPr>
        <w:tc>
          <w:tcPr>
            <w:tcW w:w="9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Operating lease obligations, net of current maturities</w:t>
            </w:r>
          </w:p>
        </w:tc>
        <w:tc>
          <w:tcPr>
            <w:tcW w:w="4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(4,897)</w:t>
            </w:r>
          </w:p>
        </w:tc>
      </w:tr>
      <w:tr>
        <w:trPr>
          <w:trHeight w:val="23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Finance lease obligations, net of current maturities</w:t>
            </w: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(3,243)</w:t>
            </w:r>
          </w:p>
        </w:tc>
      </w:tr>
      <w:tr>
        <w:trPr>
          <w:trHeight w:val="27"/>
        </w:trPr>
        <w:tc>
          <w:tcPr>
            <w:tcW w:w="9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1"/>
        </w:trPr>
        <w:tc>
          <w:tcPr>
            <w:tcW w:w="92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Net identifiable assets and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25,145</w:t>
            </w:r>
          </w:p>
        </w:tc>
      </w:tr>
      <w:tr>
        <w:trPr>
          <w:trHeight w:val="223"/>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Unallocated intangible assets</w:t>
            </w:r>
          </w:p>
        </w:tc>
        <w:tc>
          <w:tcPr>
            <w:tcW w:w="4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56,650</w:t>
            </w:r>
          </w:p>
        </w:tc>
      </w:tr>
      <w:tr>
        <w:trPr>
          <w:trHeight w:val="27"/>
        </w:trPr>
        <w:tc>
          <w:tcPr>
            <w:tcW w:w="9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1"/>
        </w:trPr>
        <w:tc>
          <w:tcPr>
            <w:tcW w:w="92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Total acquired assets and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81,795</w:t>
            </w:r>
          </w:p>
        </w:tc>
      </w:tr>
      <w:tr>
        <w:trPr>
          <w:trHeight w:val="250"/>
        </w:trPr>
        <w:tc>
          <w:tcPr>
            <w:tcW w:w="9220" w:type="dxa"/>
            <w:vAlign w:val="bottom"/>
            <w:gridSpan w:val="2"/>
          </w:tcPr>
          <w:p>
            <w:pPr>
              <w:ind w:left="320"/>
              <w:spacing w:after="0"/>
              <w:rPr>
                <w:sz w:val="20"/>
                <w:szCs w:val="20"/>
                <w:color w:val="auto"/>
              </w:rPr>
            </w:pPr>
            <w:r>
              <w:rPr>
                <w:rFonts w:ascii="Arial" w:cs="Arial" w:eastAsia="Arial" w:hAnsi="Arial"/>
                <w:sz w:val="17"/>
                <w:szCs w:val="17"/>
                <w:color w:val="auto"/>
              </w:rPr>
              <w:t>Goodwill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43,805</w:t>
            </w:r>
          </w:p>
        </w:tc>
      </w:tr>
      <w:tr>
        <w:trPr>
          <w:trHeight w:val="20"/>
        </w:trPr>
        <w:tc>
          <w:tcPr>
            <w:tcW w:w="9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40" w:firstLine="619"/>
        <w:spacing w:after="0" w:line="295" w:lineRule="auto"/>
        <w:rPr>
          <w:sz w:val="20"/>
          <w:szCs w:val="20"/>
          <w:color w:val="auto"/>
        </w:rPr>
      </w:pPr>
      <w:r>
        <w:rPr>
          <w:rFonts w:ascii="Arial" w:cs="Arial" w:eastAsia="Arial" w:hAnsi="Arial"/>
          <w:sz w:val="15"/>
          <w:szCs w:val="15"/>
          <w:color w:val="auto"/>
        </w:rPr>
        <w:t>The Company has developed preliminary estimates of fair value of the assets acquired and liabilities assumed for the purposes of allocating the purchase price. The goodwill to be recognized, which represents the excess of the purchase price over the net amount of the fair values assigned to assets acquired and liabilities assumed, is primarily attributable to the value of an assembled workforce and other non-identifiable assets. No synergies were anticipated in the acquisition as the Powerline Plus Companies will function as an individual business within the Company’s operating structure. Further adjustments are expected to the allocation as third party valuations of contingent earn-out consideration, acquired right-of-use assets and lease liabilities and identifiable intangible assets, including backlog, customer relationships, trade name and off-market component, are determined, and as net asset adjustments are finalized. Additionally, the Company is currently performing an analysis of the purchase price allocation and will make appropriate adjustments based on the analysis. A portion of the goodwill and identifiable intangible assets are expected to be tax deductible per applicable Canadian Revenue Authority regulations.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Contract Assets and Liabilities</w:t>
      </w:r>
    </w:p>
    <w:p>
      <w:pPr>
        <w:spacing w:after="0" w:line="223" w:lineRule="exact"/>
        <w:rPr>
          <w:sz w:val="20"/>
          <w:szCs w:val="20"/>
          <w:color w:val="auto"/>
        </w:rPr>
      </w:pPr>
    </w:p>
    <w:p>
      <w:pPr>
        <w:jc w:val="both"/>
        <w:ind w:right="20" w:firstLine="619"/>
        <w:spacing w:after="0" w:line="266" w:lineRule="auto"/>
        <w:rPr>
          <w:sz w:val="20"/>
          <w:szCs w:val="20"/>
          <w:color w:val="auto"/>
        </w:rPr>
      </w:pPr>
      <w:r>
        <w:rPr>
          <w:rFonts w:ascii="Arial" w:cs="Arial" w:eastAsia="Arial" w:hAnsi="Arial"/>
          <w:sz w:val="17"/>
          <w:szCs w:val="17"/>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75" w:lineRule="exact"/>
        <w:rPr>
          <w:sz w:val="20"/>
          <w:szCs w:val="20"/>
          <w:color w:val="auto"/>
        </w:rPr>
      </w:pPr>
    </w:p>
    <w:p>
      <w:pPr>
        <w:jc w:val="both"/>
        <w:ind w:right="20" w:firstLine="619"/>
        <w:spacing w:after="0" w:line="318" w:lineRule="auto"/>
        <w:rPr>
          <w:sz w:val="20"/>
          <w:szCs w:val="20"/>
          <w:color w:val="auto"/>
        </w:rPr>
      </w:pPr>
      <w:r>
        <w:rPr>
          <w:rFonts w:ascii="Arial" w:cs="Arial" w:eastAsia="Arial" w:hAnsi="Arial"/>
          <w:sz w:val="15"/>
          <w:szCs w:val="15"/>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$0.4 million as of March 31, 2022 and December 31, 2021.</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 assets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2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71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Unbilled revenue, net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140,242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6,055</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Contract retainages, net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103,412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12,524</w:t>
            </w:r>
          </w:p>
        </w:tc>
        <w:tc>
          <w:tcPr>
            <w:tcW w:w="0" w:type="dxa"/>
            <w:vAlign w:val="bottom"/>
          </w:tcPr>
          <w:p>
            <w:pPr>
              <w:spacing w:after="0"/>
              <w:rPr>
                <w:sz w:val="1"/>
                <w:szCs w:val="1"/>
                <w:color w:val="auto"/>
              </w:rPr>
            </w:pPr>
          </w:p>
        </w:tc>
      </w:tr>
      <w:tr>
        <w:trPr>
          <w:trHeight w:val="23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243,654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225,075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18,579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consolidated balance sheets present contract liabilities which contain deferred revenue and an accrual for contracts in a loss provision.</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 liabilities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7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(3,115)</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Accrued loss provision</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3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167,931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720" w:type="dxa"/>
            <w:vAlign w:val="bottom"/>
            <w:gridSpan w:val="6"/>
          </w:tcPr>
          <w:p>
            <w:pPr>
              <w:ind w:left="620"/>
              <w:spacing w:after="0"/>
              <w:rPr>
                <w:sz w:val="20"/>
                <w:szCs w:val="20"/>
                <w:color w:val="auto"/>
              </w:rPr>
            </w:pPr>
            <w:r>
              <w:rPr>
                <w:rFonts w:ascii="Arial" w:cs="Arial" w:eastAsia="Arial" w:hAnsi="Arial"/>
                <w:sz w:val="17"/>
                <w:szCs w:val="17"/>
                <w:color w:val="auto"/>
                <w:w w:val="93"/>
              </w:rPr>
              <w:t>The following table provides information about contract assets and contract liabilities from contracts with customers: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0"/>
                <w:szCs w:val="20"/>
                <w:color w:val="auto"/>
              </w:rPr>
            </w:pPr>
          </w:p>
        </w:tc>
        <w:tc>
          <w:tcPr>
            <w:tcW w:w="10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71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 net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18,579</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Contract liabilities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(165,127)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(167,931)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2,804</w:t>
            </w:r>
          </w:p>
        </w:tc>
        <w:tc>
          <w:tcPr>
            <w:tcW w:w="0" w:type="dxa"/>
            <w:vAlign w:val="bottom"/>
          </w:tcPr>
          <w:p>
            <w:pPr>
              <w:spacing w:after="0"/>
              <w:rPr>
                <w:sz w:val="1"/>
                <w:szCs w:val="1"/>
                <w:color w:val="auto"/>
              </w:rPr>
            </w:pPr>
          </w:p>
        </w:tc>
      </w:tr>
      <w:tr>
        <w:trPr>
          <w:trHeight w:val="23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contract assets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21,383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$17.9 million and $41.4 million for the three months ended March 31, 2022 and 2021, respectively.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net asset position for contracts in process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20" w:type="dxa"/>
            <w:vAlign w:val="bottom"/>
          </w:tcPr>
          <w:p>
            <w:pPr>
              <w:jc w:val="right"/>
              <w:ind w:right="16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9"/>
        </w:trPr>
        <w:tc>
          <w:tcPr>
            <w:tcW w:w="8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9"/>
        </w:trPr>
        <w:tc>
          <w:tcPr>
            <w:tcW w:w="8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Costs and estimated earnings on uncompleted contracts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4,153,142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4,130,621</w:t>
            </w:r>
          </w:p>
        </w:tc>
        <w:tc>
          <w:tcPr>
            <w:tcW w:w="0" w:type="dxa"/>
            <w:vAlign w:val="bottom"/>
          </w:tcPr>
          <w:p>
            <w:pPr>
              <w:spacing w:after="0"/>
              <w:rPr>
                <w:sz w:val="1"/>
                <w:szCs w:val="1"/>
                <w:color w:val="auto"/>
              </w:rPr>
            </w:pPr>
          </w:p>
        </w:tc>
      </w:tr>
      <w:tr>
        <w:trPr>
          <w:trHeight w:val="218"/>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billings to date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4,175,484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4,162,133</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(31,512)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 net asset position for contracts in process is included within the contract asset and contract liability in the accompanying consolidated balance sheets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00" w:type="dxa"/>
            <w:vAlign w:val="bottom"/>
          </w:tcPr>
          <w:p>
            <w:pPr>
              <w:jc w:val="right"/>
              <w:ind w:right="221"/>
              <w:spacing w:after="0"/>
              <w:rPr>
                <w:sz w:val="20"/>
                <w:szCs w:val="20"/>
                <w:color w:val="auto"/>
              </w:rPr>
            </w:pPr>
            <w:r>
              <w:rPr>
                <w:rFonts w:ascii="Arial" w:cs="Arial" w:eastAsia="Arial" w:hAnsi="Arial"/>
                <w:sz w:val="14"/>
                <w:szCs w:val="14"/>
                <w:b w:val="1"/>
                <w:bCs w:val="1"/>
                <w:color w:val="auto"/>
                <w:w w:val="96"/>
              </w:rPr>
              <w:t>December 31,</w:t>
            </w:r>
          </w:p>
        </w:tc>
      </w:tr>
      <w:tr>
        <w:trPr>
          <w:trHeight w:val="178"/>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160" w:type="dxa"/>
            <w:vAlign w:val="bottom"/>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4"/>
        </w:trPr>
        <w:tc>
          <w:tcPr>
            <w:tcW w:w="8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8"/>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Unbilled revenue</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140,242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134,187</w:t>
            </w: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(162,584)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(165,699)</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6"/>
        </w:trPr>
        <w:tc>
          <w:tcPr>
            <w:tcW w:w="8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(31,512)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Lease Obligations</w:t>
      </w:r>
    </w:p>
    <w:p>
      <w:pPr>
        <w:spacing w:after="0" w:line="223"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eight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March 31, 2022,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the lease-related assets and liabilities recorded: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 on the Consolidated Balance Sheet</w:t>
            </w:r>
          </w:p>
        </w:tc>
        <w:tc>
          <w:tcPr>
            <w:tcW w:w="22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20"/>
              <w:spacing w:after="0"/>
              <w:rPr>
                <w:sz w:val="20"/>
                <w:szCs w:val="20"/>
                <w:color w:val="auto"/>
              </w:rPr>
            </w:pPr>
            <w:r>
              <w:rPr>
                <w:rFonts w:ascii="Arial" w:cs="Arial" w:eastAsia="Arial" w:hAnsi="Arial"/>
                <w:sz w:val="17"/>
                <w:szCs w:val="17"/>
                <w:b w:val="1"/>
                <w:bCs w:val="1"/>
                <w:color w:val="auto"/>
              </w:rPr>
              <w:t>Assets</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right-of-use assets</w:t>
            </w: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7"/>
                <w:szCs w:val="17"/>
                <w:color w:val="auto"/>
              </w:rPr>
              <w:t>Finance lease right-of-use assets</w:t>
            </w:r>
          </w:p>
        </w:tc>
        <w:tc>
          <w:tcPr>
            <w:tcW w:w="5220" w:type="dxa"/>
            <w:vAlign w:val="bottom"/>
            <w:gridSpan w:val="2"/>
          </w:tcPr>
          <w:p>
            <w:pPr>
              <w:ind w:left="20"/>
              <w:spacing w:after="0"/>
              <w:rPr>
                <w:sz w:val="20"/>
                <w:szCs w:val="20"/>
                <w:color w:val="auto"/>
              </w:rPr>
            </w:pPr>
            <w:r>
              <w:rPr>
                <w:rFonts w:ascii="Arial" w:cs="Arial" w:eastAsia="Arial" w:hAnsi="Arial"/>
                <w:sz w:val="17"/>
                <w:szCs w:val="17"/>
                <w:color w:val="auto"/>
              </w:rPr>
              <w:t>Property and equipment, net of accumulated depreciation</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right-of-use lease assets</w:t>
            </w:r>
          </w:p>
        </w:tc>
        <w:tc>
          <w:tcPr>
            <w:tcW w:w="5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5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obligations</w:t>
            </w: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Current portion of operating lease obligations</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7"/>
                <w:szCs w:val="17"/>
                <w:color w:val="auto"/>
              </w:rPr>
              <w:t>Finance lease obligations</w:t>
            </w:r>
          </w:p>
        </w:tc>
        <w:tc>
          <w:tcPr>
            <w:tcW w:w="5220" w:type="dxa"/>
            <w:vAlign w:val="bottom"/>
            <w:gridSpan w:val="2"/>
          </w:tcPr>
          <w:p>
            <w:pPr>
              <w:ind w:left="20"/>
              <w:spacing w:after="0"/>
              <w:rPr>
                <w:sz w:val="20"/>
                <w:szCs w:val="20"/>
                <w:color w:val="auto"/>
              </w:rPr>
            </w:pPr>
            <w:r>
              <w:rPr>
                <w:rFonts w:ascii="Arial" w:cs="Arial" w:eastAsia="Arial" w:hAnsi="Arial"/>
                <w:sz w:val="17"/>
                <w:szCs w:val="17"/>
                <w:color w:val="auto"/>
              </w:rPr>
              <w:t>Current portion of finance lease obligations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current obligations</w:t>
            </w:r>
          </w:p>
        </w:tc>
        <w:tc>
          <w:tcPr>
            <w:tcW w:w="5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7"/>
                <w:szCs w:val="17"/>
                <w:color w:val="auto"/>
              </w:rPr>
              <w:t>Non-current</w:t>
            </w: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obligations</w:t>
            </w: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obligations, net of current maturities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7"/>
                <w:szCs w:val="17"/>
                <w:color w:val="auto"/>
              </w:rPr>
              <w:t>Finance lease obligations</w:t>
            </w:r>
          </w:p>
        </w:tc>
        <w:tc>
          <w:tcPr>
            <w:tcW w:w="5220" w:type="dxa"/>
            <w:vAlign w:val="bottom"/>
            <w:gridSpan w:val="2"/>
          </w:tcPr>
          <w:p>
            <w:pPr>
              <w:ind w:left="20"/>
              <w:spacing w:after="0"/>
              <w:rPr>
                <w:sz w:val="20"/>
                <w:szCs w:val="20"/>
                <w:color w:val="auto"/>
              </w:rPr>
            </w:pPr>
            <w:r>
              <w:rPr>
                <w:rFonts w:ascii="Arial" w:cs="Arial" w:eastAsia="Arial" w:hAnsi="Arial"/>
                <w:sz w:val="17"/>
                <w:szCs w:val="17"/>
                <w:color w:val="auto"/>
              </w:rPr>
              <w:t>Finance lease obligations, net of current maturities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non-current obligations</w:t>
            </w:r>
          </w:p>
        </w:tc>
        <w:tc>
          <w:tcPr>
            <w:tcW w:w="5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320" w:type="dxa"/>
            <w:vAlign w:val="bottom"/>
            <w:gridSpan w:val="2"/>
          </w:tcPr>
          <w:p>
            <w:pPr>
              <w:ind w:left="140"/>
              <w:spacing w:after="0"/>
              <w:rPr>
                <w:sz w:val="20"/>
                <w:szCs w:val="20"/>
                <w:color w:val="auto"/>
              </w:rPr>
            </w:pPr>
            <w:r>
              <w:rPr>
                <w:rFonts w:ascii="Arial" w:cs="Arial" w:eastAsia="Arial" w:hAnsi="Arial"/>
                <w:sz w:val="17"/>
                <w:szCs w:val="17"/>
                <w:color w:val="auto"/>
              </w:rPr>
              <w:t>Total lease obligations</w:t>
            </w:r>
          </w:p>
        </w:tc>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36,825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20,995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vMerge w:val="restart"/>
          </w:tcPr>
          <w:p>
            <w:pPr>
              <w:ind w:left="222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2"/>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the lease terms and discount rates: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w:t>
            </w:r>
          </w:p>
        </w:tc>
        <w:tc>
          <w:tcPr>
            <w:tcW w:w="142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8320" w:type="dxa"/>
            <w:vAlign w:val="bottom"/>
          </w:tcPr>
          <w:p>
            <w:pPr>
              <w:spacing w:after="0"/>
              <w:rPr>
                <w:sz w:val="15"/>
                <w:szCs w:val="15"/>
                <w:color w:val="auto"/>
              </w:rPr>
            </w:pPr>
          </w:p>
        </w:tc>
        <w:tc>
          <w:tcPr>
            <w:tcW w:w="1400" w:type="dxa"/>
            <w:vAlign w:val="bottom"/>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20" w:type="dxa"/>
            <w:vAlign w:val="bottom"/>
          </w:tcPr>
          <w:p>
            <w:pPr>
              <w:jc w:val="right"/>
              <w:ind w:right="480"/>
              <w:spacing w:after="0"/>
              <w:rPr>
                <w:sz w:val="20"/>
                <w:szCs w:val="20"/>
                <w:color w:val="auto"/>
              </w:rPr>
            </w:pPr>
            <w:r>
              <w:rPr>
                <w:rFonts w:ascii="Arial" w:cs="Arial" w:eastAsia="Arial" w:hAnsi="Arial"/>
                <w:sz w:val="14"/>
                <w:szCs w:val="14"/>
                <w:b w:val="1"/>
                <w:bCs w:val="1"/>
                <w:color w:val="auto"/>
              </w:rPr>
              <w:t>2021</w:t>
            </w:r>
          </w:p>
        </w:tc>
      </w:tr>
      <w:tr>
        <w:trPr>
          <w:trHeight w:val="24"/>
        </w:trPr>
        <w:tc>
          <w:tcPr>
            <w:tcW w:w="83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 finance leases</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 years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 years</w:t>
            </w:r>
          </w:p>
        </w:tc>
      </w:tr>
      <w:tr>
        <w:trPr>
          <w:trHeight w:val="230"/>
        </w:trPr>
        <w:tc>
          <w:tcPr>
            <w:tcW w:w="8320" w:type="dxa"/>
            <w:vAlign w:val="bottom"/>
          </w:tcPr>
          <w:p>
            <w:pPr>
              <w:ind w:left="20"/>
              <w:spacing w:after="0"/>
              <w:rPr>
                <w:sz w:val="20"/>
                <w:szCs w:val="20"/>
                <w:color w:val="auto"/>
              </w:rPr>
            </w:pPr>
            <w:r>
              <w:rPr>
                <w:rFonts w:ascii="Arial" w:cs="Arial" w:eastAsia="Arial" w:hAnsi="Arial"/>
                <w:sz w:val="17"/>
                <w:szCs w:val="17"/>
                <w:color w:val="auto"/>
              </w:rPr>
              <w:t>Weighted-average remaining lease term - operating leases</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3.9 years</w:t>
            </w:r>
          </w:p>
        </w:tc>
        <w:tc>
          <w:tcPr>
            <w:tcW w:w="1420" w:type="dxa"/>
            <w:vAlign w:val="bottom"/>
          </w:tcPr>
          <w:p>
            <w:pPr>
              <w:jc w:val="right"/>
              <w:spacing w:after="0"/>
              <w:rPr>
                <w:sz w:val="20"/>
                <w:szCs w:val="20"/>
                <w:color w:val="auto"/>
              </w:rPr>
            </w:pPr>
            <w:r>
              <w:rPr>
                <w:rFonts w:ascii="Arial" w:cs="Arial" w:eastAsia="Arial" w:hAnsi="Arial"/>
                <w:sz w:val="17"/>
                <w:szCs w:val="17"/>
                <w:color w:val="auto"/>
              </w:rPr>
              <w:t>2.9 years</w:t>
            </w:r>
          </w:p>
        </w:tc>
      </w:tr>
      <w:tr>
        <w:trPr>
          <w:trHeight w:val="27"/>
        </w:trPr>
        <w:tc>
          <w:tcPr>
            <w:tcW w:w="8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discount rate - finance leases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30"/>
        </w:trPr>
        <w:tc>
          <w:tcPr>
            <w:tcW w:w="8320" w:type="dxa"/>
            <w:vAlign w:val="bottom"/>
          </w:tcPr>
          <w:p>
            <w:pPr>
              <w:ind w:left="20"/>
              <w:spacing w:after="0"/>
              <w:rPr>
                <w:sz w:val="20"/>
                <w:szCs w:val="20"/>
                <w:color w:val="auto"/>
              </w:rPr>
            </w:pPr>
            <w:r>
              <w:rPr>
                <w:rFonts w:ascii="Arial" w:cs="Arial" w:eastAsia="Arial" w:hAnsi="Arial"/>
                <w:sz w:val="17"/>
                <w:szCs w:val="17"/>
                <w:color w:val="auto"/>
              </w:rPr>
              <w:t>Weighted-average discount rate - operating leases</w:t>
            </w:r>
          </w:p>
        </w:tc>
        <w:tc>
          <w:tcPr>
            <w:tcW w:w="1400" w:type="dxa"/>
            <w:vAlign w:val="bottom"/>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3.9 %</w:t>
            </w:r>
          </w:p>
        </w:tc>
      </w:tr>
    </w:tbl>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certain information related to the lease costs for finance and operating leases: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r>
      <w:tr>
        <w:trPr>
          <w:trHeight w:val="197"/>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7"/>
                <w:szCs w:val="17"/>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7"/>
                <w:szCs w:val="17"/>
                <w:color w:val="auto"/>
              </w:rPr>
            </w:pPr>
          </w:p>
        </w:tc>
      </w:tr>
      <w:tr>
        <w:trPr>
          <w:trHeight w:val="178"/>
        </w:trPr>
        <w:tc>
          <w:tcPr>
            <w:tcW w:w="846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r>
      <w:tr>
        <w:trPr>
          <w:trHeight w:val="20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Lease cost:</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8"/>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Finance lease cost:</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0"/>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Amortization of right-of-use assets</w:t>
            </w: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18"/>
        </w:trPr>
        <w:tc>
          <w:tcPr>
            <w:tcW w:w="8560" w:type="dxa"/>
            <w:vAlign w:val="bottom"/>
            <w:gridSpan w:val="2"/>
          </w:tcPr>
          <w:p>
            <w:pPr>
              <w:ind w:left="220"/>
              <w:spacing w:after="0"/>
              <w:rPr>
                <w:sz w:val="20"/>
                <w:szCs w:val="20"/>
                <w:color w:val="auto"/>
              </w:rPr>
            </w:pPr>
            <w:r>
              <w:rPr>
                <w:rFonts w:ascii="Arial" w:cs="Arial" w:eastAsia="Arial" w:hAnsi="Arial"/>
                <w:sz w:val="17"/>
                <w:szCs w:val="17"/>
                <w:color w:val="auto"/>
              </w:rPr>
              <w:t>Interest on lease liabilities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cost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3,122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2,486</w:t>
            </w:r>
          </w:p>
        </w:tc>
      </w:tr>
      <w:tr>
        <w:trPr>
          <w:trHeight w:val="218"/>
        </w:trPr>
        <w:tc>
          <w:tcPr>
            <w:tcW w:w="8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Variable lease costs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r>
      <w:tr>
        <w:trPr>
          <w:trHeight w:val="238"/>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lease cost</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3,850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2,754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other information and supplemental cash flow information related to finance and operating leases: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r>
      <w:tr>
        <w:trPr>
          <w:trHeight w:val="206"/>
        </w:trPr>
        <w:tc>
          <w:tcPr>
            <w:tcW w:w="85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24"/>
        </w:trPr>
        <w:tc>
          <w:tcPr>
            <w:tcW w:w="8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information:</w:t>
            </w:r>
          </w:p>
        </w:tc>
        <w:tc>
          <w:tcPr>
            <w:tcW w:w="8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0"/>
        </w:trPr>
        <w:tc>
          <w:tcPr>
            <w:tcW w:w="8580" w:type="dxa"/>
            <w:vAlign w:val="bottom"/>
            <w:gridSpan w:val="2"/>
          </w:tcPr>
          <w:p>
            <w:pPr>
              <w:ind w:left="14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8"/>
        </w:trPr>
        <w:tc>
          <w:tcPr>
            <w:tcW w:w="8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80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3"/>
              </w:rPr>
              <w:t>3,179</w:t>
            </w:r>
          </w:p>
        </w:tc>
        <w:tc>
          <w:tcPr>
            <w:tcW w:w="3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2,540</w:t>
            </w:r>
          </w:p>
        </w:tc>
      </w:tr>
      <w:tr>
        <w:trPr>
          <w:trHeight w:val="230"/>
        </w:trPr>
        <w:tc>
          <w:tcPr>
            <w:tcW w:w="8580" w:type="dxa"/>
            <w:vAlign w:val="bottom"/>
            <w:gridSpan w:val="2"/>
          </w:tcPr>
          <w:p>
            <w:pPr>
              <w:ind w:left="140"/>
              <w:spacing w:after="0"/>
              <w:rPr>
                <w:sz w:val="20"/>
                <w:szCs w:val="20"/>
                <w:color w:val="auto"/>
              </w:rPr>
            </w:pPr>
            <w:r>
              <w:rPr>
                <w:rFonts w:ascii="Arial" w:cs="Arial" w:eastAsia="Arial" w:hAnsi="Arial"/>
                <w:sz w:val="17"/>
                <w:szCs w:val="17"/>
                <w:color w:val="auto"/>
              </w:rPr>
              <w:t>Right-of-use asset obtained in exchange for new operating lease obligations</w:t>
            </w:r>
          </w:p>
        </w:tc>
        <w:tc>
          <w:tcPr>
            <w:tcW w:w="800" w:type="dxa"/>
            <w:vAlign w:val="bottom"/>
          </w:tcPr>
          <w:p>
            <w:pPr>
              <w:jc w:val="right"/>
              <w:ind w:right="603"/>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14"/>
              <w:spacing w:after="0"/>
              <w:rPr>
                <w:sz w:val="20"/>
                <w:szCs w:val="20"/>
                <w:color w:val="auto"/>
              </w:rPr>
            </w:pPr>
            <w:r>
              <w:rPr>
                <w:rFonts w:ascii="Arial" w:cs="Arial" w:eastAsia="Arial" w:hAnsi="Arial"/>
                <w:sz w:val="17"/>
                <w:szCs w:val="17"/>
                <w:color w:val="auto"/>
                <w:w w:val="93"/>
              </w:rPr>
              <w:t>4,392</w:t>
            </w:r>
          </w:p>
        </w:tc>
        <w:tc>
          <w:tcPr>
            <w:tcW w:w="3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1,502</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20" w:firstLine="619"/>
        <w:spacing w:after="0" w:line="312" w:lineRule="auto"/>
        <w:rPr>
          <w:sz w:val="20"/>
          <w:szCs w:val="20"/>
          <w:color w:val="auto"/>
        </w:rPr>
      </w:pPr>
      <w:r>
        <w:rPr>
          <w:rFonts w:ascii="Arial" w:cs="Arial" w:eastAsia="Arial" w:hAnsi="Arial"/>
          <w:sz w:val="16"/>
          <w:szCs w:val="16"/>
          <w:color w:val="auto"/>
        </w:rPr>
        <w:t>The future undiscounted minimum lease payments, as reconciled to the discounted minimum lease obligation indicated on the Company’s consolidated balance sheets, under financial leases, less interest, and under operating leases, less imputed interest, as of March 31, 2022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Total</w:t>
            </w:r>
          </w:p>
        </w:tc>
      </w:tr>
      <w:tr>
        <w:trPr>
          <w:trHeight w:val="155"/>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Finance</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7"/>
              </w:rPr>
              <w:t>Operating Lease</w:t>
            </w:r>
          </w:p>
        </w:tc>
        <w:tc>
          <w:tcPr>
            <w:tcW w:w="200" w:type="dxa"/>
            <w:vAlign w:val="bottom"/>
          </w:tcPr>
          <w:p>
            <w:pPr>
              <w:spacing w:after="0"/>
              <w:rPr>
                <w:sz w:val="13"/>
                <w:szCs w:val="13"/>
                <w:color w:val="auto"/>
              </w:rPr>
            </w:pPr>
          </w:p>
        </w:tc>
        <w:tc>
          <w:tcPr>
            <w:tcW w:w="108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80"/>
              </w:rPr>
              <w:t>Lease</w:t>
            </w:r>
          </w:p>
        </w:tc>
      </w:tr>
      <w:tr>
        <w:trPr>
          <w:trHeight w:val="178"/>
        </w:trPr>
        <w:tc>
          <w:tcPr>
            <w:tcW w:w="6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Lease Obligations</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Obligations</w:t>
            </w:r>
          </w:p>
        </w:tc>
        <w:tc>
          <w:tcPr>
            <w:tcW w:w="200" w:type="dxa"/>
            <w:vAlign w:val="bottom"/>
          </w:tcPr>
          <w:p>
            <w:pPr>
              <w:spacing w:after="0"/>
              <w:rPr>
                <w:sz w:val="15"/>
                <w:szCs w:val="15"/>
                <w:color w:val="auto"/>
              </w:rPr>
            </w:pPr>
          </w:p>
        </w:tc>
        <w:tc>
          <w:tcPr>
            <w:tcW w:w="1080" w:type="dxa"/>
            <w:vAlign w:val="bottom"/>
          </w:tcPr>
          <w:p>
            <w:pPr>
              <w:jc w:val="center"/>
              <w:ind w:right="118"/>
              <w:spacing w:after="0"/>
              <w:rPr>
                <w:sz w:val="20"/>
                <w:szCs w:val="20"/>
                <w:color w:val="auto"/>
              </w:rPr>
            </w:pPr>
            <w:r>
              <w:rPr>
                <w:rFonts w:ascii="Arial" w:cs="Arial" w:eastAsia="Arial" w:hAnsi="Arial"/>
                <w:sz w:val="14"/>
                <w:szCs w:val="14"/>
                <w:b w:val="1"/>
                <w:bCs w:val="1"/>
                <w:color w:val="auto"/>
                <w:w w:val="88"/>
              </w:rPr>
              <w:t>Obligations</w:t>
            </w:r>
          </w:p>
        </w:tc>
      </w:tr>
      <w:tr>
        <w:trPr>
          <w:trHeight w:val="24"/>
        </w:trPr>
        <w:tc>
          <w:tcPr>
            <w:tcW w:w="6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8"/>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10,290</w:t>
            </w:r>
          </w:p>
        </w:tc>
      </w:tr>
      <w:tr>
        <w:trPr>
          <w:trHeight w:val="230"/>
        </w:trPr>
        <w:tc>
          <w:tcPr>
            <w:tcW w:w="682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10,174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11,331</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9,234</w:t>
            </w:r>
          </w:p>
        </w:tc>
      </w:tr>
      <w:tr>
        <w:trPr>
          <w:trHeight w:val="230"/>
        </w:trPr>
        <w:tc>
          <w:tcPr>
            <w:tcW w:w="682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5,080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5,266</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3,963</w:t>
            </w:r>
          </w:p>
        </w:tc>
      </w:tr>
      <w:tr>
        <w:trPr>
          <w:trHeight w:val="230"/>
        </w:trPr>
        <w:tc>
          <w:tcPr>
            <w:tcW w:w="6820" w:type="dxa"/>
            <w:vAlign w:val="bottom"/>
          </w:tcPr>
          <w:p>
            <w:pPr>
              <w:ind w:left="2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770</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1,398</w:t>
            </w:r>
          </w:p>
        </w:tc>
      </w:tr>
      <w:tr>
        <w:trPr>
          <w:trHeight w:val="223"/>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Total minimum lease payments</w:t>
            </w: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4,557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37,695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42,252</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Financing component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(5,427)</w:t>
            </w:r>
          </w:p>
        </w:tc>
      </w:tr>
      <w:tr>
        <w:trPr>
          <w:trHeight w:val="223"/>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Net present value of minimum lease payments</w:t>
            </w: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4,375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32,450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36,825</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 of finance and operating lease obligations</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(10,644)</w:t>
            </w:r>
          </w:p>
        </w:tc>
      </w:tr>
      <w:tr>
        <w:trPr>
          <w:trHeight w:val="250"/>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Long-term finance and operating lease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3,001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23,180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26,181</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financing component for operating lease obligations represents the effect of discounting the lease payments to their present value.</w:t>
      </w:r>
    </w:p>
    <w:p>
      <w:pPr>
        <w:spacing w:after="0" w:line="217"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Certain subsidiaries of the Company have operating leases for facilities from third party companies that are owned, in whole or part, by employees of the subsidiaries. The terms and rental rates of these leases are at or below market rental rates. As of March 31, 2022, the minimum lease payments required under these leases totaled $8.7 million, which are due over the next 4.8 years.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3"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64" w:lineRule="exact"/>
        <w:rPr>
          <w:sz w:val="20"/>
          <w:szCs w:val="20"/>
          <w:color w:val="auto"/>
        </w:rPr>
      </w:pPr>
    </w:p>
    <w:p>
      <w:pPr>
        <w:ind w:right="100" w:firstLine="619"/>
        <w:spacing w:after="0" w:line="279" w:lineRule="auto"/>
        <w:rPr>
          <w:sz w:val="20"/>
          <w:szCs w:val="20"/>
          <w:color w:val="auto"/>
        </w:rPr>
      </w:pPr>
      <w:r>
        <w:rPr>
          <w:rFonts w:ascii="Arial" w:cs="Arial" w:eastAsia="Arial" w:hAnsi="Arial"/>
          <w:sz w:val="16"/>
          <w:szCs w:val="16"/>
          <w:color w:val="auto"/>
        </w:rPr>
        <w:t>As of March 31, 2022 and December 31, 2021, the Company determined that the carrying value of cash and cash equivalents approximated fair value based on Level 1 inputs. As of March 31, 2022 and December 31, 2021, the fair values of the Company’s long-term debt and finance lease obligations were based on Level 2 inputs. The Company’s long-term debt was based on variable and fixed interest rates at March 31, 2022 and December 31, 2021,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168" w:lineRule="exact"/>
        <w:rPr>
          <w:sz w:val="20"/>
          <w:szCs w:val="20"/>
          <w:color w:val="auto"/>
        </w:rPr>
      </w:pPr>
    </w:p>
    <w:p>
      <w:pPr>
        <w:ind w:right="120" w:firstLine="619"/>
        <w:spacing w:after="0" w:line="299" w:lineRule="auto"/>
        <w:rPr>
          <w:sz w:val="20"/>
          <w:szCs w:val="20"/>
          <w:color w:val="auto"/>
        </w:rPr>
      </w:pPr>
      <w:r>
        <w:rPr>
          <w:rFonts w:ascii="Arial" w:cs="Arial" w:eastAsia="Arial" w:hAnsi="Arial"/>
          <w:sz w:val="15"/>
          <w:szCs w:val="15"/>
          <w:color w:val="auto"/>
        </w:rPr>
        <w:t>As of March 31, 2022, the fair values of the Company’s contingent earn-out consideration liability associated with the acquisition of the Powerline Plus Companies was based on Level 3 inputs. The contingent earn-out consideration recorded represent the estimated fair values of future amounts potentially payable to the former owners of the acquired Powerline Plus Companies and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agreements for equipment notes: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Stated Interest</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Payment</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4"/>
                <w:szCs w:val="14"/>
                <w:color w:val="auto"/>
              </w:rPr>
            </w:pPr>
          </w:p>
        </w:tc>
        <w:tc>
          <w:tcPr>
            <w:tcW w:w="142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29"/>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Inception Date</w:t>
            </w:r>
          </w:p>
        </w:tc>
        <w:tc>
          <w:tcPr>
            <w:tcW w:w="15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Balance as of</w:t>
            </w:r>
          </w:p>
        </w:tc>
        <w:tc>
          <w:tcPr>
            <w:tcW w:w="180" w:type="dxa"/>
            <w:vAlign w:val="bottom"/>
          </w:tcPr>
          <w:p>
            <w:pPr>
              <w:spacing w:after="0"/>
              <w:rPr>
                <w:sz w:val="11"/>
                <w:szCs w:val="11"/>
                <w:color w:val="auto"/>
              </w:rPr>
            </w:pPr>
          </w:p>
        </w:tc>
        <w:tc>
          <w:tcPr>
            <w:tcW w:w="142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79"/>
        </w:trPr>
        <w:tc>
          <w:tcPr>
            <w:tcW w:w="27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Rate (per annum)</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March 31, 2022</w:t>
            </w:r>
          </w:p>
        </w:tc>
        <w:tc>
          <w:tcPr>
            <w:tcW w:w="180" w:type="dxa"/>
            <w:vAlign w:val="bottom"/>
          </w:tcPr>
          <w:p>
            <w:pPr>
              <w:spacing w:after="0"/>
              <w:rPr>
                <w:sz w:val="15"/>
                <w:szCs w:val="15"/>
                <w:color w:val="auto"/>
              </w:rPr>
            </w:pPr>
          </w:p>
        </w:tc>
        <w:tc>
          <w:tcPr>
            <w:tcW w:w="142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December 31, 2021</w:t>
            </w:r>
          </w:p>
        </w:tc>
        <w:tc>
          <w:tcPr>
            <w:tcW w:w="0" w:type="dxa"/>
            <w:vAlign w:val="bottom"/>
          </w:tcPr>
          <w:p>
            <w:pPr>
              <w:spacing w:after="0"/>
              <w:rPr>
                <w:sz w:val="1"/>
                <w:szCs w:val="1"/>
                <w:color w:val="auto"/>
              </w:rPr>
            </w:pPr>
          </w:p>
        </w:tc>
      </w:tr>
      <w:tr>
        <w:trPr>
          <w:trHeight w:val="239"/>
        </w:trPr>
        <w:tc>
          <w:tcPr>
            <w:tcW w:w="2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Credit Agreement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gridSpan w:val="2"/>
          </w:tcPr>
          <w:p>
            <w:pPr>
              <w:ind w:left="140"/>
              <w:spacing w:after="0"/>
              <w:rPr>
                <w:sz w:val="20"/>
                <w:szCs w:val="20"/>
                <w:color w:val="auto"/>
              </w:rPr>
            </w:pPr>
            <w:r>
              <w:rPr>
                <w:rFonts w:ascii="Arial" w:cs="Arial" w:eastAsia="Arial" w:hAnsi="Arial"/>
                <w:sz w:val="17"/>
                <w:szCs w:val="17"/>
                <w:color w:val="auto"/>
              </w:rPr>
              <w:t>Revolving loans</w:t>
            </w:r>
          </w:p>
        </w:tc>
        <w:tc>
          <w:tcPr>
            <w:tcW w:w="1300" w:type="dxa"/>
            <w:vAlign w:val="bottom"/>
          </w:tcPr>
          <w:p>
            <w:pPr>
              <w:jc w:val="right"/>
              <w:ind w:right="220"/>
              <w:spacing w:after="0"/>
              <w:rPr>
                <w:sz w:val="20"/>
                <w:szCs w:val="20"/>
                <w:color w:val="auto"/>
              </w:rPr>
            </w:pPr>
            <w:r>
              <w:rPr>
                <w:rFonts w:ascii="Arial" w:cs="Arial" w:eastAsia="Arial" w:hAnsi="Arial"/>
                <w:sz w:val="17"/>
                <w:szCs w:val="17"/>
                <w:color w:val="auto"/>
              </w:rPr>
              <w:t>9/13/2019</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Variable</w:t>
            </w: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Variable</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45,193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2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740" w:type="dxa"/>
            <w:vAlign w:val="bottom"/>
            <w:gridSpan w:val="2"/>
          </w:tcPr>
          <w:p>
            <w:pPr>
              <w:ind w:left="20"/>
              <w:spacing w:after="0"/>
              <w:rPr>
                <w:sz w:val="20"/>
                <w:szCs w:val="20"/>
                <w:color w:val="auto"/>
              </w:rPr>
            </w:pPr>
            <w:r>
              <w:rPr>
                <w:rFonts w:ascii="Arial" w:cs="Arial" w:eastAsia="Arial" w:hAnsi="Arial"/>
                <w:sz w:val="17"/>
                <w:szCs w:val="17"/>
                <w:i w:val="1"/>
                <w:iCs w:val="1"/>
                <w:color w:val="auto"/>
              </w:rPr>
              <w:t>Equipment Notes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Equipment Note 8</w:t>
            </w:r>
          </w:p>
        </w:tc>
        <w:tc>
          <w:tcPr>
            <w:tcW w:w="130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12/27/2019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2.75%</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Semi-annual</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4,503</w:t>
            </w:r>
          </w:p>
        </w:tc>
        <w:tc>
          <w:tcPr>
            <w:tcW w:w="0" w:type="dxa"/>
            <w:vAlign w:val="bottom"/>
          </w:tcPr>
          <w:p>
            <w:pPr>
              <w:spacing w:after="0"/>
              <w:rPr>
                <w:sz w:val="1"/>
                <w:szCs w:val="1"/>
                <w:color w:val="auto"/>
              </w:rPr>
            </w:pPr>
          </w:p>
        </w:tc>
      </w:tr>
      <w:tr>
        <w:trPr>
          <w:trHeight w:val="212"/>
        </w:trPr>
        <w:tc>
          <w:tcPr>
            <w:tcW w:w="2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4,503</w:t>
            </w:r>
          </w:p>
        </w:tc>
        <w:tc>
          <w:tcPr>
            <w:tcW w:w="0" w:type="dxa"/>
            <w:vAlign w:val="bottom"/>
          </w:tcPr>
          <w:p>
            <w:pPr>
              <w:spacing w:after="0"/>
              <w:rPr>
                <w:sz w:val="1"/>
                <w:szCs w:val="1"/>
                <w:color w:val="auto"/>
              </w:rPr>
            </w:pPr>
          </w:p>
        </w:tc>
      </w:tr>
      <w:tr>
        <w:trPr>
          <w:trHeight w:val="21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debt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4,503</w:t>
            </w: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w w:val="93"/>
              </w:rPr>
              <w:t>Less: current portion of long-term debt</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238"/>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17"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189" w:lineRule="exact"/>
        <w:rPr>
          <w:sz w:val="20"/>
          <w:szCs w:val="20"/>
          <w:color w:val="auto"/>
        </w:rPr>
      </w:pPr>
    </w:p>
    <w:p>
      <w:pPr>
        <w:ind w:right="60" w:firstLine="619"/>
        <w:spacing w:after="0" w:line="294" w:lineRule="auto"/>
        <w:rPr>
          <w:sz w:val="20"/>
          <w:szCs w:val="20"/>
          <w:color w:val="auto"/>
        </w:rPr>
      </w:pPr>
      <w:r>
        <w:rPr>
          <w:rFonts w:ascii="Arial" w:cs="Arial" w:eastAsia="Arial" w:hAnsi="Arial"/>
          <w:sz w:val="15"/>
          <w:szCs w:val="15"/>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three months ended March 31, 2022 was 1.34% per annum.</w:t>
      </w:r>
    </w:p>
    <w:p>
      <w:pPr>
        <w:spacing w:after="0" w:line="161"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March 31,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560" w:firstLine="619"/>
        <w:spacing w:after="0" w:line="312" w:lineRule="auto"/>
        <w:rPr>
          <w:sz w:val="20"/>
          <w:szCs w:val="20"/>
          <w:color w:val="auto"/>
        </w:rPr>
      </w:pPr>
      <w:r>
        <w:rPr>
          <w:rFonts w:ascii="Arial" w:cs="Arial" w:eastAsia="Arial" w:hAnsi="Arial"/>
          <w:sz w:val="16"/>
          <w:szCs w:val="16"/>
          <w:color w:val="auto"/>
        </w:rPr>
        <w:t>As of March 31, 2022, the Company had $45.2 million of debt outstanding under the Facility and letters of credit outstanding under the Facility of approximately $12.3 million, which are almost entirely related to the Company's payment obligation under its insurance programs.</w:t>
      </w:r>
    </w:p>
    <w:p>
      <w:pPr>
        <w:spacing w:after="0" w:line="140"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As of December 31, 2021, the Company had no debt outstanding under the Facility and letters of credit outstanding under the Facility of approximately $12.3 million, which are almost entirely related to the Company's payment obligation under its insurance programs.</w:t>
      </w:r>
    </w:p>
    <w:p>
      <w:pPr>
        <w:spacing w:after="0" w:line="164" w:lineRule="exact"/>
        <w:rPr>
          <w:sz w:val="20"/>
          <w:szCs w:val="20"/>
          <w:color w:val="auto"/>
        </w:rPr>
      </w:pPr>
    </w:p>
    <w:p>
      <w:pPr>
        <w:ind w:right="420" w:firstLine="619"/>
        <w:spacing w:after="0" w:line="349" w:lineRule="auto"/>
        <w:rPr>
          <w:sz w:val="20"/>
          <w:szCs w:val="20"/>
          <w:color w:val="auto"/>
        </w:rPr>
      </w:pPr>
      <w:r>
        <w:rPr>
          <w:rFonts w:ascii="Arial" w:cs="Arial" w:eastAsia="Arial" w:hAnsi="Arial"/>
          <w:sz w:val="15"/>
          <w:szCs w:val="15"/>
          <w:color w:val="auto"/>
        </w:rPr>
        <w:t>The Company had remaining deferred debt issuance costs totaling $0.8 million as of March 31, 2022, related to the line of credit. As permitted, debt issuance costs have been deferred and are presented as an asset within other assets, which is amortized as interest expense over the term of the line of credit.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Equipment Notes</w:t>
      </w:r>
    </w:p>
    <w:p>
      <w:pPr>
        <w:spacing w:after="0" w:line="217"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178"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As of March 31, 2022, the Company had one Equipment Note outstanding under the Master Loan Agreements that is collateralized by equipment and vehicles owned by the Company. The following table sets forth our remaining principal payments for the Company’s outstanding Equipment Note as of March 31,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Future</w:t>
            </w:r>
          </w:p>
        </w:tc>
      </w:tr>
      <w:tr>
        <w:trPr>
          <w:trHeight w:val="155"/>
        </w:trPr>
        <w:tc>
          <w:tcPr>
            <w:tcW w:w="9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Equipment Notes</w:t>
            </w:r>
          </w:p>
        </w:tc>
      </w:tr>
      <w:tr>
        <w:trPr>
          <w:trHeight w:val="178"/>
        </w:trPr>
        <w:tc>
          <w:tcPr>
            <w:tcW w:w="9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44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Principal Payments</w:t>
            </w:r>
          </w:p>
        </w:tc>
      </w:tr>
      <w:tr>
        <w:trPr>
          <w:trHeight w:val="24"/>
        </w:trPr>
        <w:tc>
          <w:tcPr>
            <w:tcW w:w="9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8"/>
        </w:trPr>
        <w:tc>
          <w:tcPr>
            <w:tcW w:w="9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8"/>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center"/>
              <w:ind w:left="840"/>
              <w:spacing w:after="0"/>
              <w:rPr>
                <w:sz w:val="20"/>
                <w:szCs w:val="20"/>
                <w:color w:val="auto"/>
              </w:rPr>
            </w:pPr>
            <w:r>
              <w:rPr>
                <w:rFonts w:ascii="Arial" w:cs="Arial" w:eastAsia="Arial" w:hAnsi="Arial"/>
                <w:sz w:val="17"/>
                <w:szCs w:val="17"/>
                <w:color w:val="auto"/>
                <w:w w:val="93"/>
              </w:rPr>
              <w:t>1,039</w:t>
            </w:r>
          </w:p>
        </w:tc>
      </w:tr>
      <w:tr>
        <w:trPr>
          <w:trHeight w:val="230"/>
        </w:trPr>
        <w:tc>
          <w:tcPr>
            <w:tcW w:w="954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ind w:left="840"/>
              <w:spacing w:after="0"/>
              <w:rPr>
                <w:sz w:val="20"/>
                <w:szCs w:val="20"/>
                <w:color w:val="auto"/>
              </w:rPr>
            </w:pPr>
            <w:r>
              <w:rPr>
                <w:rFonts w:ascii="Arial" w:cs="Arial" w:eastAsia="Arial" w:hAnsi="Arial"/>
                <w:sz w:val="17"/>
                <w:szCs w:val="17"/>
                <w:color w:val="auto"/>
                <w:w w:val="93"/>
              </w:rPr>
              <w:t>1,067</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8"/>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center"/>
              <w:ind w:left="840"/>
              <w:spacing w:after="0"/>
              <w:rPr>
                <w:sz w:val="20"/>
                <w:szCs w:val="20"/>
                <w:color w:val="auto"/>
              </w:rPr>
            </w:pPr>
            <w:r>
              <w:rPr>
                <w:rFonts w:ascii="Arial" w:cs="Arial" w:eastAsia="Arial" w:hAnsi="Arial"/>
                <w:sz w:val="17"/>
                <w:szCs w:val="17"/>
                <w:color w:val="auto"/>
                <w:w w:val="93"/>
              </w:rPr>
              <w:t>2,397</w:t>
            </w:r>
          </w:p>
        </w:tc>
      </w:tr>
      <w:tr>
        <w:trPr>
          <w:trHeight w:val="223"/>
        </w:trPr>
        <w:tc>
          <w:tcPr>
            <w:tcW w:w="9640" w:type="dxa"/>
            <w:vAlign w:val="bottom"/>
            <w:gridSpan w:val="2"/>
          </w:tcPr>
          <w:p>
            <w:pPr>
              <w:ind w:left="20"/>
              <w:spacing w:after="0"/>
              <w:rPr>
                <w:sz w:val="20"/>
                <w:szCs w:val="20"/>
                <w:color w:val="auto"/>
              </w:rPr>
            </w:pPr>
            <w:r>
              <w:rPr>
                <w:rFonts w:ascii="Arial" w:cs="Arial" w:eastAsia="Arial" w:hAnsi="Arial"/>
                <w:sz w:val="17"/>
                <w:szCs w:val="17"/>
                <w:color w:val="auto"/>
              </w:rPr>
              <w:t>Total future principal payments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left="840"/>
              <w:spacing w:after="0"/>
              <w:rPr>
                <w:sz w:val="20"/>
                <w:szCs w:val="20"/>
                <w:color w:val="auto"/>
              </w:rPr>
            </w:pPr>
            <w:r>
              <w:rPr>
                <w:rFonts w:ascii="Arial" w:cs="Arial" w:eastAsia="Arial" w:hAnsi="Arial"/>
                <w:sz w:val="17"/>
                <w:szCs w:val="17"/>
                <w:color w:val="auto"/>
                <w:w w:val="93"/>
              </w:rPr>
              <w:t>4,503</w:t>
            </w:r>
          </w:p>
        </w:tc>
      </w:tr>
      <w:tr>
        <w:trPr>
          <w:trHeight w:val="27"/>
        </w:trPr>
        <w:tc>
          <w:tcPr>
            <w:tcW w:w="9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1"/>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 of equipment notes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ind w:left="820"/>
              <w:spacing w:after="0"/>
              <w:rPr>
                <w:sz w:val="20"/>
                <w:szCs w:val="20"/>
                <w:color w:val="auto"/>
              </w:rPr>
            </w:pPr>
            <w:r>
              <w:rPr>
                <w:rFonts w:ascii="Arial" w:cs="Arial" w:eastAsia="Arial" w:hAnsi="Arial"/>
                <w:sz w:val="17"/>
                <w:szCs w:val="17"/>
                <w:color w:val="auto"/>
                <w:w w:val="92"/>
              </w:rPr>
              <w:t>(1,039)</w:t>
            </w:r>
          </w:p>
        </w:tc>
      </w:tr>
      <w:tr>
        <w:trPr>
          <w:trHeight w:val="250"/>
        </w:trPr>
        <w:tc>
          <w:tcPr>
            <w:tcW w:w="9640" w:type="dxa"/>
            <w:vAlign w:val="bottom"/>
            <w:gridSpan w:val="2"/>
          </w:tcPr>
          <w:p>
            <w:pPr>
              <w:ind w:left="20"/>
              <w:spacing w:after="0"/>
              <w:rPr>
                <w:sz w:val="20"/>
                <w:szCs w:val="20"/>
                <w:color w:val="auto"/>
              </w:rPr>
            </w:pPr>
            <w:r>
              <w:rPr>
                <w:rFonts w:ascii="Arial" w:cs="Arial" w:eastAsia="Arial" w:hAnsi="Arial"/>
                <w:sz w:val="17"/>
                <w:szCs w:val="17"/>
                <w:color w:val="auto"/>
              </w:rPr>
              <w:t>Long-term principal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center"/>
              <w:ind w:left="840"/>
              <w:spacing w:after="0"/>
              <w:rPr>
                <w:sz w:val="20"/>
                <w:szCs w:val="20"/>
                <w:color w:val="auto"/>
              </w:rPr>
            </w:pPr>
            <w:r>
              <w:rPr>
                <w:rFonts w:ascii="Arial" w:cs="Arial" w:eastAsia="Arial" w:hAnsi="Arial"/>
                <w:sz w:val="17"/>
                <w:szCs w:val="17"/>
                <w:color w:val="auto"/>
                <w:w w:val="93"/>
              </w:rPr>
              <w:t>3,464</w:t>
            </w:r>
          </w:p>
        </w:tc>
      </w:tr>
      <w:tr>
        <w:trPr>
          <w:trHeight w:val="20"/>
        </w:trPr>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Revenue Recognition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17"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 Segment Information.</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the Company’s revenue by contract type for the three months ended March 31, 2022 and 2021 were as follows: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Three months ended March 31, 2022</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5"/>
                <w:szCs w:val="15"/>
                <w:color w:val="auto"/>
              </w:rPr>
            </w:pPr>
          </w:p>
        </w:tc>
        <w:tc>
          <w:tcPr>
            <w:tcW w:w="17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C&amp;I</w:t>
            </w:r>
          </w:p>
        </w:tc>
        <w:tc>
          <w:tcPr>
            <w:tcW w:w="1020" w:type="dxa"/>
            <w:vAlign w:val="bottom"/>
          </w:tcPr>
          <w:p>
            <w:pPr>
              <w:spacing w:after="0"/>
              <w:rPr>
                <w:sz w:val="15"/>
                <w:szCs w:val="15"/>
                <w:color w:val="auto"/>
              </w:rPr>
            </w:pPr>
          </w:p>
        </w:tc>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60" w:type="dxa"/>
            <w:vAlign w:val="bottom"/>
            <w:vMerge w:val="continue"/>
          </w:tcPr>
          <w:p>
            <w:pPr>
              <w:spacing w:after="0"/>
              <w:rPr>
                <w:sz w:val="15"/>
                <w:szCs w:val="15"/>
                <w:color w:val="auto"/>
              </w:rPr>
            </w:pP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rPr>
              <w:t>Amount</w:t>
            </w:r>
          </w:p>
        </w:tc>
        <w:tc>
          <w:tcPr>
            <w:tcW w:w="1700" w:type="dxa"/>
            <w:vAlign w:val="bottom"/>
            <w:gridSpan w:val="2"/>
          </w:tcPr>
          <w:p>
            <w:pPr>
              <w:ind w:left="740"/>
              <w:spacing w:after="0"/>
              <w:rPr>
                <w:sz w:val="20"/>
                <w:szCs w:val="20"/>
                <w:color w:val="auto"/>
              </w:rPr>
            </w:pPr>
            <w:r>
              <w:rPr>
                <w:rFonts w:ascii="Arial" w:cs="Arial" w:eastAsia="Arial" w:hAnsi="Arial"/>
                <w:sz w:val="14"/>
                <w:szCs w:val="14"/>
                <w:b w:val="1"/>
                <w:bCs w:val="1"/>
                <w:color w:val="auto"/>
              </w:rPr>
              <w:t>Percent</w:t>
            </w: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rPr>
              <w:t>Amount</w:t>
            </w:r>
          </w:p>
        </w:tc>
        <w:tc>
          <w:tcPr>
            <w:tcW w:w="1700" w:type="dxa"/>
            <w:vAlign w:val="bottom"/>
            <w:gridSpan w:val="2"/>
          </w:tcPr>
          <w:p>
            <w:pPr>
              <w:ind w:left="740"/>
              <w:spacing w:after="0"/>
              <w:rPr>
                <w:sz w:val="20"/>
                <w:szCs w:val="20"/>
                <w:color w:val="auto"/>
              </w:rPr>
            </w:pPr>
            <w:r>
              <w:rPr>
                <w:rFonts w:ascii="Arial" w:cs="Arial" w:eastAsia="Arial" w:hAnsi="Arial"/>
                <w:sz w:val="14"/>
                <w:szCs w:val="14"/>
                <w:b w:val="1"/>
                <w:bCs w:val="1"/>
                <w:color w:val="auto"/>
              </w:rPr>
              <w:t>Percent</w:t>
            </w: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ind w:left="7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0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price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150,904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369,481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58.0 %</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Unit price</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104,321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6"/>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14,803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119,124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6"/>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T&amp;E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109,631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38,388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148,019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364,856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271,768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636,624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Three months ended March 31, 2021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T&amp;D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center"/>
              <w:ind w:left="759"/>
              <w:spacing w:after="0"/>
              <w:rPr>
                <w:sz w:val="20"/>
                <w:szCs w:val="20"/>
                <w:color w:val="auto"/>
              </w:rPr>
            </w:pPr>
            <w:r>
              <w:rPr>
                <w:rFonts w:ascii="Arial" w:cs="Arial" w:eastAsia="Arial" w:hAnsi="Arial"/>
                <w:sz w:val="14"/>
                <w:szCs w:val="14"/>
                <w:b w:val="1"/>
                <w:bCs w:val="1"/>
                <w:color w:val="auto"/>
              </w:rPr>
              <w:t>C&amp;I</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5"/>
                <w:szCs w:val="15"/>
                <w:color w:val="auto"/>
              </w:rPr>
            </w:pPr>
          </w:p>
        </w:tc>
        <w:tc>
          <w:tcPr>
            <w:tcW w:w="142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Fixed price</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152,067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48.3 %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227,670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379,737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64.1 %</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Unit price</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85,345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6"/>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18,427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103,772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6"/>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7"/>
        </w:trPr>
        <w:tc>
          <w:tcPr>
            <w:tcW w:w="3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T&amp;E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77,496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108,977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314,908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277,578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592,486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the Company’s revenue by market type for the three months ended March 31, 2022 and 2021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center"/>
              <w:ind w:left="620"/>
              <w:spacing w:after="0"/>
              <w:rPr>
                <w:sz w:val="20"/>
                <w:szCs w:val="20"/>
                <w:color w:val="auto"/>
              </w:rPr>
            </w:pPr>
            <w:r>
              <w:rPr>
                <w:rFonts w:ascii="Arial" w:cs="Arial" w:eastAsia="Arial" w:hAnsi="Arial"/>
                <w:sz w:val="14"/>
                <w:szCs w:val="14"/>
                <w:b w:val="1"/>
                <w:bCs w:val="1"/>
                <w:color w:val="auto"/>
                <w:w w:val="88"/>
              </w:rPr>
              <w:t>Three months ended March 31, 2022</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center"/>
              <w:ind w:left="600"/>
              <w:spacing w:after="0"/>
              <w:rPr>
                <w:sz w:val="20"/>
                <w:szCs w:val="20"/>
                <w:color w:val="auto"/>
              </w:rPr>
            </w:pPr>
            <w:r>
              <w:rPr>
                <w:rFonts w:ascii="Arial" w:cs="Arial" w:eastAsia="Arial" w:hAnsi="Arial"/>
                <w:sz w:val="14"/>
                <w:szCs w:val="14"/>
                <w:b w:val="1"/>
                <w:bCs w:val="1"/>
                <w:color w:val="auto"/>
                <w:w w:val="88"/>
              </w:rPr>
              <w:t>Three months ended March 31, 2021</w:t>
            </w:r>
          </w:p>
        </w:tc>
        <w:tc>
          <w:tcPr>
            <w:tcW w:w="920" w:type="dxa"/>
            <w:vAlign w:val="bottom"/>
            <w:tcBorders>
              <w:bottom w:val="single" w:sz="8" w:color="auto"/>
            </w:tcBorders>
          </w:tcPr>
          <w:p>
            <w:pPr>
              <w:spacing w:after="0"/>
              <w:rPr>
                <w:sz w:val="15"/>
                <w:szCs w:val="15"/>
                <w:color w:val="auto"/>
              </w:rPr>
            </w:pPr>
          </w:p>
        </w:tc>
      </w:tr>
      <w:tr>
        <w:trPr>
          <w:trHeight w:val="179"/>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Percent</w:t>
            </w:r>
          </w:p>
        </w:tc>
        <w:tc>
          <w:tcPr>
            <w:tcW w:w="94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5"/>
              </w:rPr>
              <w:t>Percent</w:t>
            </w:r>
          </w:p>
        </w:tc>
        <w:tc>
          <w:tcPr>
            <w:tcW w:w="92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7"/>
              </w:rPr>
              <w:t>Segment</w:t>
            </w:r>
          </w:p>
        </w:tc>
      </w:tr>
      <w:tr>
        <w:trPr>
          <w:trHeight w:val="252"/>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Transmission</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221,607</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34.8 %</w:t>
            </w:r>
          </w:p>
        </w:tc>
        <w:tc>
          <w:tcPr>
            <w:tcW w:w="4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color w:val="auto"/>
              </w:rPr>
              <w:t>T&amp;D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211,227</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238"/>
              <w:spacing w:after="0"/>
              <w:rPr>
                <w:sz w:val="20"/>
                <w:szCs w:val="20"/>
                <w:color w:val="auto"/>
              </w:rPr>
            </w:pPr>
            <w:r>
              <w:rPr>
                <w:rFonts w:ascii="Arial" w:cs="Arial" w:eastAsia="Arial" w:hAnsi="Arial"/>
                <w:sz w:val="17"/>
                <w:szCs w:val="17"/>
                <w:color w:val="auto"/>
              </w:rPr>
              <w:t>T&amp;D</w:t>
            </w:r>
          </w:p>
        </w:tc>
      </w:tr>
      <w:tr>
        <w:trPr>
          <w:trHeight w:val="257"/>
        </w:trPr>
        <w:tc>
          <w:tcPr>
            <w:tcW w:w="2900" w:type="dxa"/>
            <w:vAlign w:val="bottom"/>
            <w:gridSpan w:val="2"/>
          </w:tcPr>
          <w:p>
            <w:pPr>
              <w:ind w:left="140"/>
              <w:spacing w:after="0"/>
              <w:rPr>
                <w:sz w:val="20"/>
                <w:szCs w:val="20"/>
                <w:color w:val="auto"/>
              </w:rPr>
            </w:pPr>
            <w:r>
              <w:rPr>
                <w:rFonts w:ascii="Arial" w:cs="Arial" w:eastAsia="Arial" w:hAnsi="Arial"/>
                <w:sz w:val="17"/>
                <w:szCs w:val="17"/>
                <w:color w:val="auto"/>
              </w:rPr>
              <w:t>Distribution</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143,249</w:t>
            </w:r>
          </w:p>
        </w:tc>
        <w:tc>
          <w:tcPr>
            <w:tcW w:w="100" w:type="dxa"/>
            <w:vAlign w:val="bottom"/>
          </w:tcPr>
          <w:p>
            <w:pPr>
              <w:spacing w:after="0"/>
              <w:rPr>
                <w:sz w:val="22"/>
                <w:szCs w:val="22"/>
                <w:color w:val="auto"/>
              </w:rPr>
            </w:pPr>
          </w:p>
        </w:tc>
        <w:tc>
          <w:tcPr>
            <w:tcW w:w="1380" w:type="dxa"/>
            <w:vAlign w:val="bottom"/>
          </w:tcPr>
          <w:p>
            <w:pPr>
              <w:jc w:val="right"/>
              <w:ind w:right="138"/>
              <w:spacing w:after="0"/>
              <w:rPr>
                <w:sz w:val="20"/>
                <w:szCs w:val="20"/>
                <w:color w:val="auto"/>
              </w:rPr>
            </w:pPr>
            <w:r>
              <w:rPr>
                <w:rFonts w:ascii="Arial" w:cs="Arial" w:eastAsia="Arial" w:hAnsi="Arial"/>
                <w:sz w:val="17"/>
                <w:szCs w:val="17"/>
                <w:color w:val="auto"/>
              </w:rPr>
              <w:t>22.5</w:t>
            </w:r>
          </w:p>
        </w:tc>
        <w:tc>
          <w:tcPr>
            <w:tcW w:w="420" w:type="dxa"/>
            <w:vAlign w:val="bottom"/>
          </w:tcPr>
          <w:p>
            <w:pPr>
              <w:spacing w:after="0"/>
              <w:rPr>
                <w:sz w:val="22"/>
                <w:szCs w:val="22"/>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7"/>
                <w:szCs w:val="17"/>
                <w:color w:val="auto"/>
              </w:rPr>
              <w:t>T&amp;D</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103,681</w:t>
            </w:r>
          </w:p>
        </w:tc>
        <w:tc>
          <w:tcPr>
            <w:tcW w:w="100" w:type="dxa"/>
            <w:vAlign w:val="bottom"/>
          </w:tcPr>
          <w:p>
            <w:pPr>
              <w:spacing w:after="0"/>
              <w:rPr>
                <w:sz w:val="22"/>
                <w:szCs w:val="22"/>
                <w:color w:val="auto"/>
              </w:rPr>
            </w:pPr>
          </w:p>
        </w:tc>
        <w:tc>
          <w:tcPr>
            <w:tcW w:w="1400" w:type="dxa"/>
            <w:vAlign w:val="bottom"/>
          </w:tcPr>
          <w:p>
            <w:pPr>
              <w:jc w:val="right"/>
              <w:ind w:right="138"/>
              <w:spacing w:after="0"/>
              <w:rPr>
                <w:sz w:val="20"/>
                <w:szCs w:val="20"/>
                <w:color w:val="auto"/>
              </w:rPr>
            </w:pPr>
            <w:r>
              <w:rPr>
                <w:rFonts w:ascii="Arial" w:cs="Arial" w:eastAsia="Arial" w:hAnsi="Arial"/>
                <w:sz w:val="17"/>
                <w:szCs w:val="17"/>
                <w:color w:val="auto"/>
              </w:rPr>
              <w:t>17.5</w:t>
            </w:r>
          </w:p>
        </w:tc>
        <w:tc>
          <w:tcPr>
            <w:tcW w:w="420" w:type="dxa"/>
            <w:vAlign w:val="bottom"/>
          </w:tcPr>
          <w:p>
            <w:pPr>
              <w:spacing w:after="0"/>
              <w:rPr>
                <w:sz w:val="22"/>
                <w:szCs w:val="22"/>
                <w:color w:val="auto"/>
              </w:rPr>
            </w:pPr>
          </w:p>
        </w:tc>
        <w:tc>
          <w:tcPr>
            <w:tcW w:w="920" w:type="dxa"/>
            <w:vAlign w:val="bottom"/>
          </w:tcPr>
          <w:p>
            <w:pPr>
              <w:jc w:val="center"/>
              <w:ind w:right="238"/>
              <w:spacing w:after="0"/>
              <w:rPr>
                <w:sz w:val="20"/>
                <w:szCs w:val="20"/>
                <w:color w:val="auto"/>
              </w:rPr>
            </w:pPr>
            <w:r>
              <w:rPr>
                <w:rFonts w:ascii="Arial" w:cs="Arial" w:eastAsia="Arial" w:hAnsi="Arial"/>
                <w:sz w:val="17"/>
                <w:szCs w:val="17"/>
                <w:color w:val="auto"/>
              </w:rPr>
              <w:t>T&amp;D</w:t>
            </w:r>
          </w:p>
        </w:tc>
      </w:tr>
      <w:tr>
        <w:trPr>
          <w:trHeight w:val="258"/>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Electrical construction</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271,768</w:t>
            </w:r>
          </w:p>
        </w:tc>
        <w:tc>
          <w:tcPr>
            <w:tcW w:w="10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42.7</w:t>
            </w:r>
          </w:p>
        </w:tc>
        <w:tc>
          <w:tcPr>
            <w:tcW w:w="4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center"/>
              <w:ind w:right="420"/>
              <w:spacing w:after="0"/>
              <w:rPr>
                <w:sz w:val="20"/>
                <w:szCs w:val="20"/>
                <w:color w:val="auto"/>
              </w:rPr>
            </w:pPr>
            <w:r>
              <w:rPr>
                <w:rFonts w:ascii="Arial" w:cs="Arial" w:eastAsia="Arial" w:hAnsi="Arial"/>
                <w:sz w:val="17"/>
                <w:szCs w:val="17"/>
                <w:color w:val="auto"/>
              </w:rPr>
              <w:t>C&amp;I</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277,578</w:t>
            </w:r>
          </w:p>
        </w:tc>
        <w:tc>
          <w:tcPr>
            <w:tcW w:w="10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46.8</w:t>
            </w: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right="238"/>
              <w:spacing w:after="0"/>
              <w:rPr>
                <w:sz w:val="20"/>
                <w:szCs w:val="20"/>
                <w:color w:val="auto"/>
              </w:rPr>
            </w:pPr>
            <w:r>
              <w:rPr>
                <w:rFonts w:ascii="Arial" w:cs="Arial" w:eastAsia="Arial" w:hAnsi="Arial"/>
                <w:sz w:val="17"/>
                <w:szCs w:val="17"/>
                <w:color w:val="auto"/>
              </w:rPr>
              <w:t>C&amp;I</w:t>
            </w: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636,624</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592,486</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217" w:lineRule="exact"/>
        <w:rPr>
          <w:sz w:val="20"/>
          <w:szCs w:val="20"/>
          <w:color w:val="auto"/>
        </w:rPr>
      </w:pPr>
    </w:p>
    <w:p>
      <w:pPr>
        <w:jc w:val="both"/>
        <w:ind w:right="60" w:firstLine="619"/>
        <w:spacing w:after="0" w:line="349" w:lineRule="auto"/>
        <w:rPr>
          <w:sz w:val="20"/>
          <w:szCs w:val="20"/>
          <w:color w:val="auto"/>
        </w:rPr>
      </w:pPr>
      <w:r>
        <w:rPr>
          <w:rFonts w:ascii="Arial" w:cs="Arial" w:eastAsia="Arial" w:hAnsi="Arial"/>
          <w:sz w:val="15"/>
          <w:szCs w:val="15"/>
          <w:color w:val="auto"/>
        </w:rPr>
        <w:t>As of March 31, 2022, the Company had $2.28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firstLine="619"/>
        <w:spacing w:after="0" w:line="312" w:lineRule="auto"/>
        <w:rPr>
          <w:sz w:val="20"/>
          <w:szCs w:val="20"/>
          <w:color w:val="auto"/>
        </w:rPr>
      </w:pPr>
      <w:r>
        <w:rPr>
          <w:rFonts w:ascii="Arial" w:cs="Arial" w:eastAsia="Arial" w:hAnsi="Arial"/>
          <w:sz w:val="16"/>
          <w:szCs w:val="16"/>
          <w:color w:val="auto"/>
        </w:rPr>
        <w:t>The following table summarizes the amount of remaining performance obligations as of March 31, 2022 that the Company expects to be realized and the amount of the remaining performance obligations that the Company reasonably estimates will not be recognized within the next twelve months.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20" w:type="dxa"/>
            <w:vAlign w:val="bottom"/>
            <w:gridSpan w:val="5"/>
          </w:tcPr>
          <w:p>
            <w:pPr>
              <w:ind w:left="300"/>
              <w:spacing w:after="0"/>
              <w:rPr>
                <w:sz w:val="20"/>
                <w:szCs w:val="20"/>
                <w:color w:val="auto"/>
              </w:rPr>
            </w:pPr>
            <w:r>
              <w:rPr>
                <w:rFonts w:ascii="Arial" w:cs="Arial" w:eastAsia="Arial" w:hAnsi="Arial"/>
                <w:sz w:val="14"/>
                <w:szCs w:val="14"/>
                <w:b w:val="1"/>
                <w:bCs w:val="1"/>
                <w:color w:val="auto"/>
              </w:rPr>
              <w:t>Remaining Performance Obligations at March 31, 2022</w:t>
            </w: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4"/>
        </w:trPr>
        <w:tc>
          <w:tcPr>
            <w:tcW w:w="4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151"/>
        </w:trPr>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2"/>
          </w:tcPr>
          <w:p>
            <w:pPr>
              <w:jc w:val="center"/>
              <w:ind w:right="300"/>
              <w:spacing w:after="0" w:line="151" w:lineRule="exact"/>
              <w:rPr>
                <w:sz w:val="20"/>
                <w:szCs w:val="20"/>
                <w:color w:val="auto"/>
              </w:rPr>
            </w:pPr>
            <w:r>
              <w:rPr>
                <w:rFonts w:ascii="Arial" w:cs="Arial" w:eastAsia="Arial" w:hAnsi="Arial"/>
                <w:sz w:val="14"/>
                <w:szCs w:val="14"/>
                <w:b w:val="1"/>
                <w:bCs w:val="1"/>
                <w:color w:val="auto"/>
                <w:w w:val="87"/>
              </w:rPr>
              <w:t>Amount estimated to not be</w:t>
            </w: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78"/>
        </w:trPr>
        <w:tc>
          <w:tcPr>
            <w:tcW w:w="4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5"/>
                <w:szCs w:val="15"/>
                <w:color w:val="auto"/>
              </w:rPr>
            </w:pPr>
          </w:p>
        </w:tc>
        <w:tc>
          <w:tcPr>
            <w:tcW w:w="1960" w:type="dxa"/>
            <w:vAlign w:val="bottom"/>
            <w:gridSpan w:val="2"/>
          </w:tcPr>
          <w:p>
            <w:pPr>
              <w:ind w:left="6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recognized within 12 months</w:t>
            </w:r>
          </w:p>
        </w:tc>
        <w:tc>
          <w:tcPr>
            <w:tcW w:w="200" w:type="dxa"/>
            <w:vAlign w:val="bottom"/>
          </w:tcPr>
          <w:p>
            <w:pPr>
              <w:spacing w:after="0"/>
              <w:rPr>
                <w:sz w:val="15"/>
                <w:szCs w:val="15"/>
                <w:color w:val="auto"/>
              </w:rPr>
            </w:pPr>
          </w:p>
        </w:tc>
        <w:tc>
          <w:tcPr>
            <w:tcW w:w="1980" w:type="dxa"/>
            <w:vAlign w:val="bottom"/>
          </w:tcPr>
          <w:p>
            <w:pPr>
              <w:jc w:val="right"/>
              <w:ind w:right="198"/>
              <w:spacing w:after="0"/>
              <w:rPr>
                <w:sz w:val="20"/>
                <w:szCs w:val="20"/>
                <w:color w:val="auto"/>
              </w:rPr>
            </w:pPr>
            <w:r>
              <w:rPr>
                <w:rFonts w:ascii="Arial" w:cs="Arial" w:eastAsia="Arial" w:hAnsi="Arial"/>
                <w:sz w:val="14"/>
                <w:szCs w:val="14"/>
                <w:b w:val="1"/>
                <w:bCs w:val="1"/>
                <w:color w:val="auto"/>
                <w:w w:val="93"/>
              </w:rPr>
              <w:t>Total at December 31, 2021</w:t>
            </w:r>
          </w:p>
        </w:tc>
      </w:tr>
      <w:tr>
        <w:trPr>
          <w:trHeight w:val="24"/>
        </w:trPr>
        <w:tc>
          <w:tcPr>
            <w:tcW w:w="4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8"/>
        </w:trPr>
        <w:tc>
          <w:tcPr>
            <w:tcW w:w="4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8"/>
        </w:trPr>
        <w:tc>
          <w:tcPr>
            <w:tcW w:w="4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T&amp;D</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1,007,561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223,496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572,032</w:t>
            </w:r>
          </w:p>
        </w:tc>
      </w:tr>
      <w:tr>
        <w:trPr>
          <w:trHeight w:val="230"/>
        </w:trPr>
        <w:tc>
          <w:tcPr>
            <w:tcW w:w="4340" w:type="dxa"/>
            <w:vAlign w:val="bottom"/>
            <w:gridSpan w:val="2"/>
          </w:tcPr>
          <w:p>
            <w:pPr>
              <w:jc w:val="center"/>
              <w:ind w:right="80"/>
              <w:spacing w:after="0"/>
              <w:rPr>
                <w:sz w:val="20"/>
                <w:szCs w:val="20"/>
                <w:color w:val="auto"/>
              </w:rPr>
            </w:pPr>
            <w:r>
              <w:rPr>
                <w:rFonts w:ascii="Arial" w:cs="Arial" w:eastAsia="Arial" w:hAnsi="Arial"/>
                <w:sz w:val="17"/>
                <w:szCs w:val="17"/>
                <w:color w:val="auto"/>
              </w:rPr>
              <w:t>C&amp;I</w:t>
            </w:r>
          </w:p>
        </w:tc>
        <w:tc>
          <w:tcPr>
            <w:tcW w:w="400" w:type="dxa"/>
            <w:vAlign w:val="bottom"/>
          </w:tcPr>
          <w:p>
            <w:pPr>
              <w:spacing w:after="0"/>
              <w:rPr>
                <w:sz w:val="20"/>
                <w:szCs w:val="20"/>
                <w:color w:val="auto"/>
              </w:rPr>
            </w:pPr>
          </w:p>
        </w:tc>
        <w:tc>
          <w:tcPr>
            <w:tcW w:w="1880" w:type="dxa"/>
            <w:vAlign w:val="bottom"/>
          </w:tcPr>
          <w:p>
            <w:pPr>
              <w:jc w:val="right"/>
              <w:ind w:right="1"/>
              <w:spacing w:after="0"/>
              <w:rPr>
                <w:sz w:val="20"/>
                <w:szCs w:val="20"/>
                <w:color w:val="auto"/>
              </w:rPr>
            </w:pPr>
            <w:r>
              <w:rPr>
                <w:rFonts w:ascii="Arial" w:cs="Arial" w:eastAsia="Arial" w:hAnsi="Arial"/>
                <w:sz w:val="17"/>
                <w:szCs w:val="17"/>
                <w:color w:val="auto"/>
              </w:rPr>
              <w:t>1,275,188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472,744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1,105,866</w:t>
            </w:r>
          </w:p>
        </w:tc>
      </w:tr>
      <w:tr>
        <w:trPr>
          <w:trHeight w:val="27"/>
        </w:trPr>
        <w:tc>
          <w:tcPr>
            <w:tcW w:w="4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75"/>
        </w:trPr>
        <w:tc>
          <w:tcPr>
            <w:tcW w:w="4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Total</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2,282,749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1,677,898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180" w:firstLine="619"/>
        <w:spacing w:after="0" w:line="279" w:lineRule="auto"/>
        <w:rPr>
          <w:sz w:val="20"/>
          <w:szCs w:val="20"/>
          <w:color w:val="auto"/>
        </w:rPr>
      </w:pPr>
      <w:r>
        <w:rPr>
          <w:rFonts w:ascii="Arial" w:cs="Arial" w:eastAsia="Arial" w:hAnsi="Arial"/>
          <w:sz w:val="16"/>
          <w:szCs w:val="16"/>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Income Taxes</w:t>
      </w:r>
    </w:p>
    <w:p>
      <w:pPr>
        <w:spacing w:after="0" w:line="223" w:lineRule="exact"/>
        <w:rPr>
          <w:sz w:val="20"/>
          <w:szCs w:val="20"/>
          <w:color w:val="auto"/>
        </w:rPr>
      </w:pPr>
    </w:p>
    <w:p>
      <w:pPr>
        <w:ind w:right="120" w:firstLine="619"/>
        <w:spacing w:after="0" w:line="312" w:lineRule="auto"/>
        <w:rPr>
          <w:sz w:val="20"/>
          <w:szCs w:val="20"/>
          <w:color w:val="auto"/>
        </w:rPr>
      </w:pPr>
      <w:r>
        <w:rPr>
          <w:rFonts w:ascii="Arial" w:cs="Arial" w:eastAsia="Arial" w:hAnsi="Arial"/>
          <w:sz w:val="16"/>
          <w:szCs w:val="16"/>
          <w:color w:val="auto"/>
        </w:rPr>
        <w:t>The U.S. federal statutory tax rate was 21% for each of the three months ended March 31, 2022 and 2021. The Company’s effective tax rate for the three months ended March 31, 2022 was 15.4% of pretax income compared to the effective tax rate for the three months ended March 31, 2021 of 26.2%.</w:t>
      </w:r>
    </w:p>
    <w:p>
      <w:pPr>
        <w:spacing w:after="0" w:line="140"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The difference between the U.S. federal statutory tax rate and the Company’s effective tax rate for the three months ended March 31, 2022, was primarily due to a favorable impact from stock compensation excess tax benefits partially offset by state income taxes, foreign earnings and other permanent difference items.</w:t>
      </w:r>
    </w:p>
    <w:p>
      <w:pPr>
        <w:spacing w:after="0" w:line="175" w:lineRule="exact"/>
        <w:rPr>
          <w:sz w:val="20"/>
          <w:szCs w:val="20"/>
          <w:color w:val="auto"/>
        </w:rPr>
      </w:pPr>
    </w:p>
    <w:p>
      <w:pPr>
        <w:jc w:val="both"/>
        <w:ind w:right="60" w:firstLine="619"/>
        <w:spacing w:after="0" w:line="266" w:lineRule="auto"/>
        <w:rPr>
          <w:sz w:val="20"/>
          <w:szCs w:val="20"/>
          <w:color w:val="auto"/>
        </w:rPr>
      </w:pPr>
      <w:r>
        <w:rPr>
          <w:rFonts w:ascii="Arial" w:cs="Arial" w:eastAsia="Arial" w:hAnsi="Arial"/>
          <w:sz w:val="17"/>
          <w:szCs w:val="17"/>
          <w:color w:val="auto"/>
        </w:rPr>
        <w:t>The difference between the U.S. federal statutory tax rate and the Company’s effective tax rate for the three months ended March 31, 2021, was primarily due to state income taxes and foreign earnings and the associated impact of the global intangible low tax income (“GILTI”) and other permanent difference items, partially offset by a favorable impact from stock compensation excess tax benefits.</w:t>
      </w:r>
    </w:p>
    <w:p>
      <w:pPr>
        <w:spacing w:after="0" w:line="175"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The Company had unrecognized tax benefits of approximately $0.4 million as of March 31, 2022 and December 31, 2021, which were included in other liabilities in the accompanying consolidated balance sheets.</w:t>
      </w:r>
    </w:p>
    <w:p>
      <w:pPr>
        <w:spacing w:after="0" w:line="164"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months ended March 31, 2022 and 2021.</w:t>
      </w:r>
    </w:p>
    <w:p>
      <w:pPr>
        <w:spacing w:after="0" w:line="175"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The Company is subject to taxation in various jurisdictions. The Company’s 2018 through 2020 tax returns are subject to examination by U.S. federal authorities. The Company’s tax returns are subject to examination by various state authorities for the years 2017 through 2020.</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217" w:lineRule="exact"/>
        <w:rPr>
          <w:sz w:val="20"/>
          <w:szCs w:val="20"/>
          <w:color w:val="auto"/>
        </w:rPr>
      </w:pPr>
    </w:p>
    <w:p>
      <w:pPr>
        <w:ind w:right="500" w:firstLine="619"/>
        <w:spacing w:after="0" w:line="279" w:lineRule="auto"/>
        <w:rPr>
          <w:sz w:val="20"/>
          <w:szCs w:val="20"/>
          <w:color w:val="auto"/>
        </w:rPr>
      </w:pPr>
      <w:r>
        <w:rPr>
          <w:rFonts w:ascii="Arial" w:cs="Arial" w:eastAsia="Arial" w:hAnsi="Arial"/>
          <w:sz w:val="17"/>
          <w:szCs w:val="17"/>
          <w:color w:val="auto"/>
        </w:rPr>
        <w:t>As of March 31, 2022, the Company had approximately $17.2 million in outstanding purchase orders for certain construction equipment, with cash payments scheduled to occur over the next nine months.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and Claims Accruals</w:t>
      </w:r>
    </w:p>
    <w:p>
      <w:pPr>
        <w:spacing w:after="0" w:line="217"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except for wildfire coverage which has a deductible of $2.0 million. The Company also maintains excess umbrella coverage providing higher layers of insurance coverage for losses that exhaust the limits of underlying coverage. A layer of this umbrella coverage requires the Company to pay a portion of any loss within a certain loss range and our potential exposure for such losses is up to approximately $3.8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5"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and Payment Bonds and Parent Guarantees</w:t>
      </w:r>
    </w:p>
    <w:p>
      <w:pPr>
        <w:spacing w:after="0" w:line="217"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March 31, 2022, an aggregate of approximately $1.46 billion in original face amount of bonds issued by the Company’s sureties were outstanding. The Company estimated the remaining cost to complete these bonded projects was approximately $579.7 million as of March 31, 2022.</w:t>
      </w:r>
    </w:p>
    <w:p>
      <w:pPr>
        <w:spacing w:after="0" w:line="178" w:lineRule="exact"/>
        <w:rPr>
          <w:sz w:val="20"/>
          <w:szCs w:val="20"/>
          <w:color w:val="auto"/>
        </w:rPr>
      </w:pPr>
    </w:p>
    <w:p>
      <w:pPr>
        <w:ind w:right="120" w:firstLine="619"/>
        <w:spacing w:after="0" w:line="318" w:lineRule="auto"/>
        <w:rPr>
          <w:sz w:val="20"/>
          <w:szCs w:val="20"/>
          <w:color w:val="auto"/>
        </w:rPr>
      </w:pPr>
      <w:r>
        <w:rPr>
          <w:rFonts w:ascii="Arial" w:cs="Arial" w:eastAsia="Arial" w:hAnsi="Arial"/>
          <w:sz w:val="15"/>
          <w:szCs w:val="15"/>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Indemnities</w:t>
      </w:r>
    </w:p>
    <w:p>
      <w:pPr>
        <w:spacing w:after="0" w:line="217" w:lineRule="exact"/>
        <w:rPr>
          <w:sz w:val="20"/>
          <w:szCs w:val="20"/>
          <w:color w:val="auto"/>
        </w:rPr>
      </w:pPr>
    </w:p>
    <w:p>
      <w:pPr>
        <w:jc w:val="both"/>
        <w:ind w:right="60" w:firstLine="619"/>
        <w:spacing w:after="0" w:line="290" w:lineRule="auto"/>
        <w:rPr>
          <w:sz w:val="20"/>
          <w:szCs w:val="20"/>
          <w:color w:val="auto"/>
        </w:rPr>
      </w:pPr>
      <w:r>
        <w:rPr>
          <w:rFonts w:ascii="Arial" w:cs="Arial" w:eastAsia="Arial" w:hAnsi="Arial"/>
          <w:sz w:val="16"/>
          <w:szCs w:val="16"/>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Collective Bargaining Agreements</w:t>
      </w:r>
    </w:p>
    <w:p>
      <w:pPr>
        <w:spacing w:after="0" w:line="217"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status of some of the multi-employer pension plans to which its subsidiaries contribute have been classified as “critical” status, the Company is not currently aware of any potential liabilities related to this issue.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and Other Legal Matters</w:t>
      </w:r>
    </w:p>
    <w:p>
      <w:pPr>
        <w:spacing w:after="0" w:line="217" w:lineRule="exact"/>
        <w:rPr>
          <w:sz w:val="20"/>
          <w:szCs w:val="20"/>
          <w:color w:val="auto"/>
        </w:rPr>
      </w:pPr>
    </w:p>
    <w:p>
      <w:pPr>
        <w:ind w:right="240" w:firstLine="619"/>
        <w:spacing w:after="0" w:line="266" w:lineRule="auto"/>
        <w:rPr>
          <w:sz w:val="20"/>
          <w:szCs w:val="20"/>
          <w:color w:val="auto"/>
        </w:rPr>
      </w:pPr>
      <w:r>
        <w:rPr>
          <w:rFonts w:ascii="Arial" w:cs="Arial" w:eastAsia="Arial" w:hAnsi="Arial"/>
          <w:sz w:val="17"/>
          <w:szCs w:val="17"/>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75"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300" w:firstLine="619"/>
        <w:spacing w:after="0" w:line="266" w:lineRule="auto"/>
        <w:rPr>
          <w:sz w:val="20"/>
          <w:szCs w:val="20"/>
          <w:color w:val="auto"/>
        </w:rPr>
      </w:pPr>
      <w:r>
        <w:rPr>
          <w:rFonts w:ascii="Arial" w:cs="Arial" w:eastAsia="Arial" w:hAnsi="Arial"/>
          <w:sz w:val="17"/>
          <w:szCs w:val="17"/>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Stock-Based Compensation</w:t>
      </w:r>
    </w:p>
    <w:p>
      <w:pPr>
        <w:spacing w:after="0" w:line="223" w:lineRule="exact"/>
        <w:rPr>
          <w:sz w:val="20"/>
          <w:szCs w:val="20"/>
          <w:color w:val="auto"/>
        </w:rPr>
      </w:pPr>
    </w:p>
    <w:p>
      <w:pPr>
        <w:ind w:right="140" w:firstLine="619"/>
        <w:spacing w:after="0" w:line="290" w:lineRule="auto"/>
        <w:rPr>
          <w:sz w:val="20"/>
          <w:szCs w:val="20"/>
          <w:color w:val="auto"/>
        </w:rPr>
      </w:pPr>
      <w:r>
        <w:rPr>
          <w:rFonts w:ascii="Arial" w:cs="Arial" w:eastAsia="Arial" w:hAnsi="Arial"/>
          <w:sz w:val="15"/>
          <w:szCs w:val="15"/>
          <w:color w:val="auto"/>
        </w:rPr>
        <w:t>The Company maintains two equity compensation plans under which stock-based compensation has been granted: the 2017 Long-Term Incentive Plan (which was amended and restated as of April 23, 2020) (the “LTIP”) and the 2007 Long-Term Incentive Plan (as amended) (the “2007 Plan”). Upon the adoption of the original LTIP in 2017, awards were no longer granted under the 2007 Plan. The LTIP provides for grants of (a) incentive stock options qualified as such under U.S. federal income tax laws, (b) stock options that do not qualify as incentive stock options, (c) stock appreciation rights, (d) restricted stock awards,</w:t>
      </w:r>
    </w:p>
    <w:p>
      <w:pPr>
        <w:spacing w:after="0" w:line="2" w:lineRule="exact"/>
        <w:rPr>
          <w:sz w:val="20"/>
          <w:szCs w:val="20"/>
          <w:color w:val="auto"/>
        </w:rPr>
      </w:pPr>
    </w:p>
    <w:p>
      <w:pPr>
        <w:ind w:right="360" w:firstLine="3"/>
        <w:spacing w:after="0" w:line="259" w:lineRule="auto"/>
        <w:tabs>
          <w:tab w:leader="none" w:pos="234"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restricted stock units, (f) performance share awards, (g) phantom stock units, (h) stock bonuses, (i) dividend equivalents, and (j) any combination of such grants. The Company has outstanding grants of non-qualified stock options, time-vested stock awards in the form of restricted stock units and internal metric-based and market-based performance stock units.</w:t>
      </w:r>
    </w:p>
    <w:p>
      <w:pPr>
        <w:spacing w:after="0" w:line="181"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During the three months ended March 31, 2022, the Company granted time-vested stock awards covering 35,659 shares of common stock under the LTIP, which vest ratably over three years, at a weighted average grant date fair value of $99.22. During the three months ended March 31, 2022, time-vested stock awards covering 64,133 shares of common stock vested at a weighted average grant date fair value of $38.66.</w:t>
      </w:r>
    </w:p>
    <w:p>
      <w:pPr>
        <w:spacing w:after="0" w:line="17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During the three months ended March 31, 2022, the Company granted 31,603 performance share awards under the LTIP at target, which will cliff vest, if earned, on December 31, 2024, at a weighted average grant date fair value of $118.82.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85"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During the three months ended March 31, 2022, plan participants exercised options to purchase 236 shares of the Company’s common stock with a weighted average exercise price of $17.48.</w:t>
      </w:r>
    </w:p>
    <w:p>
      <w:pPr>
        <w:spacing w:after="0" w:line="164" w:lineRule="exact"/>
        <w:rPr>
          <w:sz w:val="20"/>
          <w:szCs w:val="20"/>
          <w:color w:val="auto"/>
        </w:rPr>
      </w:pPr>
    </w:p>
    <w:p>
      <w:pPr>
        <w:ind w:right="320" w:firstLine="619"/>
        <w:spacing w:after="0" w:line="312" w:lineRule="auto"/>
        <w:rPr>
          <w:sz w:val="20"/>
          <w:szCs w:val="20"/>
          <w:color w:val="auto"/>
        </w:rPr>
      </w:pPr>
      <w:r>
        <w:rPr>
          <w:rFonts w:ascii="Arial" w:cs="Arial" w:eastAsia="Arial" w:hAnsi="Arial"/>
          <w:sz w:val="16"/>
          <w:szCs w:val="16"/>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140"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223" w:lineRule="exact"/>
        <w:rPr>
          <w:sz w:val="20"/>
          <w:szCs w:val="20"/>
          <w:color w:val="auto"/>
        </w:rPr>
      </w:pPr>
    </w:p>
    <w:p>
      <w:pPr>
        <w:ind w:right="220" w:firstLine="619"/>
        <w:spacing w:after="0" w:line="277" w:lineRule="auto"/>
        <w:rPr>
          <w:sz w:val="20"/>
          <w:szCs w:val="20"/>
          <w:color w:val="auto"/>
        </w:rPr>
      </w:pPr>
      <w:r>
        <w:rPr>
          <w:rFonts w:ascii="Arial" w:cs="Arial" w:eastAsia="Arial" w:hAnsi="Arial"/>
          <w:sz w:val="16"/>
          <w:szCs w:val="16"/>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2021 Annual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and clean energy projects.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0"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Commercial and Industrial: The C&amp;I segment provides services such as the design, installation, maintenance and repair of commercial and industrial wiring, the installation of intelligent transportation systems and roadway lighting. Typical C&amp;I contracts cover electrical contracting services for airports, hospitals, data centers, hotels, stadiums, convention centers,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in the following table is derived from the segment’s internal financial reports used for corporate management purposes: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r>
      <w:tr>
        <w:trPr>
          <w:trHeight w:val="178"/>
        </w:trPr>
        <w:tc>
          <w:tcPr>
            <w:tcW w:w="8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r>
      <w:tr>
        <w:trPr>
          <w:trHeight w:val="258"/>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2"/>
                <w:szCs w:val="22"/>
                <w:color w:val="auto"/>
              </w:rPr>
            </w:pPr>
          </w:p>
        </w:tc>
        <w:tc>
          <w:tcPr>
            <w:tcW w:w="1100" w:type="dxa"/>
            <w:vAlign w:val="bottom"/>
          </w:tcPr>
          <w:p>
            <w:pPr>
              <w:jc w:val="right"/>
              <w:ind w:right="458"/>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ind w:right="434"/>
              <w:spacing w:after="0"/>
              <w:rPr>
                <w:sz w:val="20"/>
                <w:szCs w:val="20"/>
                <w:color w:val="auto"/>
              </w:rPr>
            </w:pPr>
            <w:r>
              <w:rPr>
                <w:rFonts w:ascii="Arial" w:cs="Arial" w:eastAsia="Arial" w:hAnsi="Arial"/>
                <w:sz w:val="17"/>
                <w:szCs w:val="17"/>
                <w:b w:val="1"/>
                <w:bCs w:val="1"/>
                <w:color w:val="auto"/>
              </w:rPr>
              <w:t>2021</w:t>
            </w:r>
          </w:p>
        </w:tc>
      </w:tr>
      <w:tr>
        <w:trPr>
          <w:trHeight w:val="24"/>
        </w:trPr>
        <w:tc>
          <w:tcPr>
            <w:tcW w:w="8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5"/>
        </w:trPr>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Contract revenues: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0"/>
        </w:trPr>
        <w:tc>
          <w:tcPr>
            <w:tcW w:w="8340" w:type="dxa"/>
            <w:vAlign w:val="bottom"/>
            <w:gridSpan w:val="2"/>
          </w:tcPr>
          <w:p>
            <w:pPr>
              <w:ind w:left="140"/>
              <w:spacing w:after="0"/>
              <w:rPr>
                <w:sz w:val="20"/>
                <w:szCs w:val="20"/>
                <w:color w:val="auto"/>
              </w:rPr>
            </w:pPr>
            <w:r>
              <w:rPr>
                <w:rFonts w:ascii="Arial" w:cs="Arial" w:eastAsia="Arial" w:hAnsi="Arial"/>
                <w:sz w:val="17"/>
                <w:szCs w:val="17"/>
                <w:color w:val="auto"/>
              </w:rPr>
              <w:t>T&amp;D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364,856</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314,908</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8"/>
        </w:trPr>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C&amp;I</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271,768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277,578</w:t>
            </w:r>
          </w:p>
        </w:tc>
      </w:tr>
      <w:tr>
        <w:trPr>
          <w:trHeight w:val="223"/>
        </w:trPr>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636,624</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592,486</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30"/>
        </w:trPr>
        <w:tc>
          <w:tcPr>
            <w:tcW w:w="8340" w:type="dxa"/>
            <w:vAlign w:val="bottom"/>
            <w:gridSpan w:val="2"/>
          </w:tcPr>
          <w:p>
            <w:pPr>
              <w:ind w:left="140"/>
              <w:spacing w:after="0"/>
              <w:rPr>
                <w:sz w:val="20"/>
                <w:szCs w:val="20"/>
                <w:color w:val="auto"/>
              </w:rPr>
            </w:pPr>
            <w:r>
              <w:rPr>
                <w:rFonts w:ascii="Arial" w:cs="Arial" w:eastAsia="Arial" w:hAnsi="Arial"/>
                <w:sz w:val="17"/>
                <w:szCs w:val="17"/>
                <w:color w:val="auto"/>
              </w:rPr>
              <w:t>T&amp;D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30,431</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28,673</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8"/>
        </w:trPr>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C&amp;I</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14,272</w:t>
            </w:r>
          </w:p>
        </w:tc>
      </w:tr>
      <w:tr>
        <w:trPr>
          <w:trHeight w:val="230"/>
        </w:trPr>
        <w:tc>
          <w:tcPr>
            <w:tcW w:w="8340" w:type="dxa"/>
            <w:vAlign w:val="bottom"/>
            <w:gridSpan w:val="2"/>
          </w:tcPr>
          <w:p>
            <w:pPr>
              <w:ind w:left="140"/>
              <w:spacing w:after="0"/>
              <w:rPr>
                <w:sz w:val="20"/>
                <w:szCs w:val="20"/>
                <w:color w:val="auto"/>
              </w:rPr>
            </w:pPr>
            <w:r>
              <w:rPr>
                <w:rFonts w:ascii="Arial" w:cs="Arial" w:eastAsia="Arial" w:hAnsi="Arial"/>
                <w:sz w:val="17"/>
                <w:szCs w:val="17"/>
                <w:color w:val="auto"/>
              </w:rPr>
              <w:t>General Corporate</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(15,619)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(15,534)</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6"/>
        </w:trPr>
        <w:tc>
          <w:tcPr>
            <w:tcW w:w="8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27,411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Share</w:t>
      </w:r>
    </w:p>
    <w:p>
      <w:pPr>
        <w:spacing w:after="0" w:line="223" w:lineRule="exact"/>
        <w:rPr>
          <w:sz w:val="20"/>
          <w:szCs w:val="20"/>
          <w:color w:val="auto"/>
        </w:rPr>
      </w:pPr>
    </w:p>
    <w:p>
      <w:pPr>
        <w:ind w:right="60" w:firstLine="619"/>
        <w:spacing w:after="0" w:line="283" w:lineRule="auto"/>
        <w:rPr>
          <w:sz w:val="20"/>
          <w:szCs w:val="20"/>
          <w:color w:val="auto"/>
        </w:rPr>
      </w:pPr>
      <w:r>
        <w:rPr>
          <w:rFonts w:ascii="Arial" w:cs="Arial" w:eastAsia="Arial" w:hAnsi="Arial"/>
          <w:sz w:val="16"/>
          <w:szCs w:val="16"/>
          <w:color w:val="auto"/>
        </w:rPr>
        <w:t>The Company computes earnings per share using the treasury stock method. Under the treasury stock method, basic earnings per share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 income and the weighted average number of common shares used to compute basic and diluted earnings per share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8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20,688</w:t>
            </w:r>
          </w:p>
        </w:tc>
        <w:tc>
          <w:tcPr>
            <w:tcW w:w="12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19,928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8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7"/>
                <w:szCs w:val="17"/>
                <w:color w:val="auto"/>
              </w:rPr>
              <w:t>Denominator:</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Weighted 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16,916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16,760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7"/>
                <w:szCs w:val="17"/>
                <w:color w:val="auto"/>
              </w:rPr>
              <w:t>Weighted average dilutive securities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Weighted average common shares outstanding, diluted</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For the three months ended March 31, 2022 and 2021,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178"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 following table summarizes the shares of common stock underlying the Company’s unvested time-vested stock awards and performance awards that were excluded from the calculation of dilutive securities: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ind w:left="1100"/>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760" w:type="dxa"/>
            <w:vAlign w:val="bottom"/>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610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368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6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Time-vested stock awards</w:t>
            </w:r>
          </w:p>
        </w:tc>
        <w:tc>
          <w:tcPr>
            <w:tcW w:w="6100" w:type="dxa"/>
            <w:vAlign w:val="bottom"/>
            <w:gridSpan w:val="3"/>
            <w:shd w:val="clear" w:color="auto" w:fill="CCEEFF"/>
          </w:tcPr>
          <w:p>
            <w:pPr>
              <w:ind w:left="5860"/>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56"/>
        </w:trPr>
        <w:tc>
          <w:tcPr>
            <w:tcW w:w="3680" w:type="dxa"/>
            <w:vAlign w:val="bottom"/>
          </w:tcPr>
          <w:p>
            <w:pPr>
              <w:ind w:left="20"/>
              <w:spacing w:after="0"/>
              <w:rPr>
                <w:sz w:val="20"/>
                <w:szCs w:val="20"/>
                <w:color w:val="auto"/>
              </w:rPr>
            </w:pPr>
            <w:r>
              <w:rPr>
                <w:rFonts w:ascii="Arial" w:cs="Arial" w:eastAsia="Arial" w:hAnsi="Arial"/>
                <w:sz w:val="17"/>
                <w:szCs w:val="17"/>
                <w:color w:val="auto"/>
              </w:rPr>
              <w:t>Performance awards</w:t>
            </w:r>
          </w:p>
        </w:tc>
        <w:tc>
          <w:tcPr>
            <w:tcW w:w="6100" w:type="dxa"/>
            <w:vAlign w:val="bottom"/>
            <w:gridSpan w:val="3"/>
          </w:tcPr>
          <w:p>
            <w:pPr>
              <w:ind w:left="586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941"/>
        </w:trPr>
        <w:tc>
          <w:tcPr>
            <w:tcW w:w="3680" w:type="dxa"/>
            <w:vAlign w:val="bottom"/>
          </w:tcPr>
          <w:p>
            <w:pPr>
              <w:spacing w:after="0"/>
              <w:rPr>
                <w:sz w:val="24"/>
                <w:szCs w:val="24"/>
                <w:color w:val="auto"/>
              </w:rPr>
            </w:pPr>
          </w:p>
        </w:tc>
        <w:tc>
          <w:tcPr>
            <w:tcW w:w="4660" w:type="dxa"/>
            <w:vAlign w:val="bottom"/>
          </w:tcPr>
          <w:p>
            <w:pPr>
              <w:jc w:val="right"/>
              <w:ind w:right="2558"/>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8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22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i w:val="1"/>
          <w:iCs w:val="1"/>
          <w:color w:val="auto"/>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2021 (the “2021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2021 Annual Report. We assume no obligation to update any of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184" w:lineRule="exact"/>
        <w:rPr>
          <w:sz w:val="20"/>
          <w:szCs w:val="20"/>
          <w:color w:val="auto"/>
        </w:rPr>
      </w:pPr>
    </w:p>
    <w:p>
      <w:pPr>
        <w:jc w:val="both"/>
        <w:ind w:right="480" w:firstLine="619"/>
        <w:spacing w:after="0" w:line="318" w:lineRule="auto"/>
        <w:rPr>
          <w:sz w:val="20"/>
          <w:szCs w:val="20"/>
          <w:color w:val="auto"/>
        </w:rPr>
      </w:pPr>
      <w:r>
        <w:rPr>
          <w:rFonts w:ascii="Arial" w:cs="Arial" w:eastAsia="Arial" w:hAnsi="Arial"/>
          <w:sz w:val="15"/>
          <w:szCs w:val="15"/>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14" w:lineRule="exact"/>
        <w:rPr>
          <w:sz w:val="20"/>
          <w:szCs w:val="20"/>
          <w:color w:val="auto"/>
        </w:rPr>
      </w:pPr>
    </w:p>
    <w:p>
      <w:pPr>
        <w:ind w:right="340" w:firstLine="619"/>
        <w:spacing w:after="0" w:line="283" w:lineRule="auto"/>
        <w:rPr>
          <w:sz w:val="20"/>
          <w:szCs w:val="20"/>
          <w:color w:val="auto"/>
        </w:rPr>
      </w:pPr>
      <w:r>
        <w:rPr>
          <w:rFonts w:ascii="Arial" w:cs="Arial" w:eastAsia="Arial" w:hAnsi="Arial"/>
          <w:sz w:val="16"/>
          <w:szCs w:val="16"/>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125" w:lineRule="exact"/>
        <w:rPr>
          <w:sz w:val="20"/>
          <w:szCs w:val="20"/>
          <w:color w:val="auto"/>
        </w:rPr>
      </w:pPr>
    </w:p>
    <w:p>
      <w:pPr>
        <w:ind w:right="20" w:firstLine="619"/>
        <w:spacing w:after="0" w:line="290" w:lineRule="auto"/>
        <w:rPr>
          <w:sz w:val="20"/>
          <w:szCs w:val="20"/>
          <w:color w:val="auto"/>
        </w:rPr>
      </w:pPr>
      <w:r>
        <w:rPr>
          <w:rFonts w:ascii="Arial" w:cs="Arial" w:eastAsia="Arial" w:hAnsi="Arial"/>
          <w:sz w:val="16"/>
          <w:szCs w:val="16"/>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19" w:lineRule="exact"/>
        <w:rPr>
          <w:sz w:val="20"/>
          <w:szCs w:val="20"/>
          <w:color w:val="auto"/>
        </w:rPr>
      </w:pPr>
    </w:p>
    <w:p>
      <w:pPr>
        <w:ind w:right="40" w:firstLine="619"/>
        <w:spacing w:after="0" w:line="263" w:lineRule="auto"/>
        <w:rPr>
          <w:sz w:val="20"/>
          <w:szCs w:val="20"/>
          <w:color w:val="auto"/>
        </w:rPr>
      </w:pPr>
      <w:r>
        <w:rPr>
          <w:rFonts w:ascii="Arial" w:cs="Arial" w:eastAsia="Arial" w:hAnsi="Arial"/>
          <w:sz w:val="16"/>
          <w:szCs w:val="16"/>
          <w:color w:val="auto"/>
        </w:rPr>
        <w:t>We believe proposed legislative actions aimed at supporting infrastructure improvements in the United States may positively impact long-term demand, particularly in connection with electric power infrastructure, transportation and renewable energy spending. We believe the proposed legislative actions are likely to provide greater long-term opportunity in both of our reporting segments. However both of our segments and supporting operations may be subject to delays and cost volatility due to the continued market disruption from the COVID-19 pandemic, inflationary pressures, supply chain disruptions, tariffs and regulatory slowdowns. These delays and cost volatility could result in decelerations in project opportunities and awards.</w:t>
      </w:r>
    </w:p>
    <w:p>
      <w:pPr>
        <w:spacing w:after="0" w:line="139" w:lineRule="exact"/>
        <w:rPr>
          <w:sz w:val="20"/>
          <w:szCs w:val="20"/>
          <w:color w:val="auto"/>
        </w:rPr>
      </w:pPr>
    </w:p>
    <w:p>
      <w:pPr>
        <w:ind w:right="60" w:firstLine="619"/>
        <w:spacing w:after="0" w:line="227" w:lineRule="auto"/>
        <w:rPr>
          <w:sz w:val="20"/>
          <w:szCs w:val="20"/>
          <w:color w:val="auto"/>
        </w:rPr>
      </w:pPr>
      <w:r>
        <w:rPr>
          <w:rFonts w:ascii="Arial" w:cs="Arial" w:eastAsia="Arial" w:hAnsi="Arial"/>
          <w:sz w:val="17"/>
          <w:szCs w:val="17"/>
          <w:color w:val="auto"/>
        </w:rPr>
        <w:t>We had consolidated revenues for the three months ended March 31, 2022 of $636.6 million, of which 57.3% was attributable to our T&amp;D customers and 42.7% was attributable to our C&amp;I customers. Our consolidated revenues for the three months ended March 31, 2021 were $592.5 million. For the three months ended March 31, 2022, our net income and 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were $20.7 million and $39.6 million, respectively, compared to $19.9 million and $39.3 million, respectively, for the three months ended March 31, 2021.</w:t>
      </w:r>
    </w:p>
    <w:p>
      <w:pPr>
        <w:spacing w:after="0" w:line="147" w:lineRule="exact"/>
        <w:rPr>
          <w:sz w:val="20"/>
          <w:szCs w:val="20"/>
          <w:color w:val="auto"/>
        </w:rPr>
      </w:pPr>
    </w:p>
    <w:p>
      <w:pPr>
        <w:ind w:right="100" w:firstLine="619"/>
        <w:spacing w:after="0" w:line="242" w:lineRule="auto"/>
        <w:rPr>
          <w:sz w:val="20"/>
          <w:szCs w:val="20"/>
          <w:color w:val="auto"/>
        </w:rPr>
      </w:pPr>
      <w:r>
        <w:rPr>
          <w:rFonts w:ascii="Arial" w:cs="Arial" w:eastAsia="Arial" w:hAnsi="Arial"/>
          <w:sz w:val="17"/>
          <w:szCs w:val="17"/>
          <w:color w:val="auto"/>
        </w:rPr>
        <w:t>We believe there is an ongoing need for utilities to sustain investment in their transmission systems to improve reliability, reduce congestion and connect to new sources of renewable generation. Consequently, we anticipate that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2022 will not likely have a large impact on 2022 results. Bidding and construction activity for small to medium-size transmission projects and upgrades remain active, and we expect this trend to continue, primarily due to reliability and economic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1637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ind w:left="180" w:hanging="177"/>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EBITDA is a non-GAAP measure. Refer to “Non-GAAP Measure—EBITDA” for a discussion of this measure.</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3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firstLine="619"/>
        <w:spacing w:after="0" w:line="257" w:lineRule="auto"/>
        <w:rPr>
          <w:sz w:val="20"/>
          <w:szCs w:val="20"/>
          <w:color w:val="auto"/>
        </w:rPr>
      </w:pPr>
      <w:r>
        <w:rPr>
          <w:rFonts w:ascii="Arial" w:cs="Arial" w:eastAsia="Arial" w:hAnsi="Arial"/>
          <w:sz w:val="17"/>
          <w:szCs w:val="17"/>
          <w:color w:val="auto"/>
        </w:rPr>
        <w:t>As a result of reduced spending by United States utilities on their distribution systems for several years, we believe there is a need for sustained investment by utilities on their distribution systems to properly maintain or meet reliability requirements. We continue to see increased bidding activity in some of our electric distribution markets, as economic conditions improved in those areas. We believe the increased hurricane activity and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which may result in an increase in outsourcing opportunities. We expect to see an incremental increase in distribution opportunities in the United States and in Ontario, Canada during the rest of 2022, due to the acquisition of the Powerline Plus Companies.</w:t>
      </w:r>
    </w:p>
    <w:p>
      <w:pPr>
        <w:spacing w:after="0" w:line="156" w:lineRule="exact"/>
        <w:rPr>
          <w:sz w:val="20"/>
          <w:szCs w:val="20"/>
          <w:color w:val="auto"/>
        </w:rPr>
      </w:pPr>
    </w:p>
    <w:p>
      <w:pPr>
        <w:ind w:right="60" w:firstLine="619"/>
        <w:spacing w:after="0" w:line="283" w:lineRule="auto"/>
        <w:rPr>
          <w:sz w:val="20"/>
          <w:szCs w:val="20"/>
          <w:color w:val="auto"/>
        </w:rPr>
      </w:pPr>
      <w:r>
        <w:rPr>
          <w:rFonts w:ascii="Arial" w:cs="Arial" w:eastAsia="Arial" w:hAnsi="Arial"/>
          <w:sz w:val="16"/>
          <w:szCs w:val="16"/>
          <w:color w:val="auto"/>
        </w:rPr>
        <w:t>We expect C&amp;I bidding opportunities to continue to be impacted by various recent market disruptions, and as a result the ultimate recovery of the C&amp;I market will be heavily dependent on the timing and pace of the United States and Canada economic recoveries. We believe that the primary markets we serve may be somewhat less vulnerable to economic slowing, such as health care, transportation, data centers, warehousing, clean energy and water projects. We are hopeful that the service industry and small project market could quickly rebound as pent-up demand will need to be addressed.</w:t>
      </w:r>
    </w:p>
    <w:p>
      <w:pPr>
        <w:spacing w:after="0" w:line="12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the United States has experienced decades of underfunded economic expansion and aging infrastructure which has challenged the capacity of public water and transportation infrastructure forcing states and municipalities to seek creative means to fund needed expansion and repair. We believe the need for expanding public infrastructure will offer opportunity in our C&amp;I segment for several years. We expect the long-term growth in our C&amp;I segment to generally track the economic growth of the regions we serve.</w:t>
      </w:r>
    </w:p>
    <w:p>
      <w:pPr>
        <w:spacing w:after="0" w:line="139"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strive to maintain our status as a preferred provider to our T&amp;D and C&amp;I customers. In an effort to support our growth strategy and maximize stockholder returns, we seek to efficiently manage our capital. We continue to implement strategies that further expand our capabilities and allow opportunities to provide prudent capital returns. On January 4, 2022, we acquired all issued and outstanding shares of capital stock of Powerline Plus Ltd. and its affiliate (collectively, the “Powerline Plus Companies"), which expanded our distribution operations in Ontario, Canada.</w:t>
      </w:r>
    </w:p>
    <w:p>
      <w:pPr>
        <w:spacing w:after="0" w:line="152"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continue to manage our increasing costs for supporting our operations, including increasing insurance, equipment, labor and material costs. We believe that our financial position, positive cash flows and other operational strengths will enable us to manage our markets and give us the flexibility to successfully execute our strategies. We continue to invest in developing key management and craft personnel in both our T&amp;D and C&amp;I markets and in procuring the specific specialty equipment and tooling needed to win and execute projects of all sizes and complexity.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2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76" w:lineRule="exact"/>
        <w:rPr>
          <w:sz w:val="20"/>
          <w:szCs w:val="20"/>
          <w:color w:val="auto"/>
        </w:rPr>
      </w:pPr>
    </w:p>
    <w:p>
      <w:pPr>
        <w:ind w:right="220" w:firstLine="619"/>
        <w:spacing w:after="0" w:line="259" w:lineRule="auto"/>
        <w:rPr>
          <w:sz w:val="20"/>
          <w:szCs w:val="20"/>
          <w:color w:val="auto"/>
        </w:rPr>
      </w:pPr>
      <w:r>
        <w:rPr>
          <w:rFonts w:ascii="Arial" w:cs="Arial" w:eastAsia="Arial" w:hAnsi="Arial"/>
          <w:sz w:val="17"/>
          <w:szCs w:val="17"/>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7–Revenue Recognition in the accompanying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Our backlog was $2.41 billion at March 31, 2022, compared to $1.79 billion at December 31, 2021 and $1.64 billion at March 31, 2021. Our backlog at March 31, 2022 increased 34.5% from December 31, 2021. Backlog in the T&amp;D segment increased $446.8 million and C&amp;I backlog increased $169.6 million compared to December 31, 2021. Our backlog as of March 31, 2022 included our proportionate share of joint venture backlog totaling $4.2 million, compared to $5.4 million at December 31, 2021.</w:t>
      </w:r>
    </w:p>
    <w:p>
      <w:pPr>
        <w:spacing w:after="0" w:line="178"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20" w:type="dxa"/>
            <w:vAlign w:val="bottom"/>
            <w:gridSpan w:val="5"/>
          </w:tcPr>
          <w:p>
            <w:pPr>
              <w:ind w:left="820"/>
              <w:spacing w:after="0"/>
              <w:rPr>
                <w:sz w:val="20"/>
                <w:szCs w:val="20"/>
                <w:color w:val="auto"/>
              </w:rPr>
            </w:pPr>
            <w:r>
              <w:rPr>
                <w:rFonts w:ascii="Arial" w:cs="Arial" w:eastAsia="Arial" w:hAnsi="Arial"/>
                <w:sz w:val="14"/>
                <w:szCs w:val="14"/>
                <w:b w:val="1"/>
                <w:bCs w:val="1"/>
                <w:color w:val="auto"/>
              </w:rPr>
              <w:t>Backlog at March 31, 2022</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(in thousands)</w:t>
            </w: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tcPr>
          <w:p>
            <w:pPr>
              <w:jc w:val="center"/>
              <w:ind w:right="121"/>
              <w:spacing w:after="0" w:line="129" w:lineRule="exact"/>
              <w:rPr>
                <w:sz w:val="20"/>
                <w:szCs w:val="20"/>
                <w:color w:val="auto"/>
              </w:rPr>
            </w:pPr>
            <w:r>
              <w:rPr>
                <w:rFonts w:ascii="Arial" w:cs="Arial" w:eastAsia="Arial" w:hAnsi="Arial"/>
                <w:sz w:val="14"/>
                <w:szCs w:val="14"/>
                <w:b w:val="1"/>
                <w:bCs w:val="1"/>
                <w:color w:val="auto"/>
                <w:w w:val="87"/>
              </w:rPr>
              <w:t>Amount estimated to not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ind w:right="241"/>
              <w:spacing w:after="0" w:line="129" w:lineRule="exact"/>
              <w:rPr>
                <w:sz w:val="20"/>
                <w:szCs w:val="20"/>
                <w:color w:val="auto"/>
              </w:rPr>
            </w:pPr>
            <w:r>
              <w:rPr>
                <w:rFonts w:ascii="Arial" w:cs="Arial" w:eastAsia="Arial" w:hAnsi="Arial"/>
                <w:sz w:val="14"/>
                <w:szCs w:val="14"/>
                <w:b w:val="1"/>
                <w:bCs w:val="1"/>
                <w:color w:val="auto"/>
                <w:w w:val="99"/>
              </w:rPr>
              <w:t>Total backlog at</w:t>
            </w:r>
          </w:p>
        </w:tc>
        <w:tc>
          <w:tcPr>
            <w:tcW w:w="0" w:type="dxa"/>
            <w:vAlign w:val="bottom"/>
          </w:tcPr>
          <w:p>
            <w:pPr>
              <w:spacing w:after="0"/>
              <w:rPr>
                <w:sz w:val="1"/>
                <w:szCs w:val="1"/>
                <w:color w:val="auto"/>
              </w:rPr>
            </w:pPr>
          </w:p>
        </w:tc>
      </w:tr>
      <w:tr>
        <w:trPr>
          <w:trHeight w:val="179"/>
        </w:trPr>
        <w:tc>
          <w:tcPr>
            <w:tcW w:w="57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be recognized within 12 months</w:t>
            </w:r>
          </w:p>
        </w:tc>
        <w:tc>
          <w:tcPr>
            <w:tcW w:w="160" w:type="dxa"/>
            <w:vAlign w:val="bottom"/>
          </w:tcPr>
          <w:p>
            <w:pPr>
              <w:spacing w:after="0"/>
              <w:rPr>
                <w:sz w:val="15"/>
                <w:szCs w:val="15"/>
                <w:color w:val="auto"/>
              </w:rPr>
            </w:pPr>
          </w:p>
        </w:tc>
        <w:tc>
          <w:tcPr>
            <w:tcW w:w="1400" w:type="dxa"/>
            <w:vAlign w:val="bottom"/>
          </w:tcPr>
          <w:p>
            <w:pPr>
              <w:jc w:val="right"/>
              <w:ind w:right="141"/>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7"/>
        </w:trPr>
        <w:tc>
          <w:tcPr>
            <w:tcW w:w="5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T&amp;D</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1,122,937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223,496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676,130</w:t>
            </w:r>
          </w:p>
        </w:tc>
        <w:tc>
          <w:tcPr>
            <w:tcW w:w="0" w:type="dxa"/>
            <w:vAlign w:val="bottom"/>
          </w:tcPr>
          <w:p>
            <w:pPr>
              <w:spacing w:after="0"/>
              <w:rPr>
                <w:sz w:val="1"/>
                <w:szCs w:val="1"/>
                <w:color w:val="auto"/>
              </w:rPr>
            </w:pPr>
          </w:p>
        </w:tc>
      </w:tr>
      <w:tr>
        <w:trPr>
          <w:trHeight w:val="218"/>
        </w:trPr>
        <w:tc>
          <w:tcPr>
            <w:tcW w:w="5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rPr>
              <w:t>C&amp;I</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1,282,592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472,744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1,113,014</w:t>
            </w:r>
          </w:p>
        </w:tc>
        <w:tc>
          <w:tcPr>
            <w:tcW w:w="0" w:type="dxa"/>
            <w:vAlign w:val="bottom"/>
          </w:tcPr>
          <w:p>
            <w:pPr>
              <w:spacing w:after="0"/>
              <w:rPr>
                <w:sz w:val="1"/>
                <w:szCs w:val="1"/>
                <w:color w:val="auto"/>
              </w:rPr>
            </w:pPr>
          </w:p>
        </w:tc>
      </w:tr>
      <w:tr>
        <w:trPr>
          <w:trHeight w:val="238"/>
        </w:trPr>
        <w:tc>
          <w:tcPr>
            <w:tcW w:w="5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2,405,529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696,240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1,789,144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selected consolidated statements of operations data and such data as a percentage of revenues for the periods indicated:</w:t>
      </w:r>
    </w:p>
    <w:p>
      <w:pPr>
        <w:spacing w:after="0" w:line="170" w:lineRule="exact"/>
        <w:rPr>
          <w:sz w:val="20"/>
          <w:szCs w:val="20"/>
          <w:color w:val="auto"/>
        </w:rPr>
      </w:pPr>
    </w:p>
    <w:p>
      <w:pPr>
        <w:jc w:val="center"/>
        <w:ind w:left="7340"/>
        <w:spacing w:after="0"/>
        <w:rPr>
          <w:sz w:val="20"/>
          <w:szCs w:val="20"/>
          <w:color w:val="auto"/>
        </w:rPr>
      </w:pPr>
      <w:r>
        <w:rPr>
          <w:rFonts w:ascii="Arial" w:cs="Arial" w:eastAsia="Arial" w:hAnsi="Arial"/>
          <w:sz w:val="12"/>
          <w:szCs w:val="12"/>
          <w:b w:val="1"/>
          <w:bCs w:val="1"/>
          <w:color w:val="auto"/>
        </w:rPr>
        <w:t>Three months ended</w:t>
      </w:r>
    </w:p>
    <w:p>
      <w:pPr>
        <w:spacing w:after="0" w:line="18" w:lineRule="exact"/>
        <w:rPr>
          <w:sz w:val="20"/>
          <w:szCs w:val="20"/>
          <w:color w:val="auto"/>
        </w:rPr>
      </w:pPr>
    </w:p>
    <w:p>
      <w:pPr>
        <w:jc w:val="center"/>
        <w:ind w:left="7340"/>
        <w:spacing w:after="0"/>
        <w:rPr>
          <w:sz w:val="20"/>
          <w:szCs w:val="20"/>
          <w:color w:val="auto"/>
        </w:rPr>
      </w:pPr>
      <w:r>
        <w:rPr>
          <w:rFonts w:ascii="Arial" w:cs="Arial" w:eastAsia="Arial" w:hAnsi="Arial"/>
          <w:sz w:val="12"/>
          <w:szCs w:val="12"/>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21590</wp:posOffset>
            </wp:positionV>
            <wp:extent cx="24720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7205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2022</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gridSpan w:val="3"/>
          </w:tcPr>
          <w:p>
            <w:pPr>
              <w:jc w:val="right"/>
              <w:ind w:right="760"/>
              <w:spacing w:after="0"/>
              <w:rPr>
                <w:sz w:val="20"/>
                <w:szCs w:val="20"/>
                <w:color w:val="auto"/>
              </w:rPr>
            </w:pPr>
            <w:r>
              <w:rPr>
                <w:rFonts w:ascii="Arial" w:cs="Arial" w:eastAsia="Arial" w:hAnsi="Arial"/>
                <w:sz w:val="12"/>
                <w:szCs w:val="12"/>
                <w:b w:val="1"/>
                <w:bCs w:val="1"/>
                <w:color w:val="auto"/>
                <w:w w:val="82"/>
              </w:rPr>
              <w:t>2021</w:t>
            </w:r>
          </w:p>
        </w:tc>
      </w:tr>
      <w:tr>
        <w:trPr>
          <w:trHeight w:val="28"/>
        </w:trPr>
        <w:tc>
          <w:tcPr>
            <w:tcW w:w="736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8"/>
        </w:trPr>
        <w:tc>
          <w:tcPr>
            <w:tcW w:w="7360" w:type="dxa"/>
            <w:vAlign w:val="bottom"/>
            <w:gridSpan w:val="2"/>
          </w:tcPr>
          <w:p>
            <w:pPr>
              <w:ind w:left="20"/>
              <w:spacing w:after="0"/>
              <w:rPr>
                <w:sz w:val="20"/>
                <w:szCs w:val="20"/>
                <w:color w:val="auto"/>
              </w:rPr>
            </w:pPr>
            <w:r>
              <w:rPr>
                <w:rFonts w:ascii="Arial" w:cs="Arial" w:eastAsia="Arial" w:hAnsi="Arial"/>
                <w:sz w:val="12"/>
                <w:szCs w:val="12"/>
                <w:b w:val="1"/>
                <w:bCs w:val="1"/>
                <w:color w:val="auto"/>
              </w:rPr>
              <w:t>(dollars in thousands)</w:t>
            </w:r>
          </w:p>
        </w:tc>
        <w:tc>
          <w:tcPr>
            <w:tcW w:w="140" w:type="dxa"/>
            <w:vAlign w:val="bottom"/>
          </w:tcPr>
          <w:p>
            <w:pPr>
              <w:spacing w:after="0"/>
              <w:rPr>
                <w:sz w:val="13"/>
                <w:szCs w:val="13"/>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Percent</w:t>
            </w:r>
          </w:p>
        </w:tc>
        <w:tc>
          <w:tcPr>
            <w:tcW w:w="160" w:type="dxa"/>
            <w:vAlign w:val="bottom"/>
          </w:tcPr>
          <w:p>
            <w:pPr>
              <w:spacing w:after="0"/>
              <w:rPr>
                <w:sz w:val="13"/>
                <w:szCs w:val="13"/>
                <w:color w:val="auto"/>
              </w:rPr>
            </w:pPr>
          </w:p>
        </w:tc>
        <w:tc>
          <w:tcPr>
            <w:tcW w:w="680" w:type="dxa"/>
            <w:vAlign w:val="bottom"/>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00"/>
              <w:spacing w:after="0"/>
              <w:rPr>
                <w:sz w:val="20"/>
                <w:szCs w:val="20"/>
                <w:color w:val="auto"/>
              </w:rPr>
            </w:pPr>
            <w:r>
              <w:rPr>
                <w:rFonts w:ascii="Arial" w:cs="Arial" w:eastAsia="Arial" w:hAnsi="Arial"/>
                <w:sz w:val="12"/>
                <w:szCs w:val="12"/>
                <w:b w:val="1"/>
                <w:bCs w:val="1"/>
                <w:color w:val="auto"/>
              </w:rPr>
              <w:t>Percent</w:t>
            </w:r>
          </w:p>
        </w:tc>
      </w:tr>
      <w:tr>
        <w:trPr>
          <w:trHeight w:val="28"/>
        </w:trPr>
        <w:tc>
          <w:tcPr>
            <w:tcW w:w="7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3"/>
        </w:trPr>
        <w:tc>
          <w:tcPr>
            <w:tcW w:w="7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Contract revenues</w:t>
            </w:r>
          </w:p>
        </w:tc>
        <w:tc>
          <w:tcPr>
            <w:tcW w:w="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636,624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592,486</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165"/>
        </w:trPr>
        <w:tc>
          <w:tcPr>
            <w:tcW w:w="7360" w:type="dxa"/>
            <w:vAlign w:val="bottom"/>
            <w:gridSpan w:val="2"/>
          </w:tcPr>
          <w:p>
            <w:pPr>
              <w:ind w:left="20"/>
              <w:spacing w:after="0"/>
              <w:rPr>
                <w:sz w:val="20"/>
                <w:szCs w:val="20"/>
                <w:color w:val="auto"/>
              </w:rPr>
            </w:pPr>
            <w:r>
              <w:rPr>
                <w:rFonts w:ascii="Arial" w:cs="Arial" w:eastAsia="Arial" w:hAnsi="Arial"/>
                <w:sz w:val="12"/>
                <w:szCs w:val="12"/>
                <w:color w:val="auto"/>
              </w:rPr>
              <w:t>Contract costs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556,139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87.4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515,533</w:t>
            </w:r>
          </w:p>
        </w:tc>
        <w:tc>
          <w:tcPr>
            <w:tcW w:w="1060" w:type="dxa"/>
            <w:vAlign w:val="bottom"/>
            <w:gridSpan w:val="3"/>
          </w:tcPr>
          <w:p>
            <w:pPr>
              <w:jc w:val="right"/>
              <w:ind w:right="100"/>
              <w:spacing w:after="0"/>
              <w:rPr>
                <w:sz w:val="20"/>
                <w:szCs w:val="20"/>
                <w:color w:val="auto"/>
              </w:rPr>
            </w:pPr>
            <w:r>
              <w:rPr>
                <w:rFonts w:ascii="Arial" w:cs="Arial" w:eastAsia="Arial" w:hAnsi="Arial"/>
                <w:sz w:val="12"/>
                <w:szCs w:val="12"/>
                <w:color w:val="auto"/>
              </w:rPr>
              <w:t>87.0</w:t>
            </w:r>
          </w:p>
        </w:tc>
      </w:tr>
      <w:tr>
        <w:trPr>
          <w:trHeight w:val="28"/>
        </w:trPr>
        <w:tc>
          <w:tcPr>
            <w:tcW w:w="7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6"/>
        </w:trPr>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Gross profit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80,485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12.6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76,953</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13.0</w:t>
            </w:r>
          </w:p>
        </w:tc>
      </w:tr>
      <w:tr>
        <w:trPr>
          <w:trHeight w:val="165"/>
        </w:trPr>
        <w:tc>
          <w:tcPr>
            <w:tcW w:w="7360" w:type="dxa"/>
            <w:vAlign w:val="bottom"/>
            <w:gridSpan w:val="2"/>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53,564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49,647</w:t>
            </w:r>
          </w:p>
        </w:tc>
        <w:tc>
          <w:tcPr>
            <w:tcW w:w="1060" w:type="dxa"/>
            <w:vAlign w:val="bottom"/>
            <w:gridSpan w:val="3"/>
          </w:tcPr>
          <w:p>
            <w:pPr>
              <w:jc w:val="right"/>
              <w:ind w:right="100"/>
              <w:spacing w:after="0"/>
              <w:rPr>
                <w:sz w:val="20"/>
                <w:szCs w:val="20"/>
                <w:color w:val="auto"/>
              </w:rPr>
            </w:pPr>
            <w:r>
              <w:rPr>
                <w:rFonts w:ascii="Arial" w:cs="Arial" w:eastAsia="Arial" w:hAnsi="Arial"/>
                <w:sz w:val="12"/>
                <w:szCs w:val="12"/>
                <w:color w:val="auto"/>
              </w:rPr>
              <w:t>8.4</w:t>
            </w:r>
          </w:p>
        </w:tc>
      </w:tr>
      <w:tr>
        <w:trPr>
          <w:trHeight w:val="28"/>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3"/>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intangible assets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2,767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0.4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578</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r>
      <w:tr>
        <w:trPr>
          <w:trHeight w:val="165"/>
        </w:trPr>
        <w:tc>
          <w:tcPr>
            <w:tcW w:w="7360" w:type="dxa"/>
            <w:vAlign w:val="bottom"/>
            <w:gridSpan w:val="2"/>
          </w:tcPr>
          <w:p>
            <w:pPr>
              <w:ind w:left="40"/>
              <w:spacing w:after="0"/>
              <w:rPr>
                <w:sz w:val="20"/>
                <w:szCs w:val="20"/>
                <w:color w:val="auto"/>
              </w:rPr>
            </w:pPr>
            <w:r>
              <w:rPr>
                <w:rFonts w:ascii="Arial" w:cs="Arial" w:eastAsia="Arial" w:hAnsi="Arial"/>
                <w:sz w:val="12"/>
                <w:szCs w:val="12"/>
                <w:color w:val="auto"/>
              </w:rPr>
              <w:t>Gain on sale of property and equipment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(683)</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(0.1)</w:t>
            </w:r>
          </w:p>
        </w:tc>
      </w:tr>
      <w:tr>
        <w:trPr>
          <w:trHeight w:val="28"/>
        </w:trPr>
        <w:tc>
          <w:tcPr>
            <w:tcW w:w="7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6"/>
        </w:trPr>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Income from operations</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24,902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3.9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27,411</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4.6</w:t>
            </w:r>
          </w:p>
        </w:tc>
      </w:tr>
      <w:tr>
        <w:trPr>
          <w:trHeight w:val="165"/>
        </w:trPr>
        <w:tc>
          <w:tcPr>
            <w:tcW w:w="7360" w:type="dxa"/>
            <w:vAlign w:val="bottom"/>
            <w:gridSpan w:val="2"/>
          </w:tcPr>
          <w:p>
            <w:pPr>
              <w:ind w:left="20"/>
              <w:spacing w:after="0"/>
              <w:rPr>
                <w:sz w:val="20"/>
                <w:szCs w:val="20"/>
                <w:color w:val="auto"/>
              </w:rPr>
            </w:pPr>
            <w:r>
              <w:rPr>
                <w:rFonts w:ascii="Arial" w:cs="Arial" w:eastAsia="Arial" w:hAnsi="Arial"/>
                <w:sz w:val="12"/>
                <w:szCs w:val="12"/>
                <w:color w:val="auto"/>
              </w:rPr>
              <w:t>Other income (expense):</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8"/>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3"/>
        </w:trPr>
        <w:tc>
          <w:tcPr>
            <w:tcW w:w="7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Interest income</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65"/>
        </w:trPr>
        <w:tc>
          <w:tcPr>
            <w:tcW w:w="7360" w:type="dxa"/>
            <w:vAlign w:val="bottom"/>
            <w:gridSpan w:val="2"/>
          </w:tcPr>
          <w:p>
            <w:pPr>
              <w:ind w:left="140"/>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(475)</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(0.1)</w:t>
            </w:r>
          </w:p>
        </w:tc>
      </w:tr>
      <w:tr>
        <w:trPr>
          <w:trHeight w:val="28"/>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3"/>
        </w:trPr>
        <w:tc>
          <w:tcPr>
            <w:tcW w:w="7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Other income (expense), net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8"/>
        </w:trPr>
        <w:tc>
          <w:tcPr>
            <w:tcW w:w="7360" w:type="dxa"/>
            <w:vAlign w:val="bottom"/>
            <w:gridSpan w:val="2"/>
          </w:tcPr>
          <w:p>
            <w:pPr>
              <w:ind w:left="220"/>
              <w:spacing w:after="0"/>
              <w:rPr>
                <w:sz w:val="20"/>
                <w:szCs w:val="20"/>
                <w:color w:val="auto"/>
              </w:rPr>
            </w:pPr>
            <w:r>
              <w:rPr>
                <w:rFonts w:ascii="Arial" w:cs="Arial" w:eastAsia="Arial" w:hAnsi="Arial"/>
                <w:sz w:val="12"/>
                <w:szCs w:val="12"/>
                <w:color w:val="auto"/>
              </w:rPr>
              <w:t>Income before provision for income taxes</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24,444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26,990</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4.5</w:t>
            </w:r>
          </w:p>
        </w:tc>
      </w:tr>
      <w:tr>
        <w:trPr>
          <w:trHeight w:val="28"/>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3"/>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Income tax expense</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3,756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0.6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7,062</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r>
      <w:tr>
        <w:trPr>
          <w:trHeight w:val="185"/>
        </w:trPr>
        <w:tc>
          <w:tcPr>
            <w:tcW w:w="7360" w:type="dxa"/>
            <w:vAlign w:val="bottom"/>
            <w:gridSpan w:val="2"/>
          </w:tcPr>
          <w:p>
            <w:pPr>
              <w:ind w:left="20"/>
              <w:spacing w:after="0"/>
              <w:rPr>
                <w:sz w:val="20"/>
                <w:szCs w:val="20"/>
                <w:color w:val="auto"/>
              </w:rPr>
            </w:pPr>
            <w:r>
              <w:rPr>
                <w:rFonts w:ascii="Arial" w:cs="Arial" w:eastAsia="Arial" w:hAnsi="Arial"/>
                <w:sz w:val="12"/>
                <w:szCs w:val="12"/>
                <w:color w:val="auto"/>
              </w:rPr>
              <w:t>Net income</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20,688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19,928</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3.4 %</w:t>
            </w:r>
          </w:p>
        </w:tc>
      </w:tr>
      <w:tr>
        <w:trPr>
          <w:trHeight w:val="20"/>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2022 Compared to Three Months Ended March 31, 2021</w:t>
      </w:r>
    </w:p>
    <w:p>
      <w:pPr>
        <w:spacing w:after="0" w:line="223" w:lineRule="exact"/>
        <w:rPr>
          <w:sz w:val="20"/>
          <w:szCs w:val="20"/>
          <w:color w:val="auto"/>
        </w:rPr>
      </w:pPr>
    </w:p>
    <w:p>
      <w:pPr>
        <w:jc w:val="both"/>
        <w:ind w:right="180" w:firstLine="619"/>
        <w:spacing w:after="0" w:line="318" w:lineRule="auto"/>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Revenues were $636.6 million for the three months ended March 31, 2022 compared to $592.5 million for the three months ended March 31,</w:t>
      </w:r>
      <w:r>
        <w:rPr>
          <w:rFonts w:ascii="Arial" w:cs="Arial" w:eastAsia="Arial" w:hAnsi="Arial"/>
          <w:sz w:val="15"/>
          <w:szCs w:val="15"/>
          <w:i w:val="1"/>
          <w:iCs w:val="1"/>
          <w:color w:val="auto"/>
        </w:rPr>
        <w:t xml:space="preserve"> </w:t>
      </w:r>
      <w:r>
        <w:rPr>
          <w:rFonts w:ascii="Arial" w:cs="Arial" w:eastAsia="Arial" w:hAnsi="Arial"/>
          <w:sz w:val="15"/>
          <w:szCs w:val="15"/>
          <w:color w:val="auto"/>
        </w:rPr>
        <w:t>2021. The increase of $44.1 million, or 7.4%, was primarily due to an increase in revenue on distribution projects, incremental revenues from the Powerline Plus Companies and an increase in revenue from transmission projects, partially offset by a decrease in C&amp;I revenue in certain geographical areas.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firstLine="619"/>
        <w:spacing w:after="0" w:line="302"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was 12.6% for the three months ended March 31, 2022 compared to 13.0% for the three months ended March 31, 2021. The</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 in gross margin was primarily due to overall cost increases mainly associated with supply chain disruptions and impacts from the COVID-19 pandemic some of which also caused labor and material inefficiencies on certain projects, as well as inclement weather experienced on certain projects. These margin decreases were partially offset by favorable job close outs and net favorable change order adjustments on certain projects. Changes in estimates of gross profit on certain projects resulted in a gross margin increases of 0.5% and 0.1% for the three months ended March 31, 2022 and 2021, respectively.</w:t>
      </w:r>
    </w:p>
    <w:p>
      <w:pPr>
        <w:spacing w:after="0" w:line="101"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was $80.5 million for the three months ended March 31, 2022 compared to $77.0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increase of $3.5 million, or 4.6%, was due to higher revenues partially offset by lower margins.</w:t>
      </w:r>
    </w:p>
    <w:p>
      <w:pPr>
        <w:spacing w:after="0" w:line="113"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were $53.6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2022 compared to $49.6 million for the three months ended March 31, 2021. The period-over-period increase of $4.0 million was primarily due to the acquisition of the Powerline Plus Companies.</w:t>
      </w:r>
    </w:p>
    <w:p>
      <w:pPr>
        <w:spacing w:after="0" w:line="124"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i w:val="1"/>
          <w:iCs w:val="1"/>
          <w:color w:val="auto"/>
        </w:rPr>
        <w:t xml:space="preserve">Amortization of intangible assets. </w:t>
      </w:r>
      <w:r>
        <w:rPr>
          <w:rFonts w:ascii="Arial" w:cs="Arial" w:eastAsia="Arial" w:hAnsi="Arial"/>
          <w:sz w:val="17"/>
          <w:szCs w:val="17"/>
          <w:color w:val="auto"/>
        </w:rPr>
        <w:t>Amortization of intangible assets was $2.8 million for the three months ended March 31, 2022 compared to $0.6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March 31, 2021. The period-over-period increase of $2.2 million was primarily due to amortization related to certain intangibles acquired with the Powerline Plus Companies.</w:t>
      </w:r>
    </w:p>
    <w:p>
      <w:pPr>
        <w:spacing w:after="0" w:line="124"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i w:val="1"/>
          <w:iCs w:val="1"/>
          <w:color w:val="auto"/>
        </w:rPr>
        <w:t>Gain on sale of property and equipment</w:t>
      </w:r>
      <w:r>
        <w:rPr>
          <w:rFonts w:ascii="Arial" w:cs="Arial" w:eastAsia="Arial" w:hAnsi="Arial"/>
          <w:sz w:val="17"/>
          <w:szCs w:val="17"/>
          <w:color w:val="auto"/>
        </w:rPr>
        <w:t>. Gains from the sale of property and equipment for the three months ended March 31, 2022 and 2021 were $0.7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Gains from the sale of property and equipment are attributable to routine sales of property and equipment no longer useful or valuable to our ongoing operations.</w:t>
      </w:r>
    </w:p>
    <w:p>
      <w:pPr>
        <w:spacing w:after="0" w:line="124"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$3.8 million for the three months ended March 31, 2022, with an effective tax rate of 15.4%,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expense of $7.1 million for the three months ended March 31, 2021, with an effective tax rate of 26.2%. The decrease in the tax rate for the three months ended March 31, 2022 was primarily due to a favorable impact from stock compensation excess tax benefits and the reduction of the impact of the global intangible low tax income (“GILTI”).</w:t>
      </w:r>
    </w:p>
    <w:p>
      <w:pPr>
        <w:spacing w:after="0" w:line="126"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$20.7 million for the three months ended March 31, 2022 compared to $19.9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increase was primarily due to the reasons stated earlier.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w:t>
      </w:r>
    </w:p>
    <w:p>
      <w:pPr>
        <w:spacing w:after="0" w:line="223"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The following table sets forth, for the periods indicated, statements of operations data by segment, segment net sales as percentage of total net sales and segment operating income as a percentage of segment net sales: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w w:val="98"/>
              </w:rPr>
              <w:t>Three months ended March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4"/>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5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5"/>
                <w:szCs w:val="15"/>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4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Contract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Transmission &amp; Distribution</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364,856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57.3 %</w:t>
            </w:r>
          </w:p>
        </w:tc>
        <w:tc>
          <w:tcPr>
            <w:tcW w:w="10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314,908</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53.2 %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Commercial &amp; Industrial</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271,768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277,578</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5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636,624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592,486</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Operating income (loss):</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Transmission &amp; Distribution</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30,431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8.3 %</w:t>
            </w:r>
          </w:p>
        </w:tc>
        <w:tc>
          <w:tcPr>
            <w:tcW w:w="10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28,673</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9.1 %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Commercial &amp; Industrial</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14,272</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3"/>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42,945</w:t>
            </w:r>
          </w:p>
        </w:tc>
        <w:tc>
          <w:tcPr>
            <w:tcW w:w="20" w:type="dxa"/>
            <w:vAlign w:val="bottom"/>
            <w:tcBorders>
              <w:top w:val="single" w:sz="8" w:color="auto"/>
            </w:tcBorders>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Corporate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(15,534)</w:t>
            </w:r>
          </w:p>
        </w:tc>
        <w:tc>
          <w:tcPr>
            <w:tcW w:w="1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5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Consolidated</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24,902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27,411</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Transmission &amp; Distribution</w:t>
      </w:r>
    </w:p>
    <w:p>
      <w:pPr>
        <w:spacing w:after="0" w:line="165" w:lineRule="exact"/>
        <w:rPr>
          <w:sz w:val="20"/>
          <w:szCs w:val="20"/>
          <w:color w:val="auto"/>
        </w:rPr>
      </w:pPr>
    </w:p>
    <w:p>
      <w:pPr>
        <w:ind w:right="40" w:firstLine="619"/>
        <w:spacing w:after="0" w:line="283" w:lineRule="auto"/>
        <w:rPr>
          <w:sz w:val="20"/>
          <w:szCs w:val="20"/>
          <w:color w:val="auto"/>
        </w:rPr>
      </w:pPr>
      <w:r>
        <w:rPr>
          <w:rFonts w:ascii="Arial" w:cs="Arial" w:eastAsia="Arial" w:hAnsi="Arial"/>
          <w:sz w:val="16"/>
          <w:szCs w:val="16"/>
          <w:color w:val="auto"/>
        </w:rPr>
        <w:t>Revenues for our T&amp;D segment for the three months ended March 31, 2022 were $364.9 million compared to $314.9 million for the three months ended March 31, 2021, an increase of $50.0 million, or 15.9%. The increase in revenue was primarily related to an increase in revenue on distribution projects, incremental revenues from the Powerline Plus Companies and an increase in revenue from transmission projects. Revenues from transmission projects represented 60.7% and 67.1% of T&amp;D segment revenue for the three months ended March 31, 2022 and 2021, respectively.</w:t>
      </w:r>
    </w:p>
    <w:p>
      <w:pPr>
        <w:spacing w:after="0" w:line="112"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Operating income for our T&amp;D segment for the three months ended March 31, 2022 was $30.4 million, an increase of $1.8 million, or 6.1%, from the three months ended March 31, 2021. The increase in T&amp;D operating income from the prior year was primarily due to higher revenues and a favorable job close-out. These increases were partially offset by the additional $2.2 million of amortization related to certain intangibles acquired with the Powerline Plus Companies and overall cost increases from supply chain disruptions, impacts from the COVID-19 pandemic and inclement weather experienced on certain projects. As a percentage of revenues, operating income for our T&amp;D segment was 8.3% for the three months ended March 31, 2022 compared to 9.1% for the three months ended March 31, 2021.</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&amp; Industrial</w:t>
      </w:r>
    </w:p>
    <w:p>
      <w:pPr>
        <w:spacing w:after="0" w:line="165"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Revenues for our C&amp;I segment for the three months ended March 31, 2022 were $271.8 million compared to $277.6 million for the three months ended March 31, 2021, a decrease of $5.8 million, or 2.1%, primarily due to a decrease in revenue in certain geographical areas.</w:t>
      </w:r>
    </w:p>
    <w:p>
      <w:pPr>
        <w:spacing w:after="0" w:line="113" w:lineRule="exact"/>
        <w:rPr>
          <w:sz w:val="20"/>
          <w:szCs w:val="20"/>
          <w:color w:val="auto"/>
        </w:rPr>
      </w:pPr>
    </w:p>
    <w:p>
      <w:pPr>
        <w:ind w:right="140" w:firstLine="619"/>
        <w:spacing w:after="0" w:line="302" w:lineRule="auto"/>
        <w:rPr>
          <w:sz w:val="20"/>
          <w:szCs w:val="20"/>
          <w:color w:val="auto"/>
        </w:rPr>
      </w:pPr>
      <w:r>
        <w:rPr>
          <w:rFonts w:ascii="Arial" w:cs="Arial" w:eastAsia="Arial" w:hAnsi="Arial"/>
          <w:sz w:val="15"/>
          <w:szCs w:val="15"/>
          <w:color w:val="auto"/>
        </w:rPr>
        <w:t>Operating income for our C&amp;I segment for the three months ended March 31, 2022 was $10.1 million, a decrease of $4.2 million, over the three months ended March 31, 2021. The period-over-period decrease in operating income was primarily due to overall cost increases mainly associated with supply chain disruptions and impacts from the COVID-19 pandemic some of which also caused labor and material inefficiencies on certain projects. The decrease in operating income was partially offset by a favorable job close out and net favorable change order adjustments on certain projects. As a percentage of revenues, operating income for our C&amp;I segment was 3.7% for the three months ended March 31, 2022 compared to 5.1% for the three months ended March 31, 2021.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Measure—EBITDA</w:t>
      </w:r>
    </w:p>
    <w:p>
      <w:pPr>
        <w:spacing w:after="0" w:line="18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reconciliation of net income to EBITDA: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6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8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8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20,688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19,928</w:t>
            </w:r>
          </w:p>
        </w:tc>
        <w:tc>
          <w:tcPr>
            <w:tcW w:w="0" w:type="dxa"/>
            <w:vAlign w:val="bottom"/>
          </w:tcPr>
          <w:p>
            <w:pPr>
              <w:spacing w:after="0"/>
              <w:rPr>
                <w:sz w:val="1"/>
                <w:szCs w:val="1"/>
                <w:color w:val="auto"/>
              </w:rPr>
            </w:pPr>
          </w:p>
        </w:tc>
      </w:tr>
      <w:tr>
        <w:trPr>
          <w:trHeight w:val="230"/>
        </w:trPr>
        <w:tc>
          <w:tcPr>
            <w:tcW w:w="8560" w:type="dxa"/>
            <w:vAlign w:val="bottom"/>
            <w:gridSpan w:val="2"/>
          </w:tcPr>
          <w:p>
            <w:pPr>
              <w:ind w:left="140"/>
              <w:spacing w:after="0"/>
              <w:rPr>
                <w:sz w:val="20"/>
                <w:szCs w:val="20"/>
                <w:color w:val="auto"/>
              </w:rPr>
            </w:pPr>
            <w:r>
              <w:rPr>
                <w:rFonts w:ascii="Arial" w:cs="Arial" w:eastAsia="Arial" w:hAnsi="Arial"/>
                <w:sz w:val="17"/>
                <w:szCs w:val="17"/>
                <w:i w:val="1"/>
                <w:iCs w:val="1"/>
                <w:color w:val="auto"/>
              </w:rPr>
              <w:t>Add: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30"/>
        </w:trPr>
        <w:tc>
          <w:tcPr>
            <w:tcW w:w="8560" w:type="dxa"/>
            <w:vAlign w:val="bottom"/>
            <w:gridSpan w:val="2"/>
          </w:tcPr>
          <w:p>
            <w:pPr>
              <w:ind w:left="22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7"/>
                <w:szCs w:val="17"/>
                <w:color w:val="auto"/>
              </w:rPr>
              <w:t>3,756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7,062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Depreciation &amp;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14,671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11,871</w:t>
            </w:r>
          </w:p>
        </w:tc>
        <w:tc>
          <w:tcPr>
            <w:tcW w:w="0" w:type="dxa"/>
            <w:vAlign w:val="bottom"/>
          </w:tcPr>
          <w:p>
            <w:pPr>
              <w:spacing w:after="0"/>
              <w:rPr>
                <w:sz w:val="1"/>
                <w:szCs w:val="1"/>
                <w:color w:val="auto"/>
              </w:rPr>
            </w:pPr>
          </w:p>
        </w:tc>
      </w:tr>
      <w:tr>
        <w:trPr>
          <w:trHeight w:val="250"/>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EBITDA</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39,558</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39,323</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reconciliation of net cash flows provided by operating activities to EBITDA: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8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8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60" w:type="dxa"/>
            <w:vAlign w:val="bottom"/>
            <w:gridSpan w:val="2"/>
          </w:tcPr>
          <w:p>
            <w:pPr>
              <w:ind w:left="140"/>
              <w:spacing w:after="0"/>
              <w:rPr>
                <w:sz w:val="20"/>
                <w:szCs w:val="20"/>
                <w:color w:val="auto"/>
              </w:rPr>
            </w:pPr>
            <w:r>
              <w:rPr>
                <w:rFonts w:ascii="Arial" w:cs="Arial" w:eastAsia="Arial" w:hAnsi="Arial"/>
                <w:sz w:val="17"/>
                <w:szCs w:val="17"/>
                <w:color w:val="auto"/>
              </w:rPr>
              <w:t>Net cash flows provided by operating activities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21,467</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59,390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i w:val="1"/>
                <w:iCs w:val="1"/>
                <w:color w:val="auto"/>
              </w:rPr>
              <w:t>Add/(subtract):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60" w:type="dxa"/>
            <w:vAlign w:val="bottom"/>
            <w:gridSpan w:val="2"/>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(26,305)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(13,157)</w:t>
            </w:r>
          </w:p>
        </w:tc>
        <w:tc>
          <w:tcPr>
            <w:tcW w:w="0" w:type="dxa"/>
            <w:vAlign w:val="bottom"/>
          </w:tcPr>
          <w:p>
            <w:pPr>
              <w:spacing w:after="0"/>
              <w:rPr>
                <w:sz w:val="1"/>
                <w:szCs w:val="1"/>
                <w:color w:val="auto"/>
              </w:rPr>
            </w:pPr>
          </w:p>
        </w:tc>
      </w:tr>
      <w:tr>
        <w:trPr>
          <w:trHeight w:val="230"/>
        </w:trPr>
        <w:tc>
          <w:tcPr>
            <w:tcW w:w="8560" w:type="dxa"/>
            <w:vAlign w:val="bottom"/>
            <w:gridSpan w:val="2"/>
          </w:tcPr>
          <w:p>
            <w:pPr>
              <w:ind w:left="220"/>
              <w:spacing w:after="0"/>
              <w:rPr>
                <w:sz w:val="20"/>
                <w:szCs w:val="20"/>
                <w:color w:val="auto"/>
              </w:rPr>
            </w:pPr>
            <w:r>
              <w:rPr>
                <w:rFonts w:ascii="Arial" w:cs="Arial" w:eastAsia="Arial" w:hAnsi="Arial"/>
                <w:sz w:val="17"/>
                <w:szCs w:val="17"/>
                <w:color w:val="auto"/>
              </w:rPr>
              <w:t>Depreciation &amp; amortization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14,671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11,871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7,062</w:t>
            </w:r>
          </w:p>
        </w:tc>
        <w:tc>
          <w:tcPr>
            <w:tcW w:w="0" w:type="dxa"/>
            <w:vAlign w:val="bottom"/>
          </w:tcPr>
          <w:p>
            <w:pPr>
              <w:spacing w:after="0"/>
              <w:rPr>
                <w:sz w:val="1"/>
                <w:szCs w:val="1"/>
                <w:color w:val="auto"/>
              </w:rPr>
            </w:pPr>
          </w:p>
        </w:tc>
      </w:tr>
      <w:tr>
        <w:trPr>
          <w:trHeight w:val="230"/>
        </w:trPr>
        <w:tc>
          <w:tcPr>
            <w:tcW w:w="8560" w:type="dxa"/>
            <w:vAlign w:val="bottom"/>
            <w:gridSpan w:val="2"/>
          </w:tcPr>
          <w:p>
            <w:pPr>
              <w:ind w:left="220"/>
              <w:spacing w:after="0"/>
              <w:rPr>
                <w:sz w:val="20"/>
                <w:szCs w:val="20"/>
                <w:color w:val="auto"/>
              </w:rPr>
            </w:pPr>
            <w:r>
              <w:rPr>
                <w:rFonts w:ascii="Arial" w:cs="Arial" w:eastAsia="Arial" w:hAnsi="Arial"/>
                <w:sz w:val="17"/>
                <w:szCs w:val="17"/>
                <w:color w:val="auto"/>
              </w:rPr>
              <w:t>Interest expense, 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EBITDA</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39,323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Material Cash Requirements</w:t>
      </w:r>
    </w:p>
    <w:p>
      <w:pPr>
        <w:spacing w:after="0" w:line="223" w:lineRule="exact"/>
        <w:rPr>
          <w:sz w:val="20"/>
          <w:szCs w:val="20"/>
          <w:color w:val="auto"/>
        </w:rPr>
      </w:pPr>
    </w:p>
    <w:p>
      <w:pPr>
        <w:ind w:right="40" w:firstLine="619"/>
        <w:spacing w:after="0" w:line="272" w:lineRule="auto"/>
        <w:rPr>
          <w:sz w:val="20"/>
          <w:szCs w:val="20"/>
          <w:color w:val="auto"/>
        </w:rPr>
      </w:pPr>
      <w:r>
        <w:rPr>
          <w:rFonts w:ascii="Arial" w:cs="Arial" w:eastAsia="Arial" w:hAnsi="Arial"/>
          <w:sz w:val="16"/>
          <w:szCs w:val="16"/>
          <w:color w:val="auto"/>
        </w:rPr>
        <w:t>As of March 31, 2022, we had working capital of $217.3 million. We define working capital as current assets less current liabilities. During the three months ended March 31, 2022, operating activities of our business provided net cash of $21.5 million, compared to $59.4 million of cash provided for the three months ended March 31, 2021. Cash flow from operations is primarily influenced by demand for our services, operating margins, timing of contract performance and the type of services we provide to our customers. The $37.9 million year-over-year decrease in cash provided by operating activities was primarily due to unfavorable net changes in operating assets and liabilities of $42.0 million, partially offset by an increase in net income of $0.8 million. The unfavorable change in operating assets and liabilities was primarily due to an unfavorable change of $19.2 million in other liabilities and an unfavorable change of $15.0 million in other assets, partially offset by the net unfavorable year-over-year changes in various working capital accounts that relate primarily to construction activities (accounts receivable, contract assets, accounts payable and contract liabilities) of $8.4 million. The unfavorable change of $19.2 million in other liabilities was primarily due to the timing of employee incentive compensation payments. The unfavorable change in other assets was primarily due to the incremental prepayment of materials required for a large project offset by a decrease in our prepaid insurance. The unfavorable changes in cash provided by working capital accounts, primarily related to construction activities, was primarily due to unfavorable changes in contract assets and contract liabilities due to the timing of billings and payments under our contracts.</w:t>
      </w:r>
    </w:p>
    <w:p>
      <w:pPr>
        <w:spacing w:after="0" w:line="17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In the three months ended March 31, 2022, we used net cash of $123.6 million in investing activities consisting of $110.6 million to acquire the Powerline Plus Companies and $14.0 million for capital expenditures, partially offset by $1.0 million of proceeds from the sale of equipment.</w:t>
      </w:r>
    </w:p>
    <w:p>
      <w:pPr>
        <w:spacing w:after="0" w:line="164"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In the three months ended March 31, 2022, financing activities provided net cash of $38.0 million, consisting primarily of $45.2 million of borrowing under our revolving line of credit, partially offset by share repurchases of $6.8 million, all of which represented shares surrendered to satisfy tax obligations under our stock compensation programs.</w:t>
      </w:r>
    </w:p>
    <w:p>
      <w:pPr>
        <w:spacing w:after="0" w:line="17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believe that our $317.5 million borrowing availability under our revolving line of credit at March 31, 2022, future cash flow from operations and our ability to utilize short- and long-term leases will provide sufficient liquidity for our short- and long-term needs. Our primary short-term liquidity needs include cash for operations, debt service requirements, capital expenditures, acquisition and joint venture opportunities and $12.6 million of remaining payroll tax deferrals provided under the Coronavirus Aid, Relief, and Economic Security Act ("CARES Act") which are expected to be paid by the end of 2022. We believe that we have an adequate source of liquidity to meet our long-term liquidity needs and foreseeable material cash requirements. We continue to invest in developing key management and craft personnel in both our T&amp;D and C&amp;I markets and in procuring the specific specialty equipment and tooling needed to win and execute projects of all sizes and complexity.</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not historically paid dividends and currently do not expect to pay dividends.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Instruments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165"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122" w:lineRule="exact"/>
        <w:rPr>
          <w:sz w:val="20"/>
          <w:szCs w:val="20"/>
          <w:color w:val="auto"/>
        </w:rPr>
      </w:pPr>
    </w:p>
    <w:p>
      <w:pPr>
        <w:ind w:right="120" w:firstLine="619"/>
        <w:spacing w:after="0" w:line="275"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 0.25%, based on our consolidated Leverage Ratio, on any unused portion of the Facility. The Credit Agreement restricts certain types of payments when our consolidated Leverage Ratio exceeds 2.50 or our consolidated Liquidity (as defined in the Credit Agreement) is less than $50.0 million.</w:t>
      </w:r>
    </w:p>
    <w:p>
      <w:pPr>
        <w:spacing w:after="0" w:line="118" w:lineRule="exact"/>
        <w:rPr>
          <w:sz w:val="20"/>
          <w:szCs w:val="20"/>
          <w:color w:val="auto"/>
        </w:rPr>
      </w:pPr>
    </w:p>
    <w:p>
      <w:pPr>
        <w:ind w:right="460" w:firstLine="619"/>
        <w:spacing w:after="0" w:line="307" w:lineRule="auto"/>
        <w:rPr>
          <w:sz w:val="20"/>
          <w:szCs w:val="20"/>
          <w:color w:val="auto"/>
        </w:rPr>
      </w:pPr>
      <w:r>
        <w:rPr>
          <w:rFonts w:ascii="Arial" w:cs="Arial" w:eastAsia="Arial" w:hAnsi="Arial"/>
          <w:sz w:val="15"/>
          <w:szCs w:val="15"/>
          <w:color w:val="auto"/>
        </w:rPr>
        <w:t>Under the Credit Agreement, we are subject to certain financial covenants and are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March 31, 2022.</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had $45.2 million of debt outstanding under the Facility as of March 31, 2022. We had no debt outstanding under the Facility as of December 31,</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153" w:lineRule="exact"/>
        <w:rPr>
          <w:sz w:val="20"/>
          <w:szCs w:val="20"/>
          <w:color w:val="auto"/>
        </w:rPr>
      </w:pPr>
    </w:p>
    <w:p>
      <w:pPr>
        <w:ind w:right="40" w:firstLine="309"/>
        <w:spacing w:after="0" w:line="257" w:lineRule="auto"/>
        <w:rPr>
          <w:sz w:val="20"/>
          <w:szCs w:val="20"/>
          <w:color w:val="auto"/>
        </w:rPr>
      </w:pPr>
      <w:r>
        <w:rPr>
          <w:rFonts w:ascii="Arial" w:cs="Arial" w:eastAsia="Arial" w:hAnsi="Arial"/>
          <w:sz w:val="17"/>
          <w:szCs w:val="17"/>
          <w:color w:val="auto"/>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that it is likely that any claims will be made under any letter of credit.</w:t>
      </w:r>
    </w:p>
    <w:p>
      <w:pPr>
        <w:spacing w:after="0" w:line="108" w:lineRule="exact"/>
        <w:rPr>
          <w:sz w:val="20"/>
          <w:szCs w:val="20"/>
          <w:color w:val="auto"/>
        </w:rPr>
      </w:pPr>
    </w:p>
    <w:p>
      <w:pPr>
        <w:ind w:right="240" w:firstLine="309"/>
        <w:spacing w:after="0" w:line="279" w:lineRule="auto"/>
        <w:rPr>
          <w:sz w:val="20"/>
          <w:szCs w:val="20"/>
          <w:color w:val="auto"/>
        </w:rPr>
      </w:pPr>
      <w:r>
        <w:rPr>
          <w:rFonts w:ascii="Arial" w:cs="Arial" w:eastAsia="Arial" w:hAnsi="Arial"/>
          <w:sz w:val="17"/>
          <w:szCs w:val="17"/>
          <w:color w:val="auto"/>
        </w:rPr>
        <w:t>As of March 31, 2022 and December 31, 2021, we had $12.3 million in letters of credit outstanding under our Credit Agreement, which are almost entirely related to the Company's payment obligation under its insurance programs.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Equipment Notes</w:t>
      </w:r>
    </w:p>
    <w:p>
      <w:pPr>
        <w:spacing w:after="0" w:line="165" w:lineRule="exact"/>
        <w:rPr>
          <w:sz w:val="20"/>
          <w:szCs w:val="20"/>
          <w:color w:val="auto"/>
        </w:rPr>
      </w:pPr>
    </w:p>
    <w:p>
      <w:pPr>
        <w:ind w:right="400" w:firstLine="619"/>
        <w:spacing w:after="0" w:line="266" w:lineRule="auto"/>
        <w:rPr>
          <w:sz w:val="20"/>
          <w:szCs w:val="20"/>
          <w:color w:val="auto"/>
        </w:rPr>
      </w:pPr>
      <w:r>
        <w:rPr>
          <w:rFonts w:ascii="Arial" w:cs="Arial" w:eastAsia="Arial" w:hAnsi="Arial"/>
          <w:sz w:val="17"/>
          <w:szCs w:val="17"/>
          <w:color w:val="auto"/>
        </w:rPr>
        <w:t>We have entered into multiple Master Loan Agreements with multiple banks. The Master Loan Agreements may be used for financing of equipment between us and the lending banks pursuant to one or more equipment notes ("Equipment Notes"). Each Equipment Note constitutes a separate, distinct and independent financing of equipment and contractual obligation.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As of March 31, 2022 and December 31, 2021, we had one outstanding Equipment Note collateralized by equipment and vehicles owned by us. The outstanding balance of this Equipment Note was $4.5 million as of March 31, 2022 and December 31, 2021. As of March 31, 2022 and December 31, 2021, we had outstanding short-term and long-term Equipment Notes of approximately $1.0 million and $3.5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Obligations</w:t>
      </w:r>
    </w:p>
    <w:p>
      <w:pPr>
        <w:spacing w:after="0" w:line="153" w:lineRule="exact"/>
        <w:rPr>
          <w:sz w:val="20"/>
          <w:szCs w:val="20"/>
          <w:color w:val="auto"/>
        </w:rPr>
      </w:pPr>
    </w:p>
    <w:p>
      <w:pPr>
        <w:ind w:right="100" w:firstLine="309"/>
        <w:spacing w:after="0" w:line="258" w:lineRule="auto"/>
        <w:rPr>
          <w:sz w:val="20"/>
          <w:szCs w:val="20"/>
          <w:color w:val="auto"/>
        </w:rPr>
      </w:pPr>
      <w:r>
        <w:rPr>
          <w:rFonts w:ascii="Arial" w:cs="Arial" w:eastAsia="Arial" w:hAnsi="Arial"/>
          <w:sz w:val="17"/>
          <w:szCs w:val="17"/>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eight years, some of which may include options to extend the leases for up to five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outstanding balance of operating lease obligations was $32.5 million as of March 31, 2022. As of March 31, 2022, we had outstanding short-term and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long-term operating lease obligations of approximately $9.3 million and $23.2 million, respectively. The outstanding balance of operating lease obligations was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$21.0 million as of December 31, 2021. As of December 31, 2021, we had outstanding short-term and long-term operating lease obligations of approximately $7.8</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million and $13.2 million, respectively.</w:t>
      </w:r>
    </w:p>
    <w:p>
      <w:pPr>
        <w:spacing w:after="0" w:line="142" w:lineRule="exact"/>
        <w:rPr>
          <w:sz w:val="20"/>
          <w:szCs w:val="20"/>
          <w:color w:val="auto"/>
        </w:rPr>
      </w:pPr>
    </w:p>
    <w:p>
      <w:pPr>
        <w:ind w:right="140" w:firstLine="309"/>
        <w:spacing w:after="0" w:line="266" w:lineRule="auto"/>
        <w:rPr>
          <w:sz w:val="20"/>
          <w:szCs w:val="20"/>
          <w:color w:val="auto"/>
        </w:rPr>
      </w:pPr>
      <w:r>
        <w:rPr>
          <w:rFonts w:ascii="Arial" w:cs="Arial" w:eastAsia="Arial" w:hAnsi="Arial"/>
          <w:sz w:val="17"/>
          <w:szCs w:val="17"/>
          <w:color w:val="auto"/>
        </w:rPr>
        <w:t>The outstanding balance of finance lease obligations was $4.4 million as of March 31, 2022. As of March 31, 2022 we had outstanding short-term and long-term finance lease obligations of approximately $1.4 million and $3.0 million, respectively. As of December 31, 2021 we had no outstanding finance lease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Commitments for Construction Equipment</w:t>
      </w:r>
    </w:p>
    <w:p>
      <w:pPr>
        <w:spacing w:after="0" w:line="153" w:lineRule="exact"/>
        <w:rPr>
          <w:sz w:val="20"/>
          <w:szCs w:val="20"/>
          <w:color w:val="auto"/>
        </w:rPr>
      </w:pPr>
    </w:p>
    <w:p>
      <w:pPr>
        <w:ind w:right="480" w:firstLine="309"/>
        <w:spacing w:after="0" w:line="279" w:lineRule="auto"/>
        <w:rPr>
          <w:sz w:val="20"/>
          <w:szCs w:val="20"/>
          <w:color w:val="auto"/>
        </w:rPr>
      </w:pPr>
      <w:r>
        <w:rPr>
          <w:rFonts w:ascii="Arial" w:cs="Arial" w:eastAsia="Arial" w:hAnsi="Arial"/>
          <w:sz w:val="17"/>
          <w:szCs w:val="17"/>
          <w:color w:val="auto"/>
        </w:rPr>
        <w:t>As of March 31, 2022, we had approximately $17.2 million in outstanding purchase obligations for certain construction equipment to be paid with cash outlays scheduled to occur over the next nine months.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and Payment Bonds and Parent Guarantees</w:t>
      </w:r>
    </w:p>
    <w:p>
      <w:pPr>
        <w:spacing w:after="0" w:line="153" w:lineRule="exact"/>
        <w:rPr>
          <w:sz w:val="20"/>
          <w:szCs w:val="20"/>
          <w:color w:val="auto"/>
        </w:rPr>
      </w:pPr>
    </w:p>
    <w:p>
      <w:pPr>
        <w:ind w:firstLine="309"/>
        <w:spacing w:after="0" w:line="273"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March 31, 2022, an aggregate of approximately $1.46 billion in original face amount of bonds issued by our sureties were outstanding. Our estimated remaining cost to complete these bonded projects was approximately $579.7 million as of March 31, 2022.</w:t>
      </w:r>
    </w:p>
    <w:p>
      <w:pPr>
        <w:spacing w:after="0" w:line="112" w:lineRule="exact"/>
        <w:rPr>
          <w:sz w:val="20"/>
          <w:szCs w:val="20"/>
          <w:color w:val="auto"/>
        </w:rPr>
      </w:pPr>
    </w:p>
    <w:p>
      <w:pPr>
        <w:ind w:right="120" w:firstLine="309"/>
        <w:spacing w:after="0" w:line="290"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23"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March 31, 2022 and 2021, none of our customers individually exceeded 10% of consolidated accounts receivable. Management believes the terms and conditions in its contracts, billing and collection policies are adequate to minimize the potential credit risk.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23" w:lineRule="exact"/>
        <w:rPr>
          <w:sz w:val="20"/>
          <w:szCs w:val="20"/>
          <w:color w:val="auto"/>
        </w:rPr>
      </w:pPr>
    </w:p>
    <w:p>
      <w:pPr>
        <w:ind w:right="780" w:firstLine="619"/>
        <w:spacing w:after="0" w:line="279" w:lineRule="auto"/>
        <w:rPr>
          <w:sz w:val="20"/>
          <w:szCs w:val="20"/>
          <w:color w:val="auto"/>
        </w:rPr>
      </w:pPr>
      <w:r>
        <w:rPr>
          <w:rFonts w:ascii="Arial" w:cs="Arial" w:eastAsia="Arial" w:hAnsi="Arial"/>
          <w:sz w:val="17"/>
          <w:szCs w:val="17"/>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3"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2021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Concerning Forward-Looking Statements and Information</w:t>
      </w:r>
    </w:p>
    <w:p>
      <w:pPr>
        <w:spacing w:after="0" w:line="223"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4" w:lineRule="exact"/>
        <w:rPr>
          <w:sz w:val="20"/>
          <w:szCs w:val="20"/>
          <w:color w:val="auto"/>
        </w:rPr>
      </w:pPr>
    </w:p>
    <w:p>
      <w:pPr>
        <w:ind w:firstLine="619"/>
        <w:spacing w:after="0" w:line="291" w:lineRule="auto"/>
        <w:rPr>
          <w:sz w:val="20"/>
          <w:szCs w:val="20"/>
          <w:color w:val="auto"/>
        </w:rPr>
      </w:pPr>
      <w:r>
        <w:rPr>
          <w:rFonts w:ascii="Arial" w:cs="Arial" w:eastAsia="Arial" w:hAnsi="Arial"/>
          <w:sz w:val="15"/>
          <w:szCs w:val="15"/>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under the caption “Forward-Looking Statements” and in Item 1A. “Risk Factors” in our 2021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These risks, contingencies and uncertainties include, but are not limited to, the following:</w:t>
      </w:r>
    </w:p>
    <w:p>
      <w:pPr>
        <w:spacing w:after="0" w:line="62" w:lineRule="exact"/>
        <w:rPr>
          <w:sz w:val="20"/>
          <w:szCs w:val="20"/>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operating results may vary significantly from period to period.</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industry is highly competitive.</w:t>
      </w:r>
    </w:p>
    <w:p>
      <w:pPr>
        <w:spacing w:after="0" w:line="62" w:lineRule="exact"/>
        <w:rPr>
          <w:rFonts w:ascii="Arial" w:cs="Arial" w:eastAsia="Arial" w:hAnsi="Arial"/>
          <w:sz w:val="17"/>
          <w:szCs w:val="17"/>
          <w:color w:val="auto"/>
        </w:rPr>
      </w:pPr>
    </w:p>
    <w:p>
      <w:pPr>
        <w:ind w:left="940" w:right="220" w:hanging="318"/>
        <w:spacing w:after="0" w:line="279"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Negative economic and market conditions including tariffs on materials may adversely impact our customers’ future spending and, as a result, our operations and growth.</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unsuccessful in generating internal growth, which could impact the projects available to the Company.</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inability to successfully execute or integrate acquisitions or joint ventures may have an adverse impact on our growth strategy and business.</w:t>
      </w:r>
    </w:p>
    <w:p>
      <w:pPr>
        <w:spacing w:after="0" w:line="73" w:lineRule="exact"/>
        <w:rPr>
          <w:rFonts w:ascii="Arial" w:cs="Arial" w:eastAsia="Arial" w:hAnsi="Arial"/>
          <w:sz w:val="16"/>
          <w:szCs w:val="16"/>
          <w:color w:val="auto"/>
        </w:rPr>
      </w:pPr>
    </w:p>
    <w:p>
      <w:pPr>
        <w:ind w:left="940" w:right="100" w:hanging="318"/>
        <w:spacing w:after="0" w:line="279"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unable to attract and retain qualified personnel.</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timing of new contracts and termination of existing contracts may result in unpredictable fluctuations in our cash flows and financial results.</w:t>
      </w:r>
    </w:p>
    <w:p>
      <w:pPr>
        <w:spacing w:after="0" w:line="73" w:lineRule="exact"/>
        <w:rPr>
          <w:rFonts w:ascii="Arial" w:cs="Arial" w:eastAsia="Arial" w:hAnsi="Arial"/>
          <w:sz w:val="16"/>
          <w:szCs w:val="16"/>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ordinary course of our business, we may become subject to lawsuits or indemnity claims.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Backlog may not be realized or may not result in profits and may not accurately represent future revenue.</w:t>
      </w:r>
    </w:p>
    <w:p>
      <w:pPr>
        <w:spacing w:after="0" w:line="62" w:lineRule="exact"/>
        <w:rPr>
          <w:rFonts w:ascii="Arial" w:cs="Arial" w:eastAsia="Arial" w:hAnsi="Arial"/>
          <w:sz w:val="17"/>
          <w:szCs w:val="17"/>
          <w:color w:val="auto"/>
        </w:rPr>
      </w:pPr>
    </w:p>
    <w:p>
      <w:pPr>
        <w:jc w:val="both"/>
        <w:ind w:left="940" w:right="20" w:hanging="318"/>
        <w:spacing w:after="0" w:line="266"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insurance has limits and exclusions that may not fully indemnify us against certain claims or losses, including claims resulting from wildfires or other natural disasters and an increase in cost, or the unavailability or cancellation of third party insurance coverages would increase our overall risk exposure and could disrupt our operations and reduce our profitability.</w:t>
      </w:r>
    </w:p>
    <w:p>
      <w:pPr>
        <w:spacing w:after="0" w:line="20"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operating in the Canadian market could restrict our ability to expand and harm our business and prospects.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tax laws or our interpretations of tax laws could materially impact our income tax liabilities.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nature of our business exposes us to potential liability for warranty claims and faulty engineering, which may reduce our profitability.</w:t>
      </w:r>
    </w:p>
    <w:p>
      <w:pPr>
        <w:spacing w:after="0" w:line="62" w:lineRule="exact"/>
        <w:rPr>
          <w:rFonts w:ascii="Arial" w:cs="Arial" w:eastAsia="Arial" w:hAnsi="Arial"/>
          <w:sz w:val="17"/>
          <w:szCs w:val="17"/>
          <w:color w:val="auto"/>
        </w:rPr>
      </w:pPr>
    </w:p>
    <w:p>
      <w:pPr>
        <w:ind w:left="940" w:right="6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Health outbreaks such as the COVID-19 pandemic may have an adverse impact on our business, employees, liquidity, financial condition, results of operations and cash flows.</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dependence on suppliers, subcontractors and equipment manufacturers could expose us to the risk of loss in our operations.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participation in joint ventures and other projects with third parties may expose us to liability for failures of our partners.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Legislative or regulatory actions relating to electricity transmission and renewable energy may impact demand for our services.</w:t>
      </w:r>
    </w:p>
    <w:p>
      <w:pPr>
        <w:spacing w:after="0" w:line="62" w:lineRule="exact"/>
        <w:rPr>
          <w:rFonts w:ascii="Arial" w:cs="Arial" w:eastAsia="Arial" w:hAnsi="Arial"/>
          <w:sz w:val="17"/>
          <w:szCs w:val="17"/>
          <w:color w:val="auto"/>
        </w:rPr>
      </w:pPr>
    </w:p>
    <w:p>
      <w:pPr>
        <w:ind w:left="940" w:right="40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incur liabilities and suffer negative financial or reputational impacts relating to occupational health and safety matters, including those related to environmental hazards such as wildfires and other natural disasters.</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failure to comply with environmental and other laws and regulations could result in significant liabilities.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may be affected by seasonal and other variations, including severe weather conditions and the nature of our work environment.</w:t>
      </w:r>
    </w:p>
    <w:p>
      <w:pPr>
        <w:spacing w:after="0" w:line="73" w:lineRule="exact"/>
        <w:rPr>
          <w:rFonts w:ascii="Arial" w:cs="Arial" w:eastAsia="Arial" w:hAnsi="Arial"/>
          <w:sz w:val="16"/>
          <w:szCs w:val="16"/>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Opportunities associated with government contracts could lead to increased governmental regulation applicable to us.</w:t>
      </w:r>
    </w:p>
    <w:p>
      <w:pPr>
        <w:spacing w:after="0" w:line="62" w:lineRule="exact"/>
        <w:rPr>
          <w:rFonts w:ascii="Arial" w:cs="Arial" w:eastAsia="Arial" w:hAnsi="Arial"/>
          <w:sz w:val="17"/>
          <w:szCs w:val="17"/>
          <w:color w:val="auto"/>
        </w:rPr>
      </w:pPr>
    </w:p>
    <w:p>
      <w:pPr>
        <w:ind w:left="940" w:right="34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use of percentage-of-completion accounting could result in a reduction or reversal of previously recognized revenues and profits.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financial results are based upon estimates and assumptions that may differ from actual results.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actual costs may be greater than expected in performing our fixed-price and unit-price contracts.</w:t>
      </w:r>
    </w:p>
    <w:p>
      <w:pPr>
        <w:spacing w:after="0" w:line="62" w:lineRule="exact"/>
        <w:rPr>
          <w:rFonts w:ascii="Arial" w:cs="Arial" w:eastAsia="Arial" w:hAnsi="Arial"/>
          <w:sz w:val="17"/>
          <w:szCs w:val="17"/>
          <w:color w:val="auto"/>
        </w:rPr>
      </w:pPr>
    </w:p>
    <w:p>
      <w:pPr>
        <w:ind w:left="940" w:right="62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increase in the cost or availability for items such as materials, parts, commodities, equipment and tooling may also be impacted by trade regulations, tariffs, taxes, transportation costs and inflation which could adversely affect our business.</w:t>
      </w:r>
    </w:p>
    <w:p>
      <w:pPr>
        <w:spacing w:after="0" w:line="9" w:lineRule="exact"/>
        <w:rPr>
          <w:rFonts w:ascii="Arial" w:cs="Arial" w:eastAsia="Arial" w:hAnsi="Arial"/>
          <w:sz w:val="17"/>
          <w:szCs w:val="17"/>
          <w:color w:val="auto"/>
        </w:rPr>
      </w:pPr>
    </w:p>
    <w:p>
      <w:pPr>
        <w:ind w:left="940" w:right="30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be able to compete for, or work on, certain projects if we are not able to obtain necessary bonds, letters of credit, bank guarantees or other financial assurances.</w:t>
      </w:r>
    </w:p>
    <w:p>
      <w:pPr>
        <w:spacing w:after="0" w:line="9" w:lineRule="exact"/>
        <w:rPr>
          <w:rFonts w:ascii="Arial" w:cs="Arial" w:eastAsia="Arial" w:hAnsi="Arial"/>
          <w:sz w:val="17"/>
          <w:szCs w:val="17"/>
          <w:color w:val="auto"/>
        </w:rPr>
      </w:pPr>
    </w:p>
    <w:p>
      <w:pPr>
        <w:ind w:left="940" w:right="42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Work stoppages or other labor issues with our unionized workforce could adversely affect our business, and we may be subject to unionization attempts.</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Multi-employer pension plan obligations related to our unionized workforce could adversely impact our earnings.</w:t>
      </w:r>
    </w:p>
    <w:p>
      <w:pPr>
        <w:spacing w:after="0" w:line="62" w:lineRule="exact"/>
        <w:rPr>
          <w:rFonts w:ascii="Arial" w:cs="Arial" w:eastAsia="Arial" w:hAnsi="Arial"/>
          <w:sz w:val="17"/>
          <w:szCs w:val="17"/>
          <w:color w:val="auto"/>
        </w:rPr>
      </w:pPr>
    </w:p>
    <w:p>
      <w:pPr>
        <w:ind w:left="940" w:hanging="318"/>
        <w:spacing w:after="0" w:line="349" w:lineRule="auto"/>
        <w:tabs>
          <w:tab w:leader="none" w:pos="936"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223"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As of March 31, 2022, we were not party to any derivative instruments. We did not use any material derivative financial instruments during the three months ended March 31, 2022 and 2021, including instruments for trading, hedging or speculating on changes in interest rates or commodity prices of materials used in our business.</w:t>
      </w:r>
    </w:p>
    <w:p>
      <w:pPr>
        <w:spacing w:after="0" w:line="175"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As of March 31, 2022, we had $45.2 million of borrowings under our Facility. Any borrowings under our Facility are based upon interest rates that will vary depending upon the prime rate, Canadian prime rate, federal funds effective rate,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NYFRB overnight bank funding rate, CDOR, and LIBOR (or any interest rate replacing LIBOR). If the prime rate, Canadian prime rate, federal funds effective rate, the NYFRB overnight bank funding rate, CDOR, or LIBOR (or any interest rate replacing LIBOR) rises, any interest payment obligations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March 31, 2022, which is subject to variable rates, permanently increased by 1%, the increase in interest expense on all revolving debt would decrease future income before provision for income taxes and cash flows by approximately $0.5 million annually. If market rates of interest on all our revolving debt, which is subject to variable rates as of March 31, 2022, permanently decreased by 1%, the decrease in interest expense on all debt would increase future income before provision for income taxes and cash flows by by approximately $0.5 million annually.</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Borrowings under our Equipment Notes are at fixed rates established on the date the respective Equipment Note was executed.</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Controls and Procedures</w:t>
      </w:r>
    </w:p>
    <w:p>
      <w:pPr>
        <w:spacing w:after="0" w:line="217"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March 31,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17" w:lineRule="exact"/>
        <w:rPr>
          <w:sz w:val="20"/>
          <w:szCs w:val="20"/>
          <w:color w:val="auto"/>
        </w:rPr>
      </w:pPr>
    </w:p>
    <w:p>
      <w:pPr>
        <w:ind w:right="580" w:firstLine="619"/>
        <w:spacing w:after="0" w:line="279" w:lineRule="auto"/>
        <w:rPr>
          <w:sz w:val="20"/>
          <w:szCs w:val="20"/>
          <w:color w:val="auto"/>
        </w:rPr>
      </w:pPr>
      <w:r>
        <w:rPr>
          <w:rFonts w:ascii="Arial" w:cs="Arial" w:eastAsia="Arial" w:hAnsi="Arial"/>
          <w:sz w:val="17"/>
          <w:szCs w:val="17"/>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II—OTHER INFORMATION</w:t>
      </w:r>
    </w:p>
    <w:p>
      <w:pPr>
        <w:spacing w:after="0" w:line="217"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w:t>
        <w:tab/>
        <w:t>LEGAL PROCEEDINGS</w:t>
      </w:r>
    </w:p>
    <w:p>
      <w:pPr>
        <w:spacing w:after="0" w:line="223" w:lineRule="exact"/>
        <w:rPr>
          <w:sz w:val="20"/>
          <w:szCs w:val="20"/>
          <w:color w:val="auto"/>
        </w:rPr>
      </w:pPr>
    </w:p>
    <w:p>
      <w:pPr>
        <w:ind w:right="820" w:firstLine="619"/>
        <w:spacing w:after="0" w:line="279" w:lineRule="auto"/>
        <w:rPr>
          <w:sz w:val="20"/>
          <w:szCs w:val="20"/>
          <w:color w:val="auto"/>
        </w:rPr>
      </w:pPr>
      <w:r>
        <w:rPr>
          <w:rFonts w:ascii="Arial" w:cs="Arial" w:eastAsia="Arial" w:hAnsi="Arial"/>
          <w:sz w:val="17"/>
          <w:szCs w:val="17"/>
          <w:color w:val="auto"/>
        </w:rPr>
        <w:t>For discussion regarding legal proceedings, please refer to Note 9–Commitments and Contingencies—Litigation and Other Legal Matters in the accompanying notes to our Consolidated Financial Statements.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tab/>
        <w:t>RISK FACTORS</w:t>
      </w:r>
    </w:p>
    <w:p>
      <w:pPr>
        <w:spacing w:after="0" w:line="223" w:lineRule="exact"/>
        <w:rPr>
          <w:sz w:val="20"/>
          <w:szCs w:val="20"/>
          <w:color w:val="auto"/>
        </w:rPr>
      </w:pPr>
    </w:p>
    <w:p>
      <w:pPr>
        <w:ind w:right="160" w:firstLine="619"/>
        <w:spacing w:after="0" w:line="257" w:lineRule="auto"/>
        <w:rPr>
          <w:sz w:val="20"/>
          <w:szCs w:val="20"/>
          <w:color w:val="auto"/>
        </w:rPr>
      </w:pPr>
      <w:r>
        <w:rPr>
          <w:rFonts w:ascii="Arial" w:cs="Arial" w:eastAsia="Arial" w:hAnsi="Arial"/>
          <w:sz w:val="17"/>
          <w:szCs w:val="17"/>
          <w:color w:val="auto"/>
        </w:rPr>
        <w:t>We face a number of risks that could materially and adversely affect our business, employees, liquidity, financial condition, results of operations and cash flows. A discussion of our risk factors can be found in Item 1A. “Risk Factors” in our 2021 Annual Report. As of the date of this filing, there have been no material changes to the risk factors previously discussed in Item 1A. “Risk Factors” in our 2021 Annual Report. An investment in our common stock involves various risks. When considering an investment in our company, you should carefully consider all of the risk factors described in our 2021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our company.</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223" w:lineRule="exact"/>
        <w:rPr>
          <w:sz w:val="20"/>
          <w:szCs w:val="20"/>
          <w:color w:val="auto"/>
        </w:rPr>
      </w:pPr>
    </w:p>
    <w:p>
      <w:pPr>
        <w:ind w:right="540" w:firstLine="619"/>
        <w:spacing w:after="0" w:line="279" w:lineRule="auto"/>
        <w:rPr>
          <w:sz w:val="20"/>
          <w:szCs w:val="20"/>
          <w:color w:val="auto"/>
        </w:rPr>
      </w:pPr>
      <w:r>
        <w:rPr>
          <w:rFonts w:ascii="Arial" w:cs="Arial" w:eastAsia="Arial" w:hAnsi="Arial"/>
          <w:sz w:val="17"/>
          <w:szCs w:val="17"/>
          <w:b w:val="1"/>
          <w:bCs w:val="1"/>
          <w:i w:val="1"/>
          <w:iCs w:val="1"/>
          <w:color w:val="auto"/>
        </w:rPr>
        <w:t xml:space="preserve">Purchases of Common Stock. </w:t>
      </w:r>
      <w:r>
        <w:rPr>
          <w:rFonts w:ascii="Arial" w:cs="Arial" w:eastAsia="Arial" w:hAnsi="Arial"/>
          <w:sz w:val="17"/>
          <w:szCs w:val="17"/>
          <w:color w:val="auto"/>
        </w:rPr>
        <w:t>The following table includes all of the Company’s repurchases of common stock for the periods shown. Repurchased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are retired and returned to authorized but unissued common stock.</w:t>
      </w:r>
    </w:p>
    <w:p>
      <w:pPr>
        <w:spacing w:after="0" w:line="20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ind w:right="3"/>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55"/>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7"/>
              </w:rPr>
              <w:t>Shares Purchased as Part of</w:t>
            </w:r>
          </w:p>
        </w:tc>
        <w:tc>
          <w:tcPr>
            <w:tcW w:w="100" w:type="dxa"/>
            <w:vAlign w:val="bottom"/>
          </w:tcPr>
          <w:p>
            <w:pPr>
              <w:spacing w:after="0"/>
              <w:rPr>
                <w:sz w:val="13"/>
                <w:szCs w:val="13"/>
                <w:color w:val="auto"/>
              </w:rPr>
            </w:pPr>
          </w:p>
        </w:tc>
        <w:tc>
          <w:tcPr>
            <w:tcW w:w="1840" w:type="dxa"/>
            <w:vAlign w:val="bottom"/>
          </w:tcPr>
          <w:p>
            <w:pPr>
              <w:ind w:left="640"/>
              <w:spacing w:after="0" w:line="155" w:lineRule="exact"/>
              <w:rPr>
                <w:sz w:val="20"/>
                <w:szCs w:val="20"/>
                <w:color w:val="auto"/>
              </w:rPr>
            </w:pPr>
            <w:r>
              <w:rPr>
                <w:rFonts w:ascii="Arial" w:cs="Arial" w:eastAsia="Arial" w:hAnsi="Arial"/>
                <w:sz w:val="14"/>
                <w:szCs w:val="14"/>
                <w:b w:val="1"/>
                <w:bCs w:val="1"/>
                <w:color w:val="auto"/>
                <w:w w:val="91"/>
              </w:rPr>
              <w:t>Approximate Dollar</w:t>
            </w:r>
          </w:p>
        </w:tc>
      </w:tr>
      <w:tr>
        <w:trPr>
          <w:trHeight w:val="155"/>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3"/>
                <w:szCs w:val="13"/>
                <w:color w:val="auto"/>
              </w:rPr>
            </w:pPr>
          </w:p>
        </w:tc>
        <w:tc>
          <w:tcPr>
            <w:tcW w:w="1980" w:type="dxa"/>
            <w:vAlign w:val="bottom"/>
            <w:gridSpan w:val="3"/>
          </w:tcPr>
          <w:p>
            <w:pPr>
              <w:ind w:left="680"/>
              <w:spacing w:after="0" w:line="155" w:lineRule="exact"/>
              <w:rPr>
                <w:sz w:val="20"/>
                <w:szCs w:val="20"/>
                <w:color w:val="auto"/>
              </w:rPr>
            </w:pPr>
            <w:r>
              <w:rPr>
                <w:rFonts w:ascii="Arial" w:cs="Arial" w:eastAsia="Arial" w:hAnsi="Arial"/>
                <w:sz w:val="14"/>
                <w:szCs w:val="14"/>
                <w:b w:val="1"/>
                <w:bCs w:val="1"/>
                <w:color w:val="auto"/>
              </w:rPr>
              <w:t>Average Price Paid</w:t>
            </w:r>
          </w:p>
        </w:tc>
        <w:tc>
          <w:tcPr>
            <w:tcW w:w="1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7"/>
              </w:rPr>
              <w:t>Publicly Announced Plans or</w:t>
            </w:r>
          </w:p>
        </w:tc>
        <w:tc>
          <w:tcPr>
            <w:tcW w:w="100" w:type="dxa"/>
            <w:vAlign w:val="bottom"/>
          </w:tcPr>
          <w:p>
            <w:pPr>
              <w:spacing w:after="0"/>
              <w:rPr>
                <w:sz w:val="13"/>
                <w:szCs w:val="13"/>
                <w:color w:val="auto"/>
              </w:rPr>
            </w:pPr>
          </w:p>
        </w:tc>
        <w:tc>
          <w:tcPr>
            <w:tcW w:w="18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w w:val="90"/>
              </w:rPr>
              <w:t>Shares That May Yet Be Pur</w:t>
            </w:r>
          </w:p>
        </w:tc>
      </w:tr>
      <w:tr>
        <w:trPr>
          <w:trHeight w:val="178"/>
        </w:trPr>
        <w:tc>
          <w:tcPr>
            <w:tcW w:w="3180" w:type="dxa"/>
            <w:vAlign w:val="bottom"/>
            <w:gridSpan w:val="2"/>
          </w:tcPr>
          <w:p>
            <w:pPr>
              <w:ind w:left="166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 Purchased (1)</w:t>
            </w:r>
          </w:p>
        </w:tc>
        <w:tc>
          <w:tcPr>
            <w:tcW w:w="140" w:type="dxa"/>
            <w:vAlign w:val="bottom"/>
          </w:tcPr>
          <w:p>
            <w:pPr>
              <w:spacing w:after="0"/>
              <w:rPr>
                <w:sz w:val="15"/>
                <w:szCs w:val="15"/>
                <w:color w:val="auto"/>
              </w:rPr>
            </w:pPr>
          </w:p>
        </w:tc>
        <w:tc>
          <w:tcPr>
            <w:tcW w:w="1280" w:type="dxa"/>
            <w:vAlign w:val="bottom"/>
          </w:tcPr>
          <w:p>
            <w:pPr>
              <w:ind w:left="640"/>
              <w:spacing w:after="0"/>
              <w:rPr>
                <w:sz w:val="20"/>
                <w:szCs w:val="20"/>
                <w:color w:val="auto"/>
              </w:rPr>
            </w:pPr>
            <w:r>
              <w:rPr>
                <w:rFonts w:ascii="Arial" w:cs="Arial" w:eastAsia="Arial" w:hAnsi="Arial"/>
                <w:sz w:val="14"/>
                <w:szCs w:val="14"/>
                <w:b w:val="1"/>
                <w:bCs w:val="1"/>
                <w:color w:val="auto"/>
                <w:w w:val="95"/>
              </w:rPr>
              <w:t>per Share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100" w:type="dxa"/>
            <w:vAlign w:val="bottom"/>
          </w:tcPr>
          <w:p>
            <w:pPr>
              <w:spacing w:after="0"/>
              <w:rPr>
                <w:sz w:val="15"/>
                <w:szCs w:val="15"/>
                <w:color w:val="auto"/>
              </w:rPr>
            </w:pPr>
          </w:p>
        </w:tc>
        <w:tc>
          <w:tcPr>
            <w:tcW w:w="1840" w:type="dxa"/>
            <w:vAlign w:val="bottom"/>
          </w:tcPr>
          <w:p>
            <w:pPr>
              <w:ind w:left="320"/>
              <w:spacing w:after="0"/>
              <w:rPr>
                <w:sz w:val="20"/>
                <w:szCs w:val="20"/>
                <w:color w:val="auto"/>
              </w:rPr>
            </w:pPr>
            <w:r>
              <w:rPr>
                <w:rFonts w:ascii="Arial" w:cs="Arial" w:eastAsia="Arial" w:hAnsi="Arial"/>
                <w:sz w:val="14"/>
                <w:szCs w:val="14"/>
                <w:b w:val="1"/>
                <w:bCs w:val="1"/>
                <w:color w:val="auto"/>
                <w:w w:val="90"/>
              </w:rPr>
              <w:t>Under the Plans or Progr</w:t>
            </w:r>
          </w:p>
        </w:tc>
      </w:tr>
      <w:tr>
        <w:trPr>
          <w:trHeight w:val="24"/>
        </w:trPr>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31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w w:val="93"/>
              </w:rPr>
              <w:t>January 1, 2022 - January 31, 2022</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r>
      <w:tr>
        <w:trPr>
          <w:trHeight w:val="220"/>
        </w:trPr>
        <w:tc>
          <w:tcPr>
            <w:tcW w:w="3180" w:type="dxa"/>
            <w:vAlign w:val="bottom"/>
            <w:gridSpan w:val="2"/>
          </w:tcPr>
          <w:p>
            <w:pPr>
              <w:ind w:left="640"/>
              <w:spacing w:after="0"/>
              <w:rPr>
                <w:sz w:val="20"/>
                <w:szCs w:val="20"/>
                <w:color w:val="auto"/>
              </w:rPr>
            </w:pPr>
            <w:r>
              <w:rPr>
                <w:rFonts w:ascii="Arial" w:cs="Arial" w:eastAsia="Arial" w:hAnsi="Arial"/>
                <w:sz w:val="17"/>
                <w:szCs w:val="17"/>
                <w:color w:val="auto"/>
              </w:rPr>
              <w:t>February 1, 2022 - February 28,</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44,292</w:t>
            </w:r>
          </w:p>
        </w:tc>
        <w:tc>
          <w:tcPr>
            <w:tcW w:w="14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98.24</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gridSpan w:val="2"/>
          </w:tcPr>
          <w:p>
            <w:pPr>
              <w:ind w:left="740"/>
              <w:spacing w:after="0"/>
              <w:rPr>
                <w:sz w:val="20"/>
                <w:szCs w:val="20"/>
                <w:color w:val="auto"/>
              </w:rPr>
            </w:pPr>
            <w:r>
              <w:rPr>
                <w:rFonts w:ascii="Arial" w:cs="Arial" w:eastAsia="Arial" w:hAnsi="Arial"/>
                <w:sz w:val="17"/>
                <w:szCs w:val="17"/>
                <w:color w:val="auto"/>
              </w:rPr>
              <w:t>$</w:t>
            </w: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8"/>
        </w:trPr>
        <w:tc>
          <w:tcPr>
            <w:tcW w:w="31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March 1, 2022 - March 31, 2022</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24,383</w:t>
            </w:r>
          </w:p>
        </w:tc>
        <w:tc>
          <w:tcPr>
            <w:tcW w:w="14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100.05</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r>
      <w:tr>
        <w:trPr>
          <w:trHeight w:val="250"/>
        </w:trPr>
        <w:tc>
          <w:tcPr>
            <w:tcW w:w="3180" w:type="dxa"/>
            <w:vAlign w:val="bottom"/>
            <w:gridSpan w:val="2"/>
          </w:tcPr>
          <w:p>
            <w:pPr>
              <w:ind w:left="640"/>
              <w:spacing w:after="0"/>
              <w:rPr>
                <w:sz w:val="20"/>
                <w:szCs w:val="20"/>
                <w:color w:val="auto"/>
              </w:rPr>
            </w:pPr>
            <w:r>
              <w:rPr>
                <w:rFonts w:ascii="Arial" w:cs="Arial" w:eastAsia="Arial" w:hAnsi="Arial"/>
                <w:sz w:val="17"/>
                <w:szCs w:val="17"/>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68,675</w:t>
            </w:r>
          </w:p>
        </w:tc>
        <w:tc>
          <w:tcPr>
            <w:tcW w:w="14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98.88</w:t>
            </w:r>
          </w:p>
        </w:tc>
        <w:tc>
          <w:tcPr>
            <w:tcW w:w="100" w:type="dxa"/>
            <w:vAlign w:val="bottom"/>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81" w:lineRule="exact"/>
        <w:rPr>
          <w:sz w:val="20"/>
          <w:szCs w:val="20"/>
          <w:color w:val="auto"/>
        </w:rPr>
      </w:pPr>
    </w:p>
    <w:p>
      <w:pPr>
        <w:ind w:right="420" w:firstLine="3"/>
        <w:spacing w:after="0" w:line="279" w:lineRule="auto"/>
        <w:tabs>
          <w:tab w:leader="none" w:pos="24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column contains repurchases of common stock to satisfy tax obligations on the vesting of performance and restricted stock under the 2017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tab/>
        <w:t>EXHIBITS</w:t>
      </w:r>
    </w:p>
    <w:p>
      <w:pPr>
        <w:spacing w:after="0" w:line="153"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60"/>
              <w:spacing w:after="0"/>
              <w:rPr>
                <w:rFonts w:ascii="Arial" w:cs="Arial" w:eastAsia="Arial" w:hAnsi="Arial"/>
                <w:sz w:val="17"/>
                <w:szCs w:val="17"/>
                <w:color w:val="0000FF"/>
              </w:rPr>
            </w:pPr>
            <w:hyperlink w:anchor="page38">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10120" w:type="dxa"/>
            <w:vAlign w:val="bottom"/>
            <w:gridSpan w:val="8"/>
            <w:shd w:val="clear" w:color="auto" w:fill="CCEEFF"/>
          </w:tcPr>
          <w:p>
            <w:pPr>
              <w:ind w:left="80"/>
              <w:spacing w:after="0"/>
              <w:rPr>
                <w:rFonts w:ascii="Arial" w:cs="Arial" w:eastAsia="Arial" w:hAnsi="Arial"/>
                <w:sz w:val="17"/>
                <w:szCs w:val="17"/>
                <w:color w:val="0000FF"/>
              </w:rPr>
            </w:pPr>
            <w:hyperlink w:anchor="page38">
              <w:r>
                <w:rPr>
                  <w:rFonts w:ascii="Arial" w:cs="Arial" w:eastAsia="Arial" w:hAnsi="Arial"/>
                  <w:sz w:val="17"/>
                  <w:szCs w:val="17"/>
                  <w:color w:val="0000FF"/>
                </w:rPr>
                <w:t>Form of Restricted Stock Unit Award Agreement (Named Executive Officer).†+</w:t>
              </w:r>
            </w:hyperlink>
          </w:p>
        </w:tc>
      </w:tr>
      <w:tr>
        <w:trPr>
          <w:trHeight w:val="44"/>
        </w:trPr>
        <w:tc>
          <w:tcPr>
            <w:tcW w:w="18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7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240" w:type="dxa"/>
            <w:vAlign w:val="bottom"/>
            <w:tcBorders>
              <w:top w:val="single" w:sz="8" w:color="CCEEFF"/>
            </w:tcBorders>
            <w:shd w:val="clear" w:color="auto" w:fill="CCEEFF"/>
          </w:tcPr>
          <w:p>
            <w:pPr>
              <w:spacing w:after="0"/>
              <w:rPr>
                <w:sz w:val="3"/>
                <w:szCs w:val="3"/>
                <w:color w:val="auto"/>
              </w:rPr>
            </w:pPr>
          </w:p>
        </w:tc>
      </w:tr>
      <w:tr>
        <w:trPr>
          <w:trHeight w:val="193"/>
        </w:trPr>
        <w:tc>
          <w:tcPr>
            <w:tcW w:w="180" w:type="dxa"/>
            <w:vAlign w:val="bottom"/>
          </w:tcPr>
          <w:p>
            <w:pPr>
              <w:spacing w:after="0"/>
              <w:rPr>
                <w:sz w:val="16"/>
                <w:szCs w:val="16"/>
                <w:color w:val="auto"/>
              </w:rPr>
            </w:pPr>
          </w:p>
        </w:tc>
        <w:tc>
          <w:tcPr>
            <w:tcW w:w="940" w:type="dxa"/>
            <w:vAlign w:val="bottom"/>
            <w:gridSpan w:val="3"/>
          </w:tcPr>
          <w:p>
            <w:pPr>
              <w:jc w:val="right"/>
              <w:ind w:right="60"/>
              <w:spacing w:after="0" w:line="194" w:lineRule="exact"/>
              <w:rPr>
                <w:rFonts w:ascii="Arial" w:cs="Arial" w:eastAsia="Arial" w:hAnsi="Arial"/>
                <w:sz w:val="17"/>
                <w:szCs w:val="17"/>
                <w:color w:val="0000FF"/>
              </w:rPr>
            </w:pPr>
            <w:hyperlink w:anchor="page46">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10120" w:type="dxa"/>
            <w:vAlign w:val="bottom"/>
            <w:gridSpan w:val="8"/>
          </w:tcPr>
          <w:p>
            <w:pPr>
              <w:ind w:left="80"/>
              <w:spacing w:after="0" w:line="194" w:lineRule="exact"/>
              <w:rPr>
                <w:rFonts w:ascii="Arial" w:cs="Arial" w:eastAsia="Arial" w:hAnsi="Arial"/>
                <w:sz w:val="17"/>
                <w:szCs w:val="17"/>
                <w:color w:val="0000FF"/>
              </w:rPr>
            </w:pPr>
            <w:hyperlink w:anchor="page46">
              <w:r>
                <w:rPr>
                  <w:rFonts w:ascii="Arial" w:cs="Arial" w:eastAsia="Arial" w:hAnsi="Arial"/>
                  <w:sz w:val="17"/>
                  <w:szCs w:val="17"/>
                  <w:color w:val="0000FF"/>
                </w:rPr>
                <w:t>Form of Performance Shares Award Agreement (Named Executive Officer).†+</w:t>
              </w:r>
            </w:hyperlink>
          </w:p>
        </w:tc>
      </w:tr>
      <w:tr>
        <w:trPr>
          <w:trHeight w:val="44"/>
        </w:trPr>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7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93"/>
        </w:trPr>
        <w:tc>
          <w:tcPr>
            <w:tcW w:w="1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60"/>
              <w:spacing w:after="0" w:line="194" w:lineRule="exact"/>
              <w:rPr>
                <w:rFonts w:ascii="Arial" w:cs="Arial" w:eastAsia="Arial" w:hAnsi="Arial"/>
                <w:sz w:val="17"/>
                <w:szCs w:val="17"/>
                <w:color w:val="0000FF"/>
              </w:rPr>
            </w:pPr>
            <w:hyperlink w:anchor="page55">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10120" w:type="dxa"/>
            <w:vAlign w:val="bottom"/>
            <w:gridSpan w:val="8"/>
            <w:shd w:val="clear" w:color="auto" w:fill="CCEEFF"/>
          </w:tcPr>
          <w:p>
            <w:pPr>
              <w:ind w:left="80"/>
              <w:spacing w:after="0" w:line="194" w:lineRule="exact"/>
              <w:rPr>
                <w:rFonts w:ascii="Arial" w:cs="Arial" w:eastAsia="Arial" w:hAnsi="Arial"/>
                <w:sz w:val="17"/>
                <w:szCs w:val="17"/>
                <w:color w:val="0000FF"/>
              </w:rPr>
            </w:pPr>
            <w:hyperlink w:anchor="page55">
              <w:r>
                <w:rPr>
                  <w:rFonts w:ascii="Arial" w:cs="Arial" w:eastAsia="Arial" w:hAnsi="Arial"/>
                  <w:sz w:val="17"/>
                  <w:szCs w:val="17"/>
                  <w:color w:val="0000FF"/>
                </w:rPr>
                <w:t>Certification of Chief Executive Officer pursuant to SEC Rule 13a-14(a)/15d-14(a)†</w:t>
              </w:r>
            </w:hyperlink>
          </w:p>
        </w:tc>
      </w:tr>
      <w:tr>
        <w:trPr>
          <w:trHeight w:val="44"/>
        </w:trPr>
        <w:tc>
          <w:tcPr>
            <w:tcW w:w="18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7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240" w:type="dxa"/>
            <w:vAlign w:val="bottom"/>
            <w:tcBorders>
              <w:top w:val="single" w:sz="8" w:color="CCEEFF"/>
            </w:tcBorders>
            <w:shd w:val="clear" w:color="auto" w:fill="CCEEFF"/>
          </w:tcPr>
          <w:p>
            <w:pPr>
              <w:spacing w:after="0"/>
              <w:rPr>
                <w:sz w:val="3"/>
                <w:szCs w:val="3"/>
                <w:color w:val="auto"/>
              </w:rPr>
            </w:pPr>
          </w:p>
        </w:tc>
      </w:tr>
      <w:tr>
        <w:trPr>
          <w:trHeight w:val="193"/>
        </w:trPr>
        <w:tc>
          <w:tcPr>
            <w:tcW w:w="180" w:type="dxa"/>
            <w:vAlign w:val="bottom"/>
          </w:tcPr>
          <w:p>
            <w:pPr>
              <w:spacing w:after="0"/>
              <w:rPr>
                <w:sz w:val="16"/>
                <w:szCs w:val="16"/>
                <w:color w:val="auto"/>
              </w:rPr>
            </w:pPr>
          </w:p>
        </w:tc>
        <w:tc>
          <w:tcPr>
            <w:tcW w:w="940" w:type="dxa"/>
            <w:vAlign w:val="bottom"/>
            <w:gridSpan w:val="3"/>
          </w:tcPr>
          <w:p>
            <w:pPr>
              <w:jc w:val="right"/>
              <w:ind w:right="60"/>
              <w:spacing w:after="0" w:line="194" w:lineRule="exact"/>
              <w:rPr>
                <w:rFonts w:ascii="Arial" w:cs="Arial" w:eastAsia="Arial" w:hAnsi="Arial"/>
                <w:sz w:val="17"/>
                <w:szCs w:val="17"/>
                <w:color w:val="0000FF"/>
              </w:rPr>
            </w:pPr>
            <w:hyperlink w:anchor="page56">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10120" w:type="dxa"/>
            <w:vAlign w:val="bottom"/>
            <w:gridSpan w:val="8"/>
          </w:tcPr>
          <w:p>
            <w:pPr>
              <w:ind w:left="80"/>
              <w:spacing w:after="0" w:line="194" w:lineRule="exact"/>
              <w:rPr>
                <w:rFonts w:ascii="Arial" w:cs="Arial" w:eastAsia="Arial" w:hAnsi="Arial"/>
                <w:sz w:val="17"/>
                <w:szCs w:val="17"/>
                <w:color w:val="0000FF"/>
              </w:rPr>
            </w:pPr>
            <w:hyperlink w:anchor="page56">
              <w:r>
                <w:rPr>
                  <w:rFonts w:ascii="Arial" w:cs="Arial" w:eastAsia="Arial" w:hAnsi="Arial"/>
                  <w:sz w:val="17"/>
                  <w:szCs w:val="17"/>
                  <w:color w:val="0000FF"/>
                </w:rPr>
                <w:t>Certification of Chief Financial Officer pursuant to SEC Rule 13a-14(a)/15d-14(a)†</w:t>
              </w:r>
            </w:hyperlink>
          </w:p>
        </w:tc>
      </w:tr>
      <w:tr>
        <w:trPr>
          <w:trHeight w:val="44"/>
        </w:trPr>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7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93"/>
        </w:trPr>
        <w:tc>
          <w:tcPr>
            <w:tcW w:w="1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60"/>
              <w:spacing w:after="0" w:line="194" w:lineRule="exact"/>
              <w:rPr>
                <w:rFonts w:ascii="Arial" w:cs="Arial" w:eastAsia="Arial" w:hAnsi="Arial"/>
                <w:sz w:val="17"/>
                <w:szCs w:val="17"/>
                <w:color w:val="0000FF"/>
              </w:rPr>
            </w:pPr>
            <w:hyperlink w:anchor="page57">
              <w:r>
                <w:rPr>
                  <w:rFonts w:ascii="Arial" w:cs="Arial" w:eastAsia="Arial" w:hAnsi="Arial"/>
                  <w:sz w:val="17"/>
                  <w:szCs w:val="17"/>
                  <w:color w:val="0000FF"/>
                </w:rPr>
                <w:t>32.</w:t>
              </w:r>
              <w:r>
                <w:rPr>
                  <w:rFonts w:ascii="Arial" w:cs="Arial" w:eastAsia="Arial" w:hAnsi="Arial"/>
                  <w:sz w:val="17"/>
                  <w:szCs w:val="17"/>
                  <w:u w:val="single" w:color="auto"/>
                  <w:color w:val="0000FF"/>
                </w:rPr>
                <w:t>1</w:t>
              </w:r>
            </w:hyperlink>
          </w:p>
        </w:tc>
        <w:tc>
          <w:tcPr>
            <w:tcW w:w="10120" w:type="dxa"/>
            <w:vAlign w:val="bottom"/>
            <w:gridSpan w:val="8"/>
            <w:shd w:val="clear" w:color="auto" w:fill="CCEEFF"/>
          </w:tcPr>
          <w:p>
            <w:pPr>
              <w:ind w:left="80"/>
              <w:spacing w:after="0" w:line="194" w:lineRule="exact"/>
              <w:rPr>
                <w:rFonts w:ascii="Arial" w:cs="Arial" w:eastAsia="Arial" w:hAnsi="Arial"/>
                <w:sz w:val="17"/>
                <w:szCs w:val="17"/>
                <w:color w:val="0000FF"/>
              </w:rPr>
            </w:pPr>
            <w:hyperlink w:anchor="page57">
              <w:r>
                <w:rPr>
                  <w:rFonts w:ascii="Arial" w:cs="Arial" w:eastAsia="Arial" w:hAnsi="Arial"/>
                  <w:sz w:val="17"/>
                  <w:szCs w:val="17"/>
                  <w:color w:val="0000FF"/>
                </w:rPr>
                <w:t>Certification of Chief Executive Officer pursuant to 18 U.S.C. §1350†</w:t>
              </w:r>
            </w:hyperlink>
          </w:p>
        </w:tc>
      </w:tr>
      <w:tr>
        <w:trPr>
          <w:trHeight w:val="44"/>
        </w:trPr>
        <w:tc>
          <w:tcPr>
            <w:tcW w:w="18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7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240" w:type="dxa"/>
            <w:vAlign w:val="bottom"/>
            <w:tcBorders>
              <w:top w:val="single" w:sz="8" w:color="CCEEFF"/>
            </w:tcBorders>
            <w:shd w:val="clear" w:color="auto" w:fill="CCEEFF"/>
          </w:tcPr>
          <w:p>
            <w:pPr>
              <w:spacing w:after="0"/>
              <w:rPr>
                <w:sz w:val="3"/>
                <w:szCs w:val="3"/>
                <w:color w:val="auto"/>
              </w:rPr>
            </w:pPr>
          </w:p>
        </w:tc>
      </w:tr>
      <w:tr>
        <w:trPr>
          <w:trHeight w:val="193"/>
        </w:trPr>
        <w:tc>
          <w:tcPr>
            <w:tcW w:w="180" w:type="dxa"/>
            <w:vAlign w:val="bottom"/>
          </w:tcPr>
          <w:p>
            <w:pPr>
              <w:spacing w:after="0"/>
              <w:rPr>
                <w:sz w:val="16"/>
                <w:szCs w:val="16"/>
                <w:color w:val="auto"/>
              </w:rPr>
            </w:pPr>
          </w:p>
        </w:tc>
        <w:tc>
          <w:tcPr>
            <w:tcW w:w="940" w:type="dxa"/>
            <w:vAlign w:val="bottom"/>
            <w:gridSpan w:val="3"/>
          </w:tcPr>
          <w:p>
            <w:pPr>
              <w:jc w:val="right"/>
              <w:ind w:right="60"/>
              <w:spacing w:after="0" w:line="194" w:lineRule="exact"/>
              <w:rPr>
                <w:rFonts w:ascii="Arial" w:cs="Arial" w:eastAsia="Arial" w:hAnsi="Arial"/>
                <w:sz w:val="17"/>
                <w:szCs w:val="17"/>
                <w:color w:val="0000FF"/>
              </w:rPr>
            </w:pPr>
            <w:hyperlink w:anchor="page58">
              <w:r>
                <w:rPr>
                  <w:rFonts w:ascii="Arial" w:cs="Arial" w:eastAsia="Arial" w:hAnsi="Arial"/>
                  <w:sz w:val="17"/>
                  <w:szCs w:val="17"/>
                  <w:color w:val="0000FF"/>
                </w:rPr>
                <w:t>32.</w:t>
              </w:r>
              <w:r>
                <w:rPr>
                  <w:rFonts w:ascii="Arial" w:cs="Arial" w:eastAsia="Arial" w:hAnsi="Arial"/>
                  <w:sz w:val="17"/>
                  <w:szCs w:val="17"/>
                  <w:u w:val="single" w:color="auto"/>
                  <w:color w:val="0000FF"/>
                </w:rPr>
                <w:t>2</w:t>
              </w:r>
            </w:hyperlink>
          </w:p>
        </w:tc>
        <w:tc>
          <w:tcPr>
            <w:tcW w:w="10120" w:type="dxa"/>
            <w:vAlign w:val="bottom"/>
            <w:gridSpan w:val="8"/>
          </w:tcPr>
          <w:p>
            <w:pPr>
              <w:ind w:left="80"/>
              <w:spacing w:after="0" w:line="194" w:lineRule="exact"/>
              <w:rPr>
                <w:rFonts w:ascii="Arial" w:cs="Arial" w:eastAsia="Arial" w:hAnsi="Arial"/>
                <w:sz w:val="17"/>
                <w:szCs w:val="17"/>
                <w:color w:val="0000FF"/>
              </w:rPr>
            </w:pPr>
            <w:hyperlink w:anchor="page58">
              <w:r>
                <w:rPr>
                  <w:rFonts w:ascii="Arial" w:cs="Arial" w:eastAsia="Arial" w:hAnsi="Arial"/>
                  <w:sz w:val="17"/>
                  <w:szCs w:val="17"/>
                  <w:color w:val="0000FF"/>
                </w:rPr>
                <w:t>Certification of Chief Financial Officer pursuant to 18 U.S.C. §1350†</w:t>
              </w:r>
            </w:hyperlink>
          </w:p>
        </w:tc>
      </w:tr>
      <w:tr>
        <w:trPr>
          <w:trHeight w:val="44"/>
        </w:trPr>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7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58"/>
        </w:trPr>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40" w:type="dxa"/>
            <w:vAlign w:val="bottom"/>
            <w:shd w:val="clear" w:color="auto" w:fill="CCEEFF"/>
          </w:tcPr>
          <w:p>
            <w:pPr>
              <w:spacing w:after="0"/>
              <w:rPr>
                <w:sz w:val="22"/>
                <w:szCs w:val="22"/>
                <w:color w:val="auto"/>
              </w:rPr>
            </w:pPr>
          </w:p>
        </w:tc>
      </w:tr>
      <w:tr>
        <w:trPr>
          <w:trHeight w:val="230"/>
        </w:trPr>
        <w:tc>
          <w:tcPr>
            <w:tcW w:w="18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101.INS</w:t>
            </w:r>
          </w:p>
        </w:tc>
        <w:tc>
          <w:tcPr>
            <w:tcW w:w="10120" w:type="dxa"/>
            <w:vAlign w:val="bottom"/>
            <w:gridSpan w:val="8"/>
          </w:tcPr>
          <w:p>
            <w:pPr>
              <w:ind w:left="80"/>
              <w:spacing w:after="0"/>
              <w:rPr>
                <w:sz w:val="20"/>
                <w:szCs w:val="20"/>
                <w:color w:val="auto"/>
              </w:rPr>
            </w:pPr>
            <w:r>
              <w:rPr>
                <w:rFonts w:ascii="Arial" w:cs="Arial" w:eastAsia="Arial" w:hAnsi="Arial"/>
                <w:sz w:val="17"/>
                <w:szCs w:val="17"/>
                <w:color w:val="auto"/>
              </w:rPr>
              <w:t>Inline XBRL Instance Document*</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38"/>
        </w:trPr>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101.SCH</w:t>
            </w:r>
          </w:p>
        </w:tc>
        <w:tc>
          <w:tcPr>
            <w:tcW w:w="10120" w:type="dxa"/>
            <w:vAlign w:val="bottom"/>
            <w:tcBorders>
              <w:bottom w:val="single" w:sz="8" w:color="CCEEFF"/>
            </w:tcBorders>
            <w:gridSpan w:val="8"/>
            <w:shd w:val="clear" w:color="auto" w:fill="CCEEFF"/>
          </w:tcPr>
          <w:p>
            <w:pPr>
              <w:ind w:left="80"/>
              <w:spacing w:after="0"/>
              <w:rPr>
                <w:sz w:val="20"/>
                <w:szCs w:val="20"/>
                <w:color w:val="auto"/>
              </w:rPr>
            </w:pPr>
            <w:r>
              <w:rPr>
                <w:rFonts w:ascii="Arial" w:cs="Arial" w:eastAsia="Arial" w:hAnsi="Arial"/>
                <w:sz w:val="17"/>
                <w:szCs w:val="17"/>
                <w:color w:val="auto"/>
              </w:rPr>
              <w:t>Inline XBRL Taxonomy Extension Schema Document*</w:t>
            </w:r>
          </w:p>
        </w:tc>
      </w:tr>
      <w:tr>
        <w:trPr>
          <w:trHeight w:val="230"/>
        </w:trPr>
        <w:tc>
          <w:tcPr>
            <w:tcW w:w="18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101.CAL</w:t>
            </w:r>
          </w:p>
        </w:tc>
        <w:tc>
          <w:tcPr>
            <w:tcW w:w="10120" w:type="dxa"/>
            <w:vAlign w:val="bottom"/>
            <w:gridSpan w:val="8"/>
          </w:tcPr>
          <w:p>
            <w:pPr>
              <w:ind w:left="8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38"/>
        </w:trPr>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101.DEF</w:t>
            </w:r>
          </w:p>
        </w:tc>
        <w:tc>
          <w:tcPr>
            <w:tcW w:w="10120" w:type="dxa"/>
            <w:vAlign w:val="bottom"/>
            <w:tcBorders>
              <w:bottom w:val="single" w:sz="8" w:color="CCEEFF"/>
            </w:tcBorders>
            <w:gridSpan w:val="8"/>
            <w:shd w:val="clear" w:color="auto" w:fill="CCEEFF"/>
          </w:tcPr>
          <w:p>
            <w:pPr>
              <w:ind w:left="8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30"/>
        </w:trPr>
        <w:tc>
          <w:tcPr>
            <w:tcW w:w="18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101.LAB</w:t>
            </w:r>
          </w:p>
        </w:tc>
        <w:tc>
          <w:tcPr>
            <w:tcW w:w="10120" w:type="dxa"/>
            <w:vAlign w:val="bottom"/>
            <w:gridSpan w:val="8"/>
          </w:tcPr>
          <w:p>
            <w:pPr>
              <w:ind w:left="8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38"/>
        </w:trPr>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101.PRE</w:t>
            </w:r>
          </w:p>
        </w:tc>
        <w:tc>
          <w:tcPr>
            <w:tcW w:w="10120" w:type="dxa"/>
            <w:vAlign w:val="bottom"/>
            <w:tcBorders>
              <w:bottom w:val="single" w:sz="8" w:color="CCEEFF"/>
            </w:tcBorders>
            <w:gridSpan w:val="8"/>
            <w:shd w:val="clear" w:color="auto" w:fill="CCEEFF"/>
          </w:tcPr>
          <w:p>
            <w:pPr>
              <w:ind w:left="8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30"/>
        </w:trPr>
        <w:tc>
          <w:tcPr>
            <w:tcW w:w="18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104</w:t>
            </w:r>
          </w:p>
        </w:tc>
        <w:tc>
          <w:tcPr>
            <w:tcW w:w="10120" w:type="dxa"/>
            <w:vAlign w:val="bottom"/>
            <w:gridSpan w:val="8"/>
          </w:tcPr>
          <w:p>
            <w:pPr>
              <w:ind w:left="8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r>
        <w:trPr>
          <w:trHeight w:val="299"/>
        </w:trPr>
        <w:tc>
          <w:tcPr>
            <w:tcW w:w="5980" w:type="dxa"/>
            <w:vAlign w:val="bottom"/>
            <w:gridSpan w:val="6"/>
          </w:tcPr>
          <w:p>
            <w:pPr>
              <w:spacing w:after="0"/>
              <w:rPr>
                <w:sz w:val="20"/>
                <w:szCs w:val="20"/>
                <w:color w:val="auto"/>
              </w:rPr>
            </w:pPr>
            <w:r>
              <w:rPr>
                <w:rFonts w:ascii="Arial" w:cs="Arial" w:eastAsia="Arial" w:hAnsi="Arial"/>
                <w:sz w:val="17"/>
                <w:szCs w:val="17"/>
                <w:color w:val="auto"/>
              </w:rPr>
              <w:t>______________________________________</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06"/>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60" w:type="dxa"/>
            <w:vAlign w:val="bottom"/>
            <w:gridSpan w:val="11"/>
          </w:tcPr>
          <w:p>
            <w:pPr>
              <w:ind w:left="80"/>
              <w:spacing w:after="0"/>
              <w:rPr>
                <w:sz w:val="20"/>
                <w:szCs w:val="20"/>
                <w:color w:val="auto"/>
              </w:rPr>
            </w:pPr>
            <w:r>
              <w:rPr>
                <w:rFonts w:ascii="Arial" w:cs="Arial" w:eastAsia="Arial" w:hAnsi="Arial"/>
                <w:sz w:val="17"/>
                <w:szCs w:val="17"/>
                <w:color w:val="auto"/>
              </w:rPr>
              <w:t>Filed herewith</w:t>
            </w:r>
          </w:p>
        </w:tc>
      </w:tr>
      <w:tr>
        <w:trPr>
          <w:trHeight w:val="217"/>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60" w:type="dxa"/>
            <w:vAlign w:val="bottom"/>
            <w:gridSpan w:val="11"/>
          </w:tcPr>
          <w:p>
            <w:pPr>
              <w:ind w:left="80"/>
              <w:spacing w:after="0"/>
              <w:rPr>
                <w:sz w:val="20"/>
                <w:szCs w:val="20"/>
                <w:color w:val="auto"/>
              </w:rPr>
            </w:pPr>
            <w:r>
              <w:rPr>
                <w:rFonts w:ascii="Arial" w:cs="Arial" w:eastAsia="Arial" w:hAnsi="Arial"/>
                <w:sz w:val="17"/>
                <w:szCs w:val="17"/>
                <w:color w:val="auto"/>
              </w:rPr>
              <w:t>Electronically filed</w:t>
            </w:r>
          </w:p>
        </w:tc>
      </w:tr>
    </w:tbl>
    <w:p>
      <w:pPr>
        <w:spacing w:after="0"/>
        <w:tabs>
          <w:tab w:leader="none" w:pos="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1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MYR GROUP INC.</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(Registrant)</w:t>
      </w:r>
    </w:p>
    <w:p>
      <w:pPr>
        <w:spacing w:after="0" w:line="103"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7"/>
          <w:szCs w:val="17"/>
          <w:color w:val="auto"/>
        </w:rPr>
        <w:t>April 27, 2022</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31115</wp:posOffset>
            </wp:positionV>
            <wp:extent cx="3815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spacing w:after="0" w:line="5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Betty R. Johnson</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440"/>
          </w:cols>
          <w:pgMar w:left="320" w:top="127" w:right="11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MYR GROUP INC.</w:t>
      </w:r>
    </w:p>
    <w:p>
      <w:pPr>
        <w:spacing w:after="0" w:line="186" w:lineRule="exact"/>
        <w:rPr>
          <w:sz w:val="20"/>
          <w:szCs w:val="20"/>
          <w:color w:val="auto"/>
        </w:rPr>
      </w:pPr>
    </w:p>
    <w:p>
      <w:pPr>
        <w:ind w:left="2660"/>
        <w:spacing w:after="0"/>
        <w:rPr>
          <w:sz w:val="20"/>
          <w:szCs w:val="20"/>
          <w:color w:val="auto"/>
        </w:rPr>
      </w:pPr>
      <w:r>
        <w:rPr>
          <w:rFonts w:ascii="Arial" w:cs="Arial" w:eastAsia="Arial" w:hAnsi="Arial"/>
          <w:sz w:val="21"/>
          <w:szCs w:val="21"/>
          <w:b w:val="1"/>
          <w:bCs w:val="1"/>
          <w:color w:val="auto"/>
        </w:rPr>
        <w:t>RESTRICTED STOCK UNITS AND DIVIDEND EQUIVALENTS</w:t>
      </w:r>
    </w:p>
    <w:p>
      <w:pPr>
        <w:jc w:val="center"/>
        <w:spacing w:after="0" w:line="205" w:lineRule="auto"/>
        <w:rPr>
          <w:sz w:val="20"/>
          <w:szCs w:val="20"/>
          <w:color w:val="auto"/>
        </w:rPr>
      </w:pPr>
      <w:r>
        <w:rPr>
          <w:rFonts w:ascii="Arial" w:cs="Arial" w:eastAsia="Arial" w:hAnsi="Arial"/>
          <w:sz w:val="21"/>
          <w:szCs w:val="21"/>
          <w:b w:val="1"/>
          <w:bCs w:val="1"/>
          <w:color w:val="auto"/>
        </w:rPr>
        <w:t>AWARD AGREEMENT</w:t>
      </w:r>
    </w:p>
    <w:p>
      <w:pPr>
        <w:jc w:val="center"/>
        <w:spacing w:after="0"/>
        <w:rPr>
          <w:sz w:val="20"/>
          <w:szCs w:val="20"/>
          <w:color w:val="auto"/>
        </w:rPr>
      </w:pPr>
      <w:r>
        <w:rPr>
          <w:rFonts w:ascii="Arial" w:cs="Arial" w:eastAsia="Arial" w:hAnsi="Arial"/>
          <w:sz w:val="21"/>
          <w:szCs w:val="21"/>
          <w:b w:val="1"/>
          <w:bCs w:val="1"/>
          <w:color w:val="auto"/>
        </w:rPr>
        <w:t>(Executive Officer)</w:t>
      </w:r>
    </w:p>
    <w:p>
      <w:pPr>
        <w:spacing w:after="0" w:line="179" w:lineRule="exact"/>
        <w:rPr>
          <w:sz w:val="20"/>
          <w:szCs w:val="20"/>
          <w:color w:val="auto"/>
        </w:rPr>
      </w:pPr>
    </w:p>
    <w:p>
      <w:pPr>
        <w:ind w:firstLine="220"/>
        <w:spacing w:after="0" w:line="233" w:lineRule="auto"/>
        <w:rPr>
          <w:sz w:val="20"/>
          <w:szCs w:val="20"/>
          <w:color w:val="auto"/>
        </w:rPr>
      </w:pPr>
      <w:r>
        <w:rPr>
          <w:rFonts w:ascii="Arial" w:cs="Arial" w:eastAsia="Arial" w:hAnsi="Arial"/>
          <w:sz w:val="21"/>
          <w:szCs w:val="21"/>
          <w:color w:val="auto"/>
        </w:rPr>
        <w:t>This AGREEMENT (this “Agreement”) is made as of March ___, 20___, by and between MYR Group Inc., a Delaware corporation (the “Company”), and [__________] (the “Participant”).</w:t>
      </w:r>
    </w:p>
    <w:p>
      <w:pPr>
        <w:spacing w:after="0" w:line="176" w:lineRule="exact"/>
        <w:rPr>
          <w:sz w:val="20"/>
          <w:szCs w:val="20"/>
          <w:color w:val="auto"/>
        </w:rPr>
      </w:pPr>
    </w:p>
    <w:p>
      <w:pPr>
        <w:ind w:left="620" w:right="160" w:hanging="617"/>
        <w:spacing w:after="0" w:line="224" w:lineRule="auto"/>
        <w:tabs>
          <w:tab w:leader="none" w:pos="620"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Pursuant to the MYR Group Inc. 2017 Long-Term Incentive Plan (the “Plan”) and subject to the terms and conditions thereof and the terms and conditions hereinafter set forth, the Company has granted, as of March ___, 20___ (the “Date of Grant”), to the Participant [______] Restricted Stock Units.</w:t>
      </w:r>
    </w:p>
    <w:p>
      <w:pPr>
        <w:spacing w:after="0" w:line="148" w:lineRule="exact"/>
        <w:rPr>
          <w:rFonts w:ascii="Arial" w:cs="Arial" w:eastAsia="Arial" w:hAnsi="Arial"/>
          <w:sz w:val="21"/>
          <w:szCs w:val="21"/>
          <w:color w:val="auto"/>
        </w:rPr>
      </w:pPr>
    </w:p>
    <w:p>
      <w:pPr>
        <w:ind w:left="620" w:hanging="617"/>
        <w:spacing w:after="0" w:line="234" w:lineRule="auto"/>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Rights of the Participant</w:t>
      </w:r>
      <w:r>
        <w:rPr>
          <w:rFonts w:ascii="Arial" w:cs="Arial" w:eastAsia="Arial" w:hAnsi="Arial"/>
          <w:sz w:val="19"/>
          <w:szCs w:val="19"/>
          <w:color w:val="auto"/>
        </w:rPr>
        <w:t>. Each Restricted Stock Unit, upon becoming vested before its expiration, represents a right to receive payment in the form of one (1) share of Common Stock. Each tandem Dividend Equivalent represents a right to receive cash payments equivalent to the amount of cash dividends declared and paid on one (1) share of Common Stock after the Date of Grant and until the earlier of (a) the time the Restricted Stock Units vest and become payable or (b) the date the Restricted Stock Units are forfeited/expire. Restricted Stock Units and Dividend Equivalents are used solely as units of measurement, and are not shares of Common Stock and the Grantee is not, and has no rights as, a shareholder of the Company by virtue of this Award. The Restricted Stock Units and Dividend Equivalents subject to this Agreement have been awarded to the Grantee in respect of services to be performed by the Participant during the vesting period.</w:t>
      </w:r>
    </w:p>
    <w:p>
      <w:pPr>
        <w:spacing w:after="0" w:line="152" w:lineRule="exact"/>
        <w:rPr>
          <w:rFonts w:ascii="Arial" w:cs="Arial" w:eastAsia="Arial" w:hAnsi="Arial"/>
          <w:sz w:val="19"/>
          <w:szCs w:val="19"/>
          <w:color w:val="auto"/>
        </w:rPr>
      </w:pPr>
    </w:p>
    <w:p>
      <w:pPr>
        <w:ind w:left="620" w:right="20" w:hanging="617"/>
        <w:spacing w:after="0" w:line="216" w:lineRule="auto"/>
        <w:tabs>
          <w:tab w:leader="none" w:pos="620"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Restrictions on Transfer</w:t>
      </w:r>
      <w:r>
        <w:rPr>
          <w:rFonts w:ascii="Arial" w:cs="Arial" w:eastAsia="Arial" w:hAnsi="Arial"/>
          <w:sz w:val="21"/>
          <w:szCs w:val="21"/>
          <w:color w:val="auto"/>
        </w:rPr>
        <w:t xml:space="preserve">. The rights to the Restricted Stock Units may not be transferred, assigned or subject to any encumbrance, pledge or charge;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Participant’s rights with respect to the Restricted Stock Units may be transferred by will or pursuant to the laws of descent and distribution. Any purported transfer in violation of the provisions of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shall be void, and the other party to any such purported transaction shall not obtain any rights to or interest in the Restricted Stock Units.</w:t>
      </w:r>
    </w:p>
    <w:p>
      <w:pPr>
        <w:spacing w:after="0" w:line="150" w:lineRule="exact"/>
        <w:rPr>
          <w:rFonts w:ascii="Arial" w:cs="Arial" w:eastAsia="Arial" w:hAnsi="Arial"/>
          <w:sz w:val="21"/>
          <w:szCs w:val="21"/>
          <w:color w:val="auto"/>
        </w:rPr>
      </w:pPr>
    </w:p>
    <w:p>
      <w:pPr>
        <w:ind w:left="620" w:right="400" w:hanging="617"/>
        <w:spacing w:after="0" w:line="219" w:lineRule="auto"/>
        <w:tabs>
          <w:tab w:leader="none" w:pos="620"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Vesting of Restricted Stock Units</w:t>
      </w:r>
      <w:r>
        <w:rPr>
          <w:rFonts w:ascii="Arial" w:cs="Arial" w:eastAsia="Arial" w:hAnsi="Arial"/>
          <w:sz w:val="21"/>
          <w:szCs w:val="21"/>
          <w:color w:val="auto"/>
        </w:rPr>
        <w:t xml:space="preserve">. Subject to the terms and conditions of this Agreement and the Plan, the Restricted Stock Units shall vest in accordance with the vesting schedule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provided the Participant remains continuously employed by the Company until the applicable vesting date(s) listed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as otherwise provided in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of this Agreement).</w:t>
      </w:r>
    </w:p>
    <w:p>
      <w:pPr>
        <w:spacing w:after="0" w:line="149" w:lineRule="exact"/>
        <w:rPr>
          <w:rFonts w:ascii="Arial" w:cs="Arial" w:eastAsia="Arial" w:hAnsi="Arial"/>
          <w:sz w:val="21"/>
          <w:szCs w:val="21"/>
          <w:color w:val="auto"/>
        </w:rPr>
      </w:pPr>
    </w:p>
    <w:p>
      <w:pPr>
        <w:ind w:left="620" w:right="100" w:hanging="617"/>
        <w:spacing w:after="0" w:line="233" w:lineRule="auto"/>
        <w:tabs>
          <w:tab w:leader="none" w:pos="620"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Accelerated Vesting</w:t>
      </w:r>
      <w:r>
        <w:rPr>
          <w:rFonts w:ascii="Arial" w:cs="Arial" w:eastAsia="Arial" w:hAnsi="Arial"/>
          <w:sz w:val="21"/>
          <w:szCs w:val="21"/>
          <w:color w:val="auto"/>
        </w:rPr>
        <w:t xml:space="preserve">. Notwithstanding the provisions of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 the Restricted Stock Units covered by this Agreement shall become immediately vested in full if any of the following circumstances apply:</w:t>
      </w:r>
    </w:p>
    <w:p>
      <w:pPr>
        <w:spacing w:after="0" w:line="149" w:lineRule="exact"/>
        <w:rPr>
          <w:rFonts w:ascii="Arial" w:cs="Arial" w:eastAsia="Arial" w:hAnsi="Arial"/>
          <w:sz w:val="21"/>
          <w:szCs w:val="21"/>
          <w:color w:val="auto"/>
        </w:rPr>
      </w:pPr>
    </w:p>
    <w:p>
      <w:pPr>
        <w:ind w:left="1240" w:right="260" w:hanging="618"/>
        <w:spacing w:after="0" w:line="235" w:lineRule="auto"/>
        <w:tabs>
          <w:tab w:leader="none" w:pos="1237" w:val="left"/>
        </w:tabs>
        <w:numPr>
          <w:ilvl w:val="1"/>
          <w:numId w:val="9"/>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 or Good Reason</w:t>
      </w:r>
      <w:r>
        <w:rPr>
          <w:rFonts w:ascii="Arial" w:cs="Arial" w:eastAsia="Arial" w:hAnsi="Arial"/>
          <w:sz w:val="20"/>
          <w:szCs w:val="20"/>
          <w:color w:val="auto"/>
        </w:rPr>
        <w:t>: The Participant’s employment with the Company is terminated without “Cause” or with “Good Reason” (as each term is defined in the Participant’s current Employment Agreement with the Company, as may be amended from time to time (the “Employment Agreement”)).</w:t>
      </w:r>
    </w:p>
    <w:p>
      <w:pPr>
        <w:spacing w:after="0" w:line="149" w:lineRule="exact"/>
        <w:rPr>
          <w:rFonts w:ascii="Arial" w:cs="Arial" w:eastAsia="Arial" w:hAnsi="Arial"/>
          <w:sz w:val="20"/>
          <w:szCs w:val="20"/>
          <w:color w:val="auto"/>
        </w:rPr>
      </w:pPr>
    </w:p>
    <w:p>
      <w:pPr>
        <w:ind w:left="1240" w:right="460" w:hanging="618"/>
        <w:spacing w:after="0" w:line="233" w:lineRule="auto"/>
        <w:tabs>
          <w:tab w:leader="none" w:pos="1236" w:val="left"/>
        </w:tabs>
        <w:numPr>
          <w:ilvl w:val="1"/>
          <w:numId w:val="9"/>
        </w:numPr>
        <w:rPr>
          <w:rFonts w:ascii="Arial" w:cs="Arial" w:eastAsia="Arial" w:hAnsi="Arial"/>
          <w:sz w:val="21"/>
          <w:szCs w:val="21"/>
          <w:color w:val="auto"/>
        </w:rPr>
      </w:pPr>
      <w:r>
        <w:rPr>
          <w:rFonts w:ascii="Arial" w:cs="Arial" w:eastAsia="Arial" w:hAnsi="Arial"/>
          <w:sz w:val="21"/>
          <w:szCs w:val="21"/>
          <w:u w:val="single" w:color="auto"/>
          <w:color w:val="auto"/>
        </w:rPr>
        <w:t>Death or Disability</w:t>
      </w:r>
      <w:r>
        <w:rPr>
          <w:rFonts w:ascii="Arial" w:cs="Arial" w:eastAsia="Arial" w:hAnsi="Arial"/>
          <w:sz w:val="21"/>
          <w:szCs w:val="21"/>
          <w:color w:val="auto"/>
        </w:rPr>
        <w:t>: The Participant’s employment with the Company is terminated due to the Participant’s death or “Disability” (as such term is defined in the Employment Agreement).</w:t>
      </w:r>
    </w:p>
    <w:p>
      <w:pPr>
        <w:sectPr>
          <w:pgSz w:w="11900" w:h="16838" w:orient="portrait"/>
          <w:cols w:equalWidth="0" w:num="1">
            <w:col w:w="11240"/>
          </w:cols>
          <w:pgMar w:left="320" w:top="105" w:right="339" w:bottom="1440" w:gutter="0" w:footer="0" w:header="0"/>
        </w:sectPr>
      </w:pPr>
    </w:p>
    <w:bookmarkStart w:id="38" w:name="page39"/>
    <w:bookmarkEnd w:id="38"/>
    <w:p>
      <w:pPr>
        <w:ind w:left="1237" w:hanging="618"/>
        <w:spacing w:after="0"/>
        <w:tabs>
          <w:tab w:leader="none" w:pos="1237" w:val="left"/>
        </w:tabs>
        <w:numPr>
          <w:ilvl w:val="1"/>
          <w:numId w:val="10"/>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A Change in Control occurs while the Participant is an employee of the Company.</w:t>
      </w:r>
    </w:p>
    <w:p>
      <w:pPr>
        <w:spacing w:after="0" w:line="171" w:lineRule="exact"/>
        <w:rPr>
          <w:rFonts w:ascii="Arial" w:cs="Arial" w:eastAsia="Arial" w:hAnsi="Arial"/>
          <w:sz w:val="21"/>
          <w:szCs w:val="21"/>
          <w:color w:val="auto"/>
        </w:rPr>
      </w:pPr>
    </w:p>
    <w:p>
      <w:pPr>
        <w:ind w:left="617" w:right="20" w:hanging="617"/>
        <w:spacing w:after="0" w:line="246" w:lineRule="auto"/>
        <w:tabs>
          <w:tab w:leader="none" w:pos="61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Payment of Restricted Stock Units.</w:t>
      </w:r>
      <w:r>
        <w:rPr>
          <w:rFonts w:ascii="Arial" w:cs="Arial" w:eastAsia="Arial" w:hAnsi="Arial"/>
          <w:sz w:val="18"/>
          <w:szCs w:val="18"/>
          <w:color w:val="auto"/>
        </w:rPr>
        <w:t xml:space="preserve"> Except as provided in the next sentence, payment of any vested Restricted Stock Units subject to this Agreement shall be made as soon as administratively practicable following (but no later than thirty (30) days following) the date that the Restricted Stock Units vest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w:t>
      </w:r>
      <w:r>
        <w:rPr>
          <w:rFonts w:ascii="Arial" w:cs="Arial" w:eastAsia="Arial" w:hAnsi="Arial"/>
          <w:sz w:val="18"/>
          <w:szCs w:val="18"/>
          <w:color w:val="auto"/>
        </w:rPr>
        <w:t xml:space="preserve"> hereof. To the extent applicable, if the Restricted Stock Units become payable on the Participant’s “separation from service” with the Company and its Subsidiaries within the meaning of Section 409A(a)(2)(A)(i) of the Code, the Participant is a “specified employee” as determined pursuant to procedures adopted by the Company in compliance with Section 409A of the Code, and the amount payable hereunder constitutes a “deferral of compensation” (within the meaning of Section 409A of the Code), then payment for the Restricted Stock Units shall be made on the earlier of the first day of the seventh month after the date of the Participant’s “separation from service” with the Company and its Subsidiaries within the meaning of Section 409A(a)(2)(A)(i) of the Code or the Participant’s death. Payment shall be in the form of delivery of one (1) share of Common Stock for each vested Restricted Stock Unit.</w:t>
      </w:r>
    </w:p>
    <w:p>
      <w:pPr>
        <w:spacing w:after="0" w:line="147" w:lineRule="exact"/>
        <w:rPr>
          <w:rFonts w:ascii="Arial" w:cs="Arial" w:eastAsia="Arial" w:hAnsi="Arial"/>
          <w:sz w:val="18"/>
          <w:szCs w:val="18"/>
          <w:color w:val="auto"/>
        </w:rPr>
      </w:pPr>
    </w:p>
    <w:p>
      <w:pPr>
        <w:ind w:left="617" w:right="80"/>
        <w:spacing w:after="0" w:line="223" w:lineRule="auto"/>
        <w:rPr>
          <w:rFonts w:ascii="Arial" w:cs="Arial" w:eastAsia="Arial" w:hAnsi="Arial"/>
          <w:sz w:val="18"/>
          <w:szCs w:val="18"/>
          <w:color w:val="auto"/>
        </w:rPr>
      </w:pPr>
      <w:r>
        <w:rPr>
          <w:rFonts w:ascii="Arial" w:cs="Arial" w:eastAsia="Arial" w:hAnsi="Arial"/>
          <w:sz w:val="20"/>
          <w:szCs w:val="20"/>
          <w:color w:val="auto"/>
        </w:rPr>
        <w:t>To the extent that the Company is required to withhold any federal, state, provincial, local or foreign taxes in connection with any delivery of shares of Common Stock to the Participant, and the amounts available to the Company for such withholding are insufficient, it shall be a condition to the receipt of such delivery that the Participant shall pay such taxes by the Company’s retention of a portion of the shares of Common Stock otherwise deliverable to the Participant. The shares so retained shall be credited against such withholding requirement at the fair market value on the date of such delivery. In the event additional taxes are required to be withheld by the Company the Participant agrees to a payroll deduction for the amount of the withholding requirement.</w:t>
      </w:r>
    </w:p>
    <w:p>
      <w:pPr>
        <w:spacing w:after="0" w:line="154" w:lineRule="exact"/>
        <w:rPr>
          <w:rFonts w:ascii="Arial" w:cs="Arial" w:eastAsia="Arial" w:hAnsi="Arial"/>
          <w:sz w:val="18"/>
          <w:szCs w:val="18"/>
          <w:color w:val="auto"/>
        </w:rPr>
      </w:pPr>
    </w:p>
    <w:p>
      <w:pPr>
        <w:ind w:left="617"/>
        <w:spacing w:after="0" w:line="221" w:lineRule="auto"/>
        <w:rPr>
          <w:rFonts w:ascii="Arial" w:cs="Arial" w:eastAsia="Arial" w:hAnsi="Arial"/>
          <w:sz w:val="18"/>
          <w:szCs w:val="18"/>
          <w:color w:val="auto"/>
        </w:rPr>
      </w:pPr>
      <w:r>
        <w:rPr>
          <w:rFonts w:ascii="Arial" w:cs="Arial" w:eastAsia="Arial" w:hAnsi="Arial"/>
          <w:sz w:val="20"/>
          <w:szCs w:val="20"/>
          <w:color w:val="auto"/>
        </w:rPr>
        <w:t>The Participant acknowledges that, regardless of any action taken by the Company, the ultimate liability for all income tax, social insurance, payroll tax, fringe benefits tax, payment on account or other tax-related items related to the Participant’s participation in the Plan and legally applicable to the Participant (“Tax-Related Items”) is and remains the Participant’s responsibility and may exceed the amount actually withheld by the Company. The Participant further acknowledges that the Company (1) makes no representations or undertakings regarding the treatment of any Tax-Related Items in connection with any aspect of the Restricted Stock Units, including, but not limited to, the grant, vesting or settlement of the Restricted Stock Units, or the subsequent sale of shares of Common Stock acquired pursuant to such settlement and the receipt of any dividends and/or any dividend equivalents, and (2) does not commit to and is under no obligation to structure the terms of the grant or any aspect of the Restricted Stock Units to reduce or eliminate the Participant’s liability for Tax-Related Items or achieve any particular tax result.</w:t>
      </w:r>
    </w:p>
    <w:p>
      <w:pPr>
        <w:spacing w:after="0" w:line="151" w:lineRule="exact"/>
        <w:rPr>
          <w:rFonts w:ascii="Arial" w:cs="Arial" w:eastAsia="Arial" w:hAnsi="Arial"/>
          <w:sz w:val="18"/>
          <w:szCs w:val="18"/>
          <w:color w:val="auto"/>
        </w:rPr>
      </w:pPr>
    </w:p>
    <w:p>
      <w:pPr>
        <w:ind w:left="617" w:right="60"/>
        <w:spacing w:after="0" w:line="219" w:lineRule="auto"/>
        <w:rPr>
          <w:rFonts w:ascii="Arial" w:cs="Arial" w:eastAsia="Arial" w:hAnsi="Arial"/>
          <w:sz w:val="18"/>
          <w:szCs w:val="18"/>
          <w:color w:val="auto"/>
        </w:rPr>
      </w:pPr>
      <w:r>
        <w:rPr>
          <w:rFonts w:ascii="Arial" w:cs="Arial" w:eastAsia="Arial" w:hAnsi="Arial"/>
          <w:sz w:val="21"/>
          <w:szCs w:val="21"/>
          <w:color w:val="auto"/>
        </w:rPr>
        <w:t>Except to the extent provided by Section 409A of the Code and permitted by the Committee, no shares of Common Stock may be issued to the Participant at a time earlier than otherwise expressly provided in this Agreement. The Company’s obligations to the Participant with respect to the Restricted Stock Units will be satisfied in full upon the issuance of shares of Common Stock corresponding to such Restricted Stock Units.</w:t>
      </w:r>
    </w:p>
    <w:p>
      <w:pPr>
        <w:sectPr>
          <w:pgSz w:w="11900" w:h="16838" w:orient="portrait"/>
          <w:cols w:equalWidth="0" w:num="1">
            <w:col w:w="11237"/>
          </w:cols>
          <w:pgMar w:left="323" w:top="1343" w:right="339" w:bottom="1440" w:gutter="0" w:footer="0" w:header="0"/>
        </w:sectPr>
      </w:pPr>
    </w:p>
    <w:bookmarkStart w:id="39" w:name="page40"/>
    <w:bookmarkEnd w:id="39"/>
    <w:p>
      <w:pPr>
        <w:ind w:left="617" w:right="300" w:hanging="617"/>
        <w:spacing w:after="0" w:line="219" w:lineRule="auto"/>
        <w:tabs>
          <w:tab w:leader="none" w:pos="617"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Forfeiture/Expiration</w:t>
      </w:r>
      <w:r>
        <w:rPr>
          <w:rFonts w:ascii="Arial" w:cs="Arial" w:eastAsia="Arial" w:hAnsi="Arial"/>
          <w:sz w:val="21"/>
          <w:szCs w:val="21"/>
          <w:color w:val="auto"/>
        </w:rPr>
        <w:t xml:space="preserve">. Except to the extent the Restricted Stock Units covered by this Agreement have vested pursuant to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w:t>
      </w:r>
      <w:r>
        <w:rPr>
          <w:rFonts w:ascii="Arial" w:cs="Arial" w:eastAsia="Arial" w:hAnsi="Arial"/>
          <w:sz w:val="21"/>
          <w:szCs w:val="21"/>
          <w:color w:val="auto"/>
        </w:rPr>
        <w:t xml:space="preserve"> hereof, the Participant’s right to retain the Restricted Stock Units covered by this Agreement shall be forfeited automatically and without further notice on the date that the Participant ceases to be an employee of the Company for any reason other than as described in </w:t>
      </w:r>
      <w:r>
        <w:rPr>
          <w:rFonts w:ascii="Arial" w:cs="Arial" w:eastAsia="Arial" w:hAnsi="Arial"/>
          <w:sz w:val="21"/>
          <w:szCs w:val="21"/>
          <w:u w:val="single" w:color="auto"/>
          <w:color w:val="auto"/>
        </w:rPr>
        <w:t>Section 5</w:t>
      </w:r>
      <w:r>
        <w:rPr>
          <w:rFonts w:ascii="Arial" w:cs="Arial" w:eastAsia="Arial" w:hAnsi="Arial"/>
          <w:sz w:val="21"/>
          <w:szCs w:val="21"/>
          <w:color w:val="auto"/>
        </w:rPr>
        <w:t>.</w:t>
      </w:r>
    </w:p>
    <w:p>
      <w:pPr>
        <w:spacing w:after="0" w:line="149" w:lineRule="exact"/>
        <w:rPr>
          <w:rFonts w:ascii="Arial" w:cs="Arial" w:eastAsia="Arial" w:hAnsi="Arial"/>
          <w:sz w:val="21"/>
          <w:szCs w:val="21"/>
          <w:color w:val="auto"/>
        </w:rPr>
      </w:pPr>
    </w:p>
    <w:p>
      <w:pPr>
        <w:ind w:left="617" w:hanging="617"/>
        <w:spacing w:after="0" w:line="222" w:lineRule="auto"/>
        <w:tabs>
          <w:tab w:leader="none" w:pos="617"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Dividend Equivalents Payments</w:t>
      </w:r>
      <w:r>
        <w:rPr>
          <w:rFonts w:ascii="Arial" w:cs="Arial" w:eastAsia="Arial" w:hAnsi="Arial"/>
          <w:sz w:val="20"/>
          <w:szCs w:val="20"/>
          <w:color w:val="auto"/>
        </w:rPr>
        <w:t xml:space="preserve">. With respect to each of the Restricted Stock Units covered by this Agreement, the Participant shall be credited on the records of the Company with dividend equivalents in an amount equal to the amount per share of Common Stock of any cash dividends declared by the Board on the outstanding shares of Common Stock during the period beginning on the Date of Grant and ending either on the date on which the Participant receives payment for the Restricted Stock Units pursuant to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hereof or at the time when the Restricted Stock Units are forfeited in accordance with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this Agreement. These dividend equivalents will accumulate without interest and, subject to the terms and conditions of this Agreement, will be paid in cash at the same time and to the same extent as the Restricted Stock Units for which the dividend equivalents were credited.</w:t>
      </w:r>
    </w:p>
    <w:p>
      <w:pPr>
        <w:sectPr>
          <w:pgSz w:w="11900" w:h="16838" w:orient="portrait"/>
          <w:cols w:equalWidth="0" w:num="1">
            <w:col w:w="11197"/>
          </w:cols>
          <w:pgMar w:left="323" w:top="1343" w:right="379" w:bottom="1440" w:gutter="0" w:footer="0" w:header="0"/>
        </w:sectPr>
      </w:pPr>
    </w:p>
    <w:bookmarkStart w:id="40" w:name="page41"/>
    <w:bookmarkEnd w:id="40"/>
    <w:p>
      <w:pPr>
        <w:ind w:left="617" w:hanging="617"/>
        <w:spacing w:after="0" w:line="231" w:lineRule="auto"/>
        <w:tabs>
          <w:tab w:leader="none" w:pos="617"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xml:space="preserve">. If the Participant engages in any conduct in breach of any noncompetition, nonsolicitation or confidentiality obligations to the Company under any agreement, policy or plan, then such conduct shall also be deemed to be a breach of the terms of the Plan and this Agreement. Upon such breach, the Participant’s right to retain the Restricted Stock Units covered by this Agreement shall be forfeited automatically and without further notice and, if and to the extent any Restricted Stock Units covered by this Agreement have vested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w:t>
      </w:r>
      <w:r>
        <w:rPr>
          <w:rFonts w:ascii="Arial" w:cs="Arial" w:eastAsia="Arial" w:hAnsi="Arial"/>
          <w:sz w:val="19"/>
          <w:szCs w:val="19"/>
          <w:color w:val="auto"/>
        </w:rPr>
        <w:t xml:space="preserve"> within a period of 18 months prior to such breach, the Participant shall be required to return to the Company, upon demand, any shares paid to the Participant in settlement of the Restricted Stock Units (or the net proceeds of any sales of such shares) and the value of any Dividend Equivalents paid. For purposes of this </w:t>
      </w:r>
      <w:r>
        <w:rPr>
          <w:rFonts w:ascii="Arial" w:cs="Arial" w:eastAsia="Arial" w:hAnsi="Arial"/>
          <w:sz w:val="19"/>
          <w:szCs w:val="19"/>
          <w:u w:val="single" w:color="auto"/>
          <w:color w:val="auto"/>
        </w:rPr>
        <w:t>Section 9</w:t>
      </w:r>
      <w:r>
        <w:rPr>
          <w:rFonts w:ascii="Arial" w:cs="Arial" w:eastAsia="Arial" w:hAnsi="Arial"/>
          <w:sz w:val="19"/>
          <w:szCs w:val="19"/>
          <w:color w:val="auto"/>
        </w:rPr>
        <w:t>, net proceeds shall mean the net amount realized upon the disposition of the shares. Notwithstanding anything in this Agreement to the contrary,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53" w:lineRule="exact"/>
        <w:rPr>
          <w:rFonts w:ascii="Arial" w:cs="Arial" w:eastAsia="Arial" w:hAnsi="Arial"/>
          <w:sz w:val="19"/>
          <w:szCs w:val="19"/>
          <w:color w:val="auto"/>
        </w:rPr>
      </w:pPr>
    </w:p>
    <w:p>
      <w:pPr>
        <w:ind w:left="617" w:right="60" w:hanging="617"/>
        <w:spacing w:after="0" w:line="230" w:lineRule="auto"/>
        <w:tabs>
          <w:tab w:leader="none" w:pos="617"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Recovery of Restricted Stock Units</w:t>
      </w:r>
      <w:r>
        <w:rPr>
          <w:rFonts w:ascii="Arial" w:cs="Arial" w:eastAsia="Arial" w:hAnsi="Arial"/>
          <w:sz w:val="19"/>
          <w:szCs w:val="19"/>
          <w:color w:val="auto"/>
        </w:rPr>
        <w:t xml:space="preserve">. If (a) the Company restates any part of its financial statements for any fiscal year or years during which the Restricted Stock Units covered by this Agreement have been granted due to material noncompliance with any financial reporting requirement under the U.S. securities laws applicable to such fiscal year or years (a “Restatement”) and (b) the Committee determines that the Participant is personally responsible for causing the Restatement as a result of the Participant’s personal misconduct or any fraudulent activity on the part of the Participant, then the Committee has discretion to, based on applicable facts and circumstances and subject to applicable law, cause the Participant’s right to retain the Restricted Stock Units covered by this Agreement to be forfeited automatically and without further notice and, if and to the extent any Restricted Stock Units covered by this Agreement have vested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w:t>
      </w:r>
      <w:r>
        <w:rPr>
          <w:rFonts w:ascii="Arial" w:cs="Arial" w:eastAsia="Arial" w:hAnsi="Arial"/>
          <w:sz w:val="19"/>
          <w:szCs w:val="19"/>
          <w:color w:val="auto"/>
        </w:rPr>
        <w:t xml:space="preserve"> within a period of 18 months prior to the Restatement, the Participant shall be required to return to the Company, upon demand, any shares paid to the Participant in settlement of the Restricted Stock Units (or the net proceeds of any sales of such shares) and the value of any Dividend Equivalents paid. For purposes of this </w:t>
      </w:r>
      <w:r>
        <w:rPr>
          <w:rFonts w:ascii="Arial" w:cs="Arial" w:eastAsia="Arial" w:hAnsi="Arial"/>
          <w:sz w:val="19"/>
          <w:szCs w:val="19"/>
          <w:u w:val="single" w:color="auto"/>
          <w:color w:val="auto"/>
        </w:rPr>
        <w:t>Section 10</w:t>
      </w:r>
      <w:r>
        <w:rPr>
          <w:rFonts w:ascii="Arial" w:cs="Arial" w:eastAsia="Arial" w:hAnsi="Arial"/>
          <w:sz w:val="19"/>
          <w:szCs w:val="19"/>
          <w:color w:val="auto"/>
        </w:rPr>
        <w:t>, net proceeds shall mean the net amount realized upon the disposition of the shares. Notwithstanding anything herein to the contrary, the Participant’s consent shall not be required for an amendment to this Agreement that is deemed necessary by the Company to ensure compliance with the Dodd-Frank Wall Street Reform and Consumer Protection Act (the “Dodd-Frank Act”) or any regulations promulgated thereunder, including as a result of the implementation of any recoupment policy the Company adopts to comply with the requirements set forth in the Dodd-Frank Act.</w:t>
      </w:r>
    </w:p>
    <w:p>
      <w:pPr>
        <w:spacing w:after="0" w:line="156" w:lineRule="exact"/>
        <w:rPr>
          <w:rFonts w:ascii="Arial" w:cs="Arial" w:eastAsia="Arial" w:hAnsi="Arial"/>
          <w:sz w:val="19"/>
          <w:szCs w:val="19"/>
          <w:color w:val="auto"/>
        </w:rPr>
      </w:pPr>
    </w:p>
    <w:p>
      <w:pPr>
        <w:ind w:left="617" w:right="40" w:hanging="617"/>
        <w:spacing w:after="0" w:line="225" w:lineRule="auto"/>
        <w:tabs>
          <w:tab w:leader="none" w:pos="609"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Relation to Plan</w:t>
      </w:r>
      <w:r>
        <w:rPr>
          <w:rFonts w:ascii="Arial" w:cs="Arial" w:eastAsia="Arial" w:hAnsi="Arial"/>
          <w:sz w:val="20"/>
          <w:szCs w:val="20"/>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that arise and to exercise its discretionary authority under the Plan in connection with the grant of the Restricted Stock Units. The number of Restricted Stock Units subject to this Agreement, and the other terms and conditions of this award, are subject to mandatory adjustment as provided in Section 3.2 of the Plan.</w:t>
      </w:r>
    </w:p>
    <w:p>
      <w:pPr>
        <w:sectPr>
          <w:pgSz w:w="11900" w:h="16838" w:orient="portrait"/>
          <w:cols w:equalWidth="0" w:num="1">
            <w:col w:w="11237"/>
          </w:cols>
          <w:pgMar w:left="323" w:top="1343" w:right="339" w:bottom="1440" w:gutter="0" w:footer="0" w:header="0"/>
        </w:sectPr>
      </w:pPr>
    </w:p>
    <w:bookmarkStart w:id="41" w:name="page42"/>
    <w:bookmarkEnd w:id="41"/>
    <w:p>
      <w:pPr>
        <w:ind w:left="617" w:hanging="617"/>
        <w:spacing w:after="0" w:line="231" w:lineRule="auto"/>
        <w:tabs>
          <w:tab w:leader="none" w:pos="617"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All decisions or interpretations of the Committee with respect to any question arising under the Plan or this Agreement shall be binding, conclusive and final. The waiver by the Company of any provision of this Agreement shall not operate as or be construed to be a subsequent waiver of the same provision or of any other provision of this Agreement. The Participant agrees to execute such other agreements, documents or assignments as may be necessary or desirable to effect the purposes of this Agreement. The Company shall make reasonable efforts to comply with all applicable federal and state securities laws; provided, however, notwithstanding any other provision of the Plan and this Agreement, the Company shall not be obligated to issue any shares of Common Stock pursuant to this Agreement if the issuance thereof would result in a violation of any such law.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49" w:lineRule="exact"/>
        <w:rPr>
          <w:rFonts w:ascii="Arial" w:cs="Arial" w:eastAsia="Arial" w:hAnsi="Arial"/>
          <w:sz w:val="19"/>
          <w:szCs w:val="19"/>
          <w:color w:val="auto"/>
        </w:rPr>
      </w:pPr>
    </w:p>
    <w:p>
      <w:pPr>
        <w:ind w:left="617" w:right="120" w:hanging="617"/>
        <w:spacing w:after="0" w:line="224" w:lineRule="auto"/>
        <w:tabs>
          <w:tab w:leader="none" w:pos="617"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Capitalized Terms</w:t>
      </w:r>
      <w:r>
        <w:rPr>
          <w:rFonts w:ascii="Arial" w:cs="Arial" w:eastAsia="Arial" w:hAnsi="Arial"/>
          <w:sz w:val="21"/>
          <w:szCs w:val="21"/>
          <w:color w:val="auto"/>
        </w:rPr>
        <w:t>. All capitalized terms used in this Agreement that are not defined herein shall have the meanings given them in the Plan or resolutions adopted by the Committee authorizing grants made under this Agreement, unless the context clearly requires otherwise.</w:t>
      </w:r>
    </w:p>
    <w:p>
      <w:pPr>
        <w:spacing w:after="0" w:line="148" w:lineRule="exact"/>
        <w:rPr>
          <w:rFonts w:ascii="Arial" w:cs="Arial" w:eastAsia="Arial" w:hAnsi="Arial"/>
          <w:sz w:val="21"/>
          <w:szCs w:val="21"/>
          <w:color w:val="auto"/>
        </w:rPr>
      </w:pPr>
    </w:p>
    <w:p>
      <w:pPr>
        <w:ind w:left="617" w:right="40" w:hanging="617"/>
        <w:spacing w:after="0" w:line="230" w:lineRule="auto"/>
        <w:tabs>
          <w:tab w:leader="none" w:pos="617"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Nothing in this Agreement will give the Participant any right to continue service as an employee of the Company or interfere in any way with the right of the Company to terminate the service of the Participant as an employee of the Company. Furthermore, the Participant acknowledges and agrees that (a) the grant of the Restricted Stock Units to the Participant is a voluntary, discretionary award and it does not constitute a commitment to make any future awards, (b) the Plan is established voluntarily by the Company, it is discretionary in nature and it may be modified, amended, suspended or terminated by the Company at any time, (c) all decisions with respect to future Restricted Stock Units grants, if any, will be at the sole discretion of the Company, (d) participation in the Plan is voluntary, (e) the future value of the underlying shares of Common Stock is unknown and cannot be predicted with certainty, and (f) in consideration of the grant of Restricted Stock Units, no claim or entitlement to compensation or damages shall arise from termination of the Restricted Stock Units or diminution in value of the Restricted Stock Units or shares of Common Stock received upon vesting, including (without limitation) any claim or entitlement resulting from termination of the Participant’s service with the Company (for any reason whatsoever and whether or not in breach of local laws), and the Participant hereby releases the Company and its Subsidiaries from any such claim that may arise; if, notwithstanding the foregoing, any such claim is found by a court of competent jurisdiction to have arisen, then, by signing this Agreement, the Participant shall be deemed irrevocably to have waived the Participant’s entitlement to pursue such claim.</w:t>
      </w:r>
    </w:p>
    <w:p>
      <w:pPr>
        <w:sectPr>
          <w:pgSz w:w="11900" w:h="16838" w:orient="portrait"/>
          <w:cols w:equalWidth="0" w:num="1">
            <w:col w:w="11237"/>
          </w:cols>
          <w:pgMar w:left="323" w:top="1343" w:right="339" w:bottom="1440" w:gutter="0" w:footer="0" w:header="0"/>
        </w:sectPr>
      </w:pPr>
    </w:p>
    <w:bookmarkStart w:id="42" w:name="page43"/>
    <w:bookmarkEnd w:id="42"/>
    <w:p>
      <w:pPr>
        <w:ind w:left="617" w:hanging="617"/>
        <w:spacing w:after="0" w:line="229" w:lineRule="auto"/>
        <w:tabs>
          <w:tab w:leader="none" w:pos="617"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Information</w:t>
      </w:r>
      <w:r>
        <w:rPr>
          <w:rFonts w:ascii="Arial" w:cs="Arial" w:eastAsia="Arial" w:hAnsi="Arial"/>
          <w:sz w:val="19"/>
          <w:szCs w:val="19"/>
          <w:color w:val="auto"/>
        </w:rPr>
        <w:t>. The Participant explicitly and unambiguously consents to the collection, use and transfer, in electronic or other form, of the Participant’s personal data by and among, as applicable, the Company and its Subsidiaries and affiliates, namely MYR Group Inc. (located in the United States) for the exclusive purpose of implementing, administering and managing the Participant’s participation in the Plan. The Participant hereby understands that the Company and its Subsidiaries and affiliates hold (but only process or transfer to the extent required or permitted by local law) the following personal information about the Participant: the Participant’s name, home address and telephone number, date of birth, social insurance number or other identification number, compensation, nationality, position, any shares of Common Stock or directorships held in the Company, details of all Restricted Stock Units or any other entitlement to shares of Common Stock awarded, canceled, exercised, vested, unvested or outstanding in the Participant’s favor, for the purpose of implementing, administering and managing the Plan (“Data”). The Participant hereby understands that Data may be transferred to any third parties assisting in the implementation, administration and management of the Plan, that these recipients may be located in the Participant’s country or elsewhere (including the United States of America), and that the recipient’s country may have different data privacy laws and protections than the Participant’s country. The Participant hereby understands that the Participant may request a list with the names and addresses of any potential recipients of the Data by contacting the Company’s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vesting. The Participant hereby understands that Data will be held only as long as is necessary to implement, administer and manage the Participant’s participation in the Plan and in accordance with local law. The Participant hereby understands that the Participant may, at any time, view Data, request additional information about the storage and processing of Data, require any necessary amendments to Data or refuse or withdraw the consents herein, in any case without cost, by contacting in writing the Company’s human resources representative. The Participant hereby understands, however, that refusing or withdrawing the Participant’s consent may affect the Participant’s ability to participate in the Plan. For more information on the consequences of the Participant’s refusal to consent or withdrawal of consent, the Participant hereby understands that the Participant may contact the Company’s human resources representative.</w:t>
      </w:r>
    </w:p>
    <w:p>
      <w:pPr>
        <w:spacing w:after="0" w:line="151" w:lineRule="exact"/>
        <w:rPr>
          <w:rFonts w:ascii="Arial" w:cs="Arial" w:eastAsia="Arial" w:hAnsi="Arial"/>
          <w:sz w:val="19"/>
          <w:szCs w:val="19"/>
          <w:color w:val="auto"/>
        </w:rPr>
      </w:pPr>
    </w:p>
    <w:p>
      <w:pPr>
        <w:ind w:left="5257"/>
        <w:spacing w:after="0"/>
        <w:rPr>
          <w:rFonts w:ascii="Arial" w:cs="Arial" w:eastAsia="Arial" w:hAnsi="Arial"/>
          <w:sz w:val="19"/>
          <w:szCs w:val="19"/>
          <w:color w:val="auto"/>
        </w:rPr>
      </w:pPr>
      <w:r>
        <w:rPr>
          <w:rFonts w:ascii="Arial" w:cs="Arial" w:eastAsia="Arial" w:hAnsi="Arial"/>
          <w:sz w:val="21"/>
          <w:szCs w:val="21"/>
          <w:color w:val="auto"/>
        </w:rPr>
        <w:t>*  *  *</w:t>
      </w:r>
    </w:p>
    <w:p>
      <w:pPr>
        <w:sectPr>
          <w:pgSz w:w="11900" w:h="16838" w:orient="portrait"/>
          <w:cols w:equalWidth="0" w:num="1">
            <w:col w:w="11217"/>
          </w:cols>
          <w:pgMar w:left="323" w:top="1343" w:right="359" w:bottom="1440" w:gutter="0" w:footer="0" w:header="0"/>
        </w:sectPr>
      </w:pPr>
    </w:p>
    <w:bookmarkStart w:id="43" w:name="page44"/>
    <w:bookmarkEnd w:id="43"/>
    <w:p>
      <w:pPr>
        <w:ind w:firstLine="225"/>
        <w:spacing w:after="0" w:line="233" w:lineRule="auto"/>
        <w:rPr>
          <w:sz w:val="20"/>
          <w:szCs w:val="20"/>
          <w:color w:val="auto"/>
        </w:rPr>
      </w:pPr>
      <w:r>
        <w:rPr>
          <w:rFonts w:ascii="Arial" w:cs="Arial" w:eastAsia="Arial" w:hAnsi="Arial"/>
          <w:sz w:val="21"/>
          <w:szCs w:val="21"/>
          <w:color w:val="auto"/>
        </w:rPr>
        <w:t>IN WITNESS WHEREOF, the Company has caused this Agreement to be executed on its behalf by its duly authorized officer, as of the day and year first above written.</w:t>
      </w:r>
    </w:p>
    <w:p>
      <w:pPr>
        <w:spacing w:after="0" w:line="330"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MYR GROUP INC.</w:t>
      </w:r>
    </w:p>
    <w:p>
      <w:pPr>
        <w:spacing w:after="0" w:line="119"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By:______________________________________</w:t>
      </w:r>
    </w:p>
    <w:p>
      <w:pPr>
        <w:spacing w:after="0" w:line="119"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Name: Kenneth M. Hartwick</w:t>
      </w:r>
    </w:p>
    <w:p>
      <w:pPr>
        <w:spacing w:after="0" w:line="119"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Title: Chairman of the Board</w:t>
      </w:r>
    </w:p>
    <w:p>
      <w:pPr>
        <w:spacing w:after="0" w:line="200" w:lineRule="exact"/>
        <w:rPr>
          <w:sz w:val="20"/>
          <w:szCs w:val="20"/>
          <w:color w:val="auto"/>
        </w:rPr>
      </w:pPr>
    </w:p>
    <w:p>
      <w:pPr>
        <w:spacing w:after="0" w:line="358" w:lineRule="exact"/>
        <w:rPr>
          <w:sz w:val="20"/>
          <w:szCs w:val="20"/>
          <w:color w:val="auto"/>
        </w:rPr>
      </w:pPr>
    </w:p>
    <w:p>
      <w:pPr>
        <w:ind w:right="60" w:firstLine="202"/>
        <w:spacing w:after="0" w:line="241" w:lineRule="auto"/>
        <w:rPr>
          <w:sz w:val="20"/>
          <w:szCs w:val="20"/>
          <w:color w:val="auto"/>
        </w:rPr>
      </w:pPr>
      <w:r>
        <w:rPr>
          <w:rFonts w:ascii="Arial" w:cs="Arial" w:eastAsia="Arial" w:hAnsi="Arial"/>
          <w:sz w:val="21"/>
          <w:szCs w:val="21"/>
          <w:color w:val="auto"/>
        </w:rPr>
        <w:t>The undersigned Participant hereby acknowledges receipt of an executed copy of this Agreement and accepts the right to receive any Restricted Stock Units or other securities covered hereby, subject to the terms and conditions of the Plan and the terms and conditions herein above set forth.</w:t>
      </w:r>
    </w:p>
    <w:p>
      <w:pPr>
        <w:spacing w:after="0" w:line="200" w:lineRule="exact"/>
        <w:rPr>
          <w:sz w:val="20"/>
          <w:szCs w:val="20"/>
          <w:color w:val="auto"/>
        </w:rPr>
      </w:pPr>
    </w:p>
    <w:p>
      <w:pPr>
        <w:spacing w:after="0" w:line="246" w:lineRule="exact"/>
        <w:rPr>
          <w:sz w:val="20"/>
          <w:szCs w:val="20"/>
          <w:color w:val="auto"/>
        </w:rPr>
      </w:pPr>
    </w:p>
    <w:p>
      <w:pPr>
        <w:ind w:left="4980"/>
        <w:spacing w:after="0"/>
        <w:rPr>
          <w:sz w:val="20"/>
          <w:szCs w:val="20"/>
          <w:color w:val="auto"/>
        </w:rPr>
      </w:pPr>
      <w:r>
        <w:rPr>
          <w:rFonts w:ascii="Arial" w:cs="Arial" w:eastAsia="Arial" w:hAnsi="Arial"/>
          <w:sz w:val="21"/>
          <w:szCs w:val="21"/>
          <w:color w:val="auto"/>
        </w:rPr>
        <w:t>______________________________________</w:t>
      </w:r>
    </w:p>
    <w:p>
      <w:pPr>
        <w:spacing w:after="0" w:line="119" w:lineRule="exact"/>
        <w:rPr>
          <w:sz w:val="20"/>
          <w:szCs w:val="20"/>
          <w:color w:val="auto"/>
        </w:rPr>
      </w:pPr>
    </w:p>
    <w:p>
      <w:pPr>
        <w:jc w:val="center"/>
        <w:ind w:right="280"/>
        <w:spacing w:after="0"/>
        <w:rPr>
          <w:sz w:val="20"/>
          <w:szCs w:val="20"/>
          <w:color w:val="auto"/>
        </w:rPr>
      </w:pPr>
      <w:r>
        <w:rPr>
          <w:rFonts w:ascii="Arial" w:cs="Arial" w:eastAsia="Arial" w:hAnsi="Arial"/>
          <w:sz w:val="21"/>
          <w:szCs w:val="21"/>
          <w:color w:val="auto"/>
        </w:rPr>
        <w:t>Participant</w:t>
      </w:r>
    </w:p>
    <w:p>
      <w:pPr>
        <w:spacing w:after="0" w:line="377" w:lineRule="exact"/>
        <w:rPr>
          <w:sz w:val="20"/>
          <w:szCs w:val="20"/>
          <w:color w:val="auto"/>
        </w:rPr>
      </w:pPr>
    </w:p>
    <w:p>
      <w:pPr>
        <w:ind w:left="4980"/>
        <w:spacing w:after="0"/>
        <w:rPr>
          <w:sz w:val="20"/>
          <w:szCs w:val="20"/>
          <w:color w:val="auto"/>
        </w:rPr>
      </w:pPr>
      <w:r>
        <w:rPr>
          <w:rFonts w:ascii="Arial" w:cs="Arial" w:eastAsia="Arial" w:hAnsi="Arial"/>
          <w:sz w:val="21"/>
          <w:szCs w:val="21"/>
          <w:color w:val="auto"/>
        </w:rPr>
        <w:t>Date: ___________________________</w:t>
      </w:r>
    </w:p>
    <w:p>
      <w:pPr>
        <w:sectPr>
          <w:pgSz w:w="11900" w:h="16838" w:orient="portrait"/>
          <w:cols w:equalWidth="0" w:num="1">
            <w:col w:w="11240"/>
          </w:cols>
          <w:pgMar w:left="320" w:top="1343" w:right="33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241"/>
        </w:trPr>
        <w:tc>
          <w:tcPr>
            <w:tcW w:w="4880" w:type="dxa"/>
            <w:vAlign w:val="bottom"/>
          </w:tcPr>
          <w:p>
            <w:pPr>
              <w:spacing w:after="0"/>
              <w:rPr>
                <w:sz w:val="21"/>
                <w:szCs w:val="21"/>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21"/>
                <w:szCs w:val="21"/>
                <w:b w:val="1"/>
                <w:bCs w:val="1"/>
                <w:color w:val="auto"/>
                <w:w w:val="94"/>
              </w:rPr>
              <w:t>Exhibit A</w:t>
            </w:r>
          </w:p>
        </w:tc>
        <w:tc>
          <w:tcPr>
            <w:tcW w:w="4360" w:type="dxa"/>
            <w:vAlign w:val="bottom"/>
          </w:tcPr>
          <w:p>
            <w:pPr>
              <w:spacing w:after="0"/>
              <w:rPr>
                <w:sz w:val="21"/>
                <w:szCs w:val="21"/>
                <w:color w:val="auto"/>
              </w:rPr>
            </w:pPr>
          </w:p>
        </w:tc>
      </w:tr>
      <w:tr>
        <w:trPr>
          <w:trHeight w:val="467"/>
        </w:trPr>
        <w:tc>
          <w:tcPr>
            <w:tcW w:w="10100" w:type="dxa"/>
            <w:vAlign w:val="bottom"/>
            <w:gridSpan w:val="4"/>
          </w:tcPr>
          <w:p>
            <w:pPr>
              <w:jc w:val="center"/>
              <w:ind w:left="417"/>
              <w:spacing w:after="0"/>
              <w:rPr>
                <w:sz w:val="20"/>
                <w:szCs w:val="20"/>
                <w:color w:val="auto"/>
              </w:rPr>
            </w:pPr>
            <w:r>
              <w:rPr>
                <w:rFonts w:ascii="Arial" w:cs="Arial" w:eastAsia="Arial" w:hAnsi="Arial"/>
                <w:sz w:val="21"/>
                <w:szCs w:val="21"/>
                <w:b w:val="1"/>
                <w:bCs w:val="1"/>
                <w:color w:val="auto"/>
                <w:w w:val="87"/>
              </w:rPr>
              <w:t>Time-Based Restricted Stock Units Vesting Schedule</w:t>
            </w:r>
          </w:p>
        </w:tc>
      </w:tr>
      <w:tr>
        <w:trPr>
          <w:trHeight w:val="235"/>
        </w:trPr>
        <w:tc>
          <w:tcPr>
            <w:tcW w:w="4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r>
      <w:tr>
        <w:trPr>
          <w:trHeight w:val="274"/>
        </w:trPr>
        <w:tc>
          <w:tcPr>
            <w:tcW w:w="4880" w:type="dxa"/>
            <w:vAlign w:val="bottom"/>
            <w:tcBorders>
              <w:left w:val="single" w:sz="8" w:color="auto"/>
            </w:tcBorders>
          </w:tcPr>
          <w:p>
            <w:pPr>
              <w:jc w:val="center"/>
              <w:ind w:left="57"/>
              <w:spacing w:after="0"/>
              <w:rPr>
                <w:sz w:val="20"/>
                <w:szCs w:val="20"/>
                <w:color w:val="auto"/>
              </w:rPr>
            </w:pPr>
            <w:r>
              <w:rPr>
                <w:rFonts w:ascii="Arial" w:cs="Arial" w:eastAsia="Arial" w:hAnsi="Arial"/>
                <w:sz w:val="21"/>
                <w:szCs w:val="21"/>
                <w:b w:val="1"/>
                <w:bCs w:val="1"/>
                <w:color w:val="auto"/>
                <w:w w:val="87"/>
              </w:rPr>
              <w:t>Date</w:t>
            </w:r>
          </w:p>
        </w:tc>
        <w:tc>
          <w:tcPr>
            <w:tcW w:w="180" w:type="dxa"/>
            <w:vAlign w:val="bottom"/>
            <w:tcBorders>
              <w:right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4360" w:type="dxa"/>
            <w:vAlign w:val="bottom"/>
            <w:tcBorders>
              <w:right w:val="single" w:sz="8" w:color="auto"/>
            </w:tcBorders>
          </w:tcPr>
          <w:p>
            <w:pPr>
              <w:ind w:left="260"/>
              <w:spacing w:after="0"/>
              <w:rPr>
                <w:sz w:val="20"/>
                <w:szCs w:val="20"/>
                <w:color w:val="auto"/>
              </w:rPr>
            </w:pPr>
            <w:r>
              <w:rPr>
                <w:rFonts w:ascii="Arial" w:cs="Arial" w:eastAsia="Arial" w:hAnsi="Arial"/>
                <w:sz w:val="21"/>
                <w:szCs w:val="21"/>
                <w:b w:val="1"/>
                <w:bCs w:val="1"/>
                <w:color w:val="auto"/>
              </w:rPr>
              <w:t>Total Restricted Stock Units Vested</w:t>
            </w:r>
          </w:p>
        </w:tc>
      </w:tr>
      <w:tr>
        <w:trPr>
          <w:trHeight w:val="28"/>
        </w:trPr>
        <w:tc>
          <w:tcPr>
            <w:tcW w:w="488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74"/>
        </w:trPr>
        <w:tc>
          <w:tcPr>
            <w:tcW w:w="4880" w:type="dxa"/>
            <w:vAlign w:val="bottom"/>
            <w:tcBorders>
              <w:left w:val="single" w:sz="8" w:color="auto"/>
            </w:tcBorders>
          </w:tcPr>
          <w:p>
            <w:pPr>
              <w:jc w:val="center"/>
              <w:ind w:left="57"/>
              <w:spacing w:after="0"/>
              <w:rPr>
                <w:sz w:val="20"/>
                <w:szCs w:val="20"/>
                <w:color w:val="auto"/>
              </w:rPr>
            </w:pPr>
            <w:r>
              <w:rPr>
                <w:rFonts w:ascii="Arial" w:cs="Arial" w:eastAsia="Arial" w:hAnsi="Arial"/>
                <w:sz w:val="21"/>
                <w:szCs w:val="21"/>
                <w:color w:val="auto"/>
                <w:w w:val="88"/>
              </w:rPr>
              <w:t>______ __, 20__</w:t>
            </w:r>
          </w:p>
        </w:tc>
        <w:tc>
          <w:tcPr>
            <w:tcW w:w="180" w:type="dxa"/>
            <w:vAlign w:val="bottom"/>
            <w:tcBorders>
              <w:right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4360" w:type="dxa"/>
            <w:vAlign w:val="bottom"/>
            <w:tcBorders>
              <w:right w:val="single" w:sz="8" w:color="auto"/>
            </w:tcBorders>
          </w:tcPr>
          <w:p>
            <w:pPr>
              <w:spacing w:after="0"/>
              <w:rPr>
                <w:sz w:val="23"/>
                <w:szCs w:val="23"/>
                <w:color w:val="auto"/>
              </w:rPr>
            </w:pPr>
          </w:p>
        </w:tc>
      </w:tr>
      <w:tr>
        <w:trPr>
          <w:trHeight w:val="28"/>
        </w:trPr>
        <w:tc>
          <w:tcPr>
            <w:tcW w:w="488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74"/>
        </w:trPr>
        <w:tc>
          <w:tcPr>
            <w:tcW w:w="4880" w:type="dxa"/>
            <w:vAlign w:val="bottom"/>
            <w:tcBorders>
              <w:left w:val="single" w:sz="8" w:color="auto"/>
            </w:tcBorders>
          </w:tcPr>
          <w:p>
            <w:pPr>
              <w:jc w:val="center"/>
              <w:ind w:left="57"/>
              <w:spacing w:after="0"/>
              <w:rPr>
                <w:sz w:val="20"/>
                <w:szCs w:val="20"/>
                <w:color w:val="auto"/>
              </w:rPr>
            </w:pPr>
            <w:r>
              <w:rPr>
                <w:rFonts w:ascii="Arial" w:cs="Arial" w:eastAsia="Arial" w:hAnsi="Arial"/>
                <w:sz w:val="21"/>
                <w:szCs w:val="21"/>
                <w:color w:val="auto"/>
                <w:w w:val="88"/>
              </w:rPr>
              <w:t>______ __, 20__</w:t>
            </w:r>
          </w:p>
        </w:tc>
        <w:tc>
          <w:tcPr>
            <w:tcW w:w="180" w:type="dxa"/>
            <w:vAlign w:val="bottom"/>
            <w:tcBorders>
              <w:right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4360" w:type="dxa"/>
            <w:vAlign w:val="bottom"/>
            <w:tcBorders>
              <w:right w:val="single" w:sz="8" w:color="auto"/>
            </w:tcBorders>
          </w:tcPr>
          <w:p>
            <w:pPr>
              <w:spacing w:after="0"/>
              <w:rPr>
                <w:sz w:val="23"/>
                <w:szCs w:val="23"/>
                <w:color w:val="auto"/>
              </w:rPr>
            </w:pPr>
          </w:p>
        </w:tc>
      </w:tr>
      <w:tr>
        <w:trPr>
          <w:trHeight w:val="28"/>
        </w:trPr>
        <w:tc>
          <w:tcPr>
            <w:tcW w:w="488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74"/>
        </w:trPr>
        <w:tc>
          <w:tcPr>
            <w:tcW w:w="4880" w:type="dxa"/>
            <w:vAlign w:val="bottom"/>
            <w:tcBorders>
              <w:left w:val="single" w:sz="8" w:color="auto"/>
            </w:tcBorders>
          </w:tcPr>
          <w:p>
            <w:pPr>
              <w:jc w:val="center"/>
              <w:ind w:left="57"/>
              <w:spacing w:after="0"/>
              <w:rPr>
                <w:sz w:val="20"/>
                <w:szCs w:val="20"/>
                <w:color w:val="auto"/>
              </w:rPr>
            </w:pPr>
            <w:r>
              <w:rPr>
                <w:rFonts w:ascii="Arial" w:cs="Arial" w:eastAsia="Arial" w:hAnsi="Arial"/>
                <w:sz w:val="21"/>
                <w:szCs w:val="21"/>
                <w:color w:val="auto"/>
                <w:w w:val="88"/>
              </w:rPr>
              <w:t>______ __, 20__</w:t>
            </w:r>
          </w:p>
        </w:tc>
        <w:tc>
          <w:tcPr>
            <w:tcW w:w="180" w:type="dxa"/>
            <w:vAlign w:val="bottom"/>
            <w:tcBorders>
              <w:right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4360" w:type="dxa"/>
            <w:vAlign w:val="bottom"/>
            <w:tcBorders>
              <w:right w:val="single" w:sz="8" w:color="auto"/>
            </w:tcBorders>
          </w:tcPr>
          <w:p>
            <w:pPr>
              <w:spacing w:after="0"/>
              <w:rPr>
                <w:sz w:val="23"/>
                <w:szCs w:val="23"/>
                <w:color w:val="auto"/>
              </w:rPr>
            </w:pPr>
          </w:p>
        </w:tc>
      </w:tr>
      <w:tr>
        <w:trPr>
          <w:trHeight w:val="28"/>
        </w:trPr>
        <w:tc>
          <w:tcPr>
            <w:tcW w:w="4880" w:type="dxa"/>
            <w:vAlign w:val="bottom"/>
            <w:tcBorders>
              <w:left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080"/>
          </w:cols>
          <w:pgMar w:left="640" w:top="1316" w:right="117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MYR GROUP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SHARES AWARD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Officer)</w:t>
      </w:r>
    </w:p>
    <w:p>
      <w:pPr>
        <w:spacing w:after="0" w:line="100" w:lineRule="exact"/>
        <w:rPr>
          <w:sz w:val="20"/>
          <w:szCs w:val="20"/>
          <w:color w:val="auto"/>
        </w:rPr>
      </w:pPr>
    </w:p>
    <w:p>
      <w:pPr>
        <w:ind w:firstLine="220"/>
        <w:spacing w:after="0" w:line="252" w:lineRule="auto"/>
        <w:rPr>
          <w:sz w:val="20"/>
          <w:szCs w:val="20"/>
          <w:color w:val="auto"/>
        </w:rPr>
      </w:pPr>
      <w:r>
        <w:rPr>
          <w:rFonts w:ascii="Arial" w:cs="Arial" w:eastAsia="Arial" w:hAnsi="Arial"/>
          <w:sz w:val="21"/>
          <w:szCs w:val="21"/>
          <w:color w:val="auto"/>
        </w:rPr>
        <w:t>This AGREEMENT (this “Agreement”) is made as of March ___, 20___, by and between MYR Group Inc., a Delaware corporation (the “Company”), and [__________] (the “Participant”).</w:t>
      </w:r>
    </w:p>
    <w:p>
      <w:pPr>
        <w:spacing w:after="0" w:line="60" w:lineRule="exact"/>
        <w:rPr>
          <w:sz w:val="20"/>
          <w:szCs w:val="20"/>
          <w:color w:val="auto"/>
        </w:rPr>
      </w:pPr>
    </w:p>
    <w:p>
      <w:pPr>
        <w:ind w:left="620" w:hanging="617"/>
        <w:spacing w:after="0" w:line="246"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Grant of Performance Shares</w:t>
      </w:r>
      <w:r>
        <w:rPr>
          <w:rFonts w:ascii="Arial" w:cs="Arial" w:eastAsia="Arial" w:hAnsi="Arial"/>
          <w:sz w:val="20"/>
          <w:szCs w:val="20"/>
          <w:color w:val="auto"/>
        </w:rPr>
        <w:t>. Pursuant to the MYR Group Inc. 2017 Long-Term Incentive Plan (the “Plan”) and subject to the terms and conditions thereof and the terms and conditions hereinafter set forth, the Company has granted to the Participant, as of March ___, 20___ (the “Date of Grant”), [_________] target Performance Shares, a percentage of which may be earned in accordance with the terms of this Agreement and contingent on the Company’s Return On Invested Capital (“ROIC”) over the ROIC Performance Period (as defined below) (such target amount, the “ROIC Target Performance Shares”), and [__________] Target Performance Shares, a percentage of which may be earned in accordance with the terms of this Agreement and contingent on the Company’s relative Total Stockholder Return (“TSR”) over the TSR Performance Period (as defined below) (such target amount, the “TSR Target Performance Shares”). The Performance Shares are not intended to be a Qualified-Performance Based Award under the Plan.</w:t>
      </w:r>
    </w:p>
    <w:p>
      <w:pPr>
        <w:spacing w:after="0" w:line="70" w:lineRule="exact"/>
        <w:rPr>
          <w:rFonts w:ascii="Arial" w:cs="Arial" w:eastAsia="Arial" w:hAnsi="Arial"/>
          <w:sz w:val="20"/>
          <w:szCs w:val="20"/>
          <w:color w:val="auto"/>
        </w:rPr>
      </w:pPr>
    </w:p>
    <w:p>
      <w:pPr>
        <w:ind w:left="620" w:hanging="617"/>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Earning of Target Performance Shares.</w:t>
      </w:r>
    </w:p>
    <w:p>
      <w:pPr>
        <w:spacing w:after="0" w:line="93" w:lineRule="exact"/>
        <w:rPr>
          <w:rFonts w:ascii="Arial" w:cs="Arial" w:eastAsia="Arial" w:hAnsi="Arial"/>
          <w:sz w:val="21"/>
          <w:szCs w:val="21"/>
          <w:color w:val="auto"/>
        </w:rPr>
      </w:pPr>
    </w:p>
    <w:p>
      <w:pPr>
        <w:ind w:left="1240" w:right="40" w:hanging="618"/>
        <w:spacing w:after="0" w:line="246" w:lineRule="auto"/>
        <w:tabs>
          <w:tab w:leader="none" w:pos="1237"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Performance Measure</w:t>
      </w:r>
      <w:r>
        <w:rPr>
          <w:rFonts w:ascii="Arial" w:cs="Arial" w:eastAsia="Arial" w:hAnsi="Arial"/>
          <w:sz w:val="20"/>
          <w:szCs w:val="20"/>
          <w:color w:val="auto"/>
        </w:rPr>
        <w:t>: The Participant’s right to receive all of, any portion of, or more than, the number of ROIC Target Performance Shares or TSR Target Performance Shares generally will be contingent upon the achievement of specified levels of the Company’s ROIC and relative TSR, as set forth in the “Statement of Performance Goals” established by the Committee in connection with the Awards granted by this Agreement, and will be measured over each fiscal year in the period from January 1, 20___ through December 31, 20___ for ROIC performance (the “ROIC Performance Period”) and the arithmetic average of the ROIC for the ROIC Performance Period, which shall be calculated by dividing the sum of the Company’s ROIC for each fiscal year in the ROIC Performance Period by the number of years in the ROIC Performance Period (the “Three-Year Average”), and the Date of Grant through December 31, 20___ for TSR performance (the “TSR Performance Period” and together with the ROIC Performance Period, the “Performance Periods”).</w:t>
      </w:r>
    </w:p>
    <w:p>
      <w:pPr>
        <w:sectPr>
          <w:pgSz w:w="11900" w:h="16838" w:orient="portrait"/>
          <w:cols w:equalWidth="0" w:num="1">
            <w:col w:w="11240"/>
          </w:cols>
          <w:pgMar w:left="320" w:top="106" w:right="339" w:bottom="1440" w:gutter="0" w:footer="0" w:header="0"/>
        </w:sectPr>
      </w:pPr>
    </w:p>
    <w:bookmarkStart w:id="46" w:name="page47"/>
    <w:bookmarkEnd w:id="46"/>
    <w:p>
      <w:pPr>
        <w:spacing w:after="0" w:line="19" w:lineRule="exact"/>
        <w:rPr>
          <w:sz w:val="20"/>
          <w:szCs w:val="20"/>
          <w:color w:val="auto"/>
        </w:rPr>
      </w:pPr>
    </w:p>
    <w:p>
      <w:pPr>
        <w:ind w:left="618" w:hanging="618"/>
        <w:spacing w:after="0"/>
        <w:tabs>
          <w:tab w:leader="none" w:pos="618"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Below Threshold</w:t>
      </w:r>
      <w:r>
        <w:rPr>
          <w:rFonts w:ascii="Arial" w:cs="Arial" w:eastAsia="Arial" w:hAnsi="Arial"/>
          <w:sz w:val="21"/>
          <w:szCs w:val="21"/>
          <w:color w:val="auto"/>
        </w:rPr>
        <w:t>:</w:t>
      </w:r>
    </w:p>
    <w:p>
      <w:pPr>
        <w:spacing w:after="0" w:line="93" w:lineRule="exact"/>
        <w:rPr>
          <w:rFonts w:ascii="Arial" w:cs="Arial" w:eastAsia="Arial" w:hAnsi="Arial"/>
          <w:sz w:val="21"/>
          <w:szCs w:val="21"/>
          <w:color w:val="auto"/>
        </w:rPr>
      </w:pPr>
    </w:p>
    <w:p>
      <w:pPr>
        <w:ind w:left="1238" w:hanging="619"/>
        <w:spacing w:after="0" w:line="236" w:lineRule="auto"/>
        <w:tabs>
          <w:tab w:leader="none" w:pos="1226" w:val="left"/>
        </w:tabs>
        <w:numPr>
          <w:ilvl w:val="1"/>
          <w:numId w:val="17"/>
        </w:numPr>
        <w:rPr>
          <w:rFonts w:ascii="Arial" w:cs="Arial" w:eastAsia="Arial" w:hAnsi="Arial"/>
          <w:sz w:val="21"/>
          <w:szCs w:val="21"/>
          <w:color w:val="auto"/>
        </w:rPr>
      </w:pPr>
      <w:r>
        <w:rPr>
          <w:rFonts w:ascii="Arial" w:cs="Arial" w:eastAsia="Arial" w:hAnsi="Arial"/>
          <w:sz w:val="21"/>
          <w:szCs w:val="21"/>
          <w:u w:val="single" w:color="auto"/>
          <w:color w:val="auto"/>
        </w:rPr>
        <w:t>ROIC</w:t>
      </w:r>
      <w:r>
        <w:rPr>
          <w:rFonts w:ascii="Arial" w:cs="Arial" w:eastAsia="Arial" w:hAnsi="Arial"/>
          <w:sz w:val="21"/>
          <w:szCs w:val="21"/>
          <w:color w:val="auto"/>
        </w:rPr>
        <w:t>: If, upon the conclusion of the ROIC Performance Period, ROIC for any fiscal year in the ROIC Performance Period or the Three-Year Average ROIC for the ROIC Performance Period falls below the threshold level, as set forth in the ROIC Performance Matrix contained in the Statement of Performance Goals, no Performance Shares for ROIC performance shall become earned for that fiscal year and/or the Three-Year Average, as applicable.</w:t>
      </w:r>
    </w:p>
    <w:p>
      <w:pPr>
        <w:spacing w:after="0" w:line="76" w:lineRule="exact"/>
        <w:rPr>
          <w:rFonts w:ascii="Arial" w:cs="Arial" w:eastAsia="Arial" w:hAnsi="Arial"/>
          <w:sz w:val="21"/>
          <w:szCs w:val="21"/>
          <w:color w:val="auto"/>
        </w:rPr>
      </w:pPr>
    </w:p>
    <w:p>
      <w:pPr>
        <w:ind w:left="1238" w:right="60" w:hanging="619"/>
        <w:spacing w:after="0" w:line="223" w:lineRule="auto"/>
        <w:tabs>
          <w:tab w:leader="none" w:pos="1232" w:val="left"/>
        </w:tabs>
        <w:numPr>
          <w:ilvl w:val="1"/>
          <w:numId w:val="17"/>
        </w:numPr>
        <w:rPr>
          <w:rFonts w:ascii="Arial" w:cs="Arial" w:eastAsia="Arial" w:hAnsi="Arial"/>
          <w:sz w:val="21"/>
          <w:szCs w:val="21"/>
          <w:color w:val="auto"/>
        </w:rPr>
      </w:pPr>
      <w:r>
        <w:rPr>
          <w:rFonts w:ascii="Arial" w:cs="Arial" w:eastAsia="Arial" w:hAnsi="Arial"/>
          <w:sz w:val="21"/>
          <w:szCs w:val="21"/>
          <w:u w:val="single" w:color="auto"/>
          <w:color w:val="auto"/>
        </w:rPr>
        <w:t>TSR</w:t>
      </w:r>
      <w:r>
        <w:rPr>
          <w:rFonts w:ascii="Arial" w:cs="Arial" w:eastAsia="Arial" w:hAnsi="Arial"/>
          <w:sz w:val="21"/>
          <w:szCs w:val="21"/>
          <w:color w:val="auto"/>
        </w:rPr>
        <w:t>: If, upon conclusion of the TSR Performance Period, the Company’s relative TSR for the TSR Performance Period falls below the 25</w:t>
      </w:r>
      <w:r>
        <w:rPr>
          <w:rFonts w:ascii="Arial" w:cs="Arial" w:eastAsia="Arial" w:hAnsi="Arial"/>
          <w:sz w:val="26"/>
          <w:szCs w:val="26"/>
          <w:color w:val="auto"/>
          <w:vertAlign w:val="superscript"/>
        </w:rPr>
        <w:t>th</w:t>
      </w:r>
      <w:r>
        <w:rPr>
          <w:rFonts w:ascii="Arial" w:cs="Arial" w:eastAsia="Arial" w:hAnsi="Arial"/>
          <w:sz w:val="21"/>
          <w:szCs w:val="21"/>
          <w:color w:val="auto"/>
        </w:rPr>
        <w:t xml:space="preserve"> percentile of TSR for the TSR Peer Group Companies (as defined below), no Performance Shares for TSR performance shall become earned.</w:t>
      </w:r>
    </w:p>
    <w:p>
      <w:pPr>
        <w:spacing w:after="0" w:line="72" w:lineRule="exact"/>
        <w:rPr>
          <w:rFonts w:ascii="Arial" w:cs="Arial" w:eastAsia="Arial" w:hAnsi="Arial"/>
          <w:sz w:val="21"/>
          <w:szCs w:val="21"/>
          <w:color w:val="auto"/>
        </w:rPr>
      </w:pPr>
    </w:p>
    <w:p>
      <w:pPr>
        <w:ind w:left="618" w:hanging="618"/>
        <w:spacing w:after="0"/>
        <w:tabs>
          <w:tab w:leader="none" w:pos="618"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Threshold</w:t>
      </w:r>
      <w:r>
        <w:rPr>
          <w:rFonts w:ascii="Arial" w:cs="Arial" w:eastAsia="Arial" w:hAnsi="Arial"/>
          <w:sz w:val="21"/>
          <w:szCs w:val="21"/>
          <w:color w:val="auto"/>
        </w:rPr>
        <w:t>:</w:t>
      </w:r>
    </w:p>
    <w:p>
      <w:pPr>
        <w:spacing w:after="0" w:line="80" w:lineRule="exact"/>
        <w:rPr>
          <w:rFonts w:ascii="Arial" w:cs="Arial" w:eastAsia="Arial" w:hAnsi="Arial"/>
          <w:sz w:val="21"/>
          <w:szCs w:val="21"/>
          <w:color w:val="auto"/>
        </w:rPr>
      </w:pPr>
    </w:p>
    <w:p>
      <w:pPr>
        <w:ind w:left="1238" w:right="40" w:hanging="619"/>
        <w:spacing w:after="0" w:line="237" w:lineRule="auto"/>
        <w:tabs>
          <w:tab w:leader="none" w:pos="1226"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ROIC</w:t>
      </w:r>
      <w:r>
        <w:rPr>
          <w:rFonts w:ascii="Arial" w:cs="Arial" w:eastAsia="Arial" w:hAnsi="Arial"/>
          <w:sz w:val="19"/>
          <w:szCs w:val="19"/>
          <w:color w:val="auto"/>
        </w:rPr>
        <w:t>: If, upon the conclusion of the ROIC Performance Period, ROIC for any fiscal year in the ROIC Performance Period and/or the Three-Year Average ROIC for the ROIC Performance Period equals the threshold level, as set forth in the ROIC Performance Matrix contained in the Statement of Performance Goals, 10% of the ROIC Target Performance Shares shall be earned for each such fiscal year and 20% of the ROIC Target Performance Shares shall be earned for the Three Year Average ROIC, with a fractional share from the total earned ROIC Target Performance Shares rounded down to the next whole share.</w:t>
      </w:r>
    </w:p>
    <w:p>
      <w:pPr>
        <w:spacing w:after="0" w:line="149" w:lineRule="exact"/>
        <w:rPr>
          <w:rFonts w:ascii="Arial" w:cs="Arial" w:eastAsia="Arial" w:hAnsi="Arial"/>
          <w:sz w:val="19"/>
          <w:szCs w:val="19"/>
          <w:color w:val="auto"/>
        </w:rPr>
      </w:pPr>
    </w:p>
    <w:p>
      <w:pPr>
        <w:ind w:left="1238" w:right="60" w:hanging="619"/>
        <w:spacing w:after="0" w:line="239" w:lineRule="auto"/>
        <w:tabs>
          <w:tab w:leader="none" w:pos="1232"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TSR</w:t>
      </w:r>
      <w:r>
        <w:rPr>
          <w:rFonts w:ascii="Arial" w:cs="Arial" w:eastAsia="Arial" w:hAnsi="Arial"/>
          <w:sz w:val="18"/>
          <w:szCs w:val="18"/>
          <w:color w:val="auto"/>
        </w:rPr>
        <w:t>: If, upon conclusion of the TSR Performance Period, the Company’s relative TSR for the TSR Performance Period is at the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TSR for the TSR Peer Group Companies, 25% of the TSR Target Performance Shares shall become earned, with a fractional share rounded down to the next whole share.</w:t>
      </w:r>
    </w:p>
    <w:p>
      <w:pPr>
        <w:spacing w:after="0" w:line="162" w:lineRule="exact"/>
        <w:rPr>
          <w:rFonts w:ascii="Arial" w:cs="Arial" w:eastAsia="Arial" w:hAnsi="Arial"/>
          <w:sz w:val="18"/>
          <w:szCs w:val="18"/>
          <w:color w:val="auto"/>
        </w:rPr>
      </w:pPr>
    </w:p>
    <w:p>
      <w:pPr>
        <w:ind w:left="618" w:hanging="618"/>
        <w:spacing w:after="0"/>
        <w:tabs>
          <w:tab w:leader="none" w:pos="618"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Between Threshold and Target</w:t>
      </w:r>
      <w:r>
        <w:rPr>
          <w:rFonts w:ascii="Arial" w:cs="Arial" w:eastAsia="Arial" w:hAnsi="Arial"/>
          <w:sz w:val="21"/>
          <w:szCs w:val="21"/>
          <w:color w:val="auto"/>
        </w:rPr>
        <w:t>:</w:t>
      </w:r>
    </w:p>
    <w:p>
      <w:pPr>
        <w:spacing w:after="0" w:line="80" w:lineRule="exact"/>
        <w:rPr>
          <w:rFonts w:ascii="Arial" w:cs="Arial" w:eastAsia="Arial" w:hAnsi="Arial"/>
          <w:sz w:val="21"/>
          <w:szCs w:val="21"/>
          <w:color w:val="auto"/>
        </w:rPr>
      </w:pPr>
    </w:p>
    <w:p>
      <w:pPr>
        <w:ind w:left="1238" w:right="40" w:hanging="619"/>
        <w:spacing w:after="0" w:line="221" w:lineRule="auto"/>
        <w:tabs>
          <w:tab w:leader="none" w:pos="1226"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ROIC:</w:t>
      </w:r>
      <w:r>
        <w:rPr>
          <w:rFonts w:ascii="Arial" w:cs="Arial" w:eastAsia="Arial" w:hAnsi="Arial"/>
          <w:sz w:val="20"/>
          <w:szCs w:val="20"/>
          <w:color w:val="auto"/>
        </w:rPr>
        <w:t xml:space="preserve"> If, upon the conclusion of the ROIC Performance Period, ROIC for any fiscal year in the ROIC Performance Period and/or the Three-Year Average exceeds the threshold level, but is less than the target level, as set forth in the ROIC Performance Matrix contained in the Statement of Performance Goals, the percentage of ROIC Target Performance Shares that shall become earned shall be determined by the summation of the percentage of ROIC payout as determined by mathematical straight-line interpolation of actual ROIC performance compared to the ROIC performance metrics for each such fiscal year multiplied times 20% and the Three Year Average ROIC performance compared to the ROIC performance metrics multiplied times 40% between 50% (threshold) payout of the ROIC Target Performance Shares and 100% (target) payout of the ROIC Target Performance Shares, with a fractional share from the total earned ROIC Target Performance Shares rounded down to the next whole share.</w:t>
      </w:r>
    </w:p>
    <w:p>
      <w:pPr>
        <w:sectPr>
          <w:pgSz w:w="11900" w:h="16838" w:orient="portrait"/>
          <w:cols w:equalWidth="0" w:num="1">
            <w:col w:w="10598"/>
          </w:cols>
          <w:pgMar w:left="942" w:top="1440" w:right="359" w:bottom="1440" w:gutter="0" w:footer="0" w:header="0"/>
        </w:sectPr>
      </w:pPr>
    </w:p>
    <w:bookmarkStart w:id="47" w:name="page48"/>
    <w:bookmarkEnd w:id="47"/>
    <w:p>
      <w:pPr>
        <w:ind w:left="1238" w:right="140" w:hanging="619"/>
        <w:spacing w:after="0" w:line="217" w:lineRule="auto"/>
        <w:tabs>
          <w:tab w:leader="none" w:pos="1232" w:val="left"/>
        </w:tabs>
        <w:numPr>
          <w:ilvl w:val="1"/>
          <w:numId w:val="18"/>
        </w:numPr>
        <w:rPr>
          <w:rFonts w:ascii="Arial" w:cs="Arial" w:eastAsia="Arial" w:hAnsi="Arial"/>
          <w:sz w:val="20"/>
          <w:szCs w:val="20"/>
          <w:color w:val="auto"/>
        </w:rPr>
      </w:pPr>
      <w:r>
        <w:rPr>
          <w:rFonts w:ascii="Arial" w:cs="Arial" w:eastAsia="Arial" w:hAnsi="Arial"/>
          <w:sz w:val="20"/>
          <w:szCs w:val="20"/>
          <w:u w:val="single" w:color="auto"/>
          <w:color w:val="auto"/>
        </w:rPr>
        <w:t>TSR</w:t>
      </w:r>
      <w:r>
        <w:rPr>
          <w:rFonts w:ascii="Arial" w:cs="Arial" w:eastAsia="Arial" w:hAnsi="Arial"/>
          <w:sz w:val="20"/>
          <w:szCs w:val="20"/>
          <w:color w:val="auto"/>
        </w:rPr>
        <w:t>: If, upon the conclusion of the TSR Performance Period, the Company’s relative TSR exceeds the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but is less than the 50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of TSR of the TSR Peer Group Companies, the percentage of TSR Target Performance Shares that shall become earned shall be determined by mathematical straight-line interpolation between 25% of the TSR Target Performance Shares and 100% of the TSR Target Performance Shares, with a fractional share rounded down to the next whole share.</w:t>
      </w:r>
    </w:p>
    <w:p>
      <w:pPr>
        <w:spacing w:after="0" w:line="165" w:lineRule="exact"/>
        <w:rPr>
          <w:rFonts w:ascii="Arial" w:cs="Arial" w:eastAsia="Arial" w:hAnsi="Arial"/>
          <w:sz w:val="20"/>
          <w:szCs w:val="20"/>
          <w:color w:val="auto"/>
        </w:rPr>
      </w:pPr>
    </w:p>
    <w:p>
      <w:pPr>
        <w:ind w:left="618" w:hanging="618"/>
        <w:spacing w:after="0"/>
        <w:tabs>
          <w:tab w:leader="none" w:pos="618"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Target</w:t>
      </w:r>
      <w:r>
        <w:rPr>
          <w:rFonts w:ascii="Arial" w:cs="Arial" w:eastAsia="Arial" w:hAnsi="Arial"/>
          <w:sz w:val="21"/>
          <w:szCs w:val="21"/>
          <w:color w:val="auto"/>
        </w:rPr>
        <w:t>:</w:t>
      </w:r>
    </w:p>
    <w:p>
      <w:pPr>
        <w:spacing w:after="0" w:line="80" w:lineRule="exact"/>
        <w:rPr>
          <w:rFonts w:ascii="Arial" w:cs="Arial" w:eastAsia="Arial" w:hAnsi="Arial"/>
          <w:sz w:val="21"/>
          <w:szCs w:val="21"/>
          <w:color w:val="auto"/>
        </w:rPr>
      </w:pPr>
    </w:p>
    <w:p>
      <w:pPr>
        <w:ind w:left="1238" w:right="80" w:hanging="619"/>
        <w:spacing w:after="0" w:line="214" w:lineRule="auto"/>
        <w:tabs>
          <w:tab w:leader="none" w:pos="1226"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ROIC</w:t>
      </w:r>
      <w:r>
        <w:rPr>
          <w:rFonts w:ascii="Arial" w:cs="Arial" w:eastAsia="Arial" w:hAnsi="Arial"/>
          <w:sz w:val="21"/>
          <w:szCs w:val="21"/>
          <w:color w:val="auto"/>
        </w:rPr>
        <w:t>: If, upon the conclusion of the ROIC Performance Period, ROIC for any fiscal year in the ROIC Performance Period and/or the Three-Year Average equals the target level, as set forth in the ROIC Performance Matrix contained in the Statement of Performance Goals, 20% of the ROIC Target Performance Shares shall be earned for each such fiscal year and 40% of the ROIC Target Performance Shares shall be earned for the Three Year Average ROIC, with a fractional share from the total earned ROIC Target Performance Shares rounded down to the next whole share.</w:t>
      </w:r>
    </w:p>
    <w:p>
      <w:pPr>
        <w:spacing w:after="0" w:line="152" w:lineRule="exact"/>
        <w:rPr>
          <w:sz w:val="20"/>
          <w:szCs w:val="20"/>
          <w:color w:val="auto"/>
        </w:rPr>
      </w:pPr>
    </w:p>
    <w:p>
      <w:pPr>
        <w:jc w:val="both"/>
        <w:ind w:left="1238" w:hanging="619"/>
        <w:spacing w:after="0" w:line="239" w:lineRule="auto"/>
        <w:tabs>
          <w:tab w:leader="none" w:pos="123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TSR</w:t>
      </w:r>
      <w:r>
        <w:rPr>
          <w:rFonts w:ascii="Arial" w:cs="Arial" w:eastAsia="Arial" w:hAnsi="Arial"/>
          <w:sz w:val="18"/>
          <w:szCs w:val="18"/>
          <w:color w:val="auto"/>
        </w:rPr>
        <w:t>: If, upon conclusion of the TSR Performance Period, the Company’s relative TSR for the TSR Performance Period is at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TSR for the TSR Peer Group Companies, 100% of the TSR Target Performance Shares shall become earned, with a fractional share rounded down to the next whole share.</w:t>
      </w:r>
    </w:p>
    <w:p>
      <w:pPr>
        <w:spacing w:after="0" w:line="162" w:lineRule="exact"/>
        <w:rPr>
          <w:rFonts w:ascii="Arial" w:cs="Arial" w:eastAsia="Arial" w:hAnsi="Arial"/>
          <w:sz w:val="18"/>
          <w:szCs w:val="18"/>
          <w:color w:val="auto"/>
        </w:rPr>
      </w:pPr>
    </w:p>
    <w:p>
      <w:pPr>
        <w:ind w:left="618" w:hanging="618"/>
        <w:spacing w:after="0"/>
        <w:tabs>
          <w:tab w:leader="none" w:pos="618"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Between Target and Maximum</w:t>
      </w:r>
      <w:r>
        <w:rPr>
          <w:rFonts w:ascii="Arial" w:cs="Arial" w:eastAsia="Arial" w:hAnsi="Arial"/>
          <w:sz w:val="21"/>
          <w:szCs w:val="21"/>
          <w:color w:val="auto"/>
        </w:rPr>
        <w:t>:</w:t>
      </w:r>
    </w:p>
    <w:p>
      <w:pPr>
        <w:spacing w:after="0" w:line="80" w:lineRule="exact"/>
        <w:rPr>
          <w:rFonts w:ascii="Arial" w:cs="Arial" w:eastAsia="Arial" w:hAnsi="Arial"/>
          <w:sz w:val="21"/>
          <w:szCs w:val="21"/>
          <w:color w:val="auto"/>
        </w:rPr>
      </w:pPr>
    </w:p>
    <w:p>
      <w:pPr>
        <w:ind w:left="1238" w:right="20" w:hanging="619"/>
        <w:spacing w:after="0" w:line="232" w:lineRule="auto"/>
        <w:tabs>
          <w:tab w:leader="none" w:pos="1226"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ROIC:</w:t>
      </w:r>
      <w:r>
        <w:rPr>
          <w:rFonts w:ascii="Arial" w:cs="Arial" w:eastAsia="Arial" w:hAnsi="Arial"/>
          <w:sz w:val="19"/>
          <w:szCs w:val="19"/>
          <w:color w:val="auto"/>
        </w:rPr>
        <w:t xml:space="preserve"> If, upon the conclusion of the ROIC Performance Period, ROIC for any fiscal year in the ROIC Performance Period and/or the Three-Year Average exceeds the target level, but is less than the maximum level, as set forth in the ROIC Performance Matrix contained in the Statement of Performance Goals, the percentage of ROIC Target Performance Shares that shall become earned shall be determined by the summation of the percentage of ROIC payout as determined by mathematical straight-line interpolation of actual ROIC performance compared to the ROIC performance metrics for each such fiscal year multiplied times 20% and the Three Year Average ROIC performance compared to the ROIC performance metrics multiplied times 40% between 100% (target) payout of the ROIC Target Performance Shares and 200% (maximum) payout of the ROIC Target Performance Shares, with a fractional share from the total earned ROIC Target Performance Shares rounded down to the next whole share.</w:t>
      </w:r>
    </w:p>
    <w:p>
      <w:pPr>
        <w:spacing w:after="0" w:line="150" w:lineRule="exact"/>
        <w:rPr>
          <w:sz w:val="20"/>
          <w:szCs w:val="20"/>
          <w:color w:val="auto"/>
        </w:rPr>
      </w:pPr>
    </w:p>
    <w:p>
      <w:pPr>
        <w:ind w:left="1238" w:right="60" w:hanging="619"/>
        <w:spacing w:after="0" w:line="217" w:lineRule="auto"/>
        <w:tabs>
          <w:tab w:leader="none" w:pos="123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TSR</w:t>
      </w:r>
      <w:r>
        <w:rPr>
          <w:rFonts w:ascii="Arial" w:cs="Arial" w:eastAsia="Arial" w:hAnsi="Arial"/>
          <w:sz w:val="19"/>
          <w:szCs w:val="19"/>
          <w:color w:val="auto"/>
        </w:rPr>
        <w:t>: If, upon the conclusion of the TSR Performance Period, the Company’s relative TSR exceeds the 50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percentile, but is less than the 75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percentile of TSR for the TSR Peer Group Companies, the percentage of TSR Target Performance Shares that shall become earned shall be determined by mathematical straight-line interpolation between 100% of the TSR Target Performance Shares and 200% of the TSR Target Performance Shares, with a fractional share rounded down to the next whole share.</w:t>
      </w:r>
    </w:p>
    <w:p>
      <w:pPr>
        <w:sectPr>
          <w:pgSz w:w="11900" w:h="16838" w:orient="portrait"/>
          <w:cols w:equalWidth="0" w:num="1">
            <w:col w:w="10578"/>
          </w:cols>
          <w:pgMar w:left="942" w:top="1336" w:right="379" w:bottom="1440" w:gutter="0" w:footer="0" w:header="0"/>
        </w:sectPr>
      </w:pPr>
    </w:p>
    <w:bookmarkStart w:id="48" w:name="page49"/>
    <w:bookmarkEnd w:id="48"/>
    <w:p>
      <w:pPr>
        <w:spacing w:after="0" w:line="19" w:lineRule="exact"/>
        <w:rPr>
          <w:sz w:val="20"/>
          <w:szCs w:val="20"/>
          <w:color w:val="auto"/>
        </w:rPr>
      </w:pPr>
    </w:p>
    <w:p>
      <w:pPr>
        <w:ind w:left="618" w:hanging="618"/>
        <w:spacing w:after="0"/>
        <w:tabs>
          <w:tab w:leader="none" w:pos="618"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Equals or Exceeds Maximum</w:t>
      </w:r>
      <w:r>
        <w:rPr>
          <w:rFonts w:ascii="Arial" w:cs="Arial" w:eastAsia="Arial" w:hAnsi="Arial"/>
          <w:sz w:val="21"/>
          <w:szCs w:val="21"/>
          <w:color w:val="auto"/>
        </w:rPr>
        <w:t>:</w:t>
      </w:r>
    </w:p>
    <w:p>
      <w:pPr>
        <w:spacing w:after="0" w:line="80" w:lineRule="exact"/>
        <w:rPr>
          <w:rFonts w:ascii="Arial" w:cs="Arial" w:eastAsia="Arial" w:hAnsi="Arial"/>
          <w:sz w:val="21"/>
          <w:szCs w:val="21"/>
          <w:color w:val="auto"/>
        </w:rPr>
      </w:pPr>
    </w:p>
    <w:p>
      <w:pPr>
        <w:ind w:left="1238" w:right="240" w:hanging="619"/>
        <w:spacing w:after="0" w:line="225" w:lineRule="auto"/>
        <w:tabs>
          <w:tab w:leader="none" w:pos="1226"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ROIC</w:t>
      </w:r>
      <w:r>
        <w:rPr>
          <w:rFonts w:ascii="Arial" w:cs="Arial" w:eastAsia="Arial" w:hAnsi="Arial"/>
          <w:sz w:val="20"/>
          <w:szCs w:val="20"/>
          <w:color w:val="auto"/>
        </w:rPr>
        <w:t>: If, upon the conclusion of the ROIC Performance Period, ROIC for any fiscal year in the ROIC Performance Period and/or the Three-Year Average equals or exceeds the maximum level, as set forth in the ROIC Performance Matrix contained in the Statement of Performance Goals, 40% of the ROIC Target Performance Shares shall be earned for each such fiscal year and 80% of the ROIC Target Performance Shares shall be earned for the Three Year Average ROIC, with a fractional share from the total earned ROIC Target Performance Shares rounded down to the next whole share.</w:t>
      </w:r>
    </w:p>
    <w:p>
      <w:pPr>
        <w:spacing w:after="0" w:line="150" w:lineRule="exact"/>
        <w:rPr>
          <w:rFonts w:ascii="Arial" w:cs="Arial" w:eastAsia="Arial" w:hAnsi="Arial"/>
          <w:sz w:val="20"/>
          <w:szCs w:val="20"/>
          <w:color w:val="auto"/>
        </w:rPr>
      </w:pPr>
    </w:p>
    <w:p>
      <w:pPr>
        <w:jc w:val="both"/>
        <w:ind w:left="1238" w:right="20" w:hanging="619"/>
        <w:spacing w:after="0" w:line="239" w:lineRule="auto"/>
        <w:tabs>
          <w:tab w:leader="none" w:pos="123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TSR</w:t>
      </w:r>
      <w:r>
        <w:rPr>
          <w:rFonts w:ascii="Arial" w:cs="Arial" w:eastAsia="Arial" w:hAnsi="Arial"/>
          <w:sz w:val="18"/>
          <w:szCs w:val="18"/>
          <w:color w:val="auto"/>
        </w:rPr>
        <w:t>: If, upon conclusion of the TSR Performance Period, the Company’s relative TSR for the TSR Performance Period equals or exceeds the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TSR for the TSR Peer Group Companies, 200% of the TSR Target Performance Shares shall become earned, with a fractional share rounded down to the next whole share.</w:t>
      </w:r>
    </w:p>
    <w:p>
      <w:pPr>
        <w:spacing w:after="0" w:line="162" w:lineRule="exact"/>
        <w:rPr>
          <w:rFonts w:ascii="Arial" w:cs="Arial" w:eastAsia="Arial" w:hAnsi="Arial"/>
          <w:sz w:val="18"/>
          <w:szCs w:val="18"/>
          <w:color w:val="auto"/>
        </w:rPr>
      </w:pPr>
    </w:p>
    <w:p>
      <w:pPr>
        <w:ind w:left="618" w:hanging="618"/>
        <w:spacing w:after="0" w:line="235" w:lineRule="auto"/>
        <w:tabs>
          <w:tab w:leader="none" w:pos="614"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Conditions; Determination of Earned Award</w:t>
      </w:r>
      <w:r>
        <w:rPr>
          <w:rFonts w:ascii="Arial" w:cs="Arial" w:eastAsia="Arial" w:hAnsi="Arial"/>
          <w:sz w:val="21"/>
          <w:szCs w:val="21"/>
          <w:color w:val="auto"/>
        </w:rPr>
        <w:t>: Except as otherwise provided herein, the Participant’s right to receive any Performance Shares is contingent upon his or her remaining in the continuous employ of the Company or a Subsidiary through the end of the Performance Periods. Following the Performance Periods, the Committee shall determine whether and to what extent the goals relating to ROIC and TSR have been satisfied for the Performance Periods and shall determine the percent of ROIC Target Performance Shares and TSR Target Performance Shares, if any, that may have become earned hereunder.</w:t>
      </w:r>
    </w:p>
    <w:p>
      <w:pPr>
        <w:spacing w:after="0" w:line="63" w:lineRule="exact"/>
        <w:rPr>
          <w:rFonts w:ascii="Arial" w:cs="Arial" w:eastAsia="Arial" w:hAnsi="Arial"/>
          <w:sz w:val="21"/>
          <w:szCs w:val="21"/>
          <w:color w:val="auto"/>
        </w:rPr>
      </w:pPr>
    </w:p>
    <w:p>
      <w:pPr>
        <w:ind w:left="618" w:right="100" w:hanging="618"/>
        <w:spacing w:after="0" w:line="219" w:lineRule="auto"/>
        <w:tabs>
          <w:tab w:leader="none" w:pos="606"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Determination Regarding ROIC</w:t>
      </w:r>
      <w:r>
        <w:rPr>
          <w:rFonts w:ascii="Arial" w:cs="Arial" w:eastAsia="Arial" w:hAnsi="Arial"/>
          <w:sz w:val="21"/>
          <w:szCs w:val="21"/>
          <w:color w:val="auto"/>
        </w:rPr>
        <w:t>: ROIC for each fiscal year in the ROIC Performance Period is defined as net income plus interest, net of taxes, plus amortization, net of taxes, less dividends divided by the average invested capital (funded debt less cash and marketable securities plus total stockholders’ equity) at the beginning of each fiscal year in the performance period, computed as follows:</w:t>
      </w:r>
    </w:p>
    <w:p>
      <w:pPr>
        <w:spacing w:after="0" w:line="120" w:lineRule="exact"/>
        <w:rPr>
          <w:sz w:val="20"/>
          <w:szCs w:val="20"/>
          <w:color w:val="auto"/>
        </w:rPr>
      </w:pPr>
    </w:p>
    <w:tbl>
      <w:tblPr>
        <w:tblLayout w:type="fixed"/>
        <w:tblInd w:w="798" w:type="dxa"/>
        <w:tblCellMar>
          <w:top w:w="0" w:type="dxa"/>
          <w:left w:w="0" w:type="dxa"/>
          <w:bottom w:w="0" w:type="dxa"/>
          <w:right w:w="0" w:type="dxa"/>
        </w:tblCellMar>
      </w:tblPr>
      <w:tr>
        <w:trPr>
          <w:trHeight w:val="217"/>
        </w:trPr>
        <w:tc>
          <w:tcPr>
            <w:tcW w:w="92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7"/>
                <w:szCs w:val="17"/>
                <w:color w:val="auto"/>
                <w:w w:val="93"/>
              </w:rPr>
              <w:t>Net Income + ((Net Interest + Amortization) x (1 – Tax Rate)) – Dividends</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0"/>
                <w:szCs w:val="20"/>
                <w:color w:val="auto"/>
              </w:rPr>
            </w:pPr>
            <w:r>
              <w:rPr>
                <w:rFonts w:ascii="Arial" w:cs="Arial" w:eastAsia="Arial" w:hAnsi="Arial"/>
                <w:sz w:val="17"/>
                <w:szCs w:val="17"/>
                <w:color w:val="auto"/>
              </w:rPr>
              <w:t>ROIC   =</w:t>
            </w:r>
          </w:p>
        </w:tc>
        <w:tc>
          <w:tcPr>
            <w:tcW w:w="8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20" w:type="dxa"/>
            <w:vAlign w:val="bottom"/>
            <w:vMerge w:val="continue"/>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7"/>
                <w:szCs w:val="17"/>
                <w:color w:val="auto"/>
                <w:w w:val="91"/>
              </w:rPr>
              <w:t>Average of (Funded Debt – Cash and Marketable Securities + Total Stockholders’ Equity) at the beginning and the</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7"/>
                <w:szCs w:val="17"/>
                <w:color w:val="auto"/>
                <w:w w:val="90"/>
              </w:rPr>
              <w:t>end of each year in the performance period</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18" w:right="380"/>
        <w:spacing w:after="0" w:line="250" w:lineRule="auto"/>
        <w:rPr>
          <w:sz w:val="20"/>
          <w:szCs w:val="20"/>
          <w:color w:val="auto"/>
        </w:rPr>
      </w:pPr>
      <w:r>
        <w:rPr>
          <w:rFonts w:ascii="Arial" w:cs="Arial" w:eastAsia="Arial" w:hAnsi="Arial"/>
          <w:sz w:val="20"/>
          <w:szCs w:val="20"/>
          <w:color w:val="auto"/>
        </w:rPr>
        <w:t>with all financial measures as determined from the Company’s consolidated financial statements for each year in the ROIC Performance Period</w:t>
      </w:r>
      <w:r>
        <w:rPr>
          <w:rFonts w:ascii="Arial" w:cs="Arial" w:eastAsia="Arial" w:hAnsi="Arial"/>
          <w:sz w:val="20"/>
          <w:szCs w:val="20"/>
          <w:b w:val="1"/>
          <w:bCs w:val="1"/>
          <w:color w:val="auto"/>
        </w:rPr>
        <w:t>,</w:t>
      </w:r>
      <w:r>
        <w:rPr>
          <w:rFonts w:ascii="Arial" w:cs="Arial" w:eastAsia="Arial" w:hAnsi="Arial"/>
          <w:sz w:val="20"/>
          <w:szCs w:val="20"/>
          <w:color w:val="auto"/>
        </w:rPr>
        <w:t xml:space="preserve"> subject to any adjustment as determined by the Committee.</w:t>
      </w:r>
    </w:p>
    <w:p>
      <w:pPr>
        <w:sectPr>
          <w:pgSz w:w="11900" w:h="16838" w:orient="portrait"/>
          <w:cols w:equalWidth="0" w:num="1">
            <w:col w:w="10598"/>
          </w:cols>
          <w:pgMar w:left="942" w:top="1440" w:right="359" w:bottom="1440" w:gutter="0" w:footer="0" w:header="0"/>
        </w:sectPr>
      </w:pPr>
    </w:p>
    <w:bookmarkStart w:id="49" w:name="page50"/>
    <w:bookmarkEnd w:id="49"/>
    <w:p>
      <w:pPr>
        <w:spacing w:after="0" w:line="19" w:lineRule="exact"/>
        <w:rPr>
          <w:sz w:val="20"/>
          <w:szCs w:val="20"/>
          <w:color w:val="auto"/>
        </w:rPr>
      </w:pPr>
    </w:p>
    <w:p>
      <w:pPr>
        <w:ind w:left="1237" w:right="40" w:hanging="618"/>
        <w:spacing w:after="0" w:line="246" w:lineRule="auto"/>
        <w:tabs>
          <w:tab w:leader="none" w:pos="1225" w:val="left"/>
        </w:tabs>
        <w:numPr>
          <w:ilvl w:val="1"/>
          <w:numId w:val="24"/>
        </w:numPr>
        <w:rPr>
          <w:rFonts w:ascii="Arial" w:cs="Arial" w:eastAsia="Arial" w:hAnsi="Arial"/>
          <w:sz w:val="20"/>
          <w:szCs w:val="20"/>
          <w:color w:val="auto"/>
        </w:rPr>
      </w:pPr>
      <w:r>
        <w:rPr>
          <w:rFonts w:ascii="Arial" w:cs="Arial" w:eastAsia="Arial" w:hAnsi="Arial"/>
          <w:sz w:val="20"/>
          <w:szCs w:val="20"/>
          <w:u w:val="single" w:color="auto"/>
          <w:color w:val="auto"/>
        </w:rPr>
        <w:t>Determination Regarding TSR</w:t>
      </w:r>
      <w:r>
        <w:rPr>
          <w:rFonts w:ascii="Arial" w:cs="Arial" w:eastAsia="Arial" w:hAnsi="Arial"/>
          <w:sz w:val="20"/>
          <w:szCs w:val="20"/>
          <w:color w:val="auto"/>
        </w:rPr>
        <w:t>: At the end of the TSR Performance Period, the percentile rank of the Company’s TSR in respect to the TSR of the TSR Peer Companies will be calculated. TSR with respect to the Company and each of the TSR Peer Companies means the change in the fair market value of common stock of the Company and the TSR Peer Companies, assuming reinvestment of dividends, over the TSR Performance Period. The measurement of change in fair market value over the Performance Period shall be based on the average closing prices of the common stock for the last 20 trading days preceding the Date of Grant and the last 20 trading days preceding the end of the TSR Performance Period (December 31, 20___), assuming reinvestment of dividends in common stock. Any TSR Peer Company that is no longer publicly traded at any time during or at the end of the TSR Performance Period shall be excluded from this calculation.</w:t>
      </w:r>
    </w:p>
    <w:p>
      <w:pPr>
        <w:spacing w:after="0" w:line="57" w:lineRule="exact"/>
        <w:rPr>
          <w:rFonts w:ascii="Arial" w:cs="Arial" w:eastAsia="Arial" w:hAnsi="Arial"/>
          <w:sz w:val="20"/>
          <w:szCs w:val="20"/>
          <w:color w:val="auto"/>
        </w:rPr>
      </w:pPr>
    </w:p>
    <w:p>
      <w:pPr>
        <w:ind w:left="1237" w:right="440" w:hanging="618"/>
        <w:spacing w:after="0" w:line="233" w:lineRule="auto"/>
        <w:tabs>
          <w:tab w:leader="none" w:pos="1232"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TSR Peer Companies:</w:t>
      </w:r>
      <w:r>
        <w:rPr>
          <w:rFonts w:ascii="Arial" w:cs="Arial" w:eastAsia="Arial" w:hAnsi="Arial"/>
          <w:sz w:val="21"/>
          <w:szCs w:val="21"/>
          <w:color w:val="auto"/>
        </w:rPr>
        <w:t xml:space="preserve"> The public companies against which the Company’s TSR performance will be compared (the “TSR Peer Group Companies”) are identified in the Statement of Performance Goals.</w:t>
      </w:r>
    </w:p>
    <w:p>
      <w:pPr>
        <w:spacing w:after="0" w:line="162" w:lineRule="exact"/>
        <w:rPr>
          <w:rFonts w:ascii="Arial" w:cs="Arial" w:eastAsia="Arial" w:hAnsi="Arial"/>
          <w:sz w:val="21"/>
          <w:szCs w:val="21"/>
          <w:color w:val="auto"/>
        </w:rPr>
      </w:pPr>
    </w:p>
    <w:p>
      <w:pPr>
        <w:ind w:left="617" w:hanging="617"/>
        <w:spacing w:after="0"/>
        <w:tabs>
          <w:tab w:leader="none" w:pos="617"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Pro Rata Earning of Target Performance Shares</w:t>
      </w:r>
      <w:r>
        <w:rPr>
          <w:rFonts w:ascii="Arial" w:cs="Arial" w:eastAsia="Arial" w:hAnsi="Arial"/>
          <w:sz w:val="21"/>
          <w:szCs w:val="21"/>
          <w:color w:val="auto"/>
        </w:rPr>
        <w:t>.</w:t>
      </w:r>
    </w:p>
    <w:p>
      <w:pPr>
        <w:spacing w:after="0" w:line="93" w:lineRule="exact"/>
        <w:rPr>
          <w:rFonts w:ascii="Arial" w:cs="Arial" w:eastAsia="Arial" w:hAnsi="Arial"/>
          <w:sz w:val="21"/>
          <w:szCs w:val="21"/>
          <w:color w:val="auto"/>
        </w:rPr>
      </w:pPr>
    </w:p>
    <w:p>
      <w:pPr>
        <w:ind w:left="1237" w:hanging="618"/>
        <w:spacing w:after="0" w:line="259" w:lineRule="auto"/>
        <w:tabs>
          <w:tab w:leader="none" w:pos="1234"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Good Reason, Death, Disability or Retirement</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2(h)</w:t>
      </w:r>
      <w:r>
        <w:rPr>
          <w:rFonts w:ascii="Arial" w:cs="Arial" w:eastAsia="Arial" w:hAnsi="Arial"/>
          <w:sz w:val="19"/>
          <w:szCs w:val="19"/>
          <w:color w:val="auto"/>
        </w:rPr>
        <w:t xml:space="preserve">, if, during the Performance Period, but before the payment of any Performance Shares as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the Participant’s employment is terminated without “Cause” or with “Good Reason” (as each term is defined in the Participant’s current Employment Agreement with the Company, as may be amended from time to time (the “Employment Agreement”)), the Participant dies or in the event of his “Disability” (as such term is defined in the Employment Agreement) while in the employ of the Company or in the event of the retirement of the Participant after having attained “normal retirement age” (defined as the earlier of age 62 or 55 years old and 10 years of service with the Company), then the Participant shall be entitled to receive such percent of the ROIC Target Performance Shares and TSR Target Performance Shares, if any, as is determined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at the conclusion of the Performance Periods as if the Participant had remained in the continuous employ of the Company through the end of the Performance Periods, based on the Company’s ROIC and TSR performance during the Performance Periods, prorated, based on the number of whole months that the Participant was employed by the Company during the Performance Periods.</w:t>
      </w:r>
    </w:p>
    <w:p>
      <w:pPr>
        <w:spacing w:after="0" w:line="58" w:lineRule="exact"/>
        <w:rPr>
          <w:rFonts w:ascii="Arial" w:cs="Arial" w:eastAsia="Arial" w:hAnsi="Arial"/>
          <w:sz w:val="19"/>
          <w:szCs w:val="19"/>
          <w:color w:val="auto"/>
        </w:rPr>
      </w:pPr>
    </w:p>
    <w:p>
      <w:pPr>
        <w:ind w:left="1237" w:right="400" w:hanging="618"/>
        <w:spacing w:after="0" w:line="253" w:lineRule="auto"/>
        <w:tabs>
          <w:tab w:leader="none" w:pos="1232"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Notwithstanding </w:t>
      </w:r>
      <w:r>
        <w:rPr>
          <w:rFonts w:ascii="Arial" w:cs="Arial" w:eastAsia="Arial" w:hAnsi="Arial"/>
          <w:sz w:val="20"/>
          <w:szCs w:val="20"/>
          <w:u w:val="single" w:color="auto"/>
          <w:color w:val="auto"/>
        </w:rPr>
        <w:t>Section 2(h)</w:t>
      </w:r>
      <w:r>
        <w:rPr>
          <w:rFonts w:ascii="Arial" w:cs="Arial" w:eastAsia="Arial" w:hAnsi="Arial"/>
          <w:sz w:val="20"/>
          <w:szCs w:val="20"/>
          <w:color w:val="auto"/>
        </w:rPr>
        <w:t xml:space="preserve">, if, during the Performance Periods, but before the payment of any Performance Shares as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a Change in Control occurs while the Participant is an employee of the Company, then the Participant shall be entitled to receive the number of ROIC Target Performance Shares and the number of TSR Target Performance Shares set out in </w:t>
      </w:r>
      <w:r>
        <w:rPr>
          <w:rFonts w:ascii="Arial" w:cs="Arial" w:eastAsia="Arial" w:hAnsi="Arial"/>
          <w:sz w:val="20"/>
          <w:szCs w:val="20"/>
          <w:u w:val="single" w:color="auto"/>
          <w:color w:val="auto"/>
        </w:rPr>
        <w:t>Section 1</w:t>
      </w:r>
      <w:r>
        <w:rPr>
          <w:rFonts w:ascii="Arial" w:cs="Arial" w:eastAsia="Arial" w:hAnsi="Arial"/>
          <w:sz w:val="20"/>
          <w:szCs w:val="20"/>
          <w:color w:val="auto"/>
        </w:rPr>
        <w:t>.</w:t>
      </w:r>
    </w:p>
    <w:p>
      <w:pPr>
        <w:sectPr>
          <w:pgSz w:w="11900" w:h="16838" w:orient="portrait"/>
          <w:cols w:equalWidth="0" w:num="1">
            <w:col w:w="11237"/>
          </w:cols>
          <w:pgMar w:left="323" w:top="1440" w:right="339" w:bottom="1440" w:gutter="0" w:footer="0" w:header="0"/>
        </w:sectPr>
      </w:pPr>
    </w:p>
    <w:bookmarkStart w:id="50" w:name="page51"/>
    <w:bookmarkEnd w:id="50"/>
    <w:p>
      <w:pPr>
        <w:spacing w:after="0" w:line="19" w:lineRule="exact"/>
        <w:rPr>
          <w:sz w:val="20"/>
          <w:szCs w:val="20"/>
          <w:color w:val="auto"/>
        </w:rPr>
      </w:pPr>
    </w:p>
    <w:p>
      <w:pPr>
        <w:ind w:left="617" w:right="20" w:hanging="617"/>
        <w:spacing w:after="0" w:line="271" w:lineRule="auto"/>
        <w:tabs>
          <w:tab w:leader="none" w:pos="617"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Forfeiture of Award</w:t>
      </w:r>
      <w:r>
        <w:rPr>
          <w:rFonts w:ascii="Arial" w:cs="Arial" w:eastAsia="Arial" w:hAnsi="Arial"/>
          <w:sz w:val="19"/>
          <w:szCs w:val="19"/>
          <w:color w:val="auto"/>
        </w:rPr>
        <w:t xml:space="preserve">. Except to the extent the Participant has earned the right to receive Performance Shares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w:t>
      </w:r>
      <w:r>
        <w:rPr>
          <w:rFonts w:ascii="Arial" w:cs="Arial" w:eastAsia="Arial" w:hAnsi="Arial"/>
          <w:sz w:val="19"/>
          <w:szCs w:val="19"/>
          <w:color w:val="auto"/>
        </w:rPr>
        <w:t xml:space="preserve"> hereof, the Participant’s right to receive Performance Shares shall be forfeited automatically and without further notice on the date that the Participant ceases to be an employee of the Company or a Subsidiary prior to the last day of the Performance Periods or, in the event that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applies, the date on which the Change in Control occurs.</w:t>
      </w:r>
    </w:p>
    <w:p>
      <w:pPr>
        <w:spacing w:after="0" w:line="44" w:lineRule="exact"/>
        <w:rPr>
          <w:rFonts w:ascii="Arial" w:cs="Arial" w:eastAsia="Arial" w:hAnsi="Arial"/>
          <w:sz w:val="19"/>
          <w:szCs w:val="19"/>
          <w:color w:val="auto"/>
        </w:rPr>
      </w:pPr>
    </w:p>
    <w:p>
      <w:pPr>
        <w:ind w:left="617" w:hanging="617"/>
        <w:spacing w:after="0"/>
        <w:tabs>
          <w:tab w:leader="none" w:pos="617"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Payment of Performance Shares</w:t>
      </w:r>
      <w:r>
        <w:rPr>
          <w:rFonts w:ascii="Arial" w:cs="Arial" w:eastAsia="Arial" w:hAnsi="Arial"/>
          <w:sz w:val="21"/>
          <w:szCs w:val="21"/>
          <w:color w:val="auto"/>
        </w:rPr>
        <w:t>.</w:t>
      </w:r>
    </w:p>
    <w:p>
      <w:pPr>
        <w:spacing w:after="0" w:line="93" w:lineRule="exact"/>
        <w:rPr>
          <w:rFonts w:ascii="Arial" w:cs="Arial" w:eastAsia="Arial" w:hAnsi="Arial"/>
          <w:sz w:val="21"/>
          <w:szCs w:val="21"/>
          <w:color w:val="auto"/>
        </w:rPr>
      </w:pPr>
    </w:p>
    <w:p>
      <w:pPr>
        <w:ind w:left="1237" w:right="140" w:hanging="618"/>
        <w:spacing w:after="0" w:line="253" w:lineRule="auto"/>
        <w:tabs>
          <w:tab w:leader="none" w:pos="1234" w:val="left"/>
        </w:tabs>
        <w:numPr>
          <w:ilvl w:val="1"/>
          <w:numId w:val="26"/>
        </w:numPr>
        <w:rPr>
          <w:rFonts w:ascii="Arial" w:cs="Arial" w:eastAsia="Arial" w:hAnsi="Arial"/>
          <w:sz w:val="20"/>
          <w:szCs w:val="20"/>
          <w:color w:val="auto"/>
        </w:rPr>
      </w:pPr>
      <w:r>
        <w:rPr>
          <w:rFonts w:ascii="Arial" w:cs="Arial" w:eastAsia="Arial" w:hAnsi="Arial"/>
          <w:sz w:val="20"/>
          <w:szCs w:val="20"/>
          <w:color w:val="auto"/>
        </w:rPr>
        <w:t xml:space="preserve">Subject to Section 5(c), Performance Shares earned as provided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or pursuant to </w:t>
      </w:r>
      <w:r>
        <w:rPr>
          <w:rFonts w:ascii="Arial" w:cs="Arial" w:eastAsia="Arial" w:hAnsi="Arial"/>
          <w:sz w:val="20"/>
          <w:szCs w:val="20"/>
          <w:u w:val="single" w:color="auto"/>
          <w:color w:val="auto"/>
        </w:rPr>
        <w:t>Section 3(a)</w:t>
      </w:r>
      <w:r>
        <w:rPr>
          <w:rFonts w:ascii="Arial" w:cs="Arial" w:eastAsia="Arial" w:hAnsi="Arial"/>
          <w:sz w:val="20"/>
          <w:szCs w:val="20"/>
          <w:color w:val="auto"/>
        </w:rPr>
        <w:t xml:space="preserve"> shall be paid to the Participant or his or her executor or administrator, as the case may be, in shares of Common Stock in the calendar year immediately following the close of the Performance Period to which the award relates, but in no event later than two and one-half (2 1/2) months after the close of the Performance Period.</w:t>
      </w:r>
    </w:p>
    <w:p>
      <w:pPr>
        <w:spacing w:after="0" w:line="61" w:lineRule="exact"/>
        <w:rPr>
          <w:rFonts w:ascii="Arial" w:cs="Arial" w:eastAsia="Arial" w:hAnsi="Arial"/>
          <w:sz w:val="20"/>
          <w:szCs w:val="20"/>
          <w:color w:val="auto"/>
        </w:rPr>
      </w:pPr>
    </w:p>
    <w:p>
      <w:pPr>
        <w:ind w:left="1237" w:right="40" w:hanging="618"/>
        <w:spacing w:after="0" w:line="279" w:lineRule="auto"/>
        <w:tabs>
          <w:tab w:leader="none" w:pos="1232"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The ROIC Target Performance Shares and TSR Target Performance Shares earned pursuant to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shall be paid to the Participant in shares of Common Stock as soon as practicable following the Change in Control, but in no event later than two and one-half (2 1/2) months following the end of the year in which the Change in Control occurs.</w:t>
      </w:r>
    </w:p>
    <w:p>
      <w:pPr>
        <w:spacing w:after="0" w:line="24" w:lineRule="exact"/>
        <w:rPr>
          <w:rFonts w:ascii="Arial" w:cs="Arial" w:eastAsia="Arial" w:hAnsi="Arial"/>
          <w:sz w:val="19"/>
          <w:szCs w:val="19"/>
          <w:color w:val="auto"/>
        </w:rPr>
      </w:pPr>
    </w:p>
    <w:p>
      <w:pPr>
        <w:ind w:left="1237" w:hanging="618"/>
        <w:spacing w:after="0" w:line="234" w:lineRule="auto"/>
        <w:tabs>
          <w:tab w:leader="none" w:pos="1234" w:val="left"/>
        </w:tabs>
        <w:numPr>
          <w:ilvl w:val="1"/>
          <w:numId w:val="26"/>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if the Participant is a “specified employee” as determined pursuant to procedures adopted by the Company in compliance with Section 409A of the Code, the ROIC Target Performance Shares and TSR Target Performance Shares become payable on the Participant’s “separation from service” with the Company and its Subsidiaries within the meaning of Section 409A(a)(2)(A)(i) of the Code, and the amount payable hereunder constitutes a “deferral of compensation” (within the meaning of Section 409A of the Code), then payment of the ROIC Target Performance Shares and TSR Target Performance Shares shall be made on the earlier of the first day of the seventh month after the date of the Participant’s “separation from service” with the Company and its Subsidiaries within the meaning of Section 409A(a)(2)(A)(i) of the Code or the Participant’s death.</w:t>
      </w:r>
    </w:p>
    <w:p>
      <w:pPr>
        <w:spacing w:after="0" w:line="165" w:lineRule="exact"/>
        <w:rPr>
          <w:rFonts w:ascii="Arial" w:cs="Arial" w:eastAsia="Arial" w:hAnsi="Arial"/>
          <w:sz w:val="19"/>
          <w:szCs w:val="19"/>
          <w:color w:val="auto"/>
        </w:rPr>
      </w:pPr>
    </w:p>
    <w:p>
      <w:pPr>
        <w:ind w:left="617" w:hanging="617"/>
        <w:spacing w:after="0"/>
        <w:tabs>
          <w:tab w:leader="none" w:pos="617"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Transferability shall be as set forth in the Plan.</w:t>
      </w:r>
    </w:p>
    <w:p>
      <w:pPr>
        <w:spacing w:after="0" w:line="93" w:lineRule="exact"/>
        <w:rPr>
          <w:rFonts w:ascii="Arial" w:cs="Arial" w:eastAsia="Arial" w:hAnsi="Arial"/>
          <w:sz w:val="21"/>
          <w:szCs w:val="21"/>
          <w:color w:val="auto"/>
        </w:rPr>
      </w:pPr>
    </w:p>
    <w:p>
      <w:pPr>
        <w:ind w:left="617" w:right="180" w:hanging="617"/>
        <w:spacing w:after="0" w:line="241" w:lineRule="auto"/>
        <w:tabs>
          <w:tab w:leader="none" w:pos="617"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No Employment Contract</w:t>
      </w:r>
      <w:r>
        <w:rPr>
          <w:rFonts w:ascii="Arial" w:cs="Arial" w:eastAsia="Arial" w:hAnsi="Arial"/>
          <w:sz w:val="21"/>
          <w:szCs w:val="21"/>
          <w:color w:val="auto"/>
        </w:rPr>
        <w:t>. Nothing contained in this Agreement shall (a) confer upon the Participant any right to be employed by or remain employed by the Company, or (b) limit or affect in any manner the right of the Company to terminate the employment of the Participant at any time.</w:t>
      </w:r>
    </w:p>
    <w:p>
      <w:pPr>
        <w:spacing w:after="0" w:line="71" w:lineRule="exact"/>
        <w:rPr>
          <w:rFonts w:ascii="Arial" w:cs="Arial" w:eastAsia="Arial" w:hAnsi="Arial"/>
          <w:sz w:val="21"/>
          <w:szCs w:val="21"/>
          <w:color w:val="auto"/>
        </w:rPr>
      </w:pPr>
    </w:p>
    <w:p>
      <w:pPr>
        <w:ind w:left="617" w:right="60" w:hanging="617"/>
        <w:spacing w:after="0" w:line="249" w:lineRule="auto"/>
        <w:tabs>
          <w:tab w:leader="none" w:pos="61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Taxes and Withholding</w:t>
      </w:r>
      <w:r>
        <w:rPr>
          <w:rFonts w:ascii="Arial" w:cs="Arial" w:eastAsia="Arial" w:hAnsi="Arial"/>
          <w:sz w:val="20"/>
          <w:szCs w:val="20"/>
          <w:color w:val="auto"/>
        </w:rPr>
        <w:t>. To the extent that the Company is required to withhold any federal, state, local or foreign taxes in connection with the payment of any Performance Shares, it shall be a condition to the payment of any Performance Shares that the Participant shall pay such taxes by the Company’s retention of a portion of the shares of Common Stock otherwise payable to the Participant. The shares so retained shall be credited against such withholding requirement at the Fair Market Value on the date of such delivery. In the event additional taxes are required to be withheld by the Company the Participant agrees to a payroll deduction for the amount of the withholding requirement.</w:t>
      </w:r>
    </w:p>
    <w:p>
      <w:pPr>
        <w:sectPr>
          <w:pgSz w:w="11900" w:h="16838" w:orient="portrait"/>
          <w:cols w:equalWidth="0" w:num="1">
            <w:col w:w="11217"/>
          </w:cols>
          <w:pgMar w:left="323" w:top="1440" w:right="359" w:bottom="1440" w:gutter="0" w:footer="0" w:header="0"/>
        </w:sectPr>
      </w:pPr>
    </w:p>
    <w:bookmarkStart w:id="51" w:name="page52"/>
    <w:bookmarkEnd w:id="51"/>
    <w:p>
      <w:pPr>
        <w:spacing w:after="0" w:line="19" w:lineRule="exact"/>
        <w:rPr>
          <w:sz w:val="20"/>
          <w:szCs w:val="20"/>
          <w:color w:val="auto"/>
        </w:rPr>
      </w:pPr>
    </w:p>
    <w:p>
      <w:pPr>
        <w:ind w:left="617" w:right="80" w:hanging="617"/>
        <w:spacing w:after="0" w:line="252" w:lineRule="auto"/>
        <w:tabs>
          <w:tab w:leader="none" w:pos="617"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Rights of a Stockholder</w:t>
      </w:r>
      <w:r>
        <w:rPr>
          <w:rFonts w:ascii="Arial" w:cs="Arial" w:eastAsia="Arial" w:hAnsi="Arial"/>
          <w:sz w:val="21"/>
          <w:szCs w:val="21"/>
          <w:color w:val="auto"/>
        </w:rPr>
        <w:t>. The Participant shall not have any rights of a stockholder with respect to the Performance Shares prior to the date such shares are earned.</w:t>
      </w:r>
    </w:p>
    <w:p>
      <w:pPr>
        <w:spacing w:after="0" w:line="60" w:lineRule="exact"/>
        <w:rPr>
          <w:rFonts w:ascii="Arial" w:cs="Arial" w:eastAsia="Arial" w:hAnsi="Arial"/>
          <w:sz w:val="21"/>
          <w:szCs w:val="21"/>
          <w:color w:val="auto"/>
        </w:rPr>
      </w:pPr>
    </w:p>
    <w:p>
      <w:pPr>
        <w:ind w:left="617" w:hanging="617"/>
        <w:spacing w:after="0" w:line="252" w:lineRule="auto"/>
        <w:tabs>
          <w:tab w:leader="none" w:pos="617"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Payment of Dividends</w:t>
      </w:r>
      <w:r>
        <w:rPr>
          <w:rFonts w:ascii="Arial" w:cs="Arial" w:eastAsia="Arial" w:hAnsi="Arial"/>
          <w:sz w:val="21"/>
          <w:szCs w:val="21"/>
          <w:color w:val="auto"/>
        </w:rPr>
        <w:t>. No dividends or dividend equivalents shall be accrued or earned with respect to any Performance Shares until such Performance Shares are earned by the Participant as provided in this Agreement.</w:t>
      </w:r>
    </w:p>
    <w:p>
      <w:pPr>
        <w:spacing w:after="0" w:line="47" w:lineRule="exact"/>
        <w:rPr>
          <w:rFonts w:ascii="Arial" w:cs="Arial" w:eastAsia="Arial" w:hAnsi="Arial"/>
          <w:sz w:val="21"/>
          <w:szCs w:val="21"/>
          <w:color w:val="auto"/>
        </w:rPr>
      </w:pPr>
    </w:p>
    <w:p>
      <w:pPr>
        <w:ind w:left="617" w:hanging="617"/>
        <w:spacing w:after="0" w:line="276" w:lineRule="auto"/>
        <w:tabs>
          <w:tab w:leader="none" w:pos="609"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xml:space="preserve"> Notwithstanding any other provision hereof, the number of Performance Shares subject to this Agreement, and the other terms and conditions of this award, are subject to mandatory adjustment as provided in Section 3.2 of the Plan.</w:t>
      </w:r>
    </w:p>
    <w:p>
      <w:pPr>
        <w:spacing w:after="0" w:line="116" w:lineRule="exact"/>
        <w:rPr>
          <w:rFonts w:ascii="Arial" w:cs="Arial" w:eastAsia="Arial" w:hAnsi="Arial"/>
          <w:sz w:val="19"/>
          <w:szCs w:val="19"/>
          <w:color w:val="auto"/>
        </w:rPr>
      </w:pPr>
    </w:p>
    <w:p>
      <w:pPr>
        <w:ind w:left="617" w:right="20" w:hanging="617"/>
        <w:spacing w:after="0" w:line="231" w:lineRule="auto"/>
        <w:tabs>
          <w:tab w:leader="none" w:pos="617"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xml:space="preserve">. If the Participant engages in any conduct in breach of any noncompetition, nonsolicitation or confidentiality obligations to the Company under any agreement, policy or plan, then such conduct shall also be deemed to be a breach of the terms of the Plan and this Agreement. Upon such breach, the Participant’s right to receive Performance Shares covered by this Agreement shall be forfeited automatically and without further notice and to the extent that the Participant has received shares of Common Stock pursuant to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within a period of 18 months prior to such breach, the Participant shall be required to return to the Company, upon demand, such shares or the net proceeds of any sales.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w:t>
      </w:r>
      <w:r>
        <w:rPr>
          <w:rFonts w:ascii="Arial" w:cs="Arial" w:eastAsia="Arial" w:hAnsi="Arial"/>
          <w:sz w:val="19"/>
          <w:szCs w:val="19"/>
          <w:color w:val="auto"/>
        </w:rPr>
        <w:t>, net proceeds shall mean the net amount realized upon the disposition of the shares. Notwithstanding anything in this Agreement to the contrary,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70" w:lineRule="exact"/>
        <w:rPr>
          <w:rFonts w:ascii="Arial" w:cs="Arial" w:eastAsia="Arial" w:hAnsi="Arial"/>
          <w:sz w:val="19"/>
          <w:szCs w:val="19"/>
          <w:color w:val="auto"/>
        </w:rPr>
      </w:pPr>
    </w:p>
    <w:p>
      <w:pPr>
        <w:ind w:left="617" w:hanging="617"/>
        <w:spacing w:after="0" w:line="258" w:lineRule="auto"/>
        <w:tabs>
          <w:tab w:leader="none" w:pos="617"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Recovery of Performance Shares</w:t>
      </w:r>
      <w:r>
        <w:rPr>
          <w:rFonts w:ascii="Arial" w:cs="Arial" w:eastAsia="Arial" w:hAnsi="Arial"/>
          <w:sz w:val="19"/>
          <w:szCs w:val="19"/>
          <w:color w:val="auto"/>
        </w:rPr>
        <w:t xml:space="preserve">. If (a) the Company restates any part of its financial statements for any fiscal year or years covered by the Performance Periods due to material noncompliance with any financial reporting requirement under the U.S. securities laws applicable to such fiscal year or years (a “Restatement”) and (b) the Committee determines that the Participant is personally responsible for causing the Restatement as a result of the Participant’s personal misconduct or any fraudulent activity on the part of the Participant, then the Committee has discretion to, based on applicable facts and circumstances and subject to applicable law, cause the Company to recover all or any portion (but no more than 100%) of the shares of Common Stock paid or payable to the Participant for the Performance Periods. The amount of any cash or shares recovered by the Company under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shall be limited to the amount by which such shares payment exceeded the amount that would have been paid to or received by the Participant had the Company’s financial statements for the applicable restated fiscal year or years been initially filed as restated, as reasonably determined by the Committee. Notwithstanding anything herein to the contrary, the Participant’s consent shall not be required for an amendment to this Agreement that is deemed necessary by the Company to ensure compliance with the Dodd-Frank Wall Street Reform and Consumer Protection Act (the “Dodd-Frank Act”) or any regulations promulgated thereunder, including as a result of the implementation of any recoupment policy the Company adopts to comply with the requirements set forth in the Dodd-Frank Act.</w:t>
      </w:r>
    </w:p>
    <w:p>
      <w:pPr>
        <w:sectPr>
          <w:pgSz w:w="11900" w:h="16838" w:orient="portrait"/>
          <w:cols w:equalWidth="0" w:num="1">
            <w:col w:w="11197"/>
          </w:cols>
          <w:pgMar w:left="323" w:top="1440" w:right="379" w:bottom="1440" w:gutter="0" w:footer="0" w:header="0"/>
        </w:sectPr>
      </w:pPr>
    </w:p>
    <w:bookmarkStart w:id="52" w:name="page53"/>
    <w:bookmarkEnd w:id="52"/>
    <w:p>
      <w:pPr>
        <w:ind w:left="617" w:hanging="617"/>
        <w:spacing w:after="0" w:line="227" w:lineRule="auto"/>
        <w:tabs>
          <w:tab w:leader="none" w:pos="617"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Relation to Plan</w:t>
      </w:r>
      <w:r>
        <w:rPr>
          <w:rFonts w:ascii="Arial" w:cs="Arial" w:eastAsia="Arial" w:hAnsi="Arial"/>
          <w:sz w:val="20"/>
          <w:szCs w:val="20"/>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that arise and to exercise its discretionary authority under the Plan in connection with the grant of ROIC Target Performance Shares and TSR Target Performance Shares.</w:t>
      </w:r>
    </w:p>
    <w:p>
      <w:pPr>
        <w:spacing w:after="0" w:line="162" w:lineRule="exact"/>
        <w:rPr>
          <w:rFonts w:ascii="Arial" w:cs="Arial" w:eastAsia="Arial" w:hAnsi="Arial"/>
          <w:sz w:val="20"/>
          <w:szCs w:val="20"/>
          <w:color w:val="auto"/>
        </w:rPr>
      </w:pPr>
    </w:p>
    <w:p>
      <w:pPr>
        <w:ind w:left="617" w:right="180" w:hanging="617"/>
        <w:spacing w:after="0" w:line="236" w:lineRule="auto"/>
        <w:tabs>
          <w:tab w:leader="none" w:pos="617"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All decisions or interpretations of the Committee with respect to any question arising under the Plan or this Agreement shall be binding, conclusive and final. The waiver by the Company of any provision of this Agreement shall not operate as or be construed to be a subsequent waiver of the same provision or of any other provision of this Agreement. The Participant agrees to execute such other agreements, documents or assignments as may be necessary or desirable to effect the purposes of this Agreement.</w:t>
      </w:r>
    </w:p>
    <w:p>
      <w:pPr>
        <w:spacing w:after="0" w:line="76" w:lineRule="exact"/>
        <w:rPr>
          <w:rFonts w:ascii="Arial" w:cs="Arial" w:eastAsia="Arial" w:hAnsi="Arial"/>
          <w:sz w:val="21"/>
          <w:szCs w:val="21"/>
          <w:color w:val="auto"/>
        </w:rPr>
      </w:pPr>
    </w:p>
    <w:p>
      <w:pPr>
        <w:ind w:left="617" w:hanging="617"/>
        <w:spacing w:after="0" w:line="241" w:lineRule="auto"/>
        <w:tabs>
          <w:tab w:leader="none" w:pos="617"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Capitalized Terms</w:t>
      </w:r>
      <w:r>
        <w:rPr>
          <w:rFonts w:ascii="Arial" w:cs="Arial" w:eastAsia="Arial" w:hAnsi="Arial"/>
          <w:sz w:val="21"/>
          <w:szCs w:val="21"/>
          <w:color w:val="auto"/>
        </w:rPr>
        <w:t>. All capitalized terms used in this Agreement that are not defined herein shall have the meanings given them in the Plan or resolutions adopted by the Committee authorizing grants made under this Agreement, unless the context clearly requires otherwise.</w:t>
      </w:r>
    </w:p>
    <w:p>
      <w:pPr>
        <w:spacing w:after="0" w:line="58" w:lineRule="exact"/>
        <w:rPr>
          <w:rFonts w:ascii="Arial" w:cs="Arial" w:eastAsia="Arial" w:hAnsi="Arial"/>
          <w:sz w:val="21"/>
          <w:szCs w:val="21"/>
          <w:color w:val="auto"/>
        </w:rPr>
      </w:pPr>
    </w:p>
    <w:p>
      <w:pPr>
        <w:ind w:left="617" w:hanging="617"/>
        <w:spacing w:after="0" w:line="222" w:lineRule="auto"/>
        <w:tabs>
          <w:tab w:leader="none" w:pos="617"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409A of the Code</w:t>
      </w:r>
      <w:r>
        <w:rPr>
          <w:rFonts w:ascii="Arial" w:cs="Arial" w:eastAsia="Arial" w:hAnsi="Arial"/>
          <w:sz w:val="20"/>
          <w:szCs w:val="20"/>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Any reference in this Agreement to Section 409A of the Code will also include any proposed, temporary or final regulations, or any other guidance, promulgated with respect to such section by the U.S. Department of the Treasury or the Internal Revenue Service.</w:t>
      </w:r>
    </w:p>
    <w:p>
      <w:pPr>
        <w:sectPr>
          <w:pgSz w:w="11900" w:h="16838" w:orient="portrait"/>
          <w:cols w:equalWidth="0" w:num="1">
            <w:col w:w="11117"/>
          </w:cols>
          <w:pgMar w:left="323" w:top="1343" w:right="459" w:bottom="1440" w:gutter="0" w:footer="0" w:header="0"/>
        </w:sectPr>
      </w:pPr>
    </w:p>
    <w:bookmarkStart w:id="53" w:name="page54"/>
    <w:bookmarkEnd w:id="53"/>
    <w:p>
      <w:pPr>
        <w:spacing w:after="0" w:line="19" w:lineRule="exact"/>
        <w:rPr>
          <w:sz w:val="20"/>
          <w:szCs w:val="20"/>
          <w:color w:val="auto"/>
        </w:rPr>
      </w:pPr>
    </w:p>
    <w:p>
      <w:pPr>
        <w:ind w:firstLine="249"/>
        <w:spacing w:after="0" w:line="252" w:lineRule="auto"/>
        <w:rPr>
          <w:sz w:val="20"/>
          <w:szCs w:val="20"/>
          <w:color w:val="auto"/>
        </w:rPr>
      </w:pPr>
      <w:r>
        <w:rPr>
          <w:rFonts w:ascii="Arial" w:cs="Arial" w:eastAsia="Arial" w:hAnsi="Arial"/>
          <w:sz w:val="21"/>
          <w:szCs w:val="21"/>
          <w:color w:val="auto"/>
        </w:rPr>
        <w:t>IN WITNESS WHEREOF, the Company has caused this Agreement to be executed on its behalf by its duly authorized officer and the Participant has executed this Agreement, as of the day and year first above written.</w:t>
      </w:r>
    </w:p>
    <w:p>
      <w:pPr>
        <w:spacing w:after="0" w:line="202"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MYR GROUP INC.</w:t>
      </w:r>
    </w:p>
    <w:p>
      <w:pPr>
        <w:spacing w:after="0" w:line="119"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By:______________________________________</w:t>
      </w:r>
    </w:p>
    <w:p>
      <w:pPr>
        <w:spacing w:after="0" w:line="119"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Name: Kenneth M. Hartwick</w:t>
      </w:r>
    </w:p>
    <w:p>
      <w:pPr>
        <w:spacing w:after="0" w:line="119"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Title: Chairman of the Board</w:t>
      </w:r>
    </w:p>
    <w:p>
      <w:pPr>
        <w:spacing w:after="0" w:line="197" w:lineRule="exact"/>
        <w:rPr>
          <w:sz w:val="20"/>
          <w:szCs w:val="20"/>
          <w:color w:val="auto"/>
        </w:rPr>
      </w:pPr>
    </w:p>
    <w:p>
      <w:pPr>
        <w:ind w:right="60" w:firstLine="202"/>
        <w:spacing w:after="0" w:line="241" w:lineRule="auto"/>
        <w:rPr>
          <w:sz w:val="20"/>
          <w:szCs w:val="20"/>
          <w:color w:val="auto"/>
        </w:rPr>
      </w:pPr>
      <w:r>
        <w:rPr>
          <w:rFonts w:ascii="Arial" w:cs="Arial" w:eastAsia="Arial" w:hAnsi="Arial"/>
          <w:sz w:val="21"/>
          <w:szCs w:val="21"/>
          <w:color w:val="auto"/>
        </w:rPr>
        <w:t>The undersigned Participant hereby acknowledges receipt of an executed copy of this Agreement and accepts the right to receive any Performance Shares or other securities covered hereby, subject to the terms and conditions of the Plan and the terms and conditions herein above set forth.</w:t>
      </w:r>
    </w:p>
    <w:p>
      <w:pPr>
        <w:spacing w:after="0" w:line="200" w:lineRule="exact"/>
        <w:rPr>
          <w:sz w:val="20"/>
          <w:szCs w:val="20"/>
          <w:color w:val="auto"/>
        </w:rPr>
      </w:pPr>
    </w:p>
    <w:p>
      <w:pPr>
        <w:spacing w:after="0" w:line="349" w:lineRule="exact"/>
        <w:rPr>
          <w:sz w:val="20"/>
          <w:szCs w:val="20"/>
          <w:color w:val="auto"/>
        </w:rPr>
      </w:pPr>
    </w:p>
    <w:p>
      <w:pPr>
        <w:ind w:left="4980"/>
        <w:spacing w:after="0"/>
        <w:rPr>
          <w:sz w:val="20"/>
          <w:szCs w:val="20"/>
          <w:color w:val="auto"/>
        </w:rPr>
      </w:pPr>
      <w:r>
        <w:rPr>
          <w:rFonts w:ascii="Arial" w:cs="Arial" w:eastAsia="Arial" w:hAnsi="Arial"/>
          <w:sz w:val="21"/>
          <w:szCs w:val="21"/>
          <w:color w:val="auto"/>
        </w:rPr>
        <w:t>______________________________________</w:t>
      </w:r>
    </w:p>
    <w:p>
      <w:pPr>
        <w:spacing w:after="0" w:line="119" w:lineRule="exact"/>
        <w:rPr>
          <w:sz w:val="20"/>
          <w:szCs w:val="20"/>
          <w:color w:val="auto"/>
        </w:rPr>
      </w:pPr>
    </w:p>
    <w:p>
      <w:pPr>
        <w:jc w:val="center"/>
        <w:ind w:right="280"/>
        <w:spacing w:after="0"/>
        <w:rPr>
          <w:sz w:val="20"/>
          <w:szCs w:val="20"/>
          <w:color w:val="auto"/>
        </w:rPr>
      </w:pPr>
      <w:r>
        <w:rPr>
          <w:rFonts w:ascii="Arial" w:cs="Arial" w:eastAsia="Arial" w:hAnsi="Arial"/>
          <w:sz w:val="21"/>
          <w:szCs w:val="21"/>
          <w:color w:val="auto"/>
        </w:rPr>
        <w:t>Participant</w:t>
      </w:r>
    </w:p>
    <w:p>
      <w:pPr>
        <w:spacing w:after="0" w:line="377" w:lineRule="exact"/>
        <w:rPr>
          <w:sz w:val="20"/>
          <w:szCs w:val="20"/>
          <w:color w:val="auto"/>
        </w:rPr>
      </w:pPr>
    </w:p>
    <w:p>
      <w:pPr>
        <w:ind w:left="4980"/>
        <w:spacing w:after="0"/>
        <w:rPr>
          <w:sz w:val="20"/>
          <w:szCs w:val="20"/>
          <w:color w:val="auto"/>
        </w:rPr>
      </w:pPr>
      <w:r>
        <w:rPr>
          <w:rFonts w:ascii="Arial" w:cs="Arial" w:eastAsia="Arial" w:hAnsi="Arial"/>
          <w:sz w:val="21"/>
          <w:szCs w:val="21"/>
          <w:color w:val="auto"/>
        </w:rPr>
        <w:t>Date: ___________________________</w:t>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Richard S. Swartz, Jr., certify that:</w:t>
      </w:r>
    </w:p>
    <w:p>
      <w:pPr>
        <w:spacing w:after="0" w:line="217" w:lineRule="exact"/>
        <w:rPr>
          <w:sz w:val="20"/>
          <w:szCs w:val="20"/>
          <w:color w:val="auto"/>
        </w:rPr>
      </w:pPr>
    </w:p>
    <w:p>
      <w:pPr>
        <w:ind w:left="620" w:hanging="61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MYR Group Inc.;</w:t>
      </w:r>
    </w:p>
    <w:p>
      <w:pPr>
        <w:spacing w:after="0" w:line="217"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620" w:right="520" w:hanging="617"/>
        <w:spacing w:after="0" w:line="312"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1240" w:right="260" w:hanging="618"/>
        <w:spacing w:after="0" w:line="266" w:lineRule="auto"/>
        <w:tabs>
          <w:tab w:leader="none" w:pos="1231"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40" w:right="560" w:hanging="618"/>
        <w:spacing w:after="0" w:line="266" w:lineRule="auto"/>
        <w:tabs>
          <w:tab w:leader="none" w:pos="122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jc w:val="both"/>
        <w:ind w:left="1240" w:right="720" w:hanging="618"/>
        <w:spacing w:after="0" w:line="349" w:lineRule="auto"/>
        <w:tabs>
          <w:tab w:leader="none" w:pos="1231"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5"/>
          <w:szCs w:val="15"/>
          <w:color w:val="auto"/>
        </w:rPr>
      </w:pPr>
    </w:p>
    <w:p>
      <w:pPr>
        <w:ind w:left="1240" w:right="260" w:hanging="618"/>
        <w:spacing w:after="0" w:line="266" w:lineRule="auto"/>
        <w:tabs>
          <w:tab w:leader="none" w:pos="122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1240" w:right="160" w:hanging="618"/>
        <w:spacing w:after="0" w:line="279" w:lineRule="auto"/>
        <w:tabs>
          <w:tab w:leader="none" w:pos="1231"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1240" w:right="120" w:hanging="618"/>
        <w:spacing w:after="0" w:line="279" w:lineRule="auto"/>
        <w:tabs>
          <w:tab w:leader="none" w:pos="1228"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7"/>
          <w:szCs w:val="17"/>
          <w:color w:val="auto"/>
        </w:rPr>
        <w:t>April 27, 2022</w:t>
      </w:r>
      <w:r>
        <w:rPr>
          <w:sz w:val="20"/>
          <w:szCs w:val="20"/>
          <w:color w:val="auto"/>
        </w:rPr>
        <w:tab/>
      </w:r>
      <w:r>
        <w:rPr>
          <w:rFonts w:ascii="Arial" w:cs="Arial" w:eastAsia="Arial" w:hAnsi="Arial"/>
          <w:sz w:val="15"/>
          <w:szCs w:val="15"/>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31115</wp:posOffset>
            </wp:positionV>
            <wp:extent cx="3201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94"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(Principal Executive Officer)</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Chief Executive Officer and President</w:t>
      </w:r>
    </w:p>
    <w:p>
      <w:pPr>
        <w:sectPr>
          <w:pgSz w:w="11900" w:h="16838" w:orient="portrait"/>
          <w:cols w:equalWidth="0" w:num="1">
            <w:col w:w="11240"/>
          </w:cols>
          <w:pgMar w:left="320" w:top="106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Betty R. Johnson, certify that:</w:t>
      </w:r>
    </w:p>
    <w:p>
      <w:pPr>
        <w:spacing w:after="0" w:line="217" w:lineRule="exact"/>
        <w:rPr>
          <w:sz w:val="20"/>
          <w:szCs w:val="20"/>
          <w:color w:val="auto"/>
        </w:rPr>
      </w:pPr>
    </w:p>
    <w:p>
      <w:pPr>
        <w:ind w:left="300" w:hanging="29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MYR Group Inc.;</w:t>
      </w:r>
    </w:p>
    <w:p>
      <w:pPr>
        <w:spacing w:after="0" w:line="217" w:lineRule="exact"/>
        <w:rPr>
          <w:rFonts w:ascii="Arial" w:cs="Arial" w:eastAsia="Arial" w:hAnsi="Arial"/>
          <w:sz w:val="17"/>
          <w:szCs w:val="17"/>
          <w:color w:val="auto"/>
        </w:rPr>
      </w:pPr>
    </w:p>
    <w:p>
      <w:pPr>
        <w:ind w:left="620" w:right="180" w:hanging="617"/>
        <w:spacing w:after="0" w:line="349" w:lineRule="auto"/>
        <w:tabs>
          <w:tab w:leader="none" w:pos="30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620" w:right="200" w:hanging="617"/>
        <w:spacing w:after="0" w:line="279" w:lineRule="auto"/>
        <w:tabs>
          <w:tab w:leader="none" w:pos="302"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left="620" w:right="40" w:hanging="617"/>
        <w:spacing w:after="0" w:line="266" w:lineRule="auto"/>
        <w:tabs>
          <w:tab w:leader="none" w:pos="29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1240" w:right="260" w:hanging="618"/>
        <w:spacing w:after="0" w:line="266" w:lineRule="auto"/>
        <w:tabs>
          <w:tab w:leader="none" w:pos="1231"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40" w:right="560" w:hanging="618"/>
        <w:spacing w:after="0" w:line="266" w:lineRule="auto"/>
        <w:tabs>
          <w:tab w:leader="none" w:pos="1228"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jc w:val="both"/>
        <w:ind w:left="1240" w:right="720" w:hanging="618"/>
        <w:spacing w:after="0" w:line="349" w:lineRule="auto"/>
        <w:tabs>
          <w:tab w:leader="none" w:pos="1231"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5"/>
          <w:szCs w:val="15"/>
          <w:color w:val="auto"/>
        </w:rPr>
      </w:pPr>
    </w:p>
    <w:p>
      <w:pPr>
        <w:ind w:left="1240" w:right="260" w:hanging="618"/>
        <w:spacing w:after="0" w:line="266" w:lineRule="auto"/>
        <w:tabs>
          <w:tab w:leader="none" w:pos="1228"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20" w:right="40" w:hanging="617"/>
        <w:spacing w:after="0" w:line="279" w:lineRule="auto"/>
        <w:tabs>
          <w:tab w:leader="none" w:pos="29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1240" w:right="160" w:hanging="618"/>
        <w:spacing w:after="0" w:line="279" w:lineRule="auto"/>
        <w:tabs>
          <w:tab w:leader="none" w:pos="1231"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1240" w:right="120" w:hanging="618"/>
        <w:spacing w:after="0" w:line="279" w:lineRule="auto"/>
        <w:tabs>
          <w:tab w:leader="none" w:pos="1228"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April 27, 2022</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31115</wp:posOffset>
            </wp:positionV>
            <wp:extent cx="35528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9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(Principal Financial Officer)</w:t>
      </w:r>
    </w:p>
    <w:p>
      <w:pPr>
        <w:spacing w:after="0" w:line="6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Senior Vice President and Chief Financial Officer</w:t>
      </w:r>
    </w:p>
    <w:p>
      <w:pPr>
        <w:sectPr>
          <w:pgSz w:w="11900" w:h="16838" w:orient="portrait"/>
          <w:cols w:equalWidth="0" w:num="1">
            <w:col w:w="11240"/>
          </w:cols>
          <w:pgMar w:left="320" w:top="106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6"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I, Richard S. Swartz, Jr., Chief Executive Officer and President of MYR Group Inc. (the “Company”), certify, pursuant to 18 U.S.C. § 1350, as adopted pursuant to § 906 of the Sarbanes-Oxley Act of 2002, that:</w:t>
      </w:r>
    </w:p>
    <w:p>
      <w:pPr>
        <w:spacing w:after="0" w:line="164" w:lineRule="exact"/>
        <w:rPr>
          <w:sz w:val="20"/>
          <w:szCs w:val="20"/>
          <w:color w:val="auto"/>
        </w:rPr>
      </w:pPr>
    </w:p>
    <w:p>
      <w:pPr>
        <w:ind w:left="620" w:right="60" w:hanging="617"/>
        <w:spacing w:after="0" w:line="279" w:lineRule="auto"/>
        <w:tabs>
          <w:tab w:leader="none" w:pos="60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Quarterly Report on Form 10-Q for the quarter ended March 31, 2022 of the Company fully complies with the requirements of section 13(a) or 15(d) of the Securities Exchange Act of 1934; and</w:t>
      </w:r>
    </w:p>
    <w:p>
      <w:pPr>
        <w:spacing w:after="0" w:line="164" w:lineRule="exact"/>
        <w:rPr>
          <w:rFonts w:ascii="Arial" w:cs="Arial" w:eastAsia="Arial" w:hAnsi="Arial"/>
          <w:sz w:val="17"/>
          <w:szCs w:val="17"/>
          <w:color w:val="auto"/>
        </w:rPr>
      </w:pPr>
    </w:p>
    <w:p>
      <w:pPr>
        <w:ind w:left="620" w:hanging="617"/>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37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April 27, 2022</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31115</wp:posOffset>
            </wp:positionV>
            <wp:extent cx="35528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Executive Officer and President</w:t>
      </w:r>
    </w:p>
    <w:p>
      <w:pPr>
        <w:sectPr>
          <w:pgSz w:w="11900" w:h="16838" w:orient="portrait"/>
          <w:cols w:equalWidth="0" w:num="1">
            <w:col w:w="11240"/>
          </w:cols>
          <w:pgMar w:left="320" w:top="106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SECTION 906 OF THE SARBANES-OXLEY ACT OF 2002</w:t>
      </w:r>
    </w:p>
    <w:p>
      <w:pPr>
        <w:spacing w:after="0" w:line="206"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I, Betty R. Johnson, Senior Vice President and Chief Financial Officer of MYR Group, Inc. (the “Company”), certify, pursuant to 18 U.S.C. § 1350, as adopted pursuant to § 906 of the Sarbanes-Oxley Act of 2002, that:</w:t>
      </w:r>
    </w:p>
    <w:p>
      <w:pPr>
        <w:spacing w:after="0" w:line="164" w:lineRule="exact"/>
        <w:rPr>
          <w:sz w:val="20"/>
          <w:szCs w:val="20"/>
          <w:color w:val="auto"/>
        </w:rPr>
      </w:pPr>
    </w:p>
    <w:p>
      <w:pPr>
        <w:ind w:left="620" w:right="60" w:hanging="617"/>
        <w:spacing w:after="0" w:line="279" w:lineRule="auto"/>
        <w:tabs>
          <w:tab w:leader="none" w:pos="60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Quarterly Report on Form 10-Q for the quarter ended March 31, 2022 of the Company fully complies with the requirements of section 13(a) or 15(d) of the Securities Exchange Act of 1934; and</w:t>
      </w:r>
    </w:p>
    <w:p>
      <w:pPr>
        <w:spacing w:after="0" w:line="164" w:lineRule="exact"/>
        <w:rPr>
          <w:rFonts w:ascii="Arial" w:cs="Arial" w:eastAsia="Arial" w:hAnsi="Arial"/>
          <w:sz w:val="17"/>
          <w:szCs w:val="17"/>
          <w:color w:val="auto"/>
        </w:rPr>
      </w:pPr>
    </w:p>
    <w:p>
      <w:pPr>
        <w:ind w:left="620" w:hanging="617"/>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164"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7"/>
          <w:szCs w:val="17"/>
          <w:color w:val="auto"/>
        </w:rPr>
        <w:t>April 27, 2022</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31115</wp:posOffset>
            </wp:positionV>
            <wp:extent cx="35445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87" w:lineRule="exact"/>
        <w:rPr>
          <w:sz w:val="20"/>
          <w:szCs w:val="20"/>
          <w:color w:val="auto"/>
        </w:rPr>
      </w:pPr>
    </w:p>
    <w:p>
      <w:pPr>
        <w:ind w:left="5660"/>
        <w:spacing w:after="0"/>
        <w:rPr>
          <w:sz w:val="20"/>
          <w:szCs w:val="20"/>
          <w:color w:val="auto"/>
        </w:rPr>
      </w:pPr>
      <w:r>
        <w:rPr>
          <w:rFonts w:ascii="Arial" w:cs="Arial" w:eastAsia="Arial" w:hAnsi="Arial"/>
          <w:sz w:val="17"/>
          <w:szCs w:val="17"/>
          <w:i w:val="1"/>
          <w:iCs w:val="1"/>
          <w:color w:val="auto"/>
        </w:rPr>
        <w:t>Senior Vice President and Chief Financial Officer</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lowerLetter"/>
      <w:start w:val="5"/>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lvl w:ilvl="1">
      <w:lvlJc w:val="left"/>
      <w:lvlText w:val="(%2)"/>
      <w:numFmt w:val="lowerLetter"/>
      <w:start w:val="1"/>
    </w:lvl>
  </w:abstractNum>
  <w:abstractNum w:abstractNumId="9">
    <w:nsid w:val="628C895D"/>
    <w:multiLevelType w:val="hybridMultilevel"/>
    <w:lvl w:ilvl="0">
      <w:lvlJc w:val="left"/>
      <w:lvlText w:val="%1"/>
      <w:numFmt w:val="decimal"/>
      <w:start w:val="1"/>
    </w:lvl>
    <w:lvl w:ilvl="1">
      <w:lvlJc w:val="left"/>
      <w:lvlText w:val="(%2)"/>
      <w:numFmt w:val="lowerLetter"/>
      <w:start w:val="3"/>
    </w:lvl>
  </w:abstractNum>
  <w:abstractNum w:abstractNumId="10">
    <w:nsid w:val="333AB105"/>
    <w:multiLevelType w:val="hybridMultilevel"/>
    <w:lvl w:ilvl="0">
      <w:lvlJc w:val="left"/>
      <w:lvlText w:val="%1."/>
      <w:numFmt w:val="decimal"/>
      <w:start w:val="6"/>
    </w:lvl>
    <w:lvl w:ilvl="1">
      <w:lvlJc w:val="left"/>
      <w:lvlText w:val="%2"/>
      <w:numFmt w:val="lowerLetter"/>
      <w:start w:val="1"/>
    </w:lvl>
  </w:abstractNum>
  <w:abstractNum w:abstractNumId="11">
    <w:nsid w:val="721DA317"/>
    <w:multiLevelType w:val="hybridMultilevel"/>
    <w:lvl w:ilvl="0">
      <w:lvlJc w:val="left"/>
      <w:lvlText w:val="%1."/>
      <w:numFmt w:val="decimal"/>
      <w:start w:val="7"/>
    </w:lvl>
  </w:abstractNum>
  <w:abstractNum w:abstractNumId="12">
    <w:nsid w:val="2443A858"/>
    <w:multiLevelType w:val="hybridMultilevel"/>
    <w:lvl w:ilvl="0">
      <w:lvlJc w:val="left"/>
      <w:lvlText w:val="%1."/>
      <w:numFmt w:val="decimal"/>
      <w:start w:val="9"/>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1."/>
      <w:numFmt w:val="decimal"/>
      <w:start w:val="15"/>
    </w:lvl>
    <w:lvl w:ilvl="1">
      <w:lvlJc w:val="left"/>
      <w:lvlText w:val="*"/>
      <w:numFmt w:val="bullet"/>
      <w:start w:val="1"/>
    </w:lvl>
  </w:abstractNum>
  <w:abstractNum w:abstractNumId="15">
    <w:nsid w:val="75A2A8D4"/>
    <w:multiLevelType w:val="hybridMultilevel"/>
    <w:lvl w:ilvl="0">
      <w:lvlJc w:val="left"/>
      <w:lvlText w:val="%1."/>
      <w:numFmt w:val="decimal"/>
      <w:start w:val="1"/>
    </w:lvl>
    <w:lvl w:ilvl="1">
      <w:lvlJc w:val="left"/>
      <w:lvlText w:val="(%2)"/>
      <w:numFmt w:val="lowerLetter"/>
      <w:start w:val="1"/>
    </w:lvl>
  </w:abstractNum>
  <w:abstractNum w:abstractNumId="16">
    <w:nsid w:val="8EDBDAB"/>
    <w:multiLevelType w:val="hybridMultilevel"/>
    <w:lvl w:ilvl="0">
      <w:lvlJc w:val="left"/>
      <w:lvlText w:val="(%1)"/>
      <w:numFmt w:val="lowerLetter"/>
      <w:start w:val="2"/>
    </w:lvl>
    <w:lvl w:ilvl="1">
      <w:lvlJc w:val="left"/>
      <w:lvlText w:val="(%2)"/>
      <w:numFmt w:val="lowerRoman"/>
      <w:start w:val="1"/>
    </w:lvl>
  </w:abstractNum>
  <w:abstractNum w:abstractNumId="17">
    <w:nsid w:val="79838CB2"/>
    <w:multiLevelType w:val="hybridMultilevel"/>
    <w:lvl w:ilvl="0">
      <w:lvlJc w:val="left"/>
      <w:lvlText w:val="%1"/>
      <w:numFmt w:val="lowerLetter"/>
      <w:start w:val="1"/>
    </w:lvl>
    <w:lvl w:ilvl="1">
      <w:lvlJc w:val="left"/>
      <w:lvlText w:val="(%2)"/>
      <w:numFmt w:val="lowerLetter"/>
      <w:start w:val="35"/>
    </w:lvl>
  </w:abstractNum>
  <w:abstractNum w:abstractNumId="18">
    <w:nsid w:val="4353D0CD"/>
    <w:multiLevelType w:val="hybridMultilevel"/>
    <w:lvl w:ilvl="0">
      <w:lvlJc w:val="left"/>
      <w:lvlText w:val="(%1)"/>
      <w:numFmt w:val="lowerLetter"/>
      <w:start w:val="5"/>
    </w:lvl>
    <w:lvl w:ilvl="1">
      <w:lvlJc w:val="left"/>
      <w:lvlText w:val="(%2)"/>
      <w:numFmt w:val="lowerLetter"/>
      <w:start w:val="9"/>
    </w:lvl>
  </w:abstractNum>
  <w:abstractNum w:abstractNumId="19">
    <w:nsid w:val="B03E0C6"/>
    <w:multiLevelType w:val="hybridMultilevel"/>
    <w:lvl w:ilvl="0">
      <w:lvlJc w:val="left"/>
      <w:lvlText w:val="%1"/>
      <w:numFmt w:val="lowerLetter"/>
      <w:start w:val="1"/>
    </w:lvl>
    <w:lvl w:ilvl="1">
      <w:lvlJc w:val="left"/>
      <w:lvlText w:val="(%2)"/>
      <w:numFmt w:val="lowerLetter"/>
      <w:start w:val="35"/>
    </w:lvl>
  </w:abstractNum>
  <w:abstractNum w:abstractNumId="20">
    <w:nsid w:val="189A769B"/>
    <w:multiLevelType w:val="hybridMultilevel"/>
    <w:lvl w:ilvl="0">
      <w:lvlJc w:val="left"/>
      <w:lvlText w:val="(%1)"/>
      <w:numFmt w:val="lowerLetter"/>
      <w:start w:val="6"/>
    </w:lvl>
    <w:lvl w:ilvl="1">
      <w:lvlJc w:val="left"/>
      <w:lvlText w:val="(%2)"/>
      <w:numFmt w:val="lowerLetter"/>
      <w:start w:val="9"/>
    </w:lvl>
  </w:abstractNum>
  <w:abstractNum w:abstractNumId="21">
    <w:nsid w:val="54E49EB4"/>
    <w:multiLevelType w:val="hybridMultilevel"/>
    <w:lvl w:ilvl="0">
      <w:lvlJc w:val="left"/>
      <w:lvlText w:val="(%1)"/>
      <w:numFmt w:val="lowerRoman"/>
      <w:start w:val="2"/>
    </w:lvl>
  </w:abstractNum>
  <w:abstractNum w:abstractNumId="22">
    <w:nsid w:val="71F32454"/>
    <w:multiLevelType w:val="hybridMultilevel"/>
    <w:lvl w:ilvl="0">
      <w:lvlJc w:val="left"/>
      <w:lvlText w:val="(%1)"/>
      <w:numFmt w:val="lowerLetter"/>
      <w:start w:val="7"/>
    </w:lvl>
    <w:lvl w:ilvl="1">
      <w:lvlJc w:val="left"/>
      <w:lvlText w:val="(%2)"/>
      <w:numFmt w:val="lowerRoman"/>
      <w:start w:val="1"/>
    </w:lvl>
  </w:abstractNum>
  <w:abstractNum w:abstractNumId="23">
    <w:nsid w:val="2CA88611"/>
    <w:multiLevelType w:val="hybridMultilevel"/>
    <w:lvl w:ilvl="0">
      <w:lvlJc w:val="left"/>
      <w:lvlText w:val="%1"/>
      <w:numFmt w:val="decimal"/>
      <w:start w:val="1"/>
    </w:lvl>
    <w:lvl w:ilvl="1">
      <w:lvlJc w:val="left"/>
      <w:lvlText w:val="(%2)"/>
      <w:numFmt w:val="lowerLetter"/>
      <w:start w:val="10"/>
    </w:lvl>
  </w:abstractNum>
  <w:abstractNum w:abstractNumId="24">
    <w:nsid w:val="836C40E"/>
    <w:multiLevelType w:val="hybridMultilevel"/>
    <w:lvl w:ilvl="0">
      <w:lvlJc w:val="left"/>
      <w:lvlText w:val="%1."/>
      <w:numFmt w:val="decimal"/>
      <w:start w:val="3"/>
    </w:lvl>
    <w:lvl w:ilvl="1">
      <w:lvlJc w:val="left"/>
      <w:lvlText w:val="(%2)"/>
      <w:numFmt w:val="lowerLetter"/>
      <w:start w:val="1"/>
    </w:lvl>
  </w:abstractNum>
  <w:abstractNum w:abstractNumId="25">
    <w:nsid w:val="2901D82"/>
    <w:multiLevelType w:val="hybridMultilevel"/>
    <w:lvl w:ilvl="0">
      <w:lvlJc w:val="left"/>
      <w:lvlText w:val="%1."/>
      <w:numFmt w:val="decimal"/>
      <w:start w:val="4"/>
    </w:lvl>
    <w:lvl w:ilvl="1">
      <w:lvlJc w:val="left"/>
      <w:lvlText w:val="(%2)"/>
      <w:numFmt w:val="lowerLetter"/>
      <w:start w:val="1"/>
    </w:lvl>
  </w:abstractNum>
  <w:abstractNum w:abstractNumId="26">
    <w:nsid w:val="3A95F874"/>
    <w:multiLevelType w:val="hybridMultilevel"/>
    <w:lvl w:ilvl="0">
      <w:lvlJc w:val="left"/>
      <w:lvlText w:val="%1."/>
      <w:numFmt w:val="decimal"/>
      <w:start w:val="9"/>
    </w:lvl>
  </w:abstractNum>
  <w:abstractNum w:abstractNumId="27">
    <w:nsid w:val="8138641"/>
    <w:multiLevelType w:val="hybridMultilevel"/>
    <w:lvl w:ilvl="0">
      <w:lvlJc w:val="left"/>
      <w:lvlText w:val="%1."/>
      <w:numFmt w:val="decimal"/>
      <w:start w:val="1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2022-04-27T15:26:28Z</dcterms:created>
  <dcterms:modified xsi:type="dcterms:W3CDTF">2022-04-27T15:26:28Z</dcterms:modified>
</cp:coreProperties>
</file>