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5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2" w:lineRule="exact"/>
        <w:rPr>
          <w:sz w:val="24"/>
          <w:szCs w:val="24"/>
          <w:color w:val="auto"/>
        </w:rPr>
      </w:pPr>
    </w:p>
    <w:p>
      <w:pPr>
        <w:ind w:left="426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1-08325</w:t>
      </w:r>
    </w:p>
    <w:p>
      <w:pPr>
        <w:spacing w:after="0" w:line="1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36-3158643</w:t>
            </w:r>
          </w:p>
        </w:tc>
      </w:tr>
      <w:tr>
        <w:trPr>
          <w:trHeight w:val="222"/>
        </w:trPr>
        <w:tc>
          <w:tcPr>
            <w:tcW w:w="3640" w:type="dxa"/>
            <w:vAlign w:val="bottom"/>
          </w:tcPr>
          <w:p>
            <w:pPr>
              <w:jc w:val="center"/>
              <w:ind w:right="9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400" w:type="dxa"/>
            <w:vAlign w:val="bottom"/>
          </w:tcPr>
          <w:p>
            <w:pPr>
              <w:spacing w:after="0"/>
              <w:rPr>
                <w:sz w:val="18"/>
                <w:szCs w:val="18"/>
                <w:color w:val="auto"/>
              </w:rPr>
            </w:pPr>
          </w:p>
        </w:tc>
      </w:tr>
      <w:tr>
        <w:trPr>
          <w:trHeight w:val="472"/>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12121 Grant Street, Suite 610</w:t>
            </w:r>
          </w:p>
        </w:tc>
        <w:tc>
          <w:tcPr>
            <w:tcW w:w="3400" w:type="dxa"/>
            <w:vAlign w:val="bottom"/>
          </w:tcPr>
          <w:p>
            <w:pPr>
              <w:spacing w:after="0"/>
              <w:rPr>
                <w:sz w:val="24"/>
                <w:szCs w:val="24"/>
                <w:color w:val="auto"/>
              </w:rPr>
            </w:pPr>
          </w:p>
        </w:tc>
      </w:tr>
      <w:tr>
        <w:trPr>
          <w:trHeight w:val="270"/>
        </w:trPr>
        <w:tc>
          <w:tcPr>
            <w:tcW w:w="364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 xml:space="preserve">Thornton, </w:t>
            </w:r>
            <w:r>
              <w:rPr>
                <w:rFonts w:ascii="Times New Roman" w:cs="Times New Roman" w:eastAsia="Times New Roman" w:hAnsi="Times New Roman"/>
                <w:sz w:val="17"/>
                <w:szCs w:val="17"/>
                <w:b w:val="1"/>
                <w:bCs w:val="1"/>
                <w:color w:val="auto"/>
              </w:rPr>
              <w:t>CO</w:t>
            </w:r>
          </w:p>
        </w:tc>
        <w:tc>
          <w:tcPr>
            <w:tcW w:w="34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80241</w:t>
            </w:r>
          </w:p>
        </w:tc>
      </w:tr>
      <w:tr>
        <w:trPr>
          <w:trHeight w:val="256"/>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(303) 286-8000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46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02" w:lineRule="exact"/>
        <w:rPr>
          <w:sz w:val="24"/>
          <w:szCs w:val="24"/>
          <w:color w:val="auto"/>
        </w:rPr>
      </w:pPr>
    </w:p>
    <w:p>
      <w:pPr>
        <w:ind w:right="2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10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32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1920" w:type="dxa"/>
        <w:tblCellMar>
          <w:top w:w="0" w:type="dxa"/>
          <w:left w:w="0" w:type="dxa"/>
          <w:bottom w:w="0" w:type="dxa"/>
          <w:right w:w="0" w:type="dxa"/>
        </w:tblCellMar>
      </w:tblP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40" w:type="dxa"/>
            <w:vAlign w:val="bottom"/>
          </w:tcPr>
          <w:p>
            <w:pPr>
              <w:ind w:left="460"/>
              <w:spacing w:after="0"/>
              <w:rPr>
                <w:sz w:val="20"/>
                <w:szCs w:val="20"/>
                <w:color w:val="auto"/>
              </w:rPr>
            </w:pPr>
            <w:r>
              <w:rPr>
                <w:rFonts w:ascii="Wingdings" w:cs="Wingdings" w:eastAsia="Wingdings" w:hAnsi="Wingdings"/>
                <w:sz w:val="16"/>
                <w:szCs w:val="16"/>
                <w:b w:val="1"/>
                <w:bCs w:val="1"/>
                <w:color w:val="auto"/>
              </w:rPr>
              <w:t>x</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ind w:right="28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40" w:right="2640"/>
        <w:spacing w:after="0" w:line="2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July 26, 2024, there were 16,507,773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5580" w:type="dxa"/>
            <w:vAlign w:val="bottom"/>
            <w:gridSpan w:val="11"/>
            <w:shd w:val="clear" w:color="auto" w:fill="CCEEFF"/>
          </w:tcPr>
          <w:p>
            <w:pPr>
              <w:jc w:val="center"/>
              <w:ind w:right="3060"/>
              <w:spacing w:after="0" w:line="183" w:lineRule="exact"/>
              <w:rPr>
                <w:sz w:val="20"/>
                <w:szCs w:val="20"/>
                <w:color w:val="auto"/>
              </w:rPr>
            </w:pPr>
            <w:r>
              <w:rPr>
                <w:rFonts w:ascii="Times New Roman" w:cs="Times New Roman" w:eastAsia="Times New Roman" w:hAnsi="Times New Roman"/>
                <w:sz w:val="20"/>
                <w:szCs w:val="20"/>
                <w:b w:val="1"/>
                <w:bCs w:val="1"/>
                <w:color w:val="0000FF"/>
                <w:w w:val="96"/>
              </w:rPr>
              <w:t>Part I—Financial Information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ind w:left="80"/>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080" w:type="dxa"/>
            <w:vAlign w:val="bottom"/>
            <w:tcBorders>
              <w:top w:val="single" w:sz="8" w:color="CCEEFF"/>
            </w:tcBorders>
            <w:gridSpan w:val="8"/>
          </w:tcPr>
          <w:p>
            <w:pPr>
              <w:spacing w:after="0" w:line="203" w:lineRule="exact"/>
              <w:rPr>
                <w:sz w:val="20"/>
                <w:szCs w:val="20"/>
                <w:color w:val="auto"/>
              </w:rPr>
            </w:pPr>
            <w:r>
              <w:rPr>
                <w:rFonts w:ascii="Times New Roman" w:cs="Times New Roman" w:eastAsia="Times New Roman" w:hAnsi="Times New Roman"/>
                <w:sz w:val="20"/>
                <w:szCs w:val="20"/>
                <w:color w:val="0000FF"/>
              </w:rPr>
              <w:t>Financial Statements</w:t>
            </w:r>
          </w:p>
        </w:tc>
        <w:tc>
          <w:tcPr>
            <w:tcW w:w="2520" w:type="dxa"/>
            <w:vAlign w:val="bottom"/>
            <w:tcBorders>
              <w:top w:val="single" w:sz="8" w:color="0000FF"/>
            </w:tcBorders>
            <w:gridSpan w:val="5"/>
          </w:tcPr>
          <w:p>
            <w:pPr>
              <w:spacing w:after="0"/>
              <w:rPr>
                <w:sz w:val="17"/>
                <w:szCs w:val="17"/>
                <w:color w:val="auto"/>
              </w:rPr>
            </w:pPr>
          </w:p>
        </w:tc>
        <w:tc>
          <w:tcPr>
            <w:tcW w:w="3060" w:type="dxa"/>
            <w:vAlign w:val="bottom"/>
            <w:tcBorders>
              <w:top w:val="single" w:sz="8" w:color="CCEEFF"/>
            </w:tcBorders>
            <w:gridSpan w:val="6"/>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780" w:type="dxa"/>
            <w:vAlign w:val="bottom"/>
            <w:tcBorders>
              <w:bottom w:val="single" w:sz="8" w:color="0000FF"/>
            </w:tcBorders>
            <w:gridSpan w:val="14"/>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w w:val="98"/>
              </w:rPr>
              <w:t>Consolidated Balance Sheets as of June 30, 2024 (unaudited) and December 31, 2023</w:t>
            </w:r>
          </w:p>
        </w:tc>
        <w:tc>
          <w:tcPr>
            <w:tcW w:w="1880" w:type="dxa"/>
            <w:vAlign w:val="bottom"/>
            <w:tcBorders>
              <w:bottom w:val="single" w:sz="8" w:color="CCEEFF"/>
            </w:tcBorders>
            <w:gridSpan w:val="5"/>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79"/>
              </w:rPr>
              <w:t>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19"/>
          </w:tcPr>
          <w:p>
            <w:pPr>
              <w:spacing w:after="0" w:line="203" w:lineRule="exact"/>
              <w:rPr>
                <w:sz w:val="20"/>
                <w:szCs w:val="20"/>
                <w:color w:val="auto"/>
              </w:rPr>
            </w:pPr>
            <w:r>
              <w:rPr>
                <w:rFonts w:ascii="Times New Roman" w:cs="Times New Roman" w:eastAsia="Times New Roman" w:hAnsi="Times New Roman"/>
                <w:sz w:val="20"/>
                <w:szCs w:val="20"/>
                <w:color w:val="0000FF"/>
              </w:rPr>
              <w:t>Unaudited Consolidated Statements of Operations and Comprehensive Income (Loss) for the Three and Six</w:t>
            </w: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52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Months Ended June 30, 2024 and 2023</w:t>
            </w:r>
          </w:p>
        </w:tc>
        <w:tc>
          <w:tcPr>
            <w:tcW w:w="1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60" w:type="dxa"/>
            <w:vAlign w:val="bottom"/>
            <w:gridSpan w:val="19"/>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Unaudited Consolidated Statements of Shareholders’ Equity for the Three and Six Months Ended June 30,</w:t>
            </w:r>
          </w:p>
        </w:tc>
        <w:tc>
          <w:tcPr>
            <w:tcW w:w="1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0000FF"/>
            </w:tcBorders>
            <w:gridSpan w:val="1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2024 and 2023</w:t>
            </w:r>
          </w:p>
        </w:tc>
        <w:tc>
          <w:tcPr>
            <w:tcW w:w="240" w:type="dxa"/>
            <w:vAlign w:val="bottom"/>
            <w:tcBorders>
              <w:top w:val="single" w:sz="8" w:color="CCEEFF"/>
            </w:tcBorders>
            <w:gridSpan w:val="2"/>
            <w:shd w:val="clear" w:color="auto" w:fill="CCEEFF"/>
          </w:tcPr>
          <w:p>
            <w:pPr>
              <w:spacing w:after="0"/>
              <w:rPr>
                <w:sz w:val="16"/>
                <w:szCs w:val="16"/>
                <w:color w:val="auto"/>
              </w:rPr>
            </w:pPr>
          </w:p>
        </w:tc>
        <w:tc>
          <w:tcPr>
            <w:tcW w:w="1500" w:type="dxa"/>
            <w:vAlign w:val="bottom"/>
            <w:tcBorders>
              <w:top w:val="single" w:sz="8" w:color="CCEEFF"/>
            </w:tcBorders>
            <w:gridSpan w:val="3"/>
            <w:vMerge w:val="continue"/>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19"/>
          </w:tcPr>
          <w:p>
            <w:pPr>
              <w:spacing w:after="0" w:line="197" w:lineRule="exact"/>
              <w:rPr>
                <w:sz w:val="20"/>
                <w:szCs w:val="20"/>
                <w:color w:val="auto"/>
              </w:rPr>
            </w:pPr>
            <w:r>
              <w:rPr>
                <w:rFonts w:ascii="Times New Roman" w:cs="Times New Roman" w:eastAsia="Times New Roman" w:hAnsi="Times New Roman"/>
                <w:sz w:val="20"/>
                <w:szCs w:val="20"/>
                <w:color w:val="0000FF"/>
              </w:rPr>
              <w:t>Unaudited Consolidated Statements of Cash Flows for the Six Months Ended June 30, 2024 and 2023</w:t>
            </w:r>
          </w:p>
        </w:tc>
        <w:tc>
          <w:tcPr>
            <w:tcW w:w="150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20"/>
                <w:szCs w:val="20"/>
                <w:color w:val="0000FF"/>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19"/>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Notes to Unaudited Consolidated Financial Statements</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8660" w:type="dxa"/>
            <w:vAlign w:val="bottom"/>
            <w:gridSpan w:val="19"/>
          </w:tcPr>
          <w:p>
            <w:pPr>
              <w:spacing w:after="0" w:line="203" w:lineRule="exact"/>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3.</w:t>
            </w:r>
          </w:p>
        </w:tc>
        <w:tc>
          <w:tcPr>
            <w:tcW w:w="8660" w:type="dxa"/>
            <w:vAlign w:val="bottom"/>
            <w:gridSpan w:val="19"/>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right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4.</w:t>
            </w:r>
          </w:p>
        </w:tc>
        <w:tc>
          <w:tcPr>
            <w:tcW w:w="8660" w:type="dxa"/>
            <w:vAlign w:val="bottom"/>
            <w:gridSpan w:val="19"/>
          </w:tcPr>
          <w:p>
            <w:pPr>
              <w:spacing w:after="0" w:line="203" w:lineRule="exact"/>
              <w:rPr>
                <w:sz w:val="20"/>
                <w:szCs w:val="20"/>
                <w:color w:val="auto"/>
              </w:rPr>
            </w:pPr>
            <w:r>
              <w:rPr>
                <w:rFonts w:ascii="Times New Roman" w:cs="Times New Roman" w:eastAsia="Times New Roman" w:hAnsi="Times New Roman"/>
                <w:sz w:val="20"/>
                <w:szCs w:val="20"/>
                <w:color w:val="0000FF"/>
              </w:rPr>
              <w:t>Controls and Procedures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520" w:type="dxa"/>
            <w:vAlign w:val="bottom"/>
            <w:gridSpan w:val="10"/>
            <w:shd w:val="clear" w:color="auto" w:fill="CCEEFF"/>
          </w:tcPr>
          <w:p>
            <w:pPr>
              <w:jc w:val="center"/>
              <w:ind w:right="3160"/>
              <w:spacing w:after="0" w:line="203" w:lineRule="exact"/>
              <w:rPr>
                <w:sz w:val="20"/>
                <w:szCs w:val="20"/>
                <w:color w:val="auto"/>
              </w:rPr>
            </w:pPr>
            <w:r>
              <w:rPr>
                <w:rFonts w:ascii="Times New Roman" w:cs="Times New Roman" w:eastAsia="Times New Roman" w:hAnsi="Times New Roman"/>
                <w:sz w:val="20"/>
                <w:szCs w:val="20"/>
                <w:b w:val="1"/>
                <w:bCs w:val="1"/>
                <w:color w:val="0000FF"/>
                <w:w w:val="98"/>
              </w:rPr>
              <w:t>Part II—Other Information</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140" w:type="dxa"/>
            <w:vAlign w:val="bottom"/>
            <w:tcBorders>
              <w:top w:val="single" w:sz="8" w:color="CCEEFF"/>
            </w:tcBorders>
            <w:gridSpan w:val="9"/>
          </w:tcPr>
          <w:p>
            <w:pPr>
              <w:spacing w:after="0" w:line="203" w:lineRule="exact"/>
              <w:rPr>
                <w:sz w:val="20"/>
                <w:szCs w:val="20"/>
                <w:color w:val="auto"/>
              </w:rPr>
            </w:pPr>
            <w:r>
              <w:rPr>
                <w:rFonts w:ascii="Times New Roman" w:cs="Times New Roman" w:eastAsia="Times New Roman" w:hAnsi="Times New Roman"/>
                <w:sz w:val="20"/>
                <w:szCs w:val="20"/>
                <w:color w:val="0000FF"/>
              </w:rPr>
              <w:t>Legal Proceedings</w:t>
            </w:r>
          </w:p>
        </w:tc>
        <w:tc>
          <w:tcPr>
            <w:tcW w:w="2360" w:type="dxa"/>
            <w:vAlign w:val="bottom"/>
            <w:tcBorders>
              <w:top w:val="single" w:sz="8" w:color="0000FF"/>
            </w:tcBorders>
            <w:gridSpan w:val="3"/>
          </w:tcPr>
          <w:p>
            <w:pPr>
              <w:spacing w:after="0"/>
              <w:rPr>
                <w:sz w:val="17"/>
                <w:szCs w:val="17"/>
                <w:color w:val="auto"/>
              </w:rPr>
            </w:pPr>
          </w:p>
        </w:tc>
        <w:tc>
          <w:tcPr>
            <w:tcW w:w="3160" w:type="dxa"/>
            <w:vAlign w:val="bottom"/>
            <w:tcBorders>
              <w:top w:val="single" w:sz="8" w:color="CCEEFF"/>
            </w:tcBorders>
            <w:gridSpan w:val="7"/>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35</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1A.</w:t>
            </w:r>
          </w:p>
        </w:tc>
        <w:tc>
          <w:tcPr>
            <w:tcW w:w="8660" w:type="dxa"/>
            <w:vAlign w:val="bottom"/>
            <w:gridSpan w:val="19"/>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Risk Factors</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70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300" w:type="dxa"/>
            <w:vAlign w:val="bottom"/>
          </w:tcPr>
          <w:p>
            <w:pPr>
              <w:spacing w:after="0"/>
              <w:rPr>
                <w:sz w:val="17"/>
                <w:szCs w:val="17"/>
                <w:color w:val="auto"/>
              </w:rPr>
            </w:pPr>
          </w:p>
        </w:tc>
        <w:tc>
          <w:tcPr>
            <w:tcW w:w="8660" w:type="dxa"/>
            <w:vAlign w:val="bottom"/>
            <w:gridSpan w:val="19"/>
          </w:tcPr>
          <w:p>
            <w:pPr>
              <w:spacing w:after="0" w:line="203" w:lineRule="exact"/>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5.</w:t>
            </w:r>
          </w:p>
        </w:tc>
        <w:tc>
          <w:tcPr>
            <w:tcW w:w="8660" w:type="dxa"/>
            <w:vAlign w:val="bottom"/>
            <w:gridSpan w:val="19"/>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Other Information</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6.</w:t>
            </w:r>
          </w:p>
        </w:tc>
        <w:tc>
          <w:tcPr>
            <w:tcW w:w="8660" w:type="dxa"/>
            <w:vAlign w:val="bottom"/>
            <w:gridSpan w:val="19"/>
          </w:tcPr>
          <w:p>
            <w:pPr>
              <w:spacing w:after="0" w:line="203" w:lineRule="exact"/>
              <w:rPr>
                <w:sz w:val="20"/>
                <w:szCs w:val="20"/>
                <w:color w:val="auto"/>
              </w:rPr>
            </w:pPr>
            <w:r>
              <w:rPr>
                <w:rFonts w:ascii="Times New Roman" w:cs="Times New Roman" w:eastAsia="Times New Roman" w:hAnsi="Times New Roman"/>
                <w:sz w:val="20"/>
                <w:szCs w:val="20"/>
                <w:color w:val="0000FF"/>
              </w:rPr>
              <w:t>Exhibits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0" w:type="dxa"/>
            <w:vAlign w:val="bottom"/>
          </w:tcPr>
          <w:p>
            <w:pPr>
              <w:spacing w:after="0"/>
              <w:rPr>
                <w:sz w:val="16"/>
                <w:szCs w:val="16"/>
                <w:color w:val="auto"/>
              </w:rPr>
            </w:pPr>
          </w:p>
        </w:tc>
        <w:tc>
          <w:tcPr>
            <w:tcW w:w="10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allowances of $898 and $1,987,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521,893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 net of allowances of $619 and $610,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402,301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420,616</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8,267</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Refundable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46,535</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1,017,305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1,026,244</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$387,375 and $380,465,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268,978</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35,012</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116,953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 of $32,688 and $30,534,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83,516</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33,739</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8,707</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1,583,242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1,578,746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8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0"/>
        </w:trPr>
        <w:tc>
          <w:tcPr>
            <w:tcW w:w="8520" w:type="dxa"/>
            <w:vAlign w:val="bottom"/>
            <w:tcBorders>
              <w:bottom w:val="single" w:sz="8" w:color="CCEEFF"/>
            </w:tcBorders>
            <w:gridSpan w:val="2"/>
            <w:shd w:val="clear" w:color="auto" w:fill="CCEEFF"/>
          </w:tcPr>
          <w:p>
            <w:pPr>
              <w:ind w:left="264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9,237</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359,363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256,622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240,411</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accrued self-insurance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28,269</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100,593</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747,443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747,202</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48,230</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29,188</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self-insurance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 net of current maturities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25,775</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obligations, net of current maturities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25,039</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949,900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927,544</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80"/>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stock—$0.01 par value per share; 4,000,000 authorized shares; none issued and outstanding at June 30, 2024 and December 31,</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5"/>
        </w:trPr>
        <w:tc>
          <w:tcPr>
            <w:tcW w:w="8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stock—$0.01 par value per share; 100,000,000 authorized shares; 16,648,028 and 16,684,492 shares issued and outstanding at</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June 30, 2024 and December 31, 2023,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162,386</w:t>
            </w:r>
          </w:p>
        </w:tc>
      </w:tr>
      <w:tr>
        <w:trPr>
          <w:trHeight w:val="192"/>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492,529</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633,342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651,202</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1,583,242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1,578,746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INCOME (LOSS)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4"/>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7"/>
        </w:trPr>
        <w:tc>
          <w:tcPr>
            <w:tcW w:w="5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1,700,232</w:t>
            </w:r>
          </w:p>
        </w:tc>
      </w:tr>
      <w:tr>
        <w:trPr>
          <w:trHeight w:val="27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788,047</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798,489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1,517,366</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1,525,713</w:t>
            </w:r>
          </w:p>
        </w:tc>
      </w:tr>
      <w:tr>
        <w:trPr>
          <w:trHeight w:val="243"/>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174,519</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114,739</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59,864</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58,668</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w:t>
            </w:r>
          </w:p>
        </w:tc>
      </w:tr>
      <w:tr>
        <w:trPr>
          <w:trHeight w:val="23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45,436</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7"/>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 shares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w:t>
            </w:r>
          </w:p>
        </w:tc>
      </w:tr>
      <w:tr>
        <w:trPr>
          <w:trHeight w:val="270"/>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w:t>
            </w:r>
          </w:p>
        </w:tc>
      </w:tr>
      <w:tr>
        <w:trPr>
          <w:trHeight w:val="256"/>
        </w:trPr>
        <w:tc>
          <w:tcPr>
            <w:tcW w:w="5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45,436</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6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47,712</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SHAREHOLDERS’ EQUITY</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9"/>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60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7"/>
        </w:trPr>
        <w:tc>
          <w:tcPr>
            <w:tcW w:w="32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560,200</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23,163</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stock-based compensation</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w:t>
            </w:r>
          </w:p>
        </w:tc>
      </w:tr>
      <w:tr>
        <w:trPr>
          <w:trHeight w:val="236"/>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37"/>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16,699</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156,233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427,329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577,565</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22,273</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r>
      <w:tr>
        <w:trPr>
          <w:trHeight w:val="24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449,602</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604,300</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162,386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492,529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651,202</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18,939</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r>
      <w:tr>
        <w:trPr>
          <w:trHeight w:val="20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 stock-based compensation</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r>
      <w:tr>
        <w:trPr>
          <w:trHeight w:val="230"/>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158,791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511,114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663,720</w:t>
            </w: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(15,277)</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r>
      <w:tr>
        <w:trPr>
          <w:trHeight w:val="20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repurchases under share repurchase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(16,259)</w:t>
            </w:r>
          </w:p>
        </w:tc>
      </w:tr>
      <w:tr>
        <w:trPr>
          <w:trHeight w:val="24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480,700</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633,342</w:t>
            </w: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45,436</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26,040</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non-cash items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assets,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(81,243)</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23,004</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16,514</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Accrued self-insurance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10,688</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30,371</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15,844</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(45,961)</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(41,730)</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(42,581)</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(38,399)</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Borrowings under revolving lines of credit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290,907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185,330</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under revolving lines of credit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(279,488)</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(178,247)</w:t>
            </w:r>
          </w:p>
        </w:tc>
        <w:tc>
          <w:tcPr>
            <w:tcW w:w="0" w:type="dxa"/>
            <w:vAlign w:val="bottom"/>
          </w:tcPr>
          <w:p>
            <w:pPr>
              <w:spacing w:after="0"/>
              <w:rPr>
                <w:sz w:val="1"/>
                <w:szCs w:val="1"/>
                <w:color w:val="auto"/>
              </w:rPr>
            </w:pPr>
          </w:p>
        </w:tc>
      </w:tr>
      <w:tr>
        <w:trPr>
          <w:trHeight w:val="24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equipment notes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finance leases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(14,251)</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refinancing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(6,049)</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(23,030)</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(28,190)</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24,899</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51,040</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22,850</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Share repurchases not settled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ind w:right="726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right="60" w:firstLine="648"/>
        <w:spacing w:after="0" w:line="270" w:lineRule="auto"/>
        <w:rPr>
          <w:sz w:val="20"/>
          <w:szCs w:val="20"/>
          <w:color w:val="auto"/>
        </w:rPr>
      </w:pPr>
      <w:r>
        <w:rPr>
          <w:rFonts w:ascii="Times New Roman" w:cs="Times New Roman" w:eastAsia="Times New Roman" w:hAnsi="Times New Roman"/>
          <w:sz w:val="17"/>
          <w:szCs w:val="17"/>
          <w:color w:val="auto"/>
        </w:rPr>
        <w:t>MYR Group Inc. (the “Company”) is a holding company of specialty electrical construction service providers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Consolidated Financial Information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(loss), shareholders’ equity and cash flows with respect to the interim consolidated financial statements, have been included. The consolidated balance sheet as of December 31, 2023 has been derived from the audited financial statements as of that date. The results of operations and comprehensive income (loss) are not necessarily indicative of the results for the full year or the results for any future periods. These financial statements should be read in conjunction with the audited financial statements and related notes for the year ended December 31, 2023, included in the Company’s Annual Report on Form 10-K, which was filed with the SEC on February 28, 2024 (the "2023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and Noncontrolling Interests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As of June 30, 2024, the Company did not have a controlling interest in any current joint venture partnerships.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joint ventures in which the Company does not have a controlling interest, the Company’s share of any profits and assets and its share of any losses and liabilities are recognized based on the Company’s stated percentage partnership interest in the joint venture and are typically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income (expense), net” line on the Company’s consolidated statements of operations. Foreign currency losses and gains, recorded in other income (expense), net, for the six months ended June 30, 2024 and 2023 were not significant. Foreign currency translation gains and losses, arising from intercompany loans that are deemed long-term investment accounts, are recorded in the foreign currency translation adjustment line on the Company’s consolidated statements of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most significant estimates are related to estimates of costs to complete contracts,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3"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Company had recognized revenues of $92.8 million and $76.5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cost-to-cost method of accounting requires the Company to make estimates about the expected revenue and gross profit on each of its contracts in process. During the three months ended June 30, 2024, changes in estimates pertaining to certain projects decreased consolidated gross margin by 7.2%, which resulted in decreases in operating income (loss) of $59.7 million, net income (loss) of $40.2 million and diluted earnings per common share of $2.39. During the six months ended June 30, 2024, changes in estimates pertaining to certain projects decreased consolidated gross margin by 4.2% and resulted in decreases in operating income of $68.4 million, net income of $46.1 million and diluted earnings per common share of $2.74. Additional discussion on the impact of these estimate changes can be found in Item 2, “Management’s Discussion and Analysis of Financial Condition and Results of Operations - Consolidated Results of Operations.”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2023, changes in estimates pertaining to certain projects decreased consolidated gross margin by 1.3%, which resulted in decreases in operating income of $11.5 million, net income of $8.0 million and diluted earnings per common share of $0.48. During the six months ended June 30, 2023, changes in estimates pertaining to certain projects decreased consolidated gross margin by 1.0% and resulted in decreases in operating income of $17.8 million, net income of $12.4 million and diluted earnings per common share of $0.74.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will have minimal impact on its financial statements when adopted.</w:t>
      </w:r>
    </w:p>
    <w:p>
      <w:pPr>
        <w:spacing w:after="0" w:line="17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reportable segment expenses and other disclosure requirements. The update is effective for annual reporting periods beginning after December 15, 2023, with early adoption permitted. The guidance requires application on a retrospective basis. The Company is currently evaluating the impact of the new standard on its consolidated financial statements and disclosures.</w:t>
      </w:r>
    </w:p>
    <w:p>
      <w:pPr>
        <w:spacing w:after="0" w:line="18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is intended to improve the transparency of income tax disclosures by requiring consistent categories and greater disaggregation of information in the rate reconciliation and income taxes paid disaggregated by jurisdiction. The guidance also includes certain other amendments intended to improve the effectiveness of income tax disclosures. The update is effective for annual reporting periods beginning after December 15, 2024, with early adoption permitted. The amendments in this pronouncement should be applied on a prospective basis, with the option to apply them retrospectively. The Company is currently evaluating the impact of the new standard on the Company’s income tax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Contract Assets and Liabilities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w:t>
      </w:r>
    </w:p>
    <w:p>
      <w:pPr>
        <w:spacing w:after="0" w:line="176"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$0.6 million as of June 30, 2024 and December 31, 2023.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assets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retainages,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present contract liabilities that contain deferred revenue and an accrual for contracts in a loss provision.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3640" w:type="dxa"/>
            <w:vAlign w:val="bottom"/>
            <w:vMerge w:val="continue"/>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243,710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loss provision</w:t>
            </w:r>
          </w:p>
        </w:tc>
        <w:tc>
          <w:tcPr>
            <w:tcW w:w="3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36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237"/>
              <w:spacing w:after="0"/>
              <w:rPr>
                <w:sz w:val="20"/>
                <w:szCs w:val="20"/>
                <w:color w:val="auto"/>
              </w:rPr>
            </w:pPr>
            <w:r>
              <w:rPr>
                <w:rFonts w:ascii="Times New Roman" w:cs="Times New Roman" w:eastAsia="Times New Roman" w:hAnsi="Times New Roman"/>
                <w:sz w:val="18"/>
                <w:szCs w:val="18"/>
                <w:color w:val="auto"/>
              </w:rPr>
              <w:t>402,301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420,616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8"/>
                <w:szCs w:val="18"/>
                <w:color w:val="auto"/>
                <w:w w:val="99"/>
              </w:rPr>
              <w:t>(256,622)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color w:val="auto"/>
                <w:w w:val="99"/>
              </w:rPr>
              <w:t>(240,411)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237"/>
              <w:spacing w:after="0"/>
              <w:rPr>
                <w:sz w:val="20"/>
                <w:szCs w:val="20"/>
                <w:color w:val="auto"/>
              </w:rPr>
            </w:pPr>
            <w:r>
              <w:rPr>
                <w:rFonts w:ascii="Times New Roman" w:cs="Times New Roman" w:eastAsia="Times New Roman" w:hAnsi="Times New Roman"/>
                <w:sz w:val="18"/>
                <w:szCs w:val="18"/>
                <w:color w:val="auto"/>
              </w:rPr>
              <w:t>145,679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180,205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$57.8 million and $99.7 million for the three and six months ended June 30, 2024. The amounts of revenue recognized in the period that were included in the opening contract liability balances were $17.3 million and $107.0 million for the three and six months ended June 30, 2023, respectively. This revenue consists primarily of work performed on previous billings to customers.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asset position for contracts in process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6,793,525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6,716,990</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billings to date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6,847,881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6,731,511</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(54,356)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(14,521)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net asset position for contracts in process is included within the contract asset and contract liability in the accompanying consolidated balance sheets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1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217,083</w:t>
            </w: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(231,604)</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 Obligations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nine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June 30, 2024,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lease-related assets and liabilities recorded: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Consolidated Balance Sheet</w:t>
            </w:r>
          </w:p>
        </w:tc>
        <w:tc>
          <w:tcPr>
            <w:tcW w:w="1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right-of-use lease assets</w:t>
            </w:r>
          </w:p>
        </w:tc>
        <w:tc>
          <w:tcPr>
            <w:tcW w:w="4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44,465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obligations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obligations</w:t>
            </w:r>
          </w:p>
        </w:tc>
        <w:tc>
          <w:tcPr>
            <w:tcW w:w="4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4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44,182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52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 terms and discount rates:</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5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gridSpan w:val="3"/>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 years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 years</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6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3.9 years</w:t>
            </w: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years</w:t>
            </w:r>
          </w:p>
        </w:tc>
        <w:tc>
          <w:tcPr>
            <w:tcW w:w="0" w:type="dxa"/>
            <w:vAlign w:val="bottom"/>
          </w:tcPr>
          <w:p>
            <w:pPr>
              <w:spacing w:after="0"/>
              <w:rPr>
                <w:sz w:val="1"/>
                <w:szCs w:val="1"/>
                <w:color w:val="auto"/>
              </w:rPr>
            </w:pPr>
          </w:p>
        </w:tc>
      </w:tr>
      <w:tr>
        <w:trPr>
          <w:trHeight w:val="27"/>
        </w:trPr>
        <w:tc>
          <w:tcPr>
            <w:tcW w:w="8280" w:type="dxa"/>
            <w:vAlign w:val="bottom"/>
            <w:gridSpan w:val="3"/>
          </w:tcPr>
          <w:p>
            <w:pPr>
              <w:spacing w:after="0"/>
              <w:rPr>
                <w:sz w:val="2"/>
                <w:szCs w:val="2"/>
                <w:color w:val="auto"/>
              </w:rPr>
            </w:pPr>
          </w:p>
        </w:tc>
        <w:tc>
          <w:tcPr>
            <w:tcW w:w="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certain information related to the lease costs for finance and operating leases: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2"/>
                <w:szCs w:val="2"/>
                <w:color w:val="auto"/>
              </w:rPr>
            </w:pPr>
          </w:p>
        </w:tc>
        <w:tc>
          <w:tcPr>
            <w:tcW w:w="1400" w:type="dxa"/>
            <w:vAlign w:val="bottom"/>
            <w:gridSpan w:val="3"/>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gridSpan w:val="3"/>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78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cost:</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3,764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4,110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obligations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finance lease obligations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future undiscounted minimum lease payments, as reconciled to the discounted minimum lease obligation indicated on the Company’s consolidated balance sheets, under financial leases, less interest, and under operating leases, less imputed interest, as of June 30, 2024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5"/>
                <w:szCs w:val="15"/>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00" w:type="dxa"/>
            <w:vAlign w:val="bottom"/>
          </w:tcPr>
          <w:p>
            <w:pPr>
              <w:spacing w:after="0"/>
              <w:rPr>
                <w:sz w:val="15"/>
                <w:szCs w:val="15"/>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20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 Obligations</w:t>
            </w: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3"/>
        </w:trPr>
        <w:tc>
          <w:tcPr>
            <w:tcW w:w="6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37"/>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51,114</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component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0" w:type="dxa"/>
            <w:vAlign w:val="bottom"/>
          </w:tcPr>
          <w:p>
            <w:pPr>
              <w:spacing w:after="0"/>
              <w:rPr>
                <w:sz w:val="1"/>
                <w:szCs w:val="1"/>
                <w:color w:val="auto"/>
              </w:rPr>
            </w:pPr>
          </w:p>
        </w:tc>
      </w:tr>
      <w:tr>
        <w:trPr>
          <w:trHeight w:val="26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present value of minimum lease payments</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40,369</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0" w:type="dxa"/>
            <w:vAlign w:val="bottom"/>
          </w:tcPr>
          <w:p>
            <w:pPr>
              <w:spacing w:after="0"/>
              <w:rPr>
                <w:sz w:val="1"/>
                <w:szCs w:val="1"/>
                <w:color w:val="auto"/>
              </w:rPr>
            </w:pPr>
          </w:p>
        </w:tc>
      </w:tr>
      <w:tr>
        <w:trPr>
          <w:trHeight w:val="27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finance and operating lease obligations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0" w:type="dxa"/>
            <w:vAlign w:val="bottom"/>
          </w:tcPr>
          <w:p>
            <w:pPr>
              <w:spacing w:after="0"/>
              <w:rPr>
                <w:sz w:val="1"/>
                <w:szCs w:val="1"/>
                <w:color w:val="auto"/>
              </w:rPr>
            </w:pPr>
          </w:p>
        </w:tc>
      </w:tr>
      <w:tr>
        <w:trPr>
          <w:trHeight w:val="26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finance and operating lease obligations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Certain subsidiaries of the Company have operating leases for facilities from third party companies that are owned, in whole or part, by employees of the subsidiaries. The terms and rental rates of these leases are at or below market rental rates. Lease expense associated with these leases was $0.6 million and $1.3 million for the three and six months ended June 30, 2024 and $0.6 million and $1.2 million for the three and six months ended 2023. As of June 30, 2024, the minimum lease payments required under these leases totaled $11.4 million, which are due over the next 5.2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the Company determined that the carrying value of cash and cash equivalents approximated fair value based on Level 1 inputs. As of June 30, 2024 and December 31, 2023, the fair value of the Company’s long-term debt and finance lease obligations was based on Level 2 inputs. The Company’s long-term debt was based on variable and fixed interest rates at June 30, 2024 and December 31, 2023, for new issues with similar remaining maturities, and approximated carrying value. In addition, based on borrowing rates currently available to the Company for borrowings with similar terms, the carrying value of the Company’s finance lease obligations also approximated fair value.</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of June 30, 2024, the fair value of the Company’s contingent earn-out consideration liability associated with the acquisition of Powerline Plus Ltd. and its affiliate PLP Redimix Ltd. (collectively, the “Powerline Plus Companies") on January 4, 2022, was based on Level 3 inputs. The contingent earn-out consideration recorded represents the estimated fair value of future amounts potentially payable to the former owners of the acquired Powerline Plus Companies, if the Powerline Plus Companies achieve certain performance targets over a three-year post-acquisition period. The fair value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 As of the acquisition date, the fair value of the contingent earn-out consideration was $0.9 million. As of June 30, 2024 and December 31, 2023, the fair value of the contingent earn-out consideration was zero. The future payout of the contingent earn-out consideration, if any, is unlimited and could be significantly higher than the acquisition date fair value. If the minimum thresholds of the performance targets are achieved the contingent earn-out consideration payment will be approximately $16.4 million. There were no changes in contingent earn-out consideration during the three and six months ended June 30, 2024 and 2023. Any changes in contingent earn-out consideration are recorded in other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the Company’s total debt, including borrowings under its credit agreement and master loan agreements for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Stated Interest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60" w:type="dxa"/>
            <w:vAlign w:val="bottom"/>
          </w:tcPr>
          <w:p>
            <w:pPr>
              <w:spacing w:after="0"/>
              <w:rPr>
                <w:sz w:val="12"/>
                <w:szCs w:val="12"/>
                <w:color w:val="auto"/>
              </w:rPr>
            </w:pPr>
          </w:p>
        </w:tc>
        <w:tc>
          <w:tcPr>
            <w:tcW w:w="14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6"/>
        </w:trPr>
        <w:tc>
          <w:tcPr>
            <w:tcW w:w="2820" w:type="dxa"/>
            <w:vAlign w:val="bottom"/>
            <w:gridSpan w:val="3"/>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Rate (per annum)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7"/>
                <w:szCs w:val="17"/>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Revolving loans</w:t>
            </w: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5/31/2023</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Variable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Equipment Notes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8</w:t>
            </w:r>
          </w:p>
        </w:tc>
        <w:tc>
          <w:tcPr>
            <w:tcW w:w="110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9"/>
              </w:rPr>
              <w:t>12/27/2019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8"/>
              </w:rPr>
              <w:t>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30"/>
        </w:trPr>
        <w:tc>
          <w:tcPr>
            <w:tcW w:w="2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Equipment Note 10</w:t>
            </w: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8/26/2022</w:t>
            </w:r>
          </w:p>
        </w:tc>
        <w:tc>
          <w:tcPr>
            <w:tcW w:w="120" w:type="dxa"/>
            <w:vAlign w:val="bottom"/>
          </w:tcPr>
          <w:p>
            <w:pPr>
              <w:spacing w:after="0"/>
              <w:rPr>
                <w:sz w:val="19"/>
                <w:szCs w:val="19"/>
                <w:color w:val="auto"/>
              </w:rPr>
            </w:pPr>
          </w:p>
        </w:tc>
        <w:tc>
          <w:tcPr>
            <w:tcW w:w="14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8"/>
              </w:rPr>
              <w:t>4.32%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0" w:type="dxa"/>
            <w:vAlign w:val="bottom"/>
          </w:tcPr>
          <w:p>
            <w:pPr>
              <w:spacing w:after="0"/>
              <w:rPr>
                <w:sz w:val="1"/>
                <w:szCs w:val="1"/>
                <w:color w:val="auto"/>
              </w:rPr>
            </w:pPr>
          </w:p>
        </w:tc>
      </w:tr>
      <w:tr>
        <w:trPr>
          <w:trHeight w:val="230"/>
        </w:trPr>
        <w:tc>
          <w:tcPr>
            <w:tcW w:w="2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equipment note</w:t>
            </w:r>
          </w:p>
        </w:tc>
        <w:tc>
          <w:tcPr>
            <w:tcW w:w="110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w w:val="98"/>
              </w:rPr>
              <w:t>4/11/2022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8"/>
              </w:rPr>
              <w:t>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36,241</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w w:val="99"/>
              </w:rPr>
              <w:t>Less: current portion of long-term debt</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gridSpan w:val="3"/>
            <w:vMerge w:val="restart"/>
          </w:tcPr>
          <w:p>
            <w:pPr>
              <w:jc w:val="right"/>
              <w:ind w:right="113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spacing w:after="0" w:line="14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for the six months ended June 30, 2024, was 7.30% per annum.</w:t>
      </w:r>
    </w:p>
    <w:p>
      <w:pPr>
        <w:spacing w:after="0" w:line="13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June 30, 2024.</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$24.6 million of borrowings outstanding under the Facility and letters of credit outstanding under the Facility of $38.1 million, including $27.1 million related to the Company's payment obligation under its insurance programs and $11.0 million related to contract performance obligations.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$13.2 million of borrowings outstanding under the Facility and letters of credit outstanding under the Facility of $34.4 million, including $27.1 million related to the Company's payment obligation under its insurance programs and $7.3 million related to contract performance obligations.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had remaining deferred debt issuance costs totaling $2.0 million as of June 30, 2024, related to the line of credit. As permitted, debt issuance costs have been deferred and are presented as an asset within other assets, which is amortized as interest expense over the term of the line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Notes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two Equipment Notes outstanding under the Master Loan Agreements that are collateralized by equipment and vehicles owned by the Company. As of June 30, 2024, the Company had one other equipment note outstanding that is collateralized by a vehicle owned by the Company. The following table sets forth our remaining principal payments for all of the Company’s outstanding equipment notes as of June 30,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Future</w:t>
            </w:r>
          </w:p>
        </w:tc>
      </w:tr>
      <w:tr>
        <w:trPr>
          <w:trHeight w:val="176"/>
        </w:trPr>
        <w:tc>
          <w:tcPr>
            <w:tcW w:w="9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Equipment Notes</w:t>
            </w:r>
          </w:p>
        </w:tc>
      </w:tr>
      <w:tr>
        <w:trPr>
          <w:trHeight w:val="190"/>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37"/>
        </w:trPr>
        <w:tc>
          <w:tcPr>
            <w:tcW w:w="9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20,445</w:t>
            </w:r>
          </w:p>
        </w:tc>
      </w:tr>
      <w:tr>
        <w:trPr>
          <w:trHeight w:val="237"/>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equipment notes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principal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 not-to-exceed a maximum price.</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three months ended June 30, 2024 and 2023 were as follows: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70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102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vMerge w:val="continue"/>
          </w:tcPr>
          <w:p>
            <w:pPr>
              <w:spacing w:after="0"/>
              <w:rPr>
                <w:sz w:val="16"/>
                <w:szCs w:val="16"/>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306,679</w:t>
            </w: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18,803</w:t>
            </w:r>
          </w:p>
        </w:tc>
        <w:tc>
          <w:tcPr>
            <w:tcW w:w="14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45,199</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370,681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4"/>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6"/>
                <w:szCs w:val="16"/>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313,409</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23,558</w:t>
            </w:r>
          </w:p>
        </w:tc>
        <w:tc>
          <w:tcPr>
            <w:tcW w:w="14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47,912</w:t>
            </w:r>
          </w:p>
        </w:tc>
        <w:tc>
          <w:tcPr>
            <w:tcW w:w="1440" w:type="dxa"/>
            <w:vAlign w:val="bottom"/>
            <w:tcBorders>
              <w:bottom w:val="single" w:sz="8" w:color="CCEEFF"/>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384,879</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six months ended June 30, 2024 and 2023 were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72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2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vMerge w:val="continue"/>
          </w:tcPr>
          <w:p>
            <w:pPr>
              <w:spacing w:after="0"/>
              <w:rPr>
                <w:sz w:val="16"/>
                <w:szCs w:val="16"/>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571,479</w:t>
            </w: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35,139</w:t>
            </w:r>
          </w:p>
        </w:tc>
        <w:tc>
          <w:tcPr>
            <w:tcW w:w="14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89,230</w:t>
            </w:r>
          </w:p>
        </w:tc>
        <w:tc>
          <w:tcPr>
            <w:tcW w:w="1440" w:type="dxa"/>
            <w:vAlign w:val="bottom"/>
            <w:tcBorders>
              <w:bottom w:val="single" w:sz="8" w:color="CCEEFF"/>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695,848</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4"/>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619,030</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4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3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90,942</w:t>
            </w:r>
          </w:p>
        </w:tc>
        <w:tc>
          <w:tcPr>
            <w:tcW w:w="1440" w:type="dxa"/>
            <w:vAlign w:val="bottom"/>
            <w:tcBorders>
              <w:bottom w:val="single" w:sz="8" w:color="CCEEFF"/>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751,172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1,700,232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market type for the three months ended June 30, 2024 and 2023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4"/>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4"/>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800" w:type="dxa"/>
            <w:vAlign w:val="bottom"/>
            <w:tcBorders>
              <w:top w:val="single" w:sz="8" w:color="auto"/>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20" w:type="dxa"/>
            <w:vAlign w:val="bottom"/>
            <w:tcBorders>
              <w:top w:val="single" w:sz="8" w:color="auto"/>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800" w:type="dxa"/>
            <w:vAlign w:val="bottom"/>
            <w:tcBorders>
              <w:top w:val="single" w:sz="8" w:color="auto"/>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40" w:type="dxa"/>
            <w:vAlign w:val="bottom"/>
            <w:tcBorders>
              <w:top w:val="single" w:sz="8" w:color="auto"/>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282,488</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4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322,272</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23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0"/>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175,721</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21.2</w:t>
            </w:r>
          </w:p>
        </w:tc>
        <w:tc>
          <w:tcPr>
            <w:tcW w:w="420" w:type="dxa"/>
            <w:vAlign w:val="bottom"/>
          </w:tcPr>
          <w:p>
            <w:pPr>
              <w:spacing w:after="0"/>
              <w:rPr>
                <w:sz w:val="23"/>
                <w:szCs w:val="23"/>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181,465</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tcPr>
          <w:p>
            <w:pPr>
              <w:spacing w:after="0"/>
              <w:rPr>
                <w:sz w:val="23"/>
                <w:szCs w:val="23"/>
                <w:color w:val="auto"/>
              </w:rPr>
            </w:pPr>
          </w:p>
        </w:tc>
        <w:tc>
          <w:tcPr>
            <w:tcW w:w="94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Electrical construction</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370,681</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44.7</w:t>
            </w:r>
          </w:p>
        </w:tc>
        <w:tc>
          <w:tcPr>
            <w:tcW w:w="4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C&amp;I</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384,879</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43.3</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215"/>
              <w:spacing w:after="0"/>
              <w:rPr>
                <w:sz w:val="20"/>
                <w:szCs w:val="20"/>
                <w:color w:val="auto"/>
              </w:rPr>
            </w:pPr>
            <w:r>
              <w:rPr>
                <w:rFonts w:ascii="Times New Roman" w:cs="Times New Roman" w:eastAsia="Times New Roman" w:hAnsi="Times New Roman"/>
                <w:sz w:val="18"/>
                <w:szCs w:val="18"/>
                <w:color w:val="auto"/>
                <w:w w:val="99"/>
              </w:rPr>
              <w:t>C&amp;I</w:t>
            </w:r>
          </w:p>
        </w:tc>
        <w:tc>
          <w:tcPr>
            <w:tcW w:w="0" w:type="dxa"/>
            <w:vAlign w:val="bottom"/>
          </w:tcPr>
          <w:p>
            <w:pPr>
              <w:spacing w:after="0"/>
              <w:rPr>
                <w:sz w:val="1"/>
                <w:szCs w:val="1"/>
                <w:color w:val="auto"/>
              </w:rPr>
            </w:pPr>
          </w:p>
        </w:tc>
      </w:tr>
      <w:tr>
        <w:trPr>
          <w:trHeight w:val="22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828,890</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888,616</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market type for the six months ended June 30, 2024 and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4"/>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37"/>
        </w:trPr>
        <w:tc>
          <w:tcPr>
            <w:tcW w:w="2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19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352,190</w:t>
            </w:r>
          </w:p>
        </w:tc>
        <w:tc>
          <w:tcPr>
            <w:tcW w:w="100" w:type="dxa"/>
            <w:vAlign w:val="bottom"/>
          </w:tcPr>
          <w:p>
            <w:pPr>
              <w:spacing w:after="0"/>
              <w:rPr>
                <w:sz w:val="21"/>
                <w:szCs w:val="21"/>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21.4</w:t>
            </w:r>
          </w:p>
        </w:tc>
        <w:tc>
          <w:tcPr>
            <w:tcW w:w="400" w:type="dxa"/>
            <w:vAlign w:val="bottom"/>
          </w:tcPr>
          <w:p>
            <w:pPr>
              <w:spacing w:after="0"/>
              <w:rPr>
                <w:sz w:val="21"/>
                <w:szCs w:val="21"/>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328,690</w:t>
            </w:r>
          </w:p>
        </w:tc>
        <w:tc>
          <w:tcPr>
            <w:tcW w:w="120" w:type="dxa"/>
            <w:vAlign w:val="bottom"/>
          </w:tcPr>
          <w:p>
            <w:pPr>
              <w:spacing w:after="0"/>
              <w:rPr>
                <w:sz w:val="21"/>
                <w:szCs w:val="21"/>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tcPr>
          <w:p>
            <w:pPr>
              <w:spacing w:after="0"/>
              <w:rPr>
                <w:sz w:val="21"/>
                <w:szCs w:val="21"/>
                <w:color w:val="auto"/>
              </w:rPr>
            </w:pPr>
          </w:p>
        </w:tc>
        <w:tc>
          <w:tcPr>
            <w:tcW w:w="980" w:type="dxa"/>
            <w:vAlign w:val="bottom"/>
          </w:tcPr>
          <w:p>
            <w:pPr>
              <w:jc w:val="center"/>
              <w:ind w:right="19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Electrical construction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695,848</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42.3</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C&amp;I</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751,172</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44.2</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color w:val="auto"/>
                <w:w w:val="99"/>
              </w:rPr>
              <w:t>C&amp;I</w:t>
            </w:r>
          </w:p>
        </w:tc>
        <w:tc>
          <w:tcPr>
            <w:tcW w:w="0" w:type="dxa"/>
            <w:vAlign w:val="bottom"/>
          </w:tcPr>
          <w:p>
            <w:pPr>
              <w:spacing w:after="0"/>
              <w:rPr>
                <w:sz w:val="1"/>
                <w:szCs w:val="1"/>
                <w:color w:val="auto"/>
              </w:rPr>
            </w:pPr>
          </w:p>
        </w:tc>
      </w:tr>
      <w:tr>
        <w:trPr>
          <w:trHeight w:val="26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1,644,452</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1,700,232</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$2.34 billion of remaining performance obligations. The Company’s remaining performance obligations include projects that have a written award, a letter of intent, a notice to proceed or an agreed upon work order to perform work on mutually accepted terms and conditions. The timing of when remaining performance obligations are recognized is evaluated quarterly and is largely driven by the estimated start date and duration of the underlying projects.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amount of remaining performance obligations as of June 30, 2024 that the Company expects to be realized and the amount of the remaining performance obligations that the Company reasonably estimates will be recognized within the next twelve months, and the amount estimated to be recognized after the next twelve months.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720" w:type="dxa"/>
            <w:vAlign w:val="bottom"/>
            <w:gridSpan w:val="6"/>
          </w:tcPr>
          <w:p>
            <w:pPr>
              <w:jc w:val="center"/>
              <w:ind w:left="1117"/>
              <w:spacing w:after="0"/>
              <w:rPr>
                <w:sz w:val="20"/>
                <w:szCs w:val="20"/>
                <w:color w:val="auto"/>
              </w:rPr>
            </w:pPr>
            <w:r>
              <w:rPr>
                <w:rFonts w:ascii="Times New Roman" w:cs="Times New Roman" w:eastAsia="Times New Roman" w:hAnsi="Times New Roman"/>
                <w:sz w:val="14"/>
                <w:szCs w:val="14"/>
                <w:b w:val="1"/>
                <w:bCs w:val="1"/>
                <w:color w:val="auto"/>
              </w:rPr>
              <w:t>Remaining Performance Obligations at June 30, 2024</w:t>
            </w:r>
          </w:p>
        </w:tc>
        <w:tc>
          <w:tcPr>
            <w:tcW w:w="1740" w:type="dxa"/>
            <w:vAlign w:val="bottom"/>
          </w:tcPr>
          <w:p>
            <w:pPr>
              <w:spacing w:after="0"/>
              <w:rPr>
                <w:sz w:val="16"/>
                <w:szCs w:val="16"/>
                <w:color w:val="auto"/>
              </w:rPr>
            </w:pPr>
          </w:p>
        </w:tc>
      </w:tr>
      <w:tr>
        <w:trPr>
          <w:trHeight w:val="37"/>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r>
      <w:tr>
        <w:trPr>
          <w:trHeight w:val="17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estimated to be recognized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estimated to be recognized</w:t>
            </w:r>
          </w:p>
        </w:tc>
      </w:tr>
      <w:tr>
        <w:trPr>
          <w:trHeight w:val="190"/>
        </w:trPr>
        <w:tc>
          <w:tcPr>
            <w:tcW w:w="424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within 12 months</w:t>
            </w:r>
          </w:p>
        </w:tc>
        <w:tc>
          <w:tcPr>
            <w:tcW w:w="520" w:type="dxa"/>
            <w:vAlign w:val="bottom"/>
          </w:tcPr>
          <w:p>
            <w:pPr>
              <w:spacing w:after="0"/>
              <w:rPr>
                <w:sz w:val="16"/>
                <w:szCs w:val="16"/>
                <w:color w:val="auto"/>
              </w:rPr>
            </w:pPr>
          </w:p>
        </w:tc>
        <w:tc>
          <w:tcPr>
            <w:tcW w:w="17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after 12 months</w:t>
            </w:r>
          </w:p>
        </w:tc>
      </w:tr>
      <w:tr>
        <w:trPr>
          <w:trHeight w:val="37"/>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44"/>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48,125</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1,685,712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1,272,942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412,770</w:t>
            </w: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2,338,046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1,877,151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Company estimates approximately 95% or more of the remaining performance obligations will be recognized within twenty-four months, including approximately 80%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U.S. federal statutory tax rate was 21% for each of the three and six months ended June 30, 2024 and 2023. The Company’s effective tax rate for the three and six months ended June 30, 2024 was 31.0% and (281.9%), respectively, of pretax income (loss) compared to the effective tax rate for the three and six months ended June 30, 2023 of 29.5% and 22.6%, respectively.</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rates for the three months ended June 30, 2024 and 2023, was primarily due to state income taxes, Canadian taxes and other permanent difference items.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the six months ended June 30, 2024, was primarily due to lower taxes associated with a reduction in net income and a favorable impact from stock compensation excess tax benefits, partially offset by state income taxes, Canadian taxes and other permanent difference items. The difference between the U.S. federal statutory tax rate and the Company’s effective tax rate for the six months ended June 30, 2023, was primarily due to state income taxes, Canadian taxes and other permanent difference items partially offset by a favorable impact from stock compensation excess tax benefits.</w:t>
      </w:r>
    </w:p>
    <w:p>
      <w:pPr>
        <w:spacing w:after="0" w:line="18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Company has recorded a liability for unrecognized tax benefits of approximately $0.3 million and $0.5 million as of June 30, 2024 and December 31, 2023, respectively, which were included in other liabilities in the accompanying consolidated balance sheets.</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six months ended June 30, 2024 and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taxation in various jurisdictions. The Company’s 2020 through 2022 tax returns are subject to examination by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authorities. The Company’s tax returns are subject to examination by various state authorities for the years 2019 through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approximately $14.9 million in outstanding purchase orders for certain construction equipment, with cash payments scheduled to occur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Claims Accruals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8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Payment Bonds and Parent Guarantees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June 30, 2024, an aggregate of approximately $2.76 billion in original face amount of bonds issued by the Company’s sureties were outstanding. The Company estimated the remaining cost to complete these bonded projects was approximately $770.1 million as of June 30, 2024.</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Indemnities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Matters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 routinely subject to other civil claims, litigation and arbitration, and regulatory investigations arising in the ordinary course of business. These claims, lawsuits and other proceedings include claims related to the Company’s current services and operations, as well as our historic operations.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The Company maintains an equity compensation plan under which stock-based compensation has been granted: the 2017 Long-Term Incentive Plan (Amended and Restated as of April 24, 2024) (the “LTIP”). The LTIP was approved by our shareholders and provides for grants of (a) incentive stock options qualified as such under U.S. federal income tax laws, (b) stock options that do not qualify as incentive stock options, (c) stock appreciation rights,</w:t>
      </w:r>
    </w:p>
    <w:p>
      <w:pPr>
        <w:spacing w:after="0" w:line="2" w:lineRule="exact"/>
        <w:rPr>
          <w:sz w:val="20"/>
          <w:szCs w:val="20"/>
          <w:color w:val="auto"/>
        </w:rPr>
      </w:pPr>
    </w:p>
    <w:p>
      <w:pPr>
        <w:ind w:firstLine="8"/>
        <w:spacing w:after="0" w:line="255"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(e) restricted stock units, (f) performance awards, (g) phantom stock, (h) stock bonuses, (i) dividend equivalents, or (j) any combination of such grants. The Company has outstanding grants of time-vested stock awards in the form of restricted stock units and internal metric-based and market-based performance stock units.</w:t>
      </w:r>
    </w:p>
    <w:p>
      <w:pPr>
        <w:spacing w:after="0" w:line="18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time-vested stock awards covering 40,723 shares of common stock under the LTIP, which vest ratably over three years for employee awards and after one year for non-employee director awards, at a weighted average grant date fair value of $171.55. During the six months ended June 30, 2024, time-vested stock awards covering 42,554 shares of common stock vested at a weighted average grant date fair value of $99.52.</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29,566 performance share awards under the LTIP at target, which will cliff vest, if earned, on December 31, 2026, at a weighted average grant date fair value of $197.89. The number of shares ultimately earned under a performance award may vary from zero to 200% of the target shares granted, based upon the Company’s performance compared to certain financial and other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(loss)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1–Organization, Business and Significant Accounting Policies to the 2023 Annual Report.</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T&amp;D customers include investor-owned utilities, cooperatives, private developers, government-funded utilities, independent power producers, independent transmission companies, industrial facility owners and other contractors.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the following table is derived from the segment’s internal financial reports used for corporate management purposes: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42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r>
      <w:tr>
        <w:trPr>
          <w:trHeight w:val="37"/>
        </w:trPr>
        <w:tc>
          <w:tcPr>
            <w:tcW w:w="5520" w:type="dxa"/>
            <w:vAlign w:val="bottom"/>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0"/>
                <w:szCs w:val="20"/>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503,737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949,060</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751,172</w:t>
            </w:r>
          </w:p>
        </w:tc>
      </w:tr>
      <w:tr>
        <w:trPr>
          <w:trHeight w:val="237"/>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828,890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888,616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1,700,232</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70,554</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w:t>
            </w: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(33,940)</w:t>
            </w: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are computed by dividing net income (loss) by the weighted average number of common shares outstanding during the period, and diluted earnings per share are computed by dividing net income (loss) by the weighted average number of common shares outstanding during the period plus all potentially dilutive common stock equivalents, except in cases where the effect of the common stock equivalent would be anti-dilutive.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(loss) and the weighted average number of common shares used to compute basic and diluted earnings per share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5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dilutive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and 2023, certain common stock equivalents were excluded from the calculation of dilutive securities because their inclusion would have been anti-dilutive.</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common stock underlying the Company’s unvested time-vested stock awards and performance awards that were excluded from the calculation of dilutive securities: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7"/>
        </w:trPr>
        <w:tc>
          <w:tcPr>
            <w:tcW w:w="5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Time-vested stock awards</w:t>
            </w:r>
          </w:p>
        </w:tc>
        <w:tc>
          <w:tcPr>
            <w:tcW w:w="94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9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repurchased 36,397 shares of stock, for approximately $5.9 million, from its employees to satisfy tax obligations on shares vested under the LTIP. During the six months ended June 30, 2023 the Company repurchased 76,150 shares of stock, for approximately $7.9 million, from its employees to satisfy tax obligations on shares vested under the LTIP.</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May 6, 2024, the Company announced that its Board of Directors had authorized a new $75.0 million share repurchase program (the "Repurchase Program"), which became effective on May 9, 2024. The Repurchase Program will expire on November 8, 2024, or when the authorized funds are exhausted, whichever is earlier. The Company’s prior $75.0 million repurchase program commenced on November 9, 2023 and expired on May 8, 2024. During the six months ended June 30, 2024, the Company repurchased 117,422 shares of its common stock under the Repurchase Program at a weighted-average price of $138.47 per share. As of June 30, 2024, the Company had $58.7 million of remaining availability to repurchase shares of the Company’s common stock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2023 (the “2023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2023 Annual Report. We assume no obligation to update any of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4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 We strive to maintain our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status as a preferred provider to our T&amp;D and C&amp;I customers.</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3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believe legislative actions aimed at supporting infrastructure improvements in the United States may positively impact long-term demand, particularly in connection with electric power infrastructure, transportation and clean energy spending. We believe the legislative actions are likely to provide greater long-term opportunity in both of our reporting segments. However, we expect our financial results, in both of our segments, to continue to be affected by delays and cost volatility through 2024, due to supply chain disruptions, inflationary pressures, tariffs and regulatory slowdowns. These factors will cause us to carry impacted projects at lower margins until their completion and may result in decelerations in project opportunities and awards.</w:t>
      </w:r>
    </w:p>
    <w:p>
      <w:pPr>
        <w:spacing w:after="0" w:line="137" w:lineRule="exact"/>
        <w:rPr>
          <w:sz w:val="20"/>
          <w:szCs w:val="20"/>
          <w:color w:val="auto"/>
        </w:rPr>
      </w:pPr>
    </w:p>
    <w:p>
      <w:pPr>
        <w:ind w:right="60" w:firstLine="648"/>
        <w:spacing w:after="0" w:line="231" w:lineRule="auto"/>
        <w:rPr>
          <w:sz w:val="20"/>
          <w:szCs w:val="20"/>
          <w:color w:val="auto"/>
        </w:rPr>
      </w:pPr>
      <w:r>
        <w:rPr>
          <w:rFonts w:ascii="Times New Roman" w:cs="Times New Roman" w:eastAsia="Times New Roman" w:hAnsi="Times New Roman"/>
          <w:sz w:val="18"/>
          <w:szCs w:val="18"/>
          <w:color w:val="auto"/>
        </w:rPr>
        <w:t>We had consolidated revenues for the six months ended June 30, 2024 of $1.64 billion, of which 57.7% was attributable to our T&amp;D customers and 42.3% was attributable to our C&amp;I customers. Our consolidated revenues for the six months ended June 30, 2023 were $1.7 billion. For the six months ended June 30, 2024, our net income and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were $3.7 million and $35.1 million, respectively, compared to $45.4 million and $88.4 million, respectively, for the six months ended June 30, 2023.</w:t>
      </w:r>
    </w:p>
    <w:p>
      <w:pPr>
        <w:spacing w:after="0" w:line="16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believe there is an ongoing need for utilities to sustain investment in their transmission systems to improve reliability, reduce congestion, connect to new clean energy sources and support future load growth. Consequently, we believe that we will continue to see continued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2024 will not likely have a large impact on 2024 results. Bidding and construction activity for small to medium-size transmission projects and upgrades remain active, and we expect this trend to continue.</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need for further investment by utilities on their distribution systems to properly maintain or meet reliability requirements. We continue to see strong bidding activity in some of our electric distribution markets.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We expect to see an increase in the distribution market opportunities during the rest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0"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EBITDA is a non-GAAP measure. Refer to “Non-GAAP Measure—EBITDA” for a discussion of this measure.</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Although our C&amp;I bidding opportunities remain strong, we may see impacts due to continued market disruptions and overall market volatility which could result in slower growth of our C&amp;I segment. We believe that the primary markets we serve such as transportation, data centers, health care, clean energy and warehousing, may be somewhat less vulnerable to an economic slowdown.</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the United States has experienced decades of underfunded economic expansion and aging infrastructure that have challenged the capacity of public water and transportation infrastructure forcing states and municipalities to seek creative means to fund needed expansion and repair. We believe the need for expanding public infrastructure in both the United States and Canada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spacing w:after="0" w:line="14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continue to implement strategies that are designed to further expand our capabilities and effectively allocate capital. We have focused on strengthening our balance sheet by maintaining a low level of variable rate outstanding debt in the current higher interest rate environment and by increasing our revolving credit facility to $490 million on May 31, 2023. This expanded availability of liquidity will allow us to take advantage of future opportunities as they arise. During the six months ended June 30, 2024, the Company repurchased 117,422 shares of its common stock under our repurchase program at a weighted-average price of $138.47 per share. As of June 30, 2024, we had $58.7 million of remaining availability to purchase shares under our share repurchase program, which continues in effect until November 8, 2024, or until the authorized funds are exhausted.</w:t>
      </w:r>
    </w:p>
    <w:p>
      <w:pPr>
        <w:spacing w:after="0" w:line="14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backlog was $2.54 billion at June 30, 2024, compared to $2.51 billion at December 31, 2023 and $2.73 billion at June 30, 2023. Our backlog at June 30, 2024 increased $118.5 million from March 31, 2024. Backlog in the T&amp;D segment decreased $22.5 million and C&amp;I backlog increased $141.0 million compared to March 31, 2024. Our backlog as of June 30, 2024 included our proportionate share of joint venture backlog totaling $188.7 million, compared to $4.0 million at March 31,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that amount of our backlog that we believe to be firm as of the dates shown and the amount of our current backlog that we reasonably estimate will not be recognized within the next twelve months, and the amount estimated to be recognized after the next twelve months: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Backlog at June 30, 2024</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Total backlog at</w:t>
            </w:r>
          </w:p>
        </w:tc>
        <w:tc>
          <w:tcPr>
            <w:tcW w:w="0" w:type="dxa"/>
            <w:vAlign w:val="bottom"/>
          </w:tcPr>
          <w:p>
            <w:pPr>
              <w:spacing w:after="0"/>
              <w:rPr>
                <w:sz w:val="1"/>
                <w:szCs w:val="1"/>
                <w:color w:val="auto"/>
              </w:rPr>
            </w:pPr>
          </w:p>
        </w:tc>
      </w:tr>
      <w:tr>
        <w:trPr>
          <w:trHeight w:val="129"/>
        </w:trPr>
        <w:tc>
          <w:tcPr>
            <w:tcW w:w="318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26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tcPr>
          <w:p>
            <w:pPr>
              <w:jc w:val="center"/>
              <w:ind w:right="197"/>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recognized within 12 months</w:t>
            </w:r>
          </w:p>
        </w:tc>
        <w:tc>
          <w:tcPr>
            <w:tcW w:w="260" w:type="dxa"/>
            <w:vAlign w:val="bottom"/>
          </w:tcPr>
          <w:p>
            <w:pPr>
              <w:spacing w:after="0"/>
              <w:rPr>
                <w:sz w:val="17"/>
                <w:szCs w:val="17"/>
                <w:color w:val="auto"/>
              </w:rPr>
            </w:pPr>
          </w:p>
        </w:tc>
        <w:tc>
          <w:tcPr>
            <w:tcW w:w="2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recognized after 12 months</w:t>
            </w:r>
          </w:p>
        </w:tc>
        <w:tc>
          <w:tcPr>
            <w:tcW w:w="140" w:type="dxa"/>
            <w:vAlign w:val="bottom"/>
          </w:tcPr>
          <w:p>
            <w:pPr>
              <w:spacing w:after="0"/>
              <w:rPr>
                <w:sz w:val="17"/>
                <w:szCs w:val="17"/>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959,553</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1,713,129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1,300,359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1,552,846</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2,543,834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2,512,399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and such data as a percentage of revenues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26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10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6"/>
                <w:szCs w:val="16"/>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revenues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828,890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888,616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1,644,452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1,700,232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 costs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788,047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798,489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1,517,366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1,525,713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89.7</w:t>
            </w:r>
          </w:p>
        </w:tc>
        <w:tc>
          <w:tcPr>
            <w:tcW w:w="0" w:type="dxa"/>
            <w:vAlign w:val="bottom"/>
          </w:tcPr>
          <w:p>
            <w:pPr>
              <w:spacing w:after="0"/>
              <w:rPr>
                <w:sz w:val="1"/>
                <w:szCs w:val="1"/>
                <w:color w:val="auto"/>
              </w:rPr>
            </w:pPr>
          </w:p>
        </w:tc>
      </w:tr>
      <w:tr>
        <w:trPr>
          <w:trHeight w:val="37"/>
        </w:trPr>
        <w:tc>
          <w:tcPr>
            <w:tcW w:w="2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90,127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127,086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174,519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administrative expenses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Gain on sale of property and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equipment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37"/>
        </w:trPr>
        <w:tc>
          <w:tcPr>
            <w:tcW w:w="2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12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color w:val="auto"/>
              </w:rPr>
              <w:t>Income (loss) before provision</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for income taxes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8"/>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22,273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45,436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25"/>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227"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decreased $59.7 million or 6.7%, to $828.9 million for the three months ended June 30, 2024 from $888.6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2023. The decrease was primarily due to a decrease of $39.8 million in revenue on transmission projects, a decrease of $14.2 million in C&amp;I revenue, and a decrease of $5.8 million in revenue on distribution projects.</w:t>
      </w:r>
    </w:p>
    <w:p>
      <w:pPr>
        <w:spacing w:after="0" w:line="11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for the three months ended June 30, 2024 decreased to 4.9% compared to 10.1%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in gross margin was primarily impacted by significant changes in our estimated gross profit on certain projects resulting in a net gross margin decrease of 7.2% for the three months ended June 30, 2024, compared to a net decrease of 1.3% for the three months ended June 30, 2023. During the three months ended June 30, 2024, significant estimate changes negatively impacted gross margin by 9.1%, primarily related to clean energy projects in T&amp;D, the unfavorable impact of a C&amp;I project as well as an increase in costs associated with labor, project inefficiencies and schedule compression on certain projects. In addition, significant estimate changes in gross profit positively impacted gross margin by 1.9% and largely related to favorable change orders, better-than-anticipated productivity, a favorable job closeout and favorable materials pricing on a project. Gross margin also benefited by approximately 0.2% from favorable joint venture results during the three months ended June 30,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$40.8 million for the three months ended June 30, 2024 compared to $90.1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2023. The decrease of $49.3 million, or 54.7%, was due to lower margin and lower revenues.</w:t>
      </w:r>
    </w:p>
    <w:p>
      <w:pPr>
        <w:spacing w:after="0" w:line="10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were $61.8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compared to $57.8 million for the three months ended June 30, 2023. The period-over-period increase of $4.0 million was primarily due to an increase of $3.6 million related to contingent compensation expense related to a prior acquisition and an increase in employee-related expenses to support future growth, partially offset by a decrease in employee incentive compensation costs.</w:t>
      </w:r>
    </w:p>
    <w:p>
      <w:pPr>
        <w:spacing w:after="0" w:line="126"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Gain on sale of property and equipment</w:t>
      </w:r>
      <w:r>
        <w:rPr>
          <w:rFonts w:ascii="Times New Roman" w:cs="Times New Roman" w:eastAsia="Times New Roman" w:hAnsi="Times New Roman"/>
          <w:sz w:val="18"/>
          <w:szCs w:val="18"/>
          <w:color w:val="auto"/>
        </w:rPr>
        <w:t>. Gains from the sale of property and equipment for the three months ended June 30, 2024 were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$1.3 million for the three months ended June 30, 2023. Gains from the sale of property and equipment are attributable to routine sales of property and equipment no longer useful or valuable to our ongoing operations.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$1.2 million for three months ended June 30, 2024 and 2023.</w:t>
      </w:r>
    </w:p>
    <w:p>
      <w:pPr>
        <w:spacing w:after="0" w:line="171"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Income tax benefit was $6.9 million for the three months ended June 30, 2024, with an effective tax rate of 31.0%,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expense of $9.3 million for the three months ended June 30, 2023, with an effective tax rate of 29.5%. The increase in the tax rate for the three months ended June 30, 2024 was primarily due to higher other permanent difference items.</w:t>
      </w:r>
    </w:p>
    <w:p>
      <w:pPr>
        <w:spacing w:after="0" w:line="119"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Net loss was $15.3 million for the three months ended June 30, 2024 compared to net income of $22.3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The decrease was primarily due to the reasons stated earlier.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(loss)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7"/>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503,737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384,879</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828,890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888,616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37,734</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50,357</w:t>
            </w:r>
          </w:p>
        </w:tc>
        <w:tc>
          <w:tcPr>
            <w:tcW w:w="20" w:type="dxa"/>
            <w:vAlign w:val="bottom"/>
            <w:tcBorders>
              <w:top w:val="single" w:sz="8" w:color="auto"/>
            </w:tcBorders>
          </w:tcPr>
          <w:p>
            <w:pPr>
              <w:spacing w:after="0"/>
              <w:rPr>
                <w:sz w:val="20"/>
                <w:szCs w:val="20"/>
                <w:color w:val="auto"/>
              </w:rPr>
            </w:pPr>
          </w:p>
        </w:tc>
        <w:tc>
          <w:tcPr>
            <w:tcW w:w="1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1540" w:type="dxa"/>
            <w:vAlign w:val="bottom"/>
            <w:tcBorders>
              <w:bottom w:val="single" w:sz="8" w:color="CCEEFF"/>
            </w:tcBorders>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17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Revenues for our T&amp;D segment for the three months ended June 30, 2024 were $458.2 million compared to $503.7 million for the three months ended June 30, 2023, a decrease of $45.5 million, or 9.0%. The decrease in revenue was related to a decrease of $39.8 million in revenue on transmission projects and a decrease of $5.8 million in revenue on distribution projects. Revenues from transmission projects represented 61.7% and 64.0% of T&amp;D segment revenue for the three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Operating loss for our T&amp;D segment for the three months ended June 30, 2024 was $8.3 million, a decrease of $46.0 million, or 122.0%, from the three months ended June 30, 2023. As a percentage of revenues, operating loss for our T&amp;D segment was 1.8% for the three months ended June 30, 2024 compared to operating income of 7.5% for the three months ended June 30, 2023. Operating income (loss) margin was impacted by significant changes in our estimated gross profit on certain projects resulting in a net operating income (loss) margin decrease of 10.5% for the three months ended June 30, 2024, compared to a net decrease of 1.2% for the three months ended June 30, 2023. During the three months ended June 30, 2024, significant estimated gross profit changes negatively impacted operating income (loss) as a percentage of revenues by 10.5% and related to clean energy projects. Losses on these projects were primarily related to contractual disputes, labor and project inefficiencies, higher labor and contract related costs and unfavorable weather conditions. In addition, schedule extensions caused by owner-furnished panel delays led to increased costs on two clean energy projects. Many of these projects have reached mechanical completion and the remaining projects are anticipated to reach mechanical completion in the third and fourth quarters of 2024. Additionally, T&amp;D operating income margin was negatively impacted by higher fleet depreciation and maintenance expenses and a decrease in work in progress.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17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Revenues for our C&amp;I segment for the three months ended June 30, 2024 were $370.7 million compared to $384.9 million for the three months ended June 30, 2023, a decrease of $14.2 million, or 3.7%, which was primarily due to the delayed start of certain projects. The decrease in revenue was related to a decrease of $6.7 million in revenue on fixed priced contracts, a decrease of $4.8 million in revenues on unit price work, and a decrease of $2.7 million on T&amp;E contracts.</w:t>
      </w:r>
    </w:p>
    <w:p>
      <w:pPr>
        <w:spacing w:after="0" w:line="11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Operating income for our C&amp;I segment for the three months ended June 30, 2024 was $1.6 million, a decrease of $11.0 million, over the three months ended June 30, 2023. As a percentage of revenues, operating income for our C&amp;I segment was 0.4% for the three months ended June 30, 2024 compared to 3.3% for the three months ended June 30, 2023. Operating income margin was impacted by significant changes in our estimated gross profit on certain projects resulting in a net operating income margin decrease of 3.1% for the three months ended June 30, 2024, compared to a net decrease of 1.4% for the three months ended June 30, 2023. Significant estimated gross profit changes negatively impacted operating income as a percentage of revenues by 7.4%, with 3.6% of the impact from a single project that is anticipated to reach substantial completion during the fourth quarter of 2024. The loss from this project was primarily due to scope additions, increased labor costs related to schedule compression and lower productivity due to access and workflow issues. C&amp;I operating income margin was also negatively impacted by an increase in costs associated with labor, project inefficiencies and schedule compression on certain projects. These decreases were partially offset by positive significant estimated gross profit changes totaling 4.3% and largely related to favorable change orders, better-than-anticipated productivity, a favorable job closeout and favorable materials pricing on a project. Additionally, C&amp;I operating income margin was negatively impacted by approximately 1.0% due to higher contingent compensation expense related to a prior acquisition, partially offset by approximately 0.4% due to favorable joint venture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22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decreased $55.7 million or 3.3%, to $1.64 billion for the six months ended June 30, 2024 from $1.70 billion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The decrease was primarily due to a decrease of $55.4 million in C&amp;I revenue, and a decrease of $24.0 million in revenue on transmission projects, partially offset by an increase of $23.5 million in revenue on distribution projects.</w:t>
      </w:r>
    </w:p>
    <w:p>
      <w:pPr>
        <w:spacing w:after="0" w:line="17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for the six months ended June 30, 2024 decreased to 7.7% compared to 10.3%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in gross margin was primarily impacted by significant changes in our estimated gross profit on certain projects resulting in a net gross margin decrease of 4.2% for the six months ended June 30, 2024, compared to a net decrease of 1.0% for the six months ended June 30, 2023. During the six months ended June 30, 2024, significant estimate changes negatively impacted gross margin by 5.9%, primarily related to clean energy projects in T&amp;D, labor and project inefficiencies, the unfavorable impact of a C&amp;I project, an increase in costs associated with schedule compression on certain projects and an unfavorable change order. In addition, significant estimate changes in gross profit positively impacted gross margin by 1.7% and mainly related to better-than-anticipated productivity, favorable change orders and a favorable job closeout. Gross margin also benefited by approximately 0.3% from favorable joint venture results during the six months ended June 30, 2024.</w:t>
      </w:r>
    </w:p>
    <w:p>
      <w:pPr>
        <w:spacing w:after="0" w:line="185"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$127.1 million for the six months ended June 30, 2024 compared to $174.5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2023. The decrease of $47.4 million, or 27.2% was due to lower margin and lower revenues.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was $124.1 million for the six months ended June 30, 2024 compared to $114.7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2023. The period-over-period increase of $9.4 million was primarily due to an increase of $5.3 million related to contingent compensation expense related to a prior acquisition and an increase in employee-related expenses to support future growth.</w:t>
      </w:r>
    </w:p>
    <w:p>
      <w:pPr>
        <w:spacing w:after="0" w:line="173"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property and equipment. </w:t>
      </w:r>
      <w:r>
        <w:rPr>
          <w:rFonts w:ascii="Times New Roman" w:cs="Times New Roman" w:eastAsia="Times New Roman" w:hAnsi="Times New Roman"/>
          <w:sz w:val="18"/>
          <w:szCs w:val="18"/>
          <w:color w:val="auto"/>
        </w:rPr>
        <w:t>Gains from the sale of property and equipment for the six months ended June 30, 2024 were $3.0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$2.5 million for the six months ended June 30, 2023. Gains from the sale of property and equipment are attributable to routine sales of property and equipment no longer useful or valuable to our ongoing operations.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$2.3 million for the six months ended June 30, 2024 compared to $1.7 million for the six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This increase was primarily attributable to higher interest rates, partially offset by lower average debt balances during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as compared to the six months ended June 30, 2023.</w:t>
      </w:r>
    </w:p>
    <w:p>
      <w:pPr>
        <w:spacing w:after="0" w:line="20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Income tax benefit was $2.7 million for the six months ended June 30, 2024, with an effective tax rate of (281.9%),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expense of $13.2 million for the six months ended June 30, 2023, with an effective tax rate of 22.6%. The change in the tax rate for the six months ended June 30, 2024 was primarily due to lower pretax income and higher other permanent difference items, offset by lower stock compensation excess tax benefits.</w:t>
      </w:r>
    </w:p>
    <w:p>
      <w:pPr>
        <w:spacing w:after="0" w:line="180"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was $3.7 million for the six months ended June 30, 2024 compared to $45.4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was primarily due to the reasons stated earlier.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4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949,060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1,644,452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1,700,232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4"/>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Revenues for our T&amp;D segment for the six months ended June 30, 2024 were $948.6 million compared to $949.1 million for the six months ended June 30, 2023, a decrease of $0.5 million. The decrease in revenue was related to a decrease of $24.0 million in revenue on transmission projects, mostly offset by an increase of $23.5 million in revenue on distribution projects. Revenues from transmission projects represented 62.9% and 65.4% of T&amp;D segment revenue for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Operating income for our T&amp;D segment for the six months ended June 30, 2024 was $21.5 million, a decrease of $49.1 million, or 69.5%, from the six months ended June 30, 2023. As a percentage of revenues, operating income for our T&amp;D segment was 2.3% for the six months ended June 30, 2024 compared to 7.4% for the six months ended June 30, 2023. Operating income margin was impacted by significant changes in our estimated gross profit on certain projects resulting in a net operating income margin decrease of 5.7% for the six months ended June 30, 2024, compared to a net decrease of 0.8% for the six months ended June 30, 2023. During the six months ended June 30, 2024, significant estimated gross profit changes negatively impacted operating income as a percentage of revenues by 5.9% and related to clean energy projects. Losses on these projects were primarily related to contractual disputes, labor and project inefficiencies, higher labor and contract related costs and unfavorable weather conditions. In addition, schedule extensions caused by owner-furnished panel delays led to increased costs on two clean energy projects. Many of these projects have reached mechanical completion and the remaining projects are anticipated to reach mechanical completion in the third and fourth quarters of 2024. These decreases were partially offset by positive significant estimated gross profit changes totaling 0.3% of revenues mostly related to better-than-anticipated productivity. Additionally, T&amp;D operating income margin was negatively impacted by higher fleet depreciation and maintenance expenses, partially offset by an increase in work in progress.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for our C&amp;I segment for the six months ended June 30, 2024 were $695.8 million compared to $751.2 million for the six months ended June 30, 2023, a decrease of $55.4 million, or 7.4%, which was primarily due to the delayed start of certain projects. The decrease in revenue was related to a decrease of $47.5 million in revenue on fixed priced contracts, a decrease of $6.1 million in revenues on unit price work and a decrease of $1.7 million on T&amp;E contracts.</w:t>
      </w:r>
    </w:p>
    <w:p>
      <w:pPr>
        <w:spacing w:after="0" w:line="18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Operating income for our C&amp;I segment for the six months ended June 30, 2024 was $13.0 million, a decrease of $10.3 million, over the six months ended June 30, 2023. As a percentage of revenues, operating income for our C&amp;I segment was 1.9% for the six months ended June 30, 2024, compared to 3.1% for the six months ended June 30, 2023. Operating income margin was impacted by significant changes in our estimated gross profit on certain projects resulting in a net operating income margin decrease of 2.1% for the six months ended June 30, 2024, compared to a net decrease of 1.3% for the six months ended June 30, 2023. Significant estimated gross profit changes negatively impacted operating income as a percentage of revenues by 5.8% and largely related to labor and project inefficiencies. A single project that is anticipated to reach substantial completion during the fourth quarter of 2024, caused 2.0% of this negative impact. The loss from this project was primarily due to scope additions, increased labor costs related to schedule compression and lower productivity due to access and workflow issues. Significant estimated gross profit changes were also negatively impacted by an increase in costs associated with schedule compression on certain projects and an unfavorable change order. These decreases were partially offset by positive significant estimated gross profit changes totaling 3.7% and largely related to better-than-anticipated productivity, some of which related to clean energy projects, favorable change orders and a favorable job closeout. Additionally, C&amp;I operating income margin was positively impacted by approximately 0.8% due to favorable joint venture results. This increase was partially offset by higher contingent compensation expense related to a prior acquisition, a decrease in work in progress and higher fleet depreciation and maintenance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Measure—EBITDA</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define EBITDA, a performance measure used by management, as net income (loss)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Using EBITDA as a performance measure has material limitations as compared to net income (loss),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(loss) to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5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45,436</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Add:</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0" w:type="dxa"/>
            <w:vAlign w:val="bottom"/>
          </w:tcPr>
          <w:p>
            <w:pPr>
              <w:spacing w:after="0"/>
              <w:rPr>
                <w:sz w:val="1"/>
                <w:szCs w:val="1"/>
                <w:color w:val="auto"/>
              </w:rPr>
            </w:pPr>
          </w:p>
        </w:tc>
      </w:tr>
      <w:tr>
        <w:trPr>
          <w:trHeight w:val="263"/>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88,389</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on our revolving credit facility.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flows provided by operating activities to EBITDA: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7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5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Add/(subtract):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(30,039)</w:t>
            </w: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0" w:type="dxa"/>
            <w:vAlign w:val="bottom"/>
          </w:tcPr>
          <w:p>
            <w:pPr>
              <w:spacing w:after="0"/>
              <w:rPr>
                <w:sz w:val="1"/>
                <w:szCs w:val="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35,135</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Material Cash Requirements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June 30, 2024, we had working capital of $269.9 million. We define working capital as current assets less current liabilities. During the six months ended June 30, 2024, operating activities of our business provided net cash of $30.4 million, compared to $15.8 million of cash provided for the six months ended June 30, 2023. Cash flow from operations is primarily influenced by operating margins, timing of contract performance and the type of services we provide to our customers. The $14.5 million year-over-year increase in cash provided by operating activities was primarily due to favorable net changes in operating assets and liabilities of $51.7 million, offset by a decrease of $41.8 million in net income. The favorable change in operating assets and liabilities was primarily due to the net favorable year-over-year changes in various working capital accounts that relate primarily to construction activities (accounts receivable, contract assets, accounts payable and contract liabilities) of $47.6 million and the favorable change of $13.5 million in other liabilities. The net favorable changes of $47.6 million in cash provided by working capital accounts, mainly related to construction activities, was due to the timing of billings and payments under our contracts. The favorable change of $13.5 million in other liabilities was primarily due to the timing of employee related wage and tax payments.</w:t>
      </w:r>
    </w:p>
    <w:p>
      <w:pPr>
        <w:spacing w:after="0" w:line="194" w:lineRule="exact"/>
        <w:rPr>
          <w:sz w:val="20"/>
          <w:szCs w:val="20"/>
          <w:color w:val="auto"/>
        </w:rPr>
      </w:pPr>
    </w:p>
    <w:p>
      <w:pPr>
        <w:ind w:right="960" w:firstLine="648"/>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2024, we used net cash of $42.6 million in investing activities consisting of $46.0 million for capital expenditures, partially offset by $3.4 million of proceeds from the sale of equipment.</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2024, financing activities used net cash of $10.3 million, consisting primarily of $14.3 million of share repurchases under our share repurchase program, $5.9 million of shares repurchased to satisfy tax obligations under our stock compensation programs and $2.6 million of payments under our equipment notes, partially offset by $11.4 million of net borrowings under our revolving line of credit.</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believe our $426.6 million borrowing availability under our revolving line of credit as of June 30, 2024,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historically paid dividends and currently do not expect to pay dividends.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spacing w:after="0" w:line="14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June 30, 2024.</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$24.6 million and $13.2 million of borrowings outstanding under the Facility as of June 30, 2024 and December 31, 2023,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Some of our vendors require letters of credit to ensure reimbursement for amounts they are disbursing on our behalf, such as to beneficiaries under our insurance programs. In addition, from time to 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June 30, 2024, we had $38.1 million in letters of credit outstanding under our Credit Agreement, including $27.1 million related to the Company's payment obligation under its insurance programs and $11.0 million related to contract performance obligations. As of December 31, 2023, we had $34.4 million in letters of credit outstanding under our Credit Agreement, including $27.1 million related to the Company's payment obligations under its insurance programs and $7.3 million related to contract performance obligations.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Notes</w:t>
      </w:r>
    </w:p>
    <w:p>
      <w:pPr>
        <w:spacing w:after="0" w:line="173"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spacing w:after="0" w:line="12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we had two outstanding Equipment Notes collateralized by equipment and vehicles owned by us. As of June 30, 2024 and December 31, 2023, we also had one other equipment note outstanding collateralized by a vehicle owned by us. The outstanding balance of all equipment notes was $20.4 million as of June 30, 2024 and $23.0 million as of December 31, 2023. As of June 30, 2024, we had outstanding short-term and long-term equipment notes of approximately $6.6 million and $13.8 million, respectively. As of December 31, 2023, we had outstanding short-term and long-term equipment notes of approximately $7.1 million and $16.0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6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nine years, some of which may include options to extend the leases for up to ten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w:t>
      </w:r>
    </w:p>
    <w:p>
      <w:pPr>
        <w:spacing w:after="0" w:line="106"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outstanding balance of operating lease obligations was $40.4 million as of June 30, 2024, consisting of short-term and long-term operating lease obligations of approximately $10.5 million and $29.9 million, respectively. The outstanding balance of operating lease obligations was $35.0 million as of December 31, 2023, consisting of short-term and long-term operating lease obligations of approximately $9.2 million and $25.8 million, respectively.</w:t>
      </w:r>
    </w:p>
    <w:p>
      <w:pPr>
        <w:spacing w:after="0" w:line="108"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outstanding balance of finance lease obligations was $3.8 million as of June 30, 2024, consisting of short-term and long-term finance lease obligations of approximately $2.2 million and $1.6 million, respectively. As of December 31, 2023 we had $2.3 million outstanding finance lease obligations, consisting of short-term and long-term finance lease obligations of approximately $2.0 million and $0.3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for Construction Equipment</w:t>
      </w:r>
    </w:p>
    <w:p>
      <w:pPr>
        <w:spacing w:after="0" w:line="16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we had approximately $14.9 million in outstanding purchase obligations for certain construction equipment to be paid with cash outlays scheduled to occur in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and Payment Bonds and Parent Guarantees</w:t>
      </w:r>
    </w:p>
    <w:p>
      <w:pPr>
        <w:spacing w:after="0" w:line="16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June 30, 2024, an aggregate of approximately $2.76 billion in original face amount of bonds issued by our sureties were outstanding. Our estimated remaining cost to complete these bonded projects was approximately $770.1 million as of June 30, 2024.</w:t>
      </w:r>
    </w:p>
    <w:p>
      <w:pPr>
        <w:spacing w:after="0" w:line="12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and Canada. Consequently, we are subject to potential credit risk related to changes in business and economic factors throughout the United States and Canada. However, we generally have certain statutory lien rights with respect to services provided. Under certain circumstances such as foreclosures or negotiated settlements, we may take title to the underlying assets in lieu of cash in settlement of receivables. As of June 30, 2024 and 2023, none of our customers individually exceeded 10% of consolidated accounts receivable. Management believes the terms and conditions in its contracts, billing and collection policies are adequate to minimize the potential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2023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Information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2023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contingencies and uncertainties include, but are not limited to, the following:</w:t>
      </w:r>
    </w:p>
    <w:p>
      <w:pPr>
        <w:spacing w:after="0" w:line="6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6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Negative economic and market conditions including tariffs on materials, interest rates and recessionary conditions have in the past and may in the future adversely impact our customers’ spending and, as a result, our operations and growth.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generating internal growth, which could impact the projects available to the Company.</w:t>
      </w:r>
    </w:p>
    <w:p>
      <w:pPr>
        <w:spacing w:after="0" w:line="63" w:lineRule="exact"/>
        <w:rPr>
          <w:rFonts w:ascii="Times New Roman" w:cs="Times New Roman" w:eastAsia="Times New Roman" w:hAnsi="Times New Roman"/>
          <w:sz w:val="18"/>
          <w:szCs w:val="18"/>
          <w:color w:val="auto"/>
        </w:rPr>
      </w:pPr>
    </w:p>
    <w:p>
      <w:pPr>
        <w:ind w:left="980" w:right="52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or integrate acquisitions or joint ventures may have an adverse impact on our growth strategy and business.</w:t>
      </w:r>
    </w:p>
    <w:p>
      <w:pPr>
        <w:spacing w:after="0" w:line="4" w:lineRule="exact"/>
        <w:rPr>
          <w:rFonts w:ascii="Times New Roman" w:cs="Times New Roman" w:eastAsia="Times New Roman" w:hAnsi="Times New Roman"/>
          <w:sz w:val="18"/>
          <w:szCs w:val="18"/>
          <w:color w:val="auto"/>
        </w:rPr>
      </w:pPr>
    </w:p>
    <w:p>
      <w:pPr>
        <w:ind w:left="980" w:right="18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Project performance issues, including those caused by third parties, or certain contractual obligations have in the past and may in the future result in additional costs to us, reductions or delays in revenues or the payment of penalties, including liquidated damages.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qualified personnel.</w:t>
      </w:r>
    </w:p>
    <w:p>
      <w:pPr>
        <w:spacing w:after="0" w:line="63" w:lineRule="exact"/>
        <w:rPr>
          <w:rFonts w:ascii="Times New Roman" w:cs="Times New Roman" w:eastAsia="Times New Roman" w:hAnsi="Times New Roman"/>
          <w:sz w:val="18"/>
          <w:szCs w:val="18"/>
          <w:color w:val="auto"/>
        </w:rPr>
      </w:pPr>
    </w:p>
    <w:p>
      <w:pPr>
        <w:ind w:left="980" w:right="34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contracts and termination of existing contracts may result in unpredictable fluctuations in our cash flows and financial results.</w:t>
      </w:r>
    </w:p>
    <w:p>
      <w:pPr>
        <w:spacing w:after="0" w:line="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During the ordinary course of our business, we have in the past and may in the future become subject to lawsuits or indemnity claims.</w:t>
      </w:r>
    </w:p>
    <w:p>
      <w:pPr>
        <w:spacing w:after="0" w:line="63"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may not be realized or may not result in profits and may not accurately represent future revenue.</w:t>
      </w:r>
    </w:p>
    <w:p>
      <w:pPr>
        <w:spacing w:after="0" w:line="63" w:lineRule="exact"/>
        <w:rPr>
          <w:rFonts w:ascii="Times New Roman" w:cs="Times New Roman" w:eastAsia="Times New Roman" w:hAnsi="Times New Roman"/>
          <w:sz w:val="18"/>
          <w:szCs w:val="18"/>
          <w:color w:val="auto"/>
        </w:rPr>
      </w:pPr>
    </w:p>
    <w:p>
      <w:pPr>
        <w:jc w:val="both"/>
        <w:ind w:left="980" w:right="40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the Canadian market could impact our profitability.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our interpretations of tax laws could materially impact our income tax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exposes us to potential liability for warranty claims and faulty engineering, which may reduce our profitability.</w:t>
      </w:r>
    </w:p>
    <w:p>
      <w:pPr>
        <w:spacing w:after="0" w:line="63" w:lineRule="exact"/>
        <w:rPr>
          <w:rFonts w:ascii="Times New Roman" w:cs="Times New Roman" w:eastAsia="Times New Roman" w:hAnsi="Times New Roman"/>
          <w:sz w:val="18"/>
          <w:szCs w:val="18"/>
          <w:color w:val="auto"/>
        </w:rPr>
      </w:pPr>
    </w:p>
    <w:p>
      <w:pPr>
        <w:ind w:left="980" w:right="18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outbreaks of disease, such as the COVID-19 pandemic, have in the past had and may in the future have an adverse impact on our business, employees, liquidity, financial condition, results of operations and cash flows.</w:t>
      </w:r>
    </w:p>
    <w:p>
      <w:pPr>
        <w:spacing w:after="0" w:line="4" w:lineRule="exact"/>
        <w:rPr>
          <w:rFonts w:ascii="Times New Roman" w:cs="Times New Roman" w:eastAsia="Times New Roman" w:hAnsi="Times New Roman"/>
          <w:sz w:val="18"/>
          <w:szCs w:val="18"/>
          <w:color w:val="auto"/>
        </w:rPr>
      </w:pPr>
    </w:p>
    <w:p>
      <w:pPr>
        <w:ind w:left="980" w:right="10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dependence on suppliers, subcontractors and equipment manufacturers has in the past and may in the future expose us to the risk of loss in our operations.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joint ventures and other projects with third parties may expose us to liability for failures of our partners.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 relating to electricity transmission and clean energy may impact demand for our services.</w:t>
      </w:r>
    </w:p>
    <w:p>
      <w:pPr>
        <w:spacing w:after="0" w:line="63" w:lineRule="exact"/>
        <w:rPr>
          <w:rFonts w:ascii="Times New Roman" w:cs="Times New Roman" w:eastAsia="Times New Roman" w:hAnsi="Times New Roman"/>
          <w:sz w:val="18"/>
          <w:szCs w:val="18"/>
          <w:color w:val="auto"/>
        </w:rPr>
      </w:pPr>
    </w:p>
    <w:p>
      <w:pPr>
        <w:ind w:left="980" w:right="6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environmental and other laws and regulations could result in significant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seasonal and other variations, including severe weather conditions and the nature of our work environment.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associated with government contracts could lead to increased governmental regulation applicable to us.</w:t>
      </w:r>
    </w:p>
    <w:p>
      <w:pPr>
        <w:spacing w:after="0" w:line="63" w:lineRule="exact"/>
        <w:rPr>
          <w:rFonts w:ascii="Times New Roman" w:cs="Times New Roman" w:eastAsia="Times New Roman" w:hAnsi="Times New Roman"/>
          <w:sz w:val="18"/>
          <w:szCs w:val="18"/>
          <w:color w:val="auto"/>
        </w:rPr>
      </w:pPr>
    </w:p>
    <w:p>
      <w:pPr>
        <w:ind w:left="980" w:right="340" w:hanging="324"/>
        <w:spacing w:after="0" w:line="28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percentage-of-completion accounting could result in a reduction or reversal of previously recognized revenues and profits.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are based upon estimates and assumptions that may differ from actual results.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costs may be greater than expected in performing our fixed-price and unit-price contracts.</w:t>
      </w:r>
    </w:p>
    <w:p>
      <w:pPr>
        <w:spacing w:after="0" w:line="63" w:lineRule="exact"/>
        <w:rPr>
          <w:rFonts w:ascii="Times New Roman" w:cs="Times New Roman" w:eastAsia="Times New Roman" w:hAnsi="Times New Roman"/>
          <w:sz w:val="18"/>
          <w:szCs w:val="18"/>
          <w:color w:val="auto"/>
        </w:rPr>
      </w:pPr>
    </w:p>
    <w:p>
      <w:pPr>
        <w:ind w:left="980" w:right="14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line="28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for, or work on, certain projects if we are not able to obtain necessary bonds, letters of credit, bank guarantees or other financial assurances.</w:t>
      </w:r>
    </w:p>
    <w:p>
      <w:pPr>
        <w:spacing w:after="0" w:line="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affecting the banking and financial services industry could adversely affect our business, liquidity and financial condition and overall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84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issues with our unionized workforce could adversely affect our business, and we may be subject to unionization attempts.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Multi-employer pension plan obligations related to our unionized workforce could adversely impact our earnings.</w:t>
      </w:r>
    </w:p>
    <w:p>
      <w:pPr>
        <w:spacing w:after="0" w:line="63"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within the United States and Canada, and we are exposed to market risks in the ordinary course of our business, including the effects of fluctuations in interest rates, foreign exchange rates, and commodity prices.</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we were not party to any derivative instruments. We did not use any material derivative financial instruments during the six months ended June 30, 2024 and 2023, including instruments for trading, hedging, or speculating on changes in interest rates, changes in foreign currency rates or changes in commodity prices of materials used in our business.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borrowings under our Facility are based upon interest rates that will vary depending upon the prime rate, Canadian prime rate, the NYFRB overnight bank funding rate, Term CORRA, and Term SOFR Reference Rate. If the prime rate, Canadian prime rate, the NYFRB overnight bank funding rate, Term CORRA, or Term SOFR Reference Rate rises, any interest payment obligations would increase and have a negative effect on our cash flow and financial condition. We currently do not maintain any hedging contracts that would limit our exposure to variable rates of interest when we have outstanding borrowings. As of June 30, 2024, we had $24.6 million of borrowings outstanding under the Facility. If market rates of interest on all our revolving debt as of June 30, 2024, which is subject to variable rates, permanently increased by 1%, the increase in interest expense on all revolving debt would decrease future income before provision for income taxes and cash flows by approximately $0.2 million annually. If market rates of interest on all our revolving debt, which is subject to variable rates as of June 30, 2024, permanently decreased by 1%, the decrease in interest expense on all debt would increase future income before provision for income taxes and cash flows by approximately $0.2 million annually. Borrowings under our equipment notes are at fixed rates established on the date the respective equipment note was executed.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discussion regarding legal proceedings, please refer to Note 8–Commitments and Contingencies—Litigation and Other Legal Matters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face a number of risks that could materially and adversely affect our business, employees, liquidity, financial condition, results of operations and cash flows. A discussion of our risk factors can be found in Item 1A. “Risk Factors” in our 2023 Annual Report. As of the date of this filing, there have been no material changes to the risk factors previously discussed in Item 1A. “Risk Factors” in our 2023 Annual Report. An investment in our common stock involves various risks. When considering an investment in the Company, you should carefully consider all of the risk factors described in our 2023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Purchases of Common Stock. </w:t>
      </w:r>
      <w:r>
        <w:rPr>
          <w:rFonts w:ascii="Times New Roman" w:cs="Times New Roman" w:eastAsia="Times New Roman" w:hAnsi="Times New Roman"/>
          <w:sz w:val="18"/>
          <w:szCs w:val="18"/>
          <w:color w:val="auto"/>
        </w:rPr>
        <w:t>The following table includes all of the Company’s repurchases of common stock for the periods shown.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shares are retired and returned to authorized but unissued common stock.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5"/>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04"/>
        </w:trPr>
        <w:tc>
          <w:tcPr>
            <w:tcW w:w="38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Programs (1)</w:t>
            </w:r>
          </w:p>
        </w:tc>
      </w:tr>
      <w:tr>
        <w:trPr>
          <w:trHeight w:val="37"/>
        </w:trPr>
        <w:tc>
          <w:tcPr>
            <w:tcW w:w="3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43"/>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72,487,423</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75,000,000</w:t>
            </w: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117,422</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138.47</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58,740,828</w:t>
            </w:r>
          </w:p>
        </w:tc>
      </w:tr>
      <w:tr>
        <w:trPr>
          <w:trHeight w:val="26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117,422</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138.47</w:t>
            </w:r>
          </w:p>
        </w:tc>
        <w:tc>
          <w:tcPr>
            <w:tcW w:w="100" w:type="dxa"/>
            <w:vAlign w:val="bottom"/>
          </w:tcPr>
          <w:p>
            <w:pPr>
              <w:spacing w:after="0"/>
              <w:rPr>
                <w:sz w:val="22"/>
                <w:szCs w:val="22"/>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00" w:firstLine="8"/>
        <w:spacing w:after="0" w:line="255"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2023, the Company announced that its Board of Directors had authorized a $75.0 million share repurchase program, which became effective on November 9, 2023 and expired on May 8, 2024 (the “Prior Repurchase Program”). As of the expiration date, the Company had $72.5 million of remaining availability to repurchase shares of the Company’s common stock under the Prior Repurchase Program. On May 6, 2024, the Company announced that its Board of Directors had authorized a new $75.0 million share repurchase program (the "Repurchase Program"), which replaced the Prior Repurchase Program and became effective on May 9, 2024. The Repurchase Program will expire on November 8, 2024, or when the authorized funds are exhausted, whichever is earlier. As of June 30, 2024, the Company had $58.7 million of remaining availability to repurchase shares of the Company’s common stock under the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fiscal quarter ended June 30,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line="196" w:lineRule="auto"/>
        <w:framePr w:w="680" w:h="160" w:wrap="auto" w:vAnchor="page" w:hAnchor="page" w:x="740" w:y="398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101.INS</w:t>
      </w:r>
    </w:p>
    <w:p>
      <w:pPr>
        <w:spacing w:after="0" w:line="196" w:lineRule="auto"/>
        <w:framePr w:w="740" w:h="160" w:wrap="auto" w:vAnchor="page" w:hAnchor="page" w:x="680" w:y="425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101.SCH</w:t>
      </w:r>
    </w:p>
    <w:p>
      <w:pPr>
        <w:spacing w:after="0" w:line="185" w:lineRule="auto"/>
        <w:framePr w:w="760" w:h="160" w:wrap="auto" w:vAnchor="page" w:hAnchor="page" w:x="660" w:y="452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w:t>
      </w:r>
    </w:p>
    <w:p>
      <w:pPr>
        <w:spacing w:after="0" w:line="185" w:lineRule="auto"/>
        <w:framePr w:w="740" w:h="160" w:wrap="auto" w:vAnchor="page" w:hAnchor="page" w:x="680" w:y="479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101.DEF</w:t>
      </w:r>
    </w:p>
    <w:p>
      <w:pPr>
        <w:spacing w:after="0" w:line="185" w:lineRule="auto"/>
        <w:framePr w:w="760" w:h="160" w:wrap="auto" w:vAnchor="page" w:hAnchor="page" w:x="660" w:y="506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w:t>
      </w:r>
    </w:p>
    <w:p>
      <w:pPr>
        <w:spacing w:after="0" w:line="196" w:lineRule="auto"/>
        <w:framePr w:w="720" w:h="160" w:wrap="auto" w:vAnchor="page" w:hAnchor="page" w:x="700" w:y="533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101.PRE</w:t>
      </w:r>
    </w:p>
    <w:p>
      <w:pPr>
        <w:spacing w:after="0" w:line="185" w:lineRule="auto"/>
        <w:framePr w:w="360" w:h="160" w:wrap="auto" w:vAnchor="page" w:hAnchor="page" w:x="1060" w:y="560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pacing w:after="0" w:line="185" w:lineRule="auto"/>
        <w:framePr w:w="400" w:h="160" w:wrap="auto" w:vAnchor="page" w:hAnchor="page" w:x="660" w:y="2639"/>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31.1</w:t>
      </w:r>
    </w:p>
    <w:p>
      <w:pPr>
        <w:spacing w:after="0" w:line="185" w:lineRule="auto"/>
        <w:framePr w:w="400" w:h="160" w:wrap="auto" w:vAnchor="page" w:hAnchor="page" w:x="660" w:y="2909"/>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31.2</w:t>
      </w:r>
    </w:p>
    <w:p>
      <w:pPr>
        <w:spacing w:after="0" w:line="185" w:lineRule="auto"/>
        <w:framePr w:w="400" w:h="160" w:wrap="auto" w:vAnchor="page" w:hAnchor="page" w:x="660" w:y="3179"/>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32.1</w:t>
      </w:r>
    </w:p>
    <w:p>
      <w:pPr>
        <w:spacing w:after="0" w:line="185" w:lineRule="auto"/>
        <w:framePr w:w="400" w:h="160" w:wrap="auto" w:vAnchor="page" w:hAnchor="page" w:x="660" w:y="3449"/>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32.2</w:t>
      </w:r>
    </w:p>
    <w:p>
      <w:pPr>
        <w:spacing w:after="0" w:line="185" w:lineRule="auto"/>
        <w:framePr w:w="400" w:h="160" w:wrap="auto" w:vAnchor="page" w:hAnchor="page" w:x="660" w:y="2261"/>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10.2</w:t>
        </w:r>
      </w:hyperlink>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6"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rFonts w:ascii="Times New Roman" w:cs="Times New Roman" w:eastAsia="Times New Roman" w:hAnsi="Times New Roman"/>
          <w:sz w:val="18"/>
          <w:szCs w:val="18"/>
          <w:u w:val="single" w:color="auto"/>
          <w:color w:val="0000FF"/>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u w:val="single" w:color="auto"/>
          <w:color w:val="0000FF"/>
        </w:rPr>
      </w:pPr>
    </w:p>
    <w:p>
      <w:pPr>
        <w:ind w:left="38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7"/>
          <w:szCs w:val="17"/>
          <w:u w:val="single" w:color="auto"/>
          <w:color w:val="0000FF"/>
        </w:rPr>
        <w:t>Amendment No. 1 to the Third Amended and Restated Credit Agreement, dated May 21, 2024†</w:t>
      </w:r>
    </w:p>
    <w:p>
      <w:pPr>
        <w:spacing w:after="0" w:line="63" w:lineRule="exact"/>
        <w:rPr>
          <w:rFonts w:ascii="Times New Roman" w:cs="Times New Roman" w:eastAsia="Times New Roman" w:hAnsi="Times New Roman"/>
          <w:sz w:val="18"/>
          <w:szCs w:val="18"/>
          <w:u w:val="single" w:color="auto"/>
          <w:color w:val="0000FF"/>
        </w:rPr>
      </w:pPr>
    </w:p>
    <w:p>
      <w:pPr>
        <w:ind w:left="1200"/>
        <w:spacing w:after="0" w:line="281"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MYR Group Inc. 2017 Long-Term Incentive Plan (Amended and Restated as of April 24, 2024), incorporated by reference to Exhibit 10.1</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of the Company’s Current Report on Form 8-K (File No. 001-08325), filed with the SEC on April 29,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200" w:right="3880"/>
        <w:spacing w:after="0" w:line="323"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SEC Rule 13a-14(a)/15d-14(a)† Certification of Chief Financial Officer pursuant to SEC Rule 13a-14(a)/15d-14(a)† Certification of Chief Executive Officer pursuant to 18 U.S.C. §1350+ Certification of Chief Financial Officer pursuant to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6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6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6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jc w:val="both"/>
        <w:ind w:right="9480" w:firstLine="8"/>
        <w:spacing w:after="0" w:line="260" w:lineRule="auto"/>
        <w:tabs>
          <w:tab w:leader="none" w:pos="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 Electronically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MYR GROUP INC.</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99"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July 31, 2024</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38144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Kelly M. Huntington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0"/>
          </w:cols>
          <w:pgMar w:left="320" w:top="121" w:right="6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1 TO THIRD AMENDED AND RESTATED CREDIT AGREEMENT</w:t>
      </w:r>
    </w:p>
    <w:p>
      <w:pPr>
        <w:spacing w:after="0" w:line="24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THIS AMENDMENT NO. 1 TO THIRD AMENDED AND RESTATED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being executed and delivered as of May 21, 2024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by and among MYR Group Inc.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hereto, which constitute all of the Lenders as of the date hereof, and JPMorgan Chase Bank, N.A.,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All capitalized terms used herein without definition shall have the same meanings as set forth in the Credit Agreement described below.</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the Borrower, the Lenders, and the Administrative Agent are party to that certain Third Amended and Restated Credit Agreement dated as of May 31, 2023 (as amended, restated, supplemented or otherwise modified from time to time,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the Borrower, Lenders and the Administrative Agent desire to effectuate a CDOR transition to CORRA and, in connection therewith, agree to certain amendments to the Credit Agreement; 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WHEREAS, the Borrower, the Lenders and the Administrative Agent have so agreed on the terms and conditions set forth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herein.</w:t>
      </w:r>
    </w:p>
    <w:p>
      <w:pPr>
        <w:spacing w:after="0" w:line="207"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premises, the terms and conditions stated herein and other valuable consideration, the receipt and sufficiency of which are hereby acknowledged by the parties hereto, such parties hereby agree as follows:</w:t>
      </w:r>
    </w:p>
    <w:p>
      <w:pPr>
        <w:spacing w:after="0" w:line="146" w:lineRule="exact"/>
        <w:rPr>
          <w:sz w:val="20"/>
          <w:szCs w:val="20"/>
          <w:color w:val="auto"/>
        </w:rPr>
      </w:pPr>
    </w:p>
    <w:p>
      <w:pPr>
        <w:jc w:val="both"/>
        <w:ind w:firstLine="1304"/>
        <w:spacing w:after="0" w:line="253" w:lineRule="auto"/>
        <w:tabs>
          <w:tab w:leader="none" w:pos="166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 xml:space="preserve">. Effective as of the Closing Date, but subject to the satisfaction of the conditions precedent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below, the Credit Agreement (excluding the Exhibits and Schedules thereto) is hereby amended as set forth in the marked terms on Annex I attached hereto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xml:space="preserve">”). Deletions of text in the Amended Credit Agreement are indicated by struck-through text (indicated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insertions of text are indicated by bold, double-underlined text (indicated in the same manner as the following example: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For the avoidance of doubt, Exhibits and Schedules to the Credit Agreement are not amended hereby but are attached to Annex I for the ease of reference and shall constitute part of the Amended Credit Agreement.</w:t>
      </w:r>
    </w:p>
    <w:p>
      <w:pPr>
        <w:spacing w:after="0" w:line="179" w:lineRule="exact"/>
        <w:rPr>
          <w:rFonts w:ascii="Times New Roman" w:cs="Times New Roman" w:eastAsia="Times New Roman" w:hAnsi="Times New Roman"/>
          <w:sz w:val="20"/>
          <w:szCs w:val="20"/>
          <w:color w:val="auto"/>
        </w:rPr>
      </w:pPr>
    </w:p>
    <w:p>
      <w:pPr>
        <w:ind w:firstLine="1304"/>
        <w:spacing w:after="0" w:line="283" w:lineRule="auto"/>
        <w:tabs>
          <w:tab w:leader="none" w:pos="164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This Amendment shall be deemed to have become effective as of the Closing Date, but such effectiveness shall be subject to the following conditions precedent:</w:t>
      </w:r>
    </w:p>
    <w:p>
      <w:pPr>
        <w:spacing w:after="0" w:line="160" w:lineRule="exact"/>
        <w:rPr>
          <w:sz w:val="20"/>
          <w:szCs w:val="20"/>
          <w:color w:val="auto"/>
        </w:rPr>
      </w:pPr>
    </w:p>
    <w:p>
      <w:pPr>
        <w:jc w:val="both"/>
        <w:ind w:firstLine="1304"/>
        <w:spacing w:after="0" w:line="261" w:lineRule="auto"/>
        <w:tabs>
          <w:tab w:leader="none" w:pos="17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executed counterparts of (i) this Amendment duly executed and delivered by the Borrower, the Administrative Agent and each of the Lenders and (ii) the Consent and Reaffirmation attached hereto as Annex II duly executed by each Subsidiary Guarantor (the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and</w:t>
      </w:r>
    </w:p>
    <w:p>
      <w:pPr>
        <w:spacing w:after="0" w:line="167" w:lineRule="exact"/>
        <w:rPr>
          <w:rFonts w:ascii="Times New Roman" w:cs="Times New Roman" w:eastAsia="Times New Roman" w:hAnsi="Times New Roman"/>
          <w:sz w:val="20"/>
          <w:szCs w:val="20"/>
          <w:color w:val="auto"/>
        </w:rPr>
      </w:pPr>
    </w:p>
    <w:p>
      <w:pPr>
        <w:ind w:firstLine="1304"/>
        <w:spacing w:after="0" w:line="283" w:lineRule="auto"/>
        <w:tabs>
          <w:tab w:leader="none" w:pos="178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fees and expenses due and payable on or prior to the date hereof in connection with this Amendment to the extent invoiced at least one (1) Business Day prior to the date hereof.</w:t>
      </w:r>
    </w:p>
    <w:p>
      <w:pPr>
        <w:sectPr>
          <w:pgSz w:w="11900" w:h="16838" w:orient="portrait"/>
          <w:cols w:equalWidth="0" w:num="1">
            <w:col w:w="11240"/>
          </w:cols>
          <w:pgMar w:left="320" w:top="104" w:right="339" w:bottom="1440" w:gutter="0" w:footer="0" w:header="0"/>
        </w:sectPr>
      </w:pPr>
    </w:p>
    <w:bookmarkStart w:id="39" w:name="page40"/>
    <w:bookmarkEnd w:id="39"/>
    <w:p>
      <w:pPr>
        <w:jc w:val="both"/>
        <w:ind w:firstLine="1304"/>
        <w:spacing w:after="0" w:line="250" w:lineRule="auto"/>
        <w:tabs>
          <w:tab w:leader="none" w:pos="171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 and Warranties</w:t>
      </w:r>
      <w:r>
        <w:rPr>
          <w:rFonts w:ascii="Times New Roman" w:cs="Times New Roman" w:eastAsia="Times New Roman" w:hAnsi="Times New Roman"/>
          <w:sz w:val="20"/>
          <w:szCs w:val="20"/>
          <w:color w:val="auto"/>
        </w:rPr>
        <w:t>. The Borrower hereby represents and warrants that (i) this Amendment and the Credit Agreement, as amended hereby, constitute its legal, valid and binding obligation and are enforceable against it in accordance with their respective terms, subject to applicable bankruptcy, insolvency, reorganization, moratorium or other laws affecting creditors’ rights generally and subject to general principles of equity, regardless of whether considered in a proceeding in equity or at law; (ii) all of the representations and warranties of the Borrower set forth in the Credit Agreement, as amended hereby, and the other Loan Documents are true and correct in all material respects (or in all respects to the extent that any representation or warranty is qualified by materiality or Material Adverse Effect) on and as of the date hereof (except to the extent such representations or warranties specifically relate to any earlier date, in which case such representations and warranties shall have been true and correct in all material respects (or in all respects to the extent that any representation or warranty is qualified by materiality or Material Adverse Effect) as of such earlier date) and (iii) no Default or Event of Default under the Credit Agreement, as amended hereby, has occurred and is continuing on and as of the date hereof.</w:t>
      </w:r>
    </w:p>
    <w:p>
      <w:pPr>
        <w:spacing w:after="0" w:line="196"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the Credit Agreement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1304"/>
        <w:spacing w:after="0" w:line="269" w:lineRule="auto"/>
        <w:tabs>
          <w:tab w:leader="none" w:pos="173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of this Amendment, on and after the date hereof, each reference in the Credit Agreement or any other Loan Document shall mean and be a reference to the Credit Agreement, as amended and modified hereby.</w:t>
      </w:r>
    </w:p>
    <w:p>
      <w:pPr>
        <w:spacing w:after="0" w:line="172" w:lineRule="exact"/>
        <w:rPr>
          <w:rFonts w:ascii="Times New Roman" w:cs="Times New Roman" w:eastAsia="Times New Roman" w:hAnsi="Times New Roman"/>
          <w:sz w:val="20"/>
          <w:szCs w:val="20"/>
          <w:color w:val="auto"/>
        </w:rPr>
      </w:pPr>
    </w:p>
    <w:p>
      <w:pPr>
        <w:jc w:val="both"/>
        <w:ind w:firstLine="454"/>
        <w:spacing w:after="0" w:line="251" w:lineRule="auto"/>
        <w:tabs>
          <w:tab w:leader="none" w:pos="89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 agrees that this Amendment and the transactions contemplated hereby shall not limit or diminish its obligations arising under or pursuant to the Credit Agreement and the other Loan Documents to which it is a party, (ii) reaffirms its obligations under the Credit Agreement and each and every other Loan Document to which it is a party (including, without limitation, each applicable Collateral Document), (iii) reaffirms all Liens on the Collateral which have been granted by it in favor of the Administrative Agent (for itself and the other Secured Parties) pursuant to any of the Loan Documents, and (iv) acknowledges and agrees that, except as specifically modified above, the Credit Agreement and all other Loan Documents executed and/or delivered by it in connection therewith shall remain in full force and effect and are hereby ratified and confirmed. This Amendment is not intended to and shall not constitute a novation of the Credit Agreement or of any Obligations or Secured Obligations.</w:t>
      </w:r>
    </w:p>
    <w:p>
      <w:pPr>
        <w:spacing w:after="0" w:line="181"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47"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neither operate as a waiver of any rights, power or remedy of the Administrative Agent or the Lenders under the Credit Agreement or any other Loan Document, nor constitute a waiver of any provision of the Credit Agreement or any other document executed in connection therewith.</w:t>
      </w:r>
    </w:p>
    <w:p>
      <w:pPr>
        <w:spacing w:after="0" w:line="157" w:lineRule="exact"/>
        <w:rPr>
          <w:sz w:val="20"/>
          <w:szCs w:val="20"/>
          <w:color w:val="auto"/>
        </w:rPr>
      </w:pPr>
    </w:p>
    <w:p>
      <w:pPr>
        <w:jc w:val="both"/>
        <w:ind w:firstLine="1304"/>
        <w:spacing w:after="0" w:line="263" w:lineRule="auto"/>
        <w:tabs>
          <w:tab w:leader="none" w:pos="200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THIS AMENDMENT SHALL BE GOVERNED BY AND CONSTRUED IN ACCORDANCE WITH THE LAWS OF THE STATE OF NEW YORK, BUT GIVING EFFECT TO FEDERAL LAWS APPLICABLE TO NATIONAL BANKS.</w:t>
      </w:r>
    </w:p>
    <w:p>
      <w:pPr>
        <w:spacing w:after="0" w:line="17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65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agrees to pay all reasonable and documented out-of-pocket expenses incurred by the Administrative Agent, including the reasonable fees, charges and disbursements of counsel for the Administrative Agent, in connection with the preparation, negotiation and execution of this Amendment.</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73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Amendment are included herein for convenience of reference only and shall not constitute a part of this Amendment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40" w:name="page41"/>
    <w:bookmarkEnd w:id="40"/>
    <w:p>
      <w:pPr>
        <w:jc w:val="both"/>
        <w:ind w:firstLine="1304"/>
        <w:spacing w:after="0" w:line="261" w:lineRule="auto"/>
        <w:tabs>
          <w:tab w:leader="none" w:pos="164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and Electronic Signatures</w:t>
      </w:r>
      <w:r>
        <w:rPr>
          <w:rFonts w:ascii="Times New Roman" w:cs="Times New Roman" w:eastAsia="Times New Roman" w:hAnsi="Times New Roman"/>
          <w:sz w:val="20"/>
          <w:szCs w:val="20"/>
          <w:color w:val="auto"/>
        </w:rPr>
        <w:t xml:space="preserve">. This Amendment may be executed by one or more of the parties on any number of separate counterparts and all of said counterparts taken together shall be deemed to constitute one and the same instrument.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9.06(b)</w:t>
      </w:r>
      <w:r>
        <w:rPr>
          <w:rFonts w:ascii="Times New Roman" w:cs="Times New Roman" w:eastAsia="Times New Roman" w:hAnsi="Times New Roman"/>
          <w:sz w:val="20"/>
          <w:szCs w:val="20"/>
          <w:color w:val="auto"/>
        </w:rPr>
        <w:t xml:space="preserve"> of the Credit Agreement shall apply to this Amendment,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80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The Borrower hereby agrees that this Amendment and the Reaffirmation shall constitute Loan Documents for purposes of the Credit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41" w:name="page42"/>
    <w:bookmarkEnd w:id="41"/>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respective authorized officers as of the day and year first above written.</w:t>
      </w:r>
    </w:p>
    <w:p>
      <w:pPr>
        <w:spacing w:after="0" w:line="18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MYR GROUP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300"/>
        <w:spacing w:after="0"/>
        <w:tabs>
          <w:tab w:leader="none" w:pos="5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Kelly Huntington</w:t>
      </w:r>
    </w:p>
    <w:p>
      <w:pPr>
        <w:spacing w:after="0" w:line="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Name: Kelly Huntington</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Title: Senior VP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1 to Third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11240"/>
          </w:cols>
          <w:pgMar w:left="320" w:top="1413" w:right="339" w:bottom="1440" w:gutter="0" w:footer="0" w:header="0"/>
        </w:sectPr>
      </w:pPr>
    </w:p>
    <w:bookmarkStart w:id="42" w:name="page43"/>
    <w:bookmarkEnd w:id="42"/>
    <w:p>
      <w:pPr>
        <w:spacing w:after="0" w:line="14" w:lineRule="exact"/>
        <w:rPr>
          <w:sz w:val="20"/>
          <w:szCs w:val="20"/>
          <w:color w:val="auto"/>
        </w:rPr>
      </w:pPr>
    </w:p>
    <w:p>
      <w:pPr>
        <w:ind w:left="4180" w:right="440"/>
        <w:spacing w:after="0"/>
        <w:rPr>
          <w:sz w:val="20"/>
          <w:szCs w:val="20"/>
          <w:color w:val="auto"/>
        </w:rPr>
      </w:pPr>
      <w:r>
        <w:rPr>
          <w:rFonts w:ascii="Times New Roman" w:cs="Times New Roman" w:eastAsia="Times New Roman" w:hAnsi="Times New Roman"/>
          <w:sz w:val="20"/>
          <w:szCs w:val="20"/>
          <w:color w:val="auto"/>
        </w:rPr>
        <w:t>JPMORGAN CHASE BANK, N.A., individually as a Lender and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180"/>
        <w:spacing w:after="0"/>
        <w:tabs>
          <w:tab w:leader="none" w:pos="45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Amanda Calzaretta</w:t>
      </w:r>
    </w:p>
    <w:p>
      <w:pPr>
        <w:spacing w:after="0" w:line="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Amanda Calzaretta</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Credit Risk Associate</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JPMORGAN CHASE BANK, N.A. (TORONTO BRANCH),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Kyle Duncan</w:t>
      </w:r>
    </w:p>
    <w:p>
      <w:pPr>
        <w:spacing w:after="0" w:line="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Kyle Duncan</w:t>
      </w:r>
    </w:p>
    <w:p>
      <w:pPr>
        <w:spacing w:after="0" w:line="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Title: VP, International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Signature Page to Amendment No. 1 to Third Amended and Restated Credit Agreement</w:t>
      </w:r>
    </w:p>
    <w:p>
      <w:pPr>
        <w:spacing w:after="0" w:line="3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10040"/>
          </w:cols>
          <w:pgMar w:left="1440" w:top="1440" w:right="419" w:bottom="1440" w:gutter="0" w:footer="0" w:header="0"/>
        </w:sectPr>
      </w:pPr>
    </w:p>
    <w:bookmarkStart w:id="43" w:name="page44"/>
    <w:bookmarkEnd w:id="43"/>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BANK OF AMERICA,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 Quinn Richardson</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A. Quinn Richardson</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97" w:lineRule="exact"/>
        <w:rPr>
          <w:sz w:val="20"/>
          <w:szCs w:val="20"/>
          <w:color w:val="auto"/>
        </w:rPr>
      </w:pPr>
    </w:p>
    <w:p>
      <w:pPr>
        <w:ind w:left="4220"/>
        <w:spacing w:after="0" w:line="283" w:lineRule="auto"/>
        <w:rPr>
          <w:sz w:val="20"/>
          <w:szCs w:val="20"/>
          <w:color w:val="auto"/>
        </w:rPr>
      </w:pPr>
      <w:r>
        <w:rPr>
          <w:rFonts w:ascii="Times New Roman" w:cs="Times New Roman" w:eastAsia="Times New Roman" w:hAnsi="Times New Roman"/>
          <w:sz w:val="20"/>
          <w:szCs w:val="20"/>
          <w:color w:val="auto"/>
        </w:rPr>
        <w:t>BANK OF AMERICA, NATIONAL ASSOCIATION (CANADA BRANCH),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Medina Sales de Andrade</w:t>
      </w:r>
    </w:p>
    <w:p>
      <w:pPr>
        <w:spacing w:after="0" w:line="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Medina Sales de Andrade</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Signature Page to Amendment No. 1 to Third Amended and Restated Credit Agreement</w:t>
      </w:r>
    </w:p>
    <w:p>
      <w:pPr>
        <w:spacing w:after="0" w:line="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460"/>
          </w:cols>
          <w:pgMar w:left="1440" w:top="1440" w:right="999" w:bottom="1440" w:gutter="0" w:footer="0" w:header="0"/>
        </w:sectPr>
      </w:pPr>
    </w:p>
    <w:bookmarkStart w:id="44" w:name="page45"/>
    <w:bookmarkEnd w:id="44"/>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BANK OF MONTREAL,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Marc Dundas</w:t>
      </w:r>
    </w:p>
    <w:p>
      <w:pPr>
        <w:spacing w:after="0" w:line="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Marc Dundas</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Title: Director, Corporate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No. 1 to Third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019"/>
          </w:cols>
          <w:pgMar w:left="1440" w:top="1440" w:right="1440" w:bottom="1440" w:gutter="0" w:footer="0" w:header="0"/>
        </w:sectPr>
      </w:pPr>
    </w:p>
    <w:bookmarkStart w:id="45" w:name="page46"/>
    <w:bookmarkEnd w:id="45"/>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CIBC BANK USA,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20"/>
        <w:spacing w:after="0"/>
        <w:tabs>
          <w:tab w:leader="none" w:pos="46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Robert Bridgman</w:t>
      </w:r>
    </w:p>
    <w:p>
      <w:pPr>
        <w:spacing w:after="0" w:line="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Robert Bridgman</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No. 1 to Third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019"/>
          </w:cols>
          <w:pgMar w:left="1440" w:top="1440" w:right="1440" w:bottom="1440" w:gutter="0" w:footer="0" w:header="0"/>
        </w:sectPr>
      </w:pPr>
    </w:p>
    <w:bookmarkStart w:id="46" w:name="page47"/>
    <w:bookmarkEnd w:id="46"/>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TD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40"/>
        <w:spacing w:after="0"/>
        <w:tabs>
          <w:tab w:leader="none" w:pos="46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Megan O’Neill</w:t>
      </w:r>
    </w:p>
    <w:p>
      <w:pPr>
        <w:spacing w:after="0" w:line="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Megan O’Neill</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No. 1 to Third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019"/>
          </w:cols>
          <w:pgMar w:left="1440" w:top="1440" w:right="1440" w:bottom="1440" w:gutter="0" w:footer="0" w:header="0"/>
        </w:sectPr>
      </w:pPr>
    </w:p>
    <w:bookmarkStart w:id="47" w:name="page48"/>
    <w:bookmarkEnd w:id="47"/>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WELLS FARGO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tabs>
          <w:tab w:leader="none" w:pos="4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Rosalie C. Hawley</w:t>
      </w:r>
    </w:p>
    <w:p>
      <w:pPr>
        <w:spacing w:after="0" w:line="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Rosalie C. Hawley</w:t>
      </w:r>
    </w:p>
    <w:p>
      <w:pPr>
        <w:spacing w:after="0" w:line="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Signature Page to Amendment No. 1 to Third Amended and Restated Credit Agreement</w:t>
      </w:r>
    </w:p>
    <w:p>
      <w:pPr>
        <w:spacing w:after="0" w:line="3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620"/>
          </w:cols>
          <w:pgMar w:left="1440" w:top="1440" w:right="839" w:bottom="1440" w:gutter="0" w:footer="0" w:header="0"/>
        </w:sectPr>
      </w:pPr>
    </w:p>
    <w:bookmarkStart w:id="48" w:name="page49"/>
    <w:bookmarkEnd w:id="48"/>
    <w:p>
      <w:pPr>
        <w:spacing w:after="0" w:line="27"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20"/>
          <w:szCs w:val="20"/>
          <w:color w:val="auto"/>
        </w:rPr>
        <w:t>U.S.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20"/>
        <w:spacing w:after="0"/>
        <w:tabs>
          <w:tab w:leader="none" w:pos="46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Evan C. Probst</w:t>
      </w:r>
    </w:p>
    <w:p>
      <w:pPr>
        <w:spacing w:after="0" w:line="5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Evan C. Probst</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No. 1 to Third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019"/>
          </w:cols>
          <w:pgMar w:left="1440" w:top="1440"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u w:val="single" w:color="auto"/>
          <w:color w:val="auto"/>
        </w:rPr>
        <w:t>Annex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AMENDED CREDIT AGREEMENT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13"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u w:val="single" w:color="auto"/>
          <w:color w:val="auto"/>
        </w:rPr>
        <w:t>Annex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AND REAFFIRMATION</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Each of the undersigned hereby acknowledges receipt of a copy of Amendment No. 1 to the Third Amended and Restated Credit Agreement, dated as of May 21, 2024 (the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which amends the Third Amended and Restated Credit Agreement, dated as of May 31, 2023 (as amended by the Amendment,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MYR Group Inc.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financial institutions from time to time party thereto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JPMorgan Chase Bank, N.A., as Administrative Agent for the Lenders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Capitalized terms used in this Consent and Reaffirmation and not defined herein shall have the meanings given to them in the Credit Agreement. Without in any way establishing a course of dealing by the Lender, the undersigned (i) consents to the Amendment, (ii) reaffirms its obligations under the Subsidiary Guaranty, the Security Agreement and each and every other Loan Document to which it is a party and (iii) reaffirms all Liens on the Collateral which have been granted by it in favor of the Administrative Agent (for itself and the other Holders of the Secured Obligations) pursuant to any of the Loan Documents, and all filings made with a Governmental Authority in connection therewith, and acknowledges and agrees that such Credit Agreement and each and every such Loan Document executed by the undersigned in connection with the Credit Agreement remains in full force and effect and is hereby reaffirmed, ratified and confirmed. This Consent and Reaffirmation is not intended to and shall not constitute a novation of the Loan Documents or the obligations created thereunder. All references to the Credit Agreement contained in the above-referenced documents shall be a reference to the Credit Agreement as so modified by the Amendment.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21, 2024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Signature Page Follows</w:t>
      </w:r>
      <w:r>
        <w:rPr>
          <w:rFonts w:ascii="Times New Roman" w:cs="Times New Roman" w:eastAsia="Times New Roman" w:hAnsi="Times New Roman"/>
          <w:sz w:val="20"/>
          <w:szCs w:val="20"/>
          <w:b w:val="1"/>
          <w:bCs w:val="1"/>
          <w:u w:val="single" w:color="auto"/>
          <w:color w:val="auto"/>
        </w:rPr>
        <w:t>]</w:t>
      </w:r>
    </w:p>
    <w:p>
      <w:pPr>
        <w:sectPr>
          <w:pgSz w:w="11900" w:h="16838" w:orient="portrait"/>
          <w:cols w:equalWidth="0" w:num="1">
            <w:col w:w="11240"/>
          </w:cols>
          <w:pgMar w:left="320" w:top="1413" w:right="339" w:bottom="1440" w:gutter="0" w:footer="0" w:header="0"/>
        </w:sectPr>
      </w:pPr>
    </w:p>
    <w:bookmarkStart w:id="51" w:name="page52"/>
    <w:bookmarkEnd w:id="51"/>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9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HUEN ELECTRIC, INC.</w:t>
            </w:r>
          </w:p>
        </w:tc>
        <w:tc>
          <w:tcPr>
            <w:tcW w:w="4340" w:type="dxa"/>
            <w:vAlign w:val="bottom"/>
            <w:gridSpan w:val="9"/>
          </w:tcPr>
          <w:p>
            <w:pPr>
              <w:ind w:left="560"/>
              <w:spacing w:after="0"/>
              <w:rPr>
                <w:sz w:val="20"/>
                <w:szCs w:val="20"/>
                <w:color w:val="auto"/>
              </w:rPr>
            </w:pPr>
            <w:r>
              <w:rPr>
                <w:rFonts w:ascii="Times New Roman" w:cs="Times New Roman" w:eastAsia="Times New Roman" w:hAnsi="Times New Roman"/>
                <w:sz w:val="20"/>
                <w:szCs w:val="20"/>
                <w:color w:val="auto"/>
              </w:rPr>
              <w:t>GSW INTEGRATED SERVICES, LLC</w:t>
            </w:r>
          </w:p>
        </w:tc>
        <w:tc>
          <w:tcPr>
            <w:tcW w:w="0" w:type="dxa"/>
            <w:vAlign w:val="bottom"/>
          </w:tcPr>
          <w:p>
            <w:pPr>
              <w:spacing w:after="0"/>
              <w:rPr>
                <w:sz w:val="1"/>
                <w:szCs w:val="1"/>
                <w:color w:val="auto"/>
              </w:rPr>
            </w:pPr>
          </w:p>
        </w:tc>
      </w:tr>
      <w:tr>
        <w:trPr>
          <w:trHeight w:val="656"/>
        </w:trPr>
        <w:tc>
          <w:tcPr>
            <w:tcW w:w="3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6"/>
              </w:rPr>
              <w:t>By:</w:t>
            </w:r>
          </w:p>
        </w:tc>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7"/>
              </w:rPr>
              <w:t>_ /s/ Jennifer L. Harper____________</w:t>
            </w:r>
          </w:p>
        </w:tc>
        <w:tc>
          <w:tcPr>
            <w:tcW w:w="1540" w:type="dxa"/>
            <w:vAlign w:val="bottom"/>
          </w:tcPr>
          <w:p>
            <w:pPr>
              <w:spacing w:after="0"/>
              <w:rPr>
                <w:sz w:val="24"/>
                <w:szCs w:val="24"/>
                <w:color w:val="auto"/>
              </w:rPr>
            </w:pPr>
          </w:p>
        </w:tc>
        <w:tc>
          <w:tcPr>
            <w:tcW w:w="4340" w:type="dxa"/>
            <w:vAlign w:val="bottom"/>
            <w:gridSpan w:val="9"/>
          </w:tcPr>
          <w:p>
            <w:pPr>
              <w:ind w:left="560"/>
              <w:spacing w:after="0"/>
              <w:rPr>
                <w:sz w:val="20"/>
                <w:szCs w:val="20"/>
                <w:color w:val="auto"/>
              </w:rPr>
            </w:pPr>
            <w:r>
              <w:rPr>
                <w:rFonts w:ascii="Times New Roman" w:cs="Times New Roman" w:eastAsia="Times New Roman" w:hAnsi="Times New Roman"/>
                <w:sz w:val="20"/>
                <w:szCs w:val="20"/>
                <w:color w:val="auto"/>
              </w:rPr>
              <w:t>By:__/s/ Brad J. Munden ____________</w:t>
            </w:r>
          </w:p>
        </w:tc>
        <w:tc>
          <w:tcPr>
            <w:tcW w:w="0" w:type="dxa"/>
            <w:vAlign w:val="bottom"/>
          </w:tcPr>
          <w:p>
            <w:pPr>
              <w:spacing w:after="0"/>
              <w:rPr>
                <w:sz w:val="1"/>
                <w:szCs w:val="1"/>
                <w:color w:val="auto"/>
              </w:rPr>
            </w:pPr>
          </w:p>
        </w:tc>
      </w:tr>
      <w:tr>
        <w:trPr>
          <w:trHeight w:val="20"/>
        </w:trPr>
        <w:tc>
          <w:tcPr>
            <w:tcW w:w="4920" w:type="dxa"/>
            <w:vAlign w:val="bottom"/>
            <w:gridSpan w:val="5"/>
            <w:vMerge w:val="restart"/>
          </w:tcPr>
          <w:p>
            <w:pPr>
              <w:ind w:left="60"/>
              <w:spacing w:after="0"/>
              <w:rPr>
                <w:sz w:val="20"/>
                <w:szCs w:val="20"/>
                <w:color w:val="auto"/>
              </w:rPr>
            </w:pPr>
            <w:r>
              <w:rPr>
                <w:rFonts w:ascii="Times New Roman" w:cs="Times New Roman" w:eastAsia="Times New Roman" w:hAnsi="Times New Roman"/>
                <w:sz w:val="20"/>
                <w:szCs w:val="20"/>
                <w:color w:val="auto"/>
              </w:rPr>
              <w:t>Name: Jennifer L. Harper</w:t>
            </w: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20" w:type="dxa"/>
            <w:vAlign w:val="bottom"/>
            <w:gridSpan w:val="5"/>
            <w:vMerge w:val="continue"/>
          </w:tcPr>
          <w:p>
            <w:pPr>
              <w:spacing w:after="0"/>
              <w:rPr>
                <w:sz w:val="17"/>
                <w:szCs w:val="17"/>
                <w:color w:val="auto"/>
              </w:rPr>
            </w:pPr>
          </w:p>
        </w:tc>
        <w:tc>
          <w:tcPr>
            <w:tcW w:w="4340" w:type="dxa"/>
            <w:vAlign w:val="bottom"/>
            <w:gridSpan w:val="9"/>
          </w:tcPr>
          <w:p>
            <w:pPr>
              <w:ind w:left="560"/>
              <w:spacing w:after="0" w:line="201" w:lineRule="exact"/>
              <w:rPr>
                <w:sz w:val="20"/>
                <w:szCs w:val="20"/>
                <w:color w:val="auto"/>
              </w:rPr>
            </w:pPr>
            <w:r>
              <w:rPr>
                <w:rFonts w:ascii="Times New Roman" w:cs="Times New Roman" w:eastAsia="Times New Roman" w:hAnsi="Times New Roman"/>
                <w:sz w:val="20"/>
                <w:szCs w:val="20"/>
                <w:color w:val="auto"/>
              </w:rPr>
              <w:t>Name: Brad J. Munden</w:t>
            </w:r>
          </w:p>
        </w:tc>
        <w:tc>
          <w:tcPr>
            <w:tcW w:w="0" w:type="dxa"/>
            <w:vAlign w:val="bottom"/>
          </w:tcPr>
          <w:p>
            <w:pPr>
              <w:spacing w:after="0"/>
              <w:rPr>
                <w:sz w:val="1"/>
                <w:szCs w:val="1"/>
                <w:color w:val="auto"/>
              </w:rPr>
            </w:pPr>
          </w:p>
        </w:tc>
      </w:tr>
      <w:tr>
        <w:trPr>
          <w:trHeight w:val="285"/>
        </w:trPr>
        <w:tc>
          <w:tcPr>
            <w:tcW w:w="49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Title: Treasurer</w:t>
            </w:r>
          </w:p>
        </w:tc>
        <w:tc>
          <w:tcPr>
            <w:tcW w:w="4340" w:type="dxa"/>
            <w:vAlign w:val="bottom"/>
            <w:gridSpan w:val="9"/>
          </w:tcPr>
          <w:p>
            <w:pPr>
              <w:ind w:left="560"/>
              <w:spacing w:after="0"/>
              <w:rPr>
                <w:sz w:val="20"/>
                <w:szCs w:val="20"/>
                <w:color w:val="auto"/>
              </w:rPr>
            </w:pPr>
            <w:r>
              <w:rPr>
                <w:rFonts w:ascii="Times New Roman" w:cs="Times New Roman" w:eastAsia="Times New Roman" w:hAnsi="Times New Roman"/>
                <w:sz w:val="20"/>
                <w:szCs w:val="20"/>
                <w:color w:val="auto"/>
              </w:rPr>
              <w:t>Title: Secretary &amp; Treasurer</w:t>
            </w:r>
          </w:p>
        </w:tc>
        <w:tc>
          <w:tcPr>
            <w:tcW w:w="0" w:type="dxa"/>
            <w:vAlign w:val="bottom"/>
          </w:tcPr>
          <w:p>
            <w:pPr>
              <w:spacing w:after="0"/>
              <w:rPr>
                <w:sz w:val="1"/>
                <w:szCs w:val="1"/>
                <w:color w:val="auto"/>
              </w:rPr>
            </w:pPr>
          </w:p>
        </w:tc>
      </w:tr>
      <w:tr>
        <w:trPr>
          <w:trHeight w:val="473"/>
        </w:trPr>
        <w:tc>
          <w:tcPr>
            <w:tcW w:w="4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THE L.E. MYERS CO.</w:t>
            </w:r>
          </w:p>
        </w:tc>
        <w:tc>
          <w:tcPr>
            <w:tcW w:w="4340" w:type="dxa"/>
            <w:vAlign w:val="bottom"/>
            <w:gridSpan w:val="9"/>
          </w:tcPr>
          <w:p>
            <w:pPr>
              <w:ind w:left="560"/>
              <w:spacing w:after="0"/>
              <w:rPr>
                <w:sz w:val="20"/>
                <w:szCs w:val="20"/>
                <w:color w:val="auto"/>
              </w:rPr>
            </w:pPr>
            <w:r>
              <w:rPr>
                <w:rFonts w:ascii="Times New Roman" w:cs="Times New Roman" w:eastAsia="Times New Roman" w:hAnsi="Times New Roman"/>
                <w:sz w:val="20"/>
                <w:szCs w:val="20"/>
                <w:color w:val="auto"/>
                <w:w w:val="98"/>
              </w:rPr>
              <w:t>STURGEON ELECTRIC CALIFORNIA, LLC</w:t>
            </w:r>
          </w:p>
        </w:tc>
        <w:tc>
          <w:tcPr>
            <w:tcW w:w="0" w:type="dxa"/>
            <w:vAlign w:val="bottom"/>
          </w:tcPr>
          <w:p>
            <w:pPr>
              <w:spacing w:after="0"/>
              <w:rPr>
                <w:sz w:val="1"/>
                <w:szCs w:val="1"/>
                <w:color w:val="auto"/>
              </w:rPr>
            </w:pPr>
          </w:p>
        </w:tc>
      </w:tr>
      <w:tr>
        <w:trPr>
          <w:trHeight w:val="683"/>
        </w:trPr>
        <w:tc>
          <w:tcPr>
            <w:tcW w:w="49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By:_ /s/ Jennifer L. Harper____________</w:t>
            </w:r>
          </w:p>
        </w:tc>
        <w:tc>
          <w:tcPr>
            <w:tcW w:w="4340" w:type="dxa"/>
            <w:vAlign w:val="bottom"/>
            <w:gridSpan w:val="9"/>
          </w:tcPr>
          <w:p>
            <w:pPr>
              <w:ind w:left="640"/>
              <w:spacing w:after="0"/>
              <w:rPr>
                <w:sz w:val="20"/>
                <w:szCs w:val="20"/>
                <w:color w:val="auto"/>
              </w:rPr>
            </w:pPr>
            <w:r>
              <w:rPr>
                <w:rFonts w:ascii="Times New Roman" w:cs="Times New Roman" w:eastAsia="Times New Roman" w:hAnsi="Times New Roman"/>
                <w:sz w:val="20"/>
                <w:szCs w:val="20"/>
                <w:color w:val="auto"/>
              </w:rPr>
              <w:t>By:_ /s/ Jennifer L. Harper___________</w:t>
            </w:r>
          </w:p>
        </w:tc>
        <w:tc>
          <w:tcPr>
            <w:tcW w:w="0" w:type="dxa"/>
            <w:vAlign w:val="bottom"/>
          </w:tcPr>
          <w:p>
            <w:pPr>
              <w:spacing w:after="0"/>
              <w:rPr>
                <w:sz w:val="1"/>
                <w:szCs w:val="1"/>
                <w:color w:val="auto"/>
              </w:rPr>
            </w:pPr>
          </w:p>
        </w:tc>
      </w:tr>
      <w:tr>
        <w:trPr>
          <w:trHeight w:val="20"/>
        </w:trPr>
        <w:tc>
          <w:tcPr>
            <w:tcW w:w="380" w:type="dxa"/>
            <w:vAlign w:val="bottom"/>
            <w:tcBorders>
              <w:right w:val="single" w:sz="8" w:color="auto"/>
            </w:tcBorders>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9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Name: Jennifer L. Harper</w:t>
            </w:r>
          </w:p>
        </w:tc>
        <w:tc>
          <w:tcPr>
            <w:tcW w:w="4340" w:type="dxa"/>
            <w:vAlign w:val="bottom"/>
            <w:gridSpan w:val="9"/>
          </w:tcPr>
          <w:p>
            <w:pPr>
              <w:ind w:left="640"/>
              <w:spacing w:after="0"/>
              <w:rPr>
                <w:sz w:val="20"/>
                <w:szCs w:val="20"/>
                <w:color w:val="auto"/>
              </w:rPr>
            </w:pPr>
            <w:r>
              <w:rPr>
                <w:rFonts w:ascii="Times New Roman" w:cs="Times New Roman" w:eastAsia="Times New Roman" w:hAnsi="Times New Roman"/>
                <w:sz w:val="20"/>
                <w:szCs w:val="20"/>
                <w:color w:val="auto"/>
              </w:rPr>
              <w:t>Name: Jennifer L. Harper</w:t>
            </w:r>
          </w:p>
        </w:tc>
        <w:tc>
          <w:tcPr>
            <w:tcW w:w="0" w:type="dxa"/>
            <w:vAlign w:val="bottom"/>
          </w:tcPr>
          <w:p>
            <w:pPr>
              <w:spacing w:after="0"/>
              <w:rPr>
                <w:sz w:val="1"/>
                <w:szCs w:val="1"/>
                <w:color w:val="auto"/>
              </w:rPr>
            </w:pPr>
          </w:p>
        </w:tc>
      </w:tr>
      <w:tr>
        <w:trPr>
          <w:trHeight w:val="258"/>
        </w:trPr>
        <w:tc>
          <w:tcPr>
            <w:tcW w:w="49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Title: Treasurer</w:t>
            </w:r>
          </w:p>
        </w:tc>
        <w:tc>
          <w:tcPr>
            <w:tcW w:w="4340" w:type="dxa"/>
            <w:vAlign w:val="bottom"/>
            <w:gridSpan w:val="9"/>
          </w:tcPr>
          <w:p>
            <w:pPr>
              <w:ind w:left="640"/>
              <w:spacing w:after="0"/>
              <w:rPr>
                <w:sz w:val="20"/>
                <w:szCs w:val="20"/>
                <w:color w:val="auto"/>
              </w:rPr>
            </w:pPr>
            <w:r>
              <w:rPr>
                <w:rFonts w:ascii="Times New Roman" w:cs="Times New Roman" w:eastAsia="Times New Roman" w:hAnsi="Times New Roman"/>
                <w:sz w:val="20"/>
                <w:szCs w:val="20"/>
                <w:color w:val="auto"/>
              </w:rPr>
              <w:t>Title: Treasurer</w:t>
            </w:r>
          </w:p>
        </w:tc>
        <w:tc>
          <w:tcPr>
            <w:tcW w:w="0" w:type="dxa"/>
            <w:vAlign w:val="bottom"/>
          </w:tcPr>
          <w:p>
            <w:pPr>
              <w:spacing w:after="0"/>
              <w:rPr>
                <w:sz w:val="1"/>
                <w:szCs w:val="1"/>
                <w:color w:val="auto"/>
              </w:rPr>
            </w:pPr>
          </w:p>
        </w:tc>
      </w:tr>
      <w:tr>
        <w:trPr>
          <w:trHeight w:val="1107"/>
        </w:trPr>
        <w:tc>
          <w:tcPr>
            <w:tcW w:w="4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HARLAN ELECTRIC COMPANY</w:t>
            </w:r>
          </w:p>
        </w:tc>
        <w:tc>
          <w:tcPr>
            <w:tcW w:w="4340" w:type="dxa"/>
            <w:vAlign w:val="bottom"/>
            <w:gridSpan w:val="9"/>
          </w:tcPr>
          <w:p>
            <w:pPr>
              <w:ind w:left="600"/>
              <w:spacing w:after="0"/>
              <w:rPr>
                <w:sz w:val="20"/>
                <w:szCs w:val="20"/>
                <w:color w:val="auto"/>
              </w:rPr>
            </w:pPr>
            <w:r>
              <w:rPr>
                <w:rFonts w:ascii="Times New Roman" w:cs="Times New Roman" w:eastAsia="Times New Roman" w:hAnsi="Times New Roman"/>
                <w:sz w:val="20"/>
                <w:szCs w:val="20"/>
                <w:color w:val="auto"/>
              </w:rPr>
              <w:t>STURGEON ELECTRIC COMPANY, INC.</w:t>
            </w:r>
          </w:p>
        </w:tc>
        <w:tc>
          <w:tcPr>
            <w:tcW w:w="0" w:type="dxa"/>
            <w:vAlign w:val="bottom"/>
          </w:tcPr>
          <w:p>
            <w:pPr>
              <w:spacing w:after="0"/>
              <w:rPr>
                <w:sz w:val="1"/>
                <w:szCs w:val="1"/>
                <w:color w:val="auto"/>
              </w:rPr>
            </w:pPr>
          </w:p>
        </w:tc>
      </w:tr>
      <w:tr>
        <w:trPr>
          <w:trHeight w:val="669"/>
        </w:trPr>
        <w:tc>
          <w:tcPr>
            <w:tcW w:w="49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By:_/s/ Jennifer L. Harper_________ __</w:t>
            </w:r>
          </w:p>
        </w:tc>
        <w:tc>
          <w:tcPr>
            <w:tcW w:w="434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By:_ /s/ Jennifer L. Harper____________</w:t>
            </w:r>
          </w:p>
        </w:tc>
        <w:tc>
          <w:tcPr>
            <w:tcW w:w="0" w:type="dxa"/>
            <w:vAlign w:val="bottom"/>
          </w:tcPr>
          <w:p>
            <w:pPr>
              <w:spacing w:after="0"/>
              <w:rPr>
                <w:sz w:val="1"/>
                <w:szCs w:val="1"/>
                <w:color w:val="auto"/>
              </w:rPr>
            </w:pPr>
          </w:p>
        </w:tc>
      </w:tr>
      <w:tr>
        <w:trPr>
          <w:trHeight w:val="20"/>
        </w:trPr>
        <w:tc>
          <w:tcPr>
            <w:tcW w:w="380" w:type="dxa"/>
            <w:vAlign w:val="bottom"/>
            <w:tcBorders>
              <w:right w:val="single" w:sz="8" w:color="auto"/>
            </w:tcBorders>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tcBorders>
              <w:left w:val="single" w:sz="8" w:color="auto"/>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9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Name: Jennifer L. Harper</w:t>
            </w:r>
          </w:p>
        </w:tc>
        <w:tc>
          <w:tcPr>
            <w:tcW w:w="434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Name: Jennifer L. Harper</w:t>
            </w:r>
          </w:p>
        </w:tc>
        <w:tc>
          <w:tcPr>
            <w:tcW w:w="0" w:type="dxa"/>
            <w:vAlign w:val="bottom"/>
          </w:tcPr>
          <w:p>
            <w:pPr>
              <w:spacing w:after="0"/>
              <w:rPr>
                <w:sz w:val="1"/>
                <w:szCs w:val="1"/>
                <w:color w:val="auto"/>
              </w:rPr>
            </w:pPr>
          </w:p>
        </w:tc>
      </w:tr>
      <w:tr>
        <w:trPr>
          <w:trHeight w:val="258"/>
        </w:trPr>
        <w:tc>
          <w:tcPr>
            <w:tcW w:w="49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Title: Treasurer</w:t>
            </w:r>
          </w:p>
        </w:tc>
        <w:tc>
          <w:tcPr>
            <w:tcW w:w="434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Title: Treasurer</w:t>
            </w:r>
          </w:p>
        </w:tc>
        <w:tc>
          <w:tcPr>
            <w:tcW w:w="0" w:type="dxa"/>
            <w:vAlign w:val="bottom"/>
          </w:tcPr>
          <w:p>
            <w:pPr>
              <w:spacing w:after="0"/>
              <w:rPr>
                <w:sz w:val="1"/>
                <w:szCs w:val="1"/>
                <w:color w:val="auto"/>
              </w:rPr>
            </w:pPr>
          </w:p>
        </w:tc>
      </w:tr>
      <w:tr>
        <w:trPr>
          <w:trHeight w:val="1107"/>
        </w:trPr>
        <w:tc>
          <w:tcPr>
            <w:tcW w:w="4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GREAT SOUTHWESTERN CONSTRUCTION, INC.</w:t>
            </w:r>
          </w:p>
        </w:tc>
        <w:tc>
          <w:tcPr>
            <w:tcW w:w="4340" w:type="dxa"/>
            <w:vAlign w:val="bottom"/>
            <w:gridSpan w:val="9"/>
          </w:tcPr>
          <w:p>
            <w:pPr>
              <w:ind w:left="600"/>
              <w:spacing w:after="0"/>
              <w:rPr>
                <w:sz w:val="20"/>
                <w:szCs w:val="20"/>
                <w:color w:val="auto"/>
              </w:rPr>
            </w:pPr>
            <w:r>
              <w:rPr>
                <w:rFonts w:ascii="Times New Roman" w:cs="Times New Roman" w:eastAsia="Times New Roman" w:hAnsi="Times New Roman"/>
                <w:sz w:val="20"/>
                <w:szCs w:val="20"/>
                <w:color w:val="auto"/>
              </w:rPr>
              <w:t>MYR ENERGY SERVICES, INC.</w:t>
            </w:r>
          </w:p>
        </w:tc>
        <w:tc>
          <w:tcPr>
            <w:tcW w:w="0" w:type="dxa"/>
            <w:vAlign w:val="bottom"/>
          </w:tcPr>
          <w:p>
            <w:pPr>
              <w:spacing w:after="0"/>
              <w:rPr>
                <w:sz w:val="1"/>
                <w:szCs w:val="1"/>
                <w:color w:val="auto"/>
              </w:rPr>
            </w:pPr>
          </w:p>
        </w:tc>
      </w:tr>
      <w:tr>
        <w:trPr>
          <w:trHeight w:val="683"/>
        </w:trPr>
        <w:tc>
          <w:tcPr>
            <w:tcW w:w="4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By:__/s/ Brad J. Munden __________ _</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auto"/>
              </w:rPr>
              <w:t>Name: Brad J. Munden</w:t>
            </w:r>
          </w:p>
        </w:tc>
        <w:tc>
          <w:tcPr>
            <w:tcW w:w="4340" w:type="dxa"/>
            <w:vAlign w:val="bottom"/>
            <w:gridSpan w:val="9"/>
          </w:tcPr>
          <w:p>
            <w:pPr>
              <w:ind w:left="600"/>
              <w:spacing w:after="0" w:line="223" w:lineRule="exact"/>
              <w:rPr>
                <w:sz w:val="20"/>
                <w:szCs w:val="20"/>
                <w:color w:val="auto"/>
              </w:rPr>
            </w:pPr>
            <w:r>
              <w:rPr>
                <w:rFonts w:ascii="Times New Roman" w:cs="Times New Roman" w:eastAsia="Times New Roman" w:hAnsi="Times New Roman"/>
                <w:sz w:val="20"/>
                <w:szCs w:val="20"/>
                <w:color w:val="auto"/>
              </w:rPr>
              <w:t>By:__/s/ Brad J. Munden __________ __</w:t>
            </w:r>
          </w:p>
        </w:tc>
        <w:tc>
          <w:tcPr>
            <w:tcW w:w="0" w:type="dxa"/>
            <w:vAlign w:val="bottom"/>
          </w:tcPr>
          <w:p>
            <w:pPr>
              <w:spacing w:after="0"/>
              <w:rPr>
                <w:sz w:val="1"/>
                <w:szCs w:val="1"/>
                <w:color w:val="auto"/>
              </w:rPr>
            </w:pPr>
          </w:p>
        </w:tc>
      </w:tr>
      <w:tr>
        <w:trPr>
          <w:trHeight w:val="20"/>
        </w:trPr>
        <w:tc>
          <w:tcPr>
            <w:tcW w:w="492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Title: Secretary &amp; Treasurer</w:t>
            </w:r>
          </w:p>
        </w:tc>
        <w:tc>
          <w:tcPr>
            <w:tcW w:w="980" w:type="dxa"/>
            <w:vAlign w:val="bottom"/>
            <w:gridSpan w:val="3"/>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920" w:type="dxa"/>
            <w:vAlign w:val="bottom"/>
            <w:gridSpan w:val="5"/>
            <w:vMerge w:val="continue"/>
          </w:tcPr>
          <w:p>
            <w:pPr>
              <w:spacing w:after="0"/>
              <w:rPr>
                <w:sz w:val="20"/>
                <w:szCs w:val="20"/>
                <w:color w:val="auto"/>
              </w:rPr>
            </w:pPr>
          </w:p>
        </w:tc>
        <w:tc>
          <w:tcPr>
            <w:tcW w:w="4340" w:type="dxa"/>
            <w:vAlign w:val="bottom"/>
            <w:gridSpan w:val="9"/>
          </w:tcPr>
          <w:p>
            <w:pPr>
              <w:ind w:left="600"/>
              <w:spacing w:after="0"/>
              <w:rPr>
                <w:sz w:val="20"/>
                <w:szCs w:val="20"/>
                <w:color w:val="auto"/>
              </w:rPr>
            </w:pPr>
            <w:r>
              <w:rPr>
                <w:rFonts w:ascii="Times New Roman" w:cs="Times New Roman" w:eastAsia="Times New Roman" w:hAnsi="Times New Roman"/>
                <w:sz w:val="20"/>
                <w:szCs w:val="20"/>
                <w:color w:val="auto"/>
              </w:rPr>
              <w:t>Name: Brad J. Munden</w:t>
            </w:r>
          </w:p>
        </w:tc>
        <w:tc>
          <w:tcPr>
            <w:tcW w:w="0" w:type="dxa"/>
            <w:vAlign w:val="bottom"/>
          </w:tcPr>
          <w:p>
            <w:pPr>
              <w:spacing w:after="0"/>
              <w:rPr>
                <w:sz w:val="1"/>
                <w:szCs w:val="1"/>
                <w:color w:val="auto"/>
              </w:rPr>
            </w:pPr>
          </w:p>
        </w:tc>
      </w:tr>
      <w:tr>
        <w:trPr>
          <w:trHeight w:val="258"/>
        </w:trPr>
        <w:tc>
          <w:tcPr>
            <w:tcW w:w="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340" w:type="dxa"/>
            <w:vAlign w:val="bottom"/>
            <w:gridSpan w:val="9"/>
          </w:tcPr>
          <w:p>
            <w:pPr>
              <w:ind w:left="600"/>
              <w:spacing w:after="0"/>
              <w:rPr>
                <w:sz w:val="20"/>
                <w:szCs w:val="20"/>
                <w:color w:val="auto"/>
              </w:rPr>
            </w:pPr>
            <w:r>
              <w:rPr>
                <w:rFonts w:ascii="Times New Roman" w:cs="Times New Roman" w:eastAsia="Times New Roman" w:hAnsi="Times New Roman"/>
                <w:sz w:val="20"/>
                <w:szCs w:val="20"/>
                <w:color w:val="auto"/>
              </w:rPr>
              <w:t>Title: Secretary &amp; Treasurer</w:t>
            </w:r>
          </w:p>
        </w:tc>
        <w:tc>
          <w:tcPr>
            <w:tcW w:w="0" w:type="dxa"/>
            <w:vAlign w:val="bottom"/>
          </w:tcPr>
          <w:p>
            <w:pPr>
              <w:spacing w:after="0"/>
              <w:rPr>
                <w:sz w:val="1"/>
                <w:szCs w:val="1"/>
                <w:color w:val="auto"/>
              </w:rPr>
            </w:pPr>
          </w:p>
        </w:tc>
      </w:tr>
      <w:tr>
        <w:trPr>
          <w:trHeight w:val="891"/>
        </w:trPr>
        <w:tc>
          <w:tcPr>
            <w:tcW w:w="4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E.S. BOULOS COMPANY</w:t>
            </w:r>
          </w:p>
        </w:tc>
        <w:tc>
          <w:tcPr>
            <w:tcW w:w="4340" w:type="dxa"/>
            <w:vAlign w:val="bottom"/>
            <w:gridSpan w:val="9"/>
          </w:tcPr>
          <w:p>
            <w:pPr>
              <w:ind w:left="600"/>
              <w:spacing w:after="0"/>
              <w:rPr>
                <w:sz w:val="20"/>
                <w:szCs w:val="20"/>
                <w:color w:val="auto"/>
              </w:rPr>
            </w:pPr>
            <w:r>
              <w:rPr>
                <w:rFonts w:ascii="Times New Roman" w:cs="Times New Roman" w:eastAsia="Times New Roman" w:hAnsi="Times New Roman"/>
                <w:sz w:val="20"/>
                <w:szCs w:val="20"/>
                <w:color w:val="auto"/>
              </w:rPr>
              <w:t>MYR REAL ESTATE HOLDINGS, LLC</w:t>
            </w:r>
          </w:p>
        </w:tc>
        <w:tc>
          <w:tcPr>
            <w:tcW w:w="0" w:type="dxa"/>
            <w:vAlign w:val="bottom"/>
          </w:tcPr>
          <w:p>
            <w:pPr>
              <w:spacing w:after="0"/>
              <w:rPr>
                <w:sz w:val="1"/>
                <w:szCs w:val="1"/>
                <w:color w:val="auto"/>
              </w:rPr>
            </w:pPr>
          </w:p>
        </w:tc>
      </w:tr>
      <w:tr>
        <w:trPr>
          <w:trHeight w:val="682"/>
        </w:trPr>
        <w:tc>
          <w:tcPr>
            <w:tcW w:w="49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By:_ /s/ Jennifer L. Harper___________</w:t>
            </w:r>
          </w:p>
        </w:tc>
        <w:tc>
          <w:tcPr>
            <w:tcW w:w="4340" w:type="dxa"/>
            <w:vAlign w:val="bottom"/>
            <w:gridSpan w:val="9"/>
          </w:tcPr>
          <w:p>
            <w:pPr>
              <w:ind w:left="600"/>
              <w:spacing w:after="0"/>
              <w:rPr>
                <w:sz w:val="20"/>
                <w:szCs w:val="20"/>
                <w:color w:val="auto"/>
              </w:rPr>
            </w:pPr>
            <w:r>
              <w:rPr>
                <w:rFonts w:ascii="Times New Roman" w:cs="Times New Roman" w:eastAsia="Times New Roman" w:hAnsi="Times New Roman"/>
                <w:sz w:val="20"/>
                <w:szCs w:val="20"/>
                <w:color w:val="auto"/>
              </w:rPr>
              <w:t>By:_ /s/ Michael L. Orndahl ____ _</w:t>
            </w:r>
          </w:p>
        </w:tc>
        <w:tc>
          <w:tcPr>
            <w:tcW w:w="0" w:type="dxa"/>
            <w:vAlign w:val="bottom"/>
          </w:tcPr>
          <w:p>
            <w:pPr>
              <w:spacing w:after="0"/>
              <w:rPr>
                <w:sz w:val="1"/>
                <w:szCs w:val="1"/>
                <w:color w:val="auto"/>
              </w:rPr>
            </w:pPr>
          </w:p>
        </w:tc>
      </w:tr>
      <w:tr>
        <w:trPr>
          <w:trHeight w:val="20"/>
        </w:trPr>
        <w:tc>
          <w:tcPr>
            <w:tcW w:w="380" w:type="dxa"/>
            <w:vAlign w:val="bottom"/>
            <w:tcBorders>
              <w:right w:val="single" w:sz="8" w:color="auto"/>
            </w:tcBorders>
          </w:tcPr>
          <w:p>
            <w:pPr>
              <w:spacing w:after="0" w:line="20" w:lineRule="exact"/>
              <w:rPr>
                <w:sz w:val="1"/>
                <w:szCs w:val="1"/>
                <w:color w:val="auto"/>
              </w:rPr>
            </w:pPr>
          </w:p>
        </w:tc>
        <w:tc>
          <w:tcPr>
            <w:tcW w:w="2900" w:type="dxa"/>
            <w:vAlign w:val="bottom"/>
            <w:gridSpan w:val="2"/>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9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Name: Jennifer L. Harper</w:t>
            </w:r>
          </w:p>
        </w:tc>
        <w:tc>
          <w:tcPr>
            <w:tcW w:w="4340" w:type="dxa"/>
            <w:vAlign w:val="bottom"/>
            <w:gridSpan w:val="9"/>
          </w:tcPr>
          <w:p>
            <w:pPr>
              <w:ind w:left="600"/>
              <w:spacing w:after="0"/>
              <w:rPr>
                <w:sz w:val="20"/>
                <w:szCs w:val="20"/>
                <w:color w:val="auto"/>
              </w:rPr>
            </w:pPr>
            <w:r>
              <w:rPr>
                <w:rFonts w:ascii="Times New Roman" w:cs="Times New Roman" w:eastAsia="Times New Roman" w:hAnsi="Times New Roman"/>
                <w:sz w:val="20"/>
                <w:szCs w:val="20"/>
                <w:color w:val="auto"/>
              </w:rPr>
              <w:t>Name: Michael L. Orndahl</w:t>
            </w:r>
          </w:p>
        </w:tc>
        <w:tc>
          <w:tcPr>
            <w:tcW w:w="0" w:type="dxa"/>
            <w:vAlign w:val="bottom"/>
          </w:tcPr>
          <w:p>
            <w:pPr>
              <w:spacing w:after="0"/>
              <w:rPr>
                <w:sz w:val="1"/>
                <w:szCs w:val="1"/>
                <w:color w:val="auto"/>
              </w:rPr>
            </w:pPr>
          </w:p>
        </w:tc>
      </w:tr>
      <w:tr>
        <w:trPr>
          <w:trHeight w:val="258"/>
        </w:trPr>
        <w:tc>
          <w:tcPr>
            <w:tcW w:w="49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Title: Treasurer</w:t>
            </w:r>
          </w:p>
        </w:tc>
        <w:tc>
          <w:tcPr>
            <w:tcW w:w="4340" w:type="dxa"/>
            <w:vAlign w:val="bottom"/>
            <w:gridSpan w:val="9"/>
          </w:tcPr>
          <w:p>
            <w:pPr>
              <w:ind w:left="600"/>
              <w:spacing w:after="0"/>
              <w:rPr>
                <w:sz w:val="20"/>
                <w:szCs w:val="20"/>
                <w:color w:val="auto"/>
              </w:rPr>
            </w:pPr>
            <w:r>
              <w:rPr>
                <w:rFonts w:ascii="Times New Roman" w:cs="Times New Roman" w:eastAsia="Times New Roman" w:hAnsi="Times New Roman"/>
                <w:sz w:val="20"/>
                <w:szCs w:val="20"/>
                <w:color w:val="auto"/>
              </w:rPr>
              <w:t>Title: VP, Treasurer &amp;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Signature Page to Consent and Reaffirmation to</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Amendment No. 1 to Third Amended and Restated Credit Agreement</w:t>
      </w:r>
    </w:p>
    <w:p>
      <w:pPr>
        <w:sectPr>
          <w:pgSz w:w="11900" w:h="16838" w:orient="portrait"/>
          <w:cols w:equalWidth="0" w:num="1">
            <w:col w:w="10059"/>
          </w:cols>
          <w:pgMar w:left="400" w:top="1440" w:right="1440" w:bottom="1440" w:gutter="0" w:footer="0" w:header="0"/>
        </w:sectPr>
      </w:pPr>
    </w:p>
    <w:bookmarkStart w:id="52" w:name="page53"/>
    <w:bookmarkEnd w:id="52"/>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MYR EQUIPMENT, LLC</w:t>
            </w:r>
          </w:p>
        </w:tc>
        <w:tc>
          <w:tcPr>
            <w:tcW w:w="5040" w:type="dxa"/>
            <w:vAlign w:val="bottom"/>
            <w:gridSpan w:val="3"/>
          </w:tcPr>
          <w:p>
            <w:pPr>
              <w:ind w:left="980"/>
              <w:spacing w:after="0"/>
              <w:rPr>
                <w:sz w:val="20"/>
                <w:szCs w:val="20"/>
                <w:color w:val="auto"/>
              </w:rPr>
            </w:pPr>
            <w:r>
              <w:rPr>
                <w:rFonts w:ascii="Times New Roman" w:cs="Times New Roman" w:eastAsia="Times New Roman" w:hAnsi="Times New Roman"/>
                <w:sz w:val="20"/>
                <w:szCs w:val="20"/>
                <w:color w:val="auto"/>
                <w:w w:val="98"/>
              </w:rPr>
              <w:t>HIGH COUNTRY LINE CONSTRUCTION, INC.</w:t>
            </w:r>
          </w:p>
        </w:tc>
      </w:tr>
      <w:tr>
        <w:trPr>
          <w:trHeight w:val="683"/>
        </w:trPr>
        <w:tc>
          <w:tcPr>
            <w:tcW w:w="4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By:__/s/ Kelly Huntington _________</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By:_/s/ Jennifer L. Harper____________</w:t>
            </w:r>
          </w:p>
        </w:tc>
      </w:tr>
      <w:tr>
        <w:trPr>
          <w:trHeight w:val="20"/>
        </w:trPr>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1"/>
        </w:trPr>
        <w:tc>
          <w:tcPr>
            <w:tcW w:w="4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Name: Kelly Huntington</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Name: Jennifer L. Harper</w:t>
            </w:r>
          </w:p>
        </w:tc>
      </w:tr>
      <w:tr>
        <w:trPr>
          <w:trHeight w:val="258"/>
        </w:trPr>
        <w:tc>
          <w:tcPr>
            <w:tcW w:w="4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Title: VP, Treasurer, &amp; Secretary</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Title: Treasurer</w:t>
            </w:r>
          </w:p>
        </w:tc>
      </w:tr>
      <w:tr>
        <w:trPr>
          <w:trHeight w:val="499"/>
        </w:trPr>
        <w:tc>
          <w:tcPr>
            <w:tcW w:w="4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CSI ELECTRICAL CONTRACTORS, INC.</w:t>
            </w:r>
          </w:p>
        </w:tc>
        <w:tc>
          <w:tcPr>
            <w:tcW w:w="1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83"/>
        </w:trPr>
        <w:tc>
          <w:tcPr>
            <w:tcW w:w="4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By:_ /s/ Jennifer L. Harper____________</w:t>
            </w:r>
          </w:p>
        </w:tc>
        <w:tc>
          <w:tcPr>
            <w:tcW w:w="1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302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1"/>
        </w:trPr>
        <w:tc>
          <w:tcPr>
            <w:tcW w:w="4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Name: Jennifer L. Harper</w:t>
            </w:r>
          </w:p>
        </w:tc>
        <w:tc>
          <w:tcPr>
            <w:tcW w:w="1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8"/>
        </w:trPr>
        <w:tc>
          <w:tcPr>
            <w:tcW w:w="45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Title: Treasurer</w:t>
            </w:r>
          </w:p>
        </w:tc>
        <w:tc>
          <w:tcPr>
            <w:tcW w:w="13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7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Signature Page to Consent and Reaffirmation to</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Amendment No. 1 to Third Amended and Restated Credit Agreement</w:t>
      </w:r>
    </w:p>
    <w:p>
      <w:pPr>
        <w:sectPr>
          <w:pgSz w:w="11900" w:h="16838" w:orient="portrait"/>
          <w:cols w:equalWidth="0" w:num="1">
            <w:col w:w="10059"/>
          </w:cols>
          <w:pgMar w:left="400" w:top="1440"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EXECUTION VERSION</w:t>
      </w:r>
      <w:r>
        <w:rPr>
          <w:rFonts w:ascii="Times New Roman" w:cs="Times New Roman" w:eastAsia="Times New Roman" w:hAnsi="Times New Roman"/>
          <w:sz w:val="20"/>
          <w:szCs w:val="20"/>
          <w:b w:val="1"/>
          <w:bCs w:val="1"/>
          <w:u w:val="single" w:color="auto"/>
          <w:color w:val="0000FF"/>
          <w:strike w:val="1"/>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847725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1259205</wp:posOffset>
            </wp:positionV>
            <wp:extent cx="1654175" cy="3511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6541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THIRD AMENDED AND RESTATED CREDIT AGREEMENT</w:t>
      </w:r>
    </w:p>
    <w:p>
      <w:pPr>
        <w:spacing w:after="0" w:line="24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dated as of</w:t>
      </w:r>
    </w:p>
    <w:p>
      <w:pPr>
        <w:spacing w:after="0" w:line="200" w:lineRule="exact"/>
        <w:rPr>
          <w:sz w:val="20"/>
          <w:szCs w:val="20"/>
          <w:color w:val="auto"/>
        </w:rPr>
      </w:pPr>
    </w:p>
    <w:p>
      <w:pPr>
        <w:spacing w:after="0" w:line="27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 xml:space="preserve">May 31, 2023 </w:t>
      </w:r>
      <w:r>
        <w:rPr>
          <w:rFonts w:ascii="Times New Roman" w:cs="Times New Roman" w:eastAsia="Times New Roman" w:hAnsi="Times New Roman"/>
          <w:sz w:val="20"/>
          <w:szCs w:val="20"/>
          <w:color w:val="0000FF"/>
        </w:rPr>
        <w:t>and amended as of May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-10795</wp:posOffset>
            </wp:positionV>
            <wp:extent cx="1702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702435" cy="8890"/>
                    </a:xfrm>
                    <a:prstGeom prst="rect">
                      <a:avLst/>
                    </a:prstGeom>
                    <a:noFill/>
                  </pic:spPr>
                </pic:pic>
              </a:graphicData>
            </a:graphic>
          </wp:anchor>
        </w:drawing>
      </w:r>
    </w:p>
    <w:p>
      <w:pPr>
        <w:spacing w:after="0" w:line="20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27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MYR GROUP INC.</w:t>
      </w:r>
    </w:p>
    <w:p>
      <w:pPr>
        <w:spacing w:after="0" w:line="200" w:lineRule="exact"/>
        <w:rPr>
          <w:sz w:val="20"/>
          <w:szCs w:val="20"/>
          <w:color w:val="auto"/>
        </w:rPr>
      </w:pPr>
    </w:p>
    <w:p>
      <w:pPr>
        <w:spacing w:after="0" w:line="25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00" w:lineRule="exact"/>
        <w:rPr>
          <w:sz w:val="20"/>
          <w:szCs w:val="20"/>
          <w:color w:val="auto"/>
        </w:rPr>
      </w:pPr>
    </w:p>
    <w:p>
      <w:pPr>
        <w:spacing w:after="0" w:line="272" w:lineRule="exact"/>
        <w:rPr>
          <w:sz w:val="20"/>
          <w:szCs w:val="20"/>
          <w:color w:val="auto"/>
        </w:rPr>
      </w:pPr>
    </w:p>
    <w:p>
      <w:pPr>
        <w:jc w:val="center"/>
        <w:ind w:right="600"/>
        <w:spacing w:after="0" w:line="269" w:lineRule="auto"/>
        <w:rPr>
          <w:sz w:val="20"/>
          <w:szCs w:val="20"/>
          <w:color w:val="auto"/>
        </w:rPr>
      </w:pPr>
      <w:r>
        <w:rPr>
          <w:rFonts w:ascii="Times New Roman" w:cs="Times New Roman" w:eastAsia="Times New Roman" w:hAnsi="Times New Roman"/>
          <w:sz w:val="20"/>
          <w:szCs w:val="20"/>
          <w:color w:val="auto"/>
        </w:rPr>
        <w:t>BANK OF MONTREAL, CIBC BANK USA, TD BANK, N.A. and WELLS FARGO BANK, NATIONAL ASSOCIATION, as Co-Documentation Agents</w:t>
      </w:r>
    </w:p>
    <w:p>
      <w:pPr>
        <w:spacing w:after="0" w:line="200" w:lineRule="exact"/>
        <w:rPr>
          <w:sz w:val="20"/>
          <w:szCs w:val="20"/>
          <w:color w:val="auto"/>
        </w:rPr>
      </w:pPr>
    </w:p>
    <w:p>
      <w:pPr>
        <w:spacing w:after="0" w:line="2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21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and</w:t>
      </w:r>
    </w:p>
    <w:p>
      <w:pPr>
        <w:spacing w:after="0" w:line="24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4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and</w:t>
      </w:r>
    </w:p>
    <w:p>
      <w:pPr>
        <w:spacing w:after="0" w:line="24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471805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14" w:right="37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TABLE OF CONTENTS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13"/>
        </w:trPr>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2"/>
              </w:rPr>
              <w:t>Page</w:t>
            </w:r>
          </w:p>
        </w:tc>
      </w:tr>
      <w:tr>
        <w:trPr>
          <w:trHeight w:val="480"/>
        </w:trPr>
        <w:tc>
          <w:tcPr>
            <w:tcW w:w="1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ARTICLE I Definitions</w:t>
            </w:r>
          </w:p>
        </w:tc>
        <w:tc>
          <w:tcPr>
            <w:tcW w:w="8620" w:type="dxa"/>
            <w:vAlign w:val="bottom"/>
            <w:gridSpan w:val="19"/>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79"/>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SECTION 1.01. Defined Terms</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0000FF"/>
                <w:w w:val="79"/>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SECTION 1.02. Classification of Loans and Borrowings</w:t>
            </w: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42</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26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6"/>
              </w:rPr>
              <w:t>SECTION 1.03. Terms Generally</w:t>
            </w:r>
          </w:p>
        </w:tc>
        <w:tc>
          <w:tcPr>
            <w:tcW w:w="1820" w:type="dxa"/>
            <w:vAlign w:val="bottom"/>
            <w:gridSpan w:val="9"/>
          </w:tcPr>
          <w:p>
            <w:pPr>
              <w:spacing w:after="0"/>
              <w:rPr>
                <w:sz w:val="24"/>
                <w:szCs w:val="24"/>
                <w:color w:val="auto"/>
              </w:rPr>
            </w:pPr>
          </w:p>
        </w:tc>
        <w:tc>
          <w:tcPr>
            <w:tcW w:w="5720" w:type="dxa"/>
            <w:vAlign w:val="bottom"/>
            <w:gridSpan w:val="4"/>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42</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SECTION 1.04. Accounting Terms; GAAP; Pro Forma Calculations</w:t>
            </w: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43</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542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SECTION 1.05. Status of Obligations</w:t>
            </w:r>
          </w:p>
        </w:tc>
        <w:tc>
          <w:tcPr>
            <w:tcW w:w="4760" w:type="dxa"/>
            <w:vAlign w:val="bottom"/>
            <w:gridSpan w:val="2"/>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44</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SECTION 1.06. Amendment and Restatement of Existing Credit Agreement</w:t>
            </w: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45</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442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w w:val="97"/>
              </w:rPr>
              <w:t>SECTION 1.07. Interest Rates; Benchmark Notification</w:t>
            </w:r>
          </w:p>
        </w:tc>
        <w:tc>
          <w:tcPr>
            <w:tcW w:w="1640" w:type="dxa"/>
            <w:vAlign w:val="bottom"/>
            <w:gridSpan w:val="4"/>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45</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34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w w:val="97"/>
              </w:rPr>
              <w:t>SECTION 1.08. Letter of Credit Amounts</w:t>
            </w:r>
          </w:p>
        </w:tc>
        <w:tc>
          <w:tcPr>
            <w:tcW w:w="1080" w:type="dxa"/>
            <w:vAlign w:val="bottom"/>
            <w:gridSpan w:val="2"/>
          </w:tcPr>
          <w:p>
            <w:pPr>
              <w:spacing w:after="0"/>
              <w:rPr>
                <w:sz w:val="24"/>
                <w:szCs w:val="24"/>
                <w:color w:val="auto"/>
              </w:rPr>
            </w:pPr>
          </w:p>
        </w:tc>
        <w:tc>
          <w:tcPr>
            <w:tcW w:w="5760" w:type="dxa"/>
            <w:vAlign w:val="bottom"/>
            <w:gridSpan w:val="5"/>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46</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34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rPr>
              <w:t>SECTION 1.09. Divisions</w:t>
            </w:r>
          </w:p>
        </w:tc>
        <w:tc>
          <w:tcPr>
            <w:tcW w:w="6840" w:type="dxa"/>
            <w:vAlign w:val="bottom"/>
            <w:gridSpan w:val="7"/>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46</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SECTION 1.10. Exchange Rates; Currency Equivalents</w:t>
            </w: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46</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7"/>
              </w:rPr>
              <w:t>ARTICLE II The Credits</w:t>
            </w:r>
          </w:p>
        </w:tc>
        <w:tc>
          <w:tcPr>
            <w:tcW w:w="8520" w:type="dxa"/>
            <w:vAlign w:val="bottom"/>
            <w:gridSpan w:val="18"/>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46</w:t>
            </w:r>
          </w:p>
        </w:tc>
        <w:tc>
          <w:tcPr>
            <w:tcW w:w="380" w:type="dxa"/>
            <w:vAlign w:val="bottom"/>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24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7"/>
              </w:rPr>
              <w:t>SECTION 2.01. Commitments</w:t>
            </w:r>
          </w:p>
        </w:tc>
        <w:tc>
          <w:tcPr>
            <w:tcW w:w="7720" w:type="dxa"/>
            <w:vAlign w:val="bottom"/>
            <w:gridSpan w:val="14"/>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46</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14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w w:val="98"/>
              </w:rPr>
              <w:t>SECTION 2.02. Loans and Borrowings</w:t>
            </w:r>
          </w:p>
        </w:tc>
        <w:tc>
          <w:tcPr>
            <w:tcW w:w="7040" w:type="dxa"/>
            <w:vAlign w:val="bottom"/>
            <w:gridSpan w:val="9"/>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47</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SECTION 2.03. Requests for Revolving Borrowings</w:t>
            </w: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47</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41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SECTION 2.04. Expansion Options</w:t>
            </w:r>
          </w:p>
        </w:tc>
        <w:tc>
          <w:tcPr>
            <w:tcW w:w="6000" w:type="dxa"/>
            <w:vAlign w:val="bottom"/>
            <w:gridSpan w:val="6"/>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48</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28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SECTION 2.05. Swingline Loans</w:t>
            </w:r>
          </w:p>
        </w:tc>
        <w:tc>
          <w:tcPr>
            <w:tcW w:w="7340" w:type="dxa"/>
            <w:vAlign w:val="bottom"/>
            <w:gridSpan w:val="12"/>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50</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26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7"/>
              </w:rPr>
              <w:t>SECTION 2.06. Letters of Credit</w:t>
            </w:r>
          </w:p>
        </w:tc>
        <w:tc>
          <w:tcPr>
            <w:tcW w:w="7540" w:type="dxa"/>
            <w:vAlign w:val="bottom"/>
            <w:gridSpan w:val="13"/>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52</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34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rPr>
              <w:t>SECTION 2.07. Funding of Borrowings</w:t>
            </w:r>
          </w:p>
        </w:tc>
        <w:tc>
          <w:tcPr>
            <w:tcW w:w="6840" w:type="dxa"/>
            <w:vAlign w:val="bottom"/>
            <w:gridSpan w:val="7"/>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58</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34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rPr>
              <w:t>SECTION 2.08. Interest Elections</w:t>
            </w:r>
          </w:p>
        </w:tc>
        <w:tc>
          <w:tcPr>
            <w:tcW w:w="6840" w:type="dxa"/>
            <w:vAlign w:val="bottom"/>
            <w:gridSpan w:val="7"/>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59</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488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w w:val="98"/>
              </w:rPr>
              <w:t>SECTION 2.09. Termination and Reduction of Commitments</w:t>
            </w:r>
          </w:p>
        </w:tc>
        <w:tc>
          <w:tcPr>
            <w:tcW w:w="5300" w:type="dxa"/>
            <w:vAlign w:val="bottom"/>
            <w:gridSpan w:val="3"/>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61</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12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488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SECTION 2.10. Repayment of Loans; Evidence of Debt</w:t>
            </w:r>
          </w:p>
        </w:tc>
        <w:tc>
          <w:tcPr>
            <w:tcW w:w="5300" w:type="dxa"/>
            <w:vAlign w:val="bottom"/>
            <w:gridSpan w:val="3"/>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62</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120" w:type="dxa"/>
            <w:vAlign w:val="bottom"/>
            <w:tcBorders>
              <w:left w:val="single" w:sz="8" w:color="0000FF"/>
            </w:tcBorders>
            <w:gridSpan w:val="3"/>
            <w:shd w:val="clear" w:color="auto" w:fill="0000FF"/>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34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rPr>
              <w:t>SECTION 2.11. Prepayment of Loans.</w:t>
            </w:r>
          </w:p>
        </w:tc>
        <w:tc>
          <w:tcPr>
            <w:tcW w:w="1120" w:type="dxa"/>
            <w:vAlign w:val="bottom"/>
            <w:gridSpan w:val="3"/>
          </w:tcPr>
          <w:p>
            <w:pPr>
              <w:spacing w:after="0"/>
              <w:rPr>
                <w:sz w:val="24"/>
                <w:szCs w:val="24"/>
                <w:color w:val="auto"/>
              </w:rPr>
            </w:pPr>
          </w:p>
        </w:tc>
        <w:tc>
          <w:tcPr>
            <w:tcW w:w="5720" w:type="dxa"/>
            <w:vAlign w:val="bottom"/>
            <w:gridSpan w:val="4"/>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62</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6"/>
            <w:shd w:val="clear" w:color="auto" w:fill="0000FF"/>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8"/>
              </w:rPr>
              <w:t>SECTION 2.12. Fees</w:t>
            </w:r>
          </w:p>
        </w:tc>
        <w:tc>
          <w:tcPr>
            <w:tcW w:w="1640" w:type="dxa"/>
            <w:vAlign w:val="bottom"/>
            <w:gridSpan w:val="10"/>
          </w:tcPr>
          <w:p>
            <w:pPr>
              <w:spacing w:after="0"/>
              <w:rPr>
                <w:sz w:val="24"/>
                <w:szCs w:val="24"/>
                <w:color w:val="auto"/>
              </w:rPr>
            </w:pPr>
          </w:p>
        </w:tc>
        <w:tc>
          <w:tcPr>
            <w:tcW w:w="6840" w:type="dxa"/>
            <w:vAlign w:val="bottom"/>
            <w:gridSpan w:val="7"/>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63</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SECTION 2.13. Interest</w:t>
            </w: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64</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340" w:type="dxa"/>
            <w:vAlign w:val="bottom"/>
            <w:gridSpan w:val="13"/>
          </w:tcPr>
          <w:p>
            <w:pPr>
              <w:spacing w:after="0"/>
              <w:rPr>
                <w:sz w:val="20"/>
                <w:szCs w:val="20"/>
                <w:color w:val="auto"/>
              </w:rPr>
            </w:pPr>
            <w:r>
              <w:rPr>
                <w:rFonts w:ascii="Times New Roman" w:cs="Times New Roman" w:eastAsia="Times New Roman" w:hAnsi="Times New Roman"/>
                <w:sz w:val="20"/>
                <w:szCs w:val="20"/>
                <w:color w:val="0000FF"/>
                <w:w w:val="97"/>
              </w:rPr>
              <w:t>SECTION 2.14. Alternate Rate of Interest</w:t>
            </w:r>
          </w:p>
        </w:tc>
        <w:tc>
          <w:tcPr>
            <w:tcW w:w="6840" w:type="dxa"/>
            <w:vAlign w:val="bottom"/>
            <w:gridSpan w:val="7"/>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65</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640" w:type="dxa"/>
            <w:vAlign w:val="bottom"/>
            <w:tcBorders>
              <w:right w:val="single" w:sz="8" w:color="0000FF"/>
            </w:tcBorders>
            <w:gridSpan w:val="7"/>
            <w:shd w:val="clear" w:color="auto" w:fill="0000FF"/>
          </w:tcPr>
          <w:p>
            <w:pPr>
              <w:spacing w:after="0" w:line="20" w:lineRule="exact"/>
              <w:rPr>
                <w:sz w:val="1"/>
                <w:szCs w:val="1"/>
                <w:color w:val="auto"/>
              </w:rPr>
            </w:pPr>
          </w:p>
        </w:tc>
        <w:tc>
          <w:tcPr>
            <w:tcW w:w="700" w:type="dxa"/>
            <w:vAlign w:val="bottom"/>
            <w:tcBorders>
              <w:left w:val="single" w:sz="8" w:color="0000FF"/>
            </w:tcBorders>
            <w:gridSpan w:val="6"/>
            <w:shd w:val="clear" w:color="auto" w:fill="0000FF"/>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26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SECTION 2.15. Increased Costs</w:t>
            </w:r>
          </w:p>
        </w:tc>
        <w:tc>
          <w:tcPr>
            <w:tcW w:w="700" w:type="dxa"/>
            <w:vAlign w:val="bottom"/>
            <w:gridSpan w:val="6"/>
          </w:tcPr>
          <w:p>
            <w:pPr>
              <w:spacing w:after="0"/>
              <w:rPr>
                <w:sz w:val="24"/>
                <w:szCs w:val="24"/>
                <w:color w:val="auto"/>
              </w:rPr>
            </w:pPr>
          </w:p>
        </w:tc>
        <w:tc>
          <w:tcPr>
            <w:tcW w:w="6840" w:type="dxa"/>
            <w:vAlign w:val="bottom"/>
            <w:gridSpan w:val="7"/>
          </w:tcPr>
          <w:p>
            <w:pPr>
              <w:spacing w:after="0"/>
              <w:rPr>
                <w:sz w:val="24"/>
                <w:szCs w:val="24"/>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69</w:t>
            </w:r>
          </w:p>
        </w:tc>
        <w:tc>
          <w:tcPr>
            <w:tcW w:w="3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1160"/>
          </w:cols>
          <w:pgMar w:left="400" w:top="1440" w:right="3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SECTION 2.16. Break Funding Payments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70</w:t>
            </w:r>
          </w:p>
        </w:tc>
      </w:tr>
      <w:tr>
        <w:trPr>
          <w:trHeight w:val="493"/>
        </w:trPr>
        <w:tc>
          <w:tcPr>
            <w:tcW w:w="320" w:type="dxa"/>
            <w:vAlign w:val="bottom"/>
          </w:tcPr>
          <w:p>
            <w:pPr>
              <w:spacing w:after="0"/>
              <w:rPr>
                <w:sz w:val="24"/>
                <w:szCs w:val="24"/>
                <w:color w:val="auto"/>
              </w:rPr>
            </w:pPr>
          </w:p>
        </w:tc>
        <w:tc>
          <w:tcPr>
            <w:tcW w:w="3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SECTION 2.17. Taxes</w:t>
            </w:r>
          </w:p>
        </w:tc>
        <w:tc>
          <w:tcPr>
            <w:tcW w:w="6860" w:type="dxa"/>
            <w:vAlign w:val="bottom"/>
            <w:gridSpan w:val="7"/>
          </w:tcPr>
          <w:p>
            <w:pPr>
              <w:spacing w:after="0"/>
              <w:rPr>
                <w:sz w:val="24"/>
                <w:szCs w:val="24"/>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71</w:t>
            </w:r>
          </w:p>
        </w:tc>
      </w:tr>
      <w:tr>
        <w:trPr>
          <w:trHeight w:val="20"/>
        </w:trPr>
        <w:tc>
          <w:tcPr>
            <w:tcW w:w="3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8"/>
              </w:rPr>
              <w:t>SECTION 2.18. Payments Generally; Allocation of Proceeds; Sharing of Set-offs</w:t>
            </w:r>
          </w:p>
        </w:tc>
        <w:tc>
          <w:tcPr>
            <w:tcW w:w="372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74</w:t>
            </w:r>
          </w:p>
        </w:tc>
      </w:tr>
      <w:tr>
        <w:trPr>
          <w:trHeight w:val="493"/>
        </w:trPr>
        <w:tc>
          <w:tcPr>
            <w:tcW w:w="320" w:type="dxa"/>
            <w:vAlign w:val="bottom"/>
          </w:tcPr>
          <w:p>
            <w:pPr>
              <w:spacing w:after="0"/>
              <w:rPr>
                <w:sz w:val="24"/>
                <w:szCs w:val="24"/>
                <w:color w:val="auto"/>
              </w:rPr>
            </w:pPr>
          </w:p>
        </w:tc>
        <w:tc>
          <w:tcPr>
            <w:tcW w:w="51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8"/>
              </w:rPr>
              <w:t>SECTION 2.19. Mitigation Obligations; Replacement of Lenders</w:t>
            </w:r>
          </w:p>
        </w:tc>
        <w:tc>
          <w:tcPr>
            <w:tcW w:w="500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76</w:t>
            </w:r>
          </w:p>
        </w:tc>
      </w:tr>
      <w:tr>
        <w:trPr>
          <w:trHeight w:val="493"/>
        </w:trPr>
        <w:tc>
          <w:tcPr>
            <w:tcW w:w="320" w:type="dxa"/>
            <w:vAlign w:val="bottom"/>
          </w:tcPr>
          <w:p>
            <w:pPr>
              <w:spacing w:after="0"/>
              <w:rPr>
                <w:sz w:val="24"/>
                <w:szCs w:val="24"/>
                <w:color w:val="auto"/>
              </w:rPr>
            </w:pPr>
          </w:p>
        </w:tc>
        <w:tc>
          <w:tcPr>
            <w:tcW w:w="2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SECTION 2.20. Defaulting Lenders.</w:t>
            </w:r>
          </w:p>
        </w:tc>
        <w:tc>
          <w:tcPr>
            <w:tcW w:w="7260" w:type="dxa"/>
            <w:vAlign w:val="bottom"/>
            <w:gridSpan w:val="10"/>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77</w:t>
            </w:r>
          </w:p>
        </w:tc>
      </w:tr>
      <w:tr>
        <w:trPr>
          <w:trHeight w:val="493"/>
        </w:trPr>
        <w:tc>
          <w:tcPr>
            <w:tcW w:w="32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SECTION 2.21. Judgment Currency</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79</w:t>
            </w:r>
          </w:p>
        </w:tc>
      </w:tr>
      <w:tr>
        <w:trPr>
          <w:trHeight w:val="20"/>
        </w:trPr>
        <w:tc>
          <w:tcPr>
            <w:tcW w:w="3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3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7"/>
              </w:rPr>
              <w:t>ARTICLE III Representations and Warranties</w:t>
            </w:r>
          </w:p>
        </w:tc>
        <w:tc>
          <w:tcPr>
            <w:tcW w:w="6880" w:type="dxa"/>
            <w:vAlign w:val="bottom"/>
            <w:gridSpan w:val="8"/>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80</w:t>
            </w:r>
          </w:p>
        </w:tc>
      </w:tr>
      <w:tr>
        <w:trPr>
          <w:trHeight w:val="493"/>
        </w:trPr>
        <w:tc>
          <w:tcPr>
            <w:tcW w:w="32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SECTION 3.01. Organization; Powers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80</w:t>
            </w:r>
          </w:p>
        </w:tc>
      </w:tr>
      <w:tr>
        <w:trPr>
          <w:trHeight w:val="20"/>
        </w:trPr>
        <w:tc>
          <w:tcPr>
            <w:tcW w:w="3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SECTION 3.02. Authorization; Enforceability</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80</w:t>
            </w:r>
          </w:p>
        </w:tc>
      </w:tr>
      <w:tr>
        <w:trPr>
          <w:trHeight w:val="20"/>
        </w:trPr>
        <w:tc>
          <w:tcPr>
            <w:tcW w:w="3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4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SECTION 3.03. Governmental Approvals; No Conflicts</w:t>
            </w:r>
          </w:p>
        </w:tc>
        <w:tc>
          <w:tcPr>
            <w:tcW w:w="5720" w:type="dxa"/>
            <w:vAlign w:val="bottom"/>
            <w:gridSpan w:val="4"/>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80</w:t>
            </w:r>
          </w:p>
        </w:tc>
      </w:tr>
      <w:tr>
        <w:trPr>
          <w:trHeight w:val="493"/>
        </w:trPr>
        <w:tc>
          <w:tcPr>
            <w:tcW w:w="320" w:type="dxa"/>
            <w:vAlign w:val="bottom"/>
          </w:tcPr>
          <w:p>
            <w:pPr>
              <w:spacing w:after="0"/>
              <w:rPr>
                <w:sz w:val="24"/>
                <w:szCs w:val="24"/>
                <w:color w:val="auto"/>
              </w:rPr>
            </w:pPr>
          </w:p>
        </w:tc>
        <w:tc>
          <w:tcPr>
            <w:tcW w:w="5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8"/>
              </w:rPr>
              <w:t>SECTION 3.04. Financial Condition; No Material Adverse Change</w:t>
            </w:r>
          </w:p>
        </w:tc>
        <w:tc>
          <w:tcPr>
            <w:tcW w:w="4840" w:type="dxa"/>
            <w:vAlign w:val="bottom"/>
            <w:gridSpan w:val="2"/>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80</w:t>
            </w:r>
          </w:p>
        </w:tc>
      </w:tr>
      <w:tr>
        <w:trPr>
          <w:trHeight w:val="493"/>
        </w:trPr>
        <w:tc>
          <w:tcPr>
            <w:tcW w:w="320" w:type="dxa"/>
            <w:vAlign w:val="bottom"/>
          </w:tcPr>
          <w:p>
            <w:pPr>
              <w:spacing w:after="0"/>
              <w:rPr>
                <w:sz w:val="24"/>
                <w:szCs w:val="24"/>
                <w:color w:val="auto"/>
              </w:rPr>
            </w:pPr>
          </w:p>
        </w:tc>
        <w:tc>
          <w:tcPr>
            <w:tcW w:w="2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SECTION 3.05. Properties</w:t>
            </w:r>
          </w:p>
        </w:tc>
        <w:tc>
          <w:tcPr>
            <w:tcW w:w="8040" w:type="dxa"/>
            <w:vAlign w:val="bottom"/>
            <w:gridSpan w:val="12"/>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80</w:t>
            </w:r>
          </w:p>
        </w:tc>
      </w:tr>
      <w:tr>
        <w:trPr>
          <w:trHeight w:val="493"/>
        </w:trPr>
        <w:tc>
          <w:tcPr>
            <w:tcW w:w="32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SECTION 3.06. Litigation and Environmental Matters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81</w:t>
            </w:r>
          </w:p>
        </w:tc>
      </w:tr>
      <w:tr>
        <w:trPr>
          <w:trHeight w:val="20"/>
        </w:trPr>
        <w:tc>
          <w:tcPr>
            <w:tcW w:w="3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0700"/>
          </w:cols>
          <w:pgMar w:left="400" w:top="301" w:right="799" w:bottom="1440" w:gutter="0" w:footer="0" w:header="0"/>
        </w:sectPr>
      </w:pPr>
    </w:p>
    <w:bookmarkStart w:id="56" w:name="page57"/>
    <w:bookmarkEnd w:id="56"/>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101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SECTION 3.07. Compliance with Laws and Agreements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81</w:t>
            </w:r>
          </w:p>
        </w:tc>
      </w:tr>
      <w:tr>
        <w:trPr>
          <w:trHeight w:val="493"/>
        </w:trPr>
        <w:tc>
          <w:tcPr>
            <w:tcW w:w="320" w:type="dxa"/>
            <w:vAlign w:val="bottom"/>
          </w:tcPr>
          <w:p>
            <w:pPr>
              <w:spacing w:after="0"/>
              <w:rPr>
                <w:sz w:val="24"/>
                <w:szCs w:val="24"/>
                <w:color w:val="auto"/>
              </w:rPr>
            </w:pPr>
          </w:p>
        </w:tc>
        <w:tc>
          <w:tcPr>
            <w:tcW w:w="45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rPr>
              <w:t>SECTION 3.08. Investment Company Status</w:t>
            </w:r>
          </w:p>
        </w:tc>
        <w:tc>
          <w:tcPr>
            <w:tcW w:w="5680" w:type="dxa"/>
            <w:vAlign w:val="bottom"/>
            <w:gridSpan w:val="2"/>
          </w:tcPr>
          <w:p>
            <w:pPr>
              <w:spacing w:after="0"/>
              <w:rPr>
                <w:sz w:val="24"/>
                <w:szCs w:val="24"/>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81</w:t>
            </w:r>
          </w:p>
        </w:tc>
      </w:tr>
      <w:tr>
        <w:trPr>
          <w:trHeight w:val="493"/>
        </w:trPr>
        <w:tc>
          <w:tcPr>
            <w:tcW w:w="320" w:type="dxa"/>
            <w:vAlign w:val="bottom"/>
          </w:tcPr>
          <w:p>
            <w:pPr>
              <w:spacing w:after="0"/>
              <w:rPr>
                <w:sz w:val="24"/>
                <w:szCs w:val="24"/>
                <w:color w:val="auto"/>
              </w:rPr>
            </w:pPr>
          </w:p>
        </w:tc>
        <w:tc>
          <w:tcPr>
            <w:tcW w:w="35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SECTION 3.09. Taxes</w:t>
            </w:r>
          </w:p>
        </w:tc>
        <w:tc>
          <w:tcPr>
            <w:tcW w:w="6620" w:type="dxa"/>
            <w:vAlign w:val="bottom"/>
            <w:gridSpan w:val="11"/>
          </w:tcPr>
          <w:p>
            <w:pPr>
              <w:spacing w:after="0"/>
              <w:rPr>
                <w:sz w:val="24"/>
                <w:szCs w:val="24"/>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81</w:t>
            </w:r>
          </w:p>
        </w:tc>
      </w:tr>
      <w:tr>
        <w:trPr>
          <w:trHeight w:val="20"/>
        </w:trPr>
        <w:tc>
          <w:tcPr>
            <w:tcW w:w="3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SECTION 3.10. ERISA</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81</w:t>
            </w:r>
          </w:p>
        </w:tc>
      </w:tr>
      <w:tr>
        <w:trPr>
          <w:trHeight w:val="20"/>
        </w:trPr>
        <w:tc>
          <w:tcPr>
            <w:tcW w:w="3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SECTION 3.11. Disclosure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62</w:t>
            </w:r>
          </w:p>
        </w:tc>
      </w:tr>
      <w:tr>
        <w:trPr>
          <w:trHeight w:val="493"/>
        </w:trPr>
        <w:tc>
          <w:tcPr>
            <w:tcW w:w="320" w:type="dxa"/>
            <w:vAlign w:val="bottom"/>
          </w:tcPr>
          <w:p>
            <w:pPr>
              <w:spacing w:after="0"/>
              <w:rPr>
                <w:sz w:val="24"/>
                <w:szCs w:val="24"/>
                <w:color w:val="auto"/>
              </w:rPr>
            </w:pPr>
          </w:p>
        </w:tc>
        <w:tc>
          <w:tcPr>
            <w:tcW w:w="21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SECTION 3.12. Solvency</w:t>
            </w:r>
          </w:p>
        </w:tc>
        <w:tc>
          <w:tcPr>
            <w:tcW w:w="8020" w:type="dxa"/>
            <w:vAlign w:val="bottom"/>
            <w:gridSpan w:val="21"/>
          </w:tcPr>
          <w:p>
            <w:pPr>
              <w:spacing w:after="0"/>
              <w:rPr>
                <w:sz w:val="24"/>
                <w:szCs w:val="24"/>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82</w:t>
            </w:r>
          </w:p>
        </w:tc>
      </w:tr>
      <w:tr>
        <w:trPr>
          <w:trHeight w:val="20"/>
        </w:trPr>
        <w:tc>
          <w:tcPr>
            <w:tcW w:w="3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2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SECTION 3.13. Insurance</w:t>
            </w:r>
          </w:p>
        </w:tc>
        <w:tc>
          <w:tcPr>
            <w:tcW w:w="8080" w:type="dxa"/>
            <w:vAlign w:val="bottom"/>
            <w:gridSpan w:val="22"/>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82</w:t>
            </w:r>
          </w:p>
        </w:tc>
      </w:tr>
      <w:tr>
        <w:trPr>
          <w:trHeight w:val="493"/>
        </w:trPr>
        <w:tc>
          <w:tcPr>
            <w:tcW w:w="320" w:type="dxa"/>
            <w:vAlign w:val="bottom"/>
          </w:tcPr>
          <w:p>
            <w:pPr>
              <w:spacing w:after="0"/>
              <w:rPr>
                <w:sz w:val="24"/>
                <w:szCs w:val="24"/>
                <w:color w:val="auto"/>
              </w:rPr>
            </w:pPr>
          </w:p>
        </w:tc>
        <w:tc>
          <w:tcPr>
            <w:tcW w:w="38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8"/>
              </w:rPr>
              <w:t>SECTION 3.14. Capitalization and Subsidiaries</w:t>
            </w:r>
          </w:p>
        </w:tc>
        <w:tc>
          <w:tcPr>
            <w:tcW w:w="6380" w:type="dxa"/>
            <w:vAlign w:val="bottom"/>
            <w:gridSpan w:val="7"/>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82</w:t>
            </w:r>
          </w:p>
        </w:tc>
      </w:tr>
      <w:tr>
        <w:trPr>
          <w:trHeight w:val="493"/>
        </w:trPr>
        <w:tc>
          <w:tcPr>
            <w:tcW w:w="320" w:type="dxa"/>
            <w:vAlign w:val="bottom"/>
          </w:tcPr>
          <w:p>
            <w:pPr>
              <w:spacing w:after="0"/>
              <w:rPr>
                <w:sz w:val="24"/>
                <w:szCs w:val="24"/>
                <w:color w:val="auto"/>
              </w:rPr>
            </w:pPr>
          </w:p>
        </w:tc>
        <w:tc>
          <w:tcPr>
            <w:tcW w:w="101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SECTION 3.15. Security Interest in Collateral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83</w:t>
            </w:r>
          </w:p>
        </w:tc>
      </w:tr>
      <w:tr>
        <w:trPr>
          <w:trHeight w:val="493"/>
        </w:trPr>
        <w:tc>
          <w:tcPr>
            <w:tcW w:w="3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SECTION 3.16. Labor Disputes</w:t>
            </w:r>
          </w:p>
        </w:tc>
        <w:tc>
          <w:tcPr>
            <w:tcW w:w="1100" w:type="dxa"/>
            <w:vAlign w:val="bottom"/>
            <w:tcBorders>
              <w:top w:val="single" w:sz="8" w:color="0000FF"/>
            </w:tcBorders>
            <w:gridSpan w:val="8"/>
          </w:tcPr>
          <w:p>
            <w:pPr>
              <w:spacing w:after="0"/>
              <w:rPr>
                <w:sz w:val="24"/>
                <w:szCs w:val="24"/>
                <w:color w:val="auto"/>
              </w:rPr>
            </w:pPr>
          </w:p>
        </w:tc>
        <w:tc>
          <w:tcPr>
            <w:tcW w:w="6520" w:type="dxa"/>
            <w:vAlign w:val="bottom"/>
            <w:gridSpan w:val="9"/>
          </w:tcPr>
          <w:p>
            <w:pPr>
              <w:spacing w:after="0"/>
              <w:rPr>
                <w:sz w:val="24"/>
                <w:szCs w:val="24"/>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83</w:t>
            </w:r>
          </w:p>
        </w:tc>
      </w:tr>
      <w:tr>
        <w:trPr>
          <w:trHeight w:val="493"/>
        </w:trPr>
        <w:tc>
          <w:tcPr>
            <w:tcW w:w="320" w:type="dxa"/>
            <w:vAlign w:val="bottom"/>
          </w:tcPr>
          <w:p>
            <w:pPr>
              <w:spacing w:after="0"/>
              <w:rPr>
                <w:sz w:val="24"/>
                <w:szCs w:val="24"/>
                <w:color w:val="auto"/>
              </w:rPr>
            </w:pPr>
          </w:p>
        </w:tc>
        <w:tc>
          <w:tcPr>
            <w:tcW w:w="2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SECTION 3.17. No Default</w:t>
            </w:r>
          </w:p>
        </w:tc>
        <w:tc>
          <w:tcPr>
            <w:tcW w:w="7960" w:type="dxa"/>
            <w:vAlign w:val="bottom"/>
            <w:gridSpan w:val="20"/>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83</w:t>
            </w:r>
          </w:p>
        </w:tc>
      </w:tr>
      <w:tr>
        <w:trPr>
          <w:trHeight w:val="493"/>
        </w:trPr>
        <w:tc>
          <w:tcPr>
            <w:tcW w:w="320" w:type="dxa"/>
            <w:vAlign w:val="bottom"/>
          </w:tcPr>
          <w:p>
            <w:pPr>
              <w:spacing w:after="0"/>
              <w:rPr>
                <w:sz w:val="24"/>
                <w:szCs w:val="24"/>
                <w:color w:val="auto"/>
              </w:rPr>
            </w:pPr>
          </w:p>
        </w:tc>
        <w:tc>
          <w:tcPr>
            <w:tcW w:w="101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SECTION 3.18. Anti-Corruption Laws and Sanctions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83</w:t>
            </w:r>
          </w:p>
        </w:tc>
      </w:tr>
      <w:tr>
        <w:trPr>
          <w:trHeight w:val="493"/>
        </w:trPr>
        <w:tc>
          <w:tcPr>
            <w:tcW w:w="320" w:type="dxa"/>
            <w:vAlign w:val="bottom"/>
          </w:tcPr>
          <w:p>
            <w:pPr>
              <w:spacing w:after="0"/>
              <w:rPr>
                <w:sz w:val="24"/>
                <w:szCs w:val="24"/>
                <w:color w:val="auto"/>
              </w:rPr>
            </w:pPr>
          </w:p>
        </w:tc>
        <w:tc>
          <w:tcPr>
            <w:tcW w:w="42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SECTION 3.19. Affected Financial Institutions</w:t>
            </w:r>
          </w:p>
        </w:tc>
        <w:tc>
          <w:tcPr>
            <w:tcW w:w="5940" w:type="dxa"/>
            <w:vAlign w:val="bottom"/>
            <w:gridSpan w:val="4"/>
          </w:tcPr>
          <w:p>
            <w:pPr>
              <w:spacing w:after="0"/>
              <w:rPr>
                <w:sz w:val="24"/>
                <w:szCs w:val="24"/>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83</w:t>
            </w:r>
          </w:p>
        </w:tc>
      </w:tr>
      <w:tr>
        <w:trPr>
          <w:trHeight w:val="20"/>
        </w:trPr>
        <w:tc>
          <w:tcPr>
            <w:tcW w:w="3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80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SECTION 3.20. Plan Assets; Prohibited Transactions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83</w:t>
            </w:r>
          </w:p>
        </w:tc>
      </w:tr>
      <w:tr>
        <w:trPr>
          <w:trHeight w:val="493"/>
        </w:trPr>
        <w:tc>
          <w:tcPr>
            <w:tcW w:w="320" w:type="dxa"/>
            <w:vAlign w:val="bottom"/>
          </w:tcPr>
          <w:p>
            <w:pPr>
              <w:spacing w:after="0"/>
              <w:rPr>
                <w:sz w:val="24"/>
                <w:szCs w:val="24"/>
                <w:color w:val="auto"/>
              </w:rPr>
            </w:pPr>
          </w:p>
        </w:tc>
        <w:tc>
          <w:tcPr>
            <w:tcW w:w="25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8"/>
              </w:rPr>
              <w:t>SECTION 3.21. Covered Entity</w:t>
            </w:r>
          </w:p>
        </w:tc>
        <w:tc>
          <w:tcPr>
            <w:tcW w:w="1680" w:type="dxa"/>
            <w:vAlign w:val="bottom"/>
            <w:tcBorders>
              <w:top w:val="single" w:sz="8" w:color="0000FF"/>
            </w:tcBorders>
            <w:gridSpan w:val="13"/>
          </w:tcPr>
          <w:p>
            <w:pPr>
              <w:spacing w:after="0"/>
              <w:rPr>
                <w:sz w:val="24"/>
                <w:szCs w:val="24"/>
                <w:color w:val="auto"/>
              </w:rPr>
            </w:pPr>
          </w:p>
        </w:tc>
        <w:tc>
          <w:tcPr>
            <w:tcW w:w="5960" w:type="dxa"/>
            <w:vAlign w:val="bottom"/>
            <w:gridSpan w:val="5"/>
          </w:tcPr>
          <w:p>
            <w:pPr>
              <w:spacing w:after="0"/>
              <w:rPr>
                <w:sz w:val="24"/>
                <w:szCs w:val="24"/>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83</w:t>
            </w:r>
          </w:p>
        </w:tc>
      </w:tr>
      <w:tr>
        <w:trPr>
          <w:trHeight w:val="493"/>
        </w:trPr>
        <w:tc>
          <w:tcPr>
            <w:tcW w:w="2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ARTICLE IV Conditions</w:t>
            </w:r>
          </w:p>
        </w:tc>
        <w:tc>
          <w:tcPr>
            <w:tcW w:w="8500" w:type="dxa"/>
            <w:vAlign w:val="bottom"/>
            <w:gridSpan w:val="26"/>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84</w:t>
            </w:r>
          </w:p>
        </w:tc>
      </w:tr>
      <w:tr>
        <w:trPr>
          <w:trHeight w:val="493"/>
        </w:trPr>
        <w:tc>
          <w:tcPr>
            <w:tcW w:w="320" w:type="dxa"/>
            <w:vAlign w:val="bottom"/>
          </w:tcPr>
          <w:p>
            <w:pPr>
              <w:spacing w:after="0"/>
              <w:rPr>
                <w:sz w:val="24"/>
                <w:szCs w:val="24"/>
                <w:color w:val="auto"/>
              </w:rPr>
            </w:pPr>
          </w:p>
        </w:tc>
        <w:tc>
          <w:tcPr>
            <w:tcW w:w="24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SECTION 4.01. Effective Date</w:t>
            </w:r>
          </w:p>
        </w:tc>
        <w:tc>
          <w:tcPr>
            <w:tcW w:w="7700" w:type="dxa"/>
            <w:vAlign w:val="bottom"/>
            <w:gridSpan w:val="19"/>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84</w:t>
            </w:r>
          </w:p>
        </w:tc>
      </w:tr>
      <w:tr>
        <w:trPr>
          <w:trHeight w:val="493"/>
        </w:trPr>
        <w:tc>
          <w:tcPr>
            <w:tcW w:w="320" w:type="dxa"/>
            <w:vAlign w:val="bottom"/>
          </w:tcPr>
          <w:p>
            <w:pPr>
              <w:spacing w:after="0"/>
              <w:rPr>
                <w:sz w:val="24"/>
                <w:szCs w:val="24"/>
                <w:color w:val="auto"/>
              </w:rPr>
            </w:pPr>
          </w:p>
        </w:tc>
        <w:tc>
          <w:tcPr>
            <w:tcW w:w="101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SECTION 4.02. Each Credit Event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85</w:t>
            </w:r>
          </w:p>
        </w:tc>
      </w:tr>
      <w:tr>
        <w:trPr>
          <w:trHeight w:val="20"/>
        </w:trPr>
        <w:tc>
          <w:tcPr>
            <w:tcW w:w="320" w:type="dxa"/>
            <w:vAlign w:val="bottom"/>
          </w:tcPr>
          <w:p>
            <w:pPr>
              <w:spacing w:after="0" w:line="20" w:lineRule="exact"/>
              <w:rPr>
                <w:sz w:val="1"/>
                <w:szCs w:val="1"/>
                <w:color w:val="auto"/>
              </w:rPr>
            </w:pPr>
          </w:p>
        </w:tc>
        <w:tc>
          <w:tcPr>
            <w:tcW w:w="2560" w:type="dxa"/>
            <w:vAlign w:val="bottom"/>
            <w:gridSpan w:val="10"/>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2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7"/>
              </w:rPr>
              <w:t>ARTICLE V Affirmative Covenants</w:t>
            </w:r>
          </w:p>
        </w:tc>
        <w:tc>
          <w:tcPr>
            <w:tcW w:w="7620" w:type="dxa"/>
            <w:vAlign w:val="bottom"/>
            <w:gridSpan w:val="17"/>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85</w:t>
            </w:r>
          </w:p>
        </w:tc>
      </w:tr>
      <w:tr>
        <w:trPr>
          <w:trHeight w:val="493"/>
        </w:trPr>
        <w:tc>
          <w:tcPr>
            <w:tcW w:w="320" w:type="dxa"/>
            <w:vAlign w:val="bottom"/>
          </w:tcPr>
          <w:p>
            <w:pPr>
              <w:spacing w:after="0"/>
              <w:rPr>
                <w:sz w:val="24"/>
                <w:szCs w:val="24"/>
                <w:color w:val="auto"/>
              </w:rPr>
            </w:pPr>
          </w:p>
        </w:tc>
        <w:tc>
          <w:tcPr>
            <w:tcW w:w="48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20"/>
                <w:szCs w:val="20"/>
                <w:color w:val="0000FF"/>
                <w:w w:val="98"/>
              </w:rPr>
              <w:t>SECTION 5.01. Financial Statements and Other Information</w:t>
            </w:r>
          </w:p>
        </w:tc>
        <w:tc>
          <w:tcPr>
            <w:tcW w:w="536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85</w:t>
            </w:r>
          </w:p>
        </w:tc>
      </w:tr>
      <w:tr>
        <w:trPr>
          <w:trHeight w:val="493"/>
        </w:trPr>
        <w:tc>
          <w:tcPr>
            <w:tcW w:w="320" w:type="dxa"/>
            <w:vAlign w:val="bottom"/>
          </w:tcPr>
          <w:p>
            <w:pPr>
              <w:spacing w:after="0"/>
              <w:rPr>
                <w:sz w:val="24"/>
                <w:szCs w:val="24"/>
                <w:color w:val="auto"/>
              </w:rPr>
            </w:pPr>
          </w:p>
        </w:tc>
        <w:tc>
          <w:tcPr>
            <w:tcW w:w="3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8"/>
              </w:rPr>
              <w:t>SECTION 5.02. Notices of Material Events</w:t>
            </w:r>
          </w:p>
        </w:tc>
        <w:tc>
          <w:tcPr>
            <w:tcW w:w="6720" w:type="dxa"/>
            <w:vAlign w:val="bottom"/>
            <w:gridSpan w:val="12"/>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87</w:t>
            </w:r>
          </w:p>
        </w:tc>
      </w:tr>
      <w:tr>
        <w:trPr>
          <w:trHeight w:val="493"/>
        </w:trPr>
        <w:tc>
          <w:tcPr>
            <w:tcW w:w="320" w:type="dxa"/>
            <w:vAlign w:val="bottom"/>
          </w:tcPr>
          <w:p>
            <w:pPr>
              <w:spacing w:after="0"/>
              <w:rPr>
                <w:sz w:val="24"/>
                <w:szCs w:val="24"/>
                <w:color w:val="auto"/>
              </w:rPr>
            </w:pPr>
          </w:p>
        </w:tc>
        <w:tc>
          <w:tcPr>
            <w:tcW w:w="101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SECTION 5.03. Existence; Conduct of Business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87</w:t>
            </w:r>
          </w:p>
        </w:tc>
      </w:tr>
      <w:tr>
        <w:trPr>
          <w:trHeight w:val="493"/>
        </w:trPr>
        <w:tc>
          <w:tcPr>
            <w:tcW w:w="320" w:type="dxa"/>
            <w:vAlign w:val="bottom"/>
          </w:tcPr>
          <w:p>
            <w:pPr>
              <w:spacing w:after="0"/>
              <w:rPr>
                <w:sz w:val="24"/>
                <w:szCs w:val="24"/>
                <w:color w:val="auto"/>
              </w:rPr>
            </w:pPr>
          </w:p>
        </w:tc>
        <w:tc>
          <w:tcPr>
            <w:tcW w:w="38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SECTION 5.04. Payment of Obligations</w:t>
            </w:r>
          </w:p>
        </w:tc>
        <w:tc>
          <w:tcPr>
            <w:tcW w:w="6340" w:type="dxa"/>
            <w:vAlign w:val="bottom"/>
            <w:gridSpan w:val="6"/>
          </w:tcPr>
          <w:p>
            <w:pPr>
              <w:spacing w:after="0"/>
              <w:rPr>
                <w:sz w:val="24"/>
                <w:szCs w:val="24"/>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88</w:t>
            </w:r>
          </w:p>
        </w:tc>
      </w:tr>
      <w:tr>
        <w:trPr>
          <w:trHeight w:val="20"/>
        </w:trPr>
        <w:tc>
          <w:tcPr>
            <w:tcW w:w="320" w:type="dxa"/>
            <w:vAlign w:val="bottom"/>
          </w:tcPr>
          <w:p>
            <w:pPr>
              <w:spacing w:after="0" w:line="20" w:lineRule="exact"/>
              <w:rPr>
                <w:sz w:val="1"/>
                <w:szCs w:val="1"/>
                <w:color w:val="auto"/>
              </w:rPr>
            </w:pPr>
          </w:p>
        </w:tc>
        <w:tc>
          <w:tcPr>
            <w:tcW w:w="2620" w:type="dxa"/>
            <w:vAlign w:val="bottom"/>
            <w:gridSpan w:val="11"/>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8"/>
              </w:rPr>
              <w:t>SECTION 5.05. Maintenance of Properties</w:t>
            </w:r>
          </w:p>
        </w:tc>
        <w:tc>
          <w:tcPr>
            <w:tcW w:w="6760" w:type="dxa"/>
            <w:vAlign w:val="bottom"/>
            <w:gridSpan w:val="1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88</w:t>
            </w:r>
          </w:p>
        </w:tc>
      </w:tr>
      <w:tr>
        <w:trPr>
          <w:trHeight w:val="493"/>
        </w:trPr>
        <w:tc>
          <w:tcPr>
            <w:tcW w:w="320" w:type="dxa"/>
            <w:vAlign w:val="bottom"/>
          </w:tcPr>
          <w:p>
            <w:pPr>
              <w:spacing w:after="0"/>
              <w:rPr>
                <w:sz w:val="24"/>
                <w:szCs w:val="24"/>
                <w:color w:val="auto"/>
              </w:rPr>
            </w:pPr>
          </w:p>
        </w:tc>
        <w:tc>
          <w:tcPr>
            <w:tcW w:w="101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SECTION 5.06. Books and Records; Inspection Rights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88</w:t>
            </w:r>
          </w:p>
        </w:tc>
      </w:tr>
      <w:tr>
        <w:trPr>
          <w:trHeight w:val="493"/>
        </w:trPr>
        <w:tc>
          <w:tcPr>
            <w:tcW w:w="320" w:type="dxa"/>
            <w:vAlign w:val="bottom"/>
          </w:tcPr>
          <w:p>
            <w:pPr>
              <w:spacing w:after="0"/>
              <w:rPr>
                <w:sz w:val="24"/>
                <w:szCs w:val="24"/>
                <w:color w:val="auto"/>
              </w:rPr>
            </w:pPr>
          </w:p>
        </w:tc>
        <w:tc>
          <w:tcPr>
            <w:tcW w:w="436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SECTION 5.07. Compliance with Laws</w:t>
            </w:r>
          </w:p>
        </w:tc>
        <w:tc>
          <w:tcPr>
            <w:tcW w:w="5820" w:type="dxa"/>
            <w:vAlign w:val="bottom"/>
            <w:gridSpan w:val="3"/>
          </w:tcPr>
          <w:p>
            <w:pPr>
              <w:spacing w:after="0"/>
              <w:rPr>
                <w:sz w:val="24"/>
                <w:szCs w:val="24"/>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88</w:t>
            </w:r>
          </w:p>
        </w:tc>
      </w:tr>
      <w:tr>
        <w:trPr>
          <w:trHeight w:val="493"/>
        </w:trPr>
        <w:tc>
          <w:tcPr>
            <w:tcW w:w="320" w:type="dxa"/>
            <w:vAlign w:val="bottom"/>
          </w:tcPr>
          <w:p>
            <w:pPr>
              <w:spacing w:after="0"/>
              <w:rPr>
                <w:sz w:val="24"/>
                <w:szCs w:val="24"/>
                <w:color w:val="auto"/>
              </w:rPr>
            </w:pPr>
          </w:p>
        </w:tc>
        <w:tc>
          <w:tcPr>
            <w:tcW w:w="26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8"/>
              </w:rPr>
              <w:t>SECTION 5.08. Use of Proceeds</w:t>
            </w:r>
          </w:p>
        </w:tc>
        <w:tc>
          <w:tcPr>
            <w:tcW w:w="580" w:type="dxa"/>
            <w:vAlign w:val="bottom"/>
            <w:tcBorders>
              <w:top w:val="single" w:sz="8" w:color="0000FF"/>
            </w:tcBorders>
            <w:gridSpan w:val="2"/>
          </w:tcPr>
          <w:p>
            <w:pPr>
              <w:spacing w:after="0"/>
              <w:rPr>
                <w:sz w:val="24"/>
                <w:szCs w:val="24"/>
                <w:color w:val="auto"/>
              </w:rPr>
            </w:pPr>
          </w:p>
        </w:tc>
        <w:tc>
          <w:tcPr>
            <w:tcW w:w="6980" w:type="dxa"/>
            <w:vAlign w:val="bottom"/>
            <w:gridSpan w:val="14"/>
          </w:tcPr>
          <w:p>
            <w:pPr>
              <w:spacing w:after="0"/>
              <w:rPr>
                <w:sz w:val="24"/>
                <w:szCs w:val="24"/>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88</w:t>
            </w:r>
          </w:p>
        </w:tc>
      </w:tr>
      <w:tr>
        <w:trPr>
          <w:trHeight w:val="493"/>
        </w:trPr>
        <w:tc>
          <w:tcPr>
            <w:tcW w:w="320" w:type="dxa"/>
            <w:vAlign w:val="bottom"/>
          </w:tcPr>
          <w:p>
            <w:pPr>
              <w:spacing w:after="0"/>
              <w:rPr>
                <w:sz w:val="24"/>
                <w:szCs w:val="24"/>
                <w:color w:val="auto"/>
              </w:rPr>
            </w:pPr>
          </w:p>
        </w:tc>
        <w:tc>
          <w:tcPr>
            <w:tcW w:w="2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SECTION 5.09. Insurance</w:t>
            </w:r>
          </w:p>
        </w:tc>
        <w:tc>
          <w:tcPr>
            <w:tcW w:w="8080" w:type="dxa"/>
            <w:vAlign w:val="bottom"/>
            <w:gridSpan w:val="22"/>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89</w:t>
            </w:r>
          </w:p>
        </w:tc>
      </w:tr>
      <w:tr>
        <w:trPr>
          <w:trHeight w:val="493"/>
        </w:trPr>
        <w:tc>
          <w:tcPr>
            <w:tcW w:w="320" w:type="dxa"/>
            <w:vAlign w:val="bottom"/>
          </w:tcPr>
          <w:p>
            <w:pPr>
              <w:spacing w:after="0"/>
              <w:rPr>
                <w:sz w:val="24"/>
                <w:szCs w:val="24"/>
                <w:color w:val="auto"/>
              </w:rPr>
            </w:pPr>
          </w:p>
        </w:tc>
        <w:tc>
          <w:tcPr>
            <w:tcW w:w="3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w w:val="98"/>
              </w:rPr>
              <w:t>SECTION 5.10. Casualty and Condemnation</w:t>
            </w:r>
          </w:p>
        </w:tc>
        <w:tc>
          <w:tcPr>
            <w:tcW w:w="6600" w:type="dxa"/>
            <w:vAlign w:val="bottom"/>
            <w:gridSpan w:val="10"/>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89</w:t>
            </w:r>
          </w:p>
        </w:tc>
      </w:tr>
      <w:tr>
        <w:trPr>
          <w:trHeight w:val="539"/>
        </w:trPr>
        <w:tc>
          <w:tcPr>
            <w:tcW w:w="320" w:type="dxa"/>
            <w:vAlign w:val="bottom"/>
          </w:tcPr>
          <w:p>
            <w:pPr>
              <w:spacing w:after="0"/>
              <w:rPr>
                <w:sz w:val="24"/>
                <w:szCs w:val="24"/>
                <w:color w:val="auto"/>
              </w:rPr>
            </w:pPr>
          </w:p>
        </w:tc>
        <w:tc>
          <w:tcPr>
            <w:tcW w:w="1018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SECTION 5 11 Subsidiary Guarantors; Pledges; Additional Collateral; Further Assurances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89</w:t>
            </w:r>
          </w:p>
        </w:tc>
      </w:tr>
    </w:tbl>
    <w:p>
      <w:pPr>
        <w:sectPr>
          <w:pgSz w:w="11900" w:h="17018" w:orient="portrait"/>
          <w:cols w:equalWidth="0" w:num="1">
            <w:col w:w="10700"/>
          </w:cols>
          <w:pgMar w:left="400" w:top="1440" w:right="799" w:bottom="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123190</wp:posOffset>
            </wp:positionV>
            <wp:extent cx="45942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4594225" cy="8890"/>
                    </a:xfrm>
                    <a:prstGeom prst="rect">
                      <a:avLst/>
                    </a:prstGeom>
                    <a:noFill/>
                  </pic:spPr>
                </pic:pic>
              </a:graphicData>
            </a:graphic>
          </wp:anchor>
        </w:drawing>
        <w:drawing>
          <wp:anchor simplePos="0" relativeHeight="251657728" behindDoc="1" locked="0" layoutInCell="0" allowOverlap="1">
            <wp:simplePos x="0" y="0"/>
            <wp:positionH relativeFrom="page">
              <wp:posOffset>6923405</wp:posOffset>
            </wp:positionH>
            <wp:positionV relativeFrom="page">
              <wp:posOffset>123190</wp:posOffset>
            </wp:positionV>
            <wp:extent cx="125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SECTION 5.12. Post-Closing Matters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90</w:t>
            </w:r>
          </w:p>
        </w:tc>
      </w:tr>
      <w:tr>
        <w:trPr>
          <w:trHeight w:val="20"/>
        </w:trPr>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105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ARTICLE VI Negative Covenants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91</w:t>
            </w:r>
          </w:p>
        </w:tc>
      </w:tr>
      <w:tr>
        <w:trPr>
          <w:trHeight w:val="493"/>
        </w:trPr>
        <w:tc>
          <w:tcPr>
            <w:tcW w:w="320" w:type="dxa"/>
            <w:vAlign w:val="bottom"/>
            <w:tcBorders>
              <w:top w:val="single" w:sz="8" w:color="0000FF"/>
            </w:tcBorders>
          </w:tcPr>
          <w:p>
            <w:pPr>
              <w:spacing w:after="0"/>
              <w:rPr>
                <w:sz w:val="24"/>
                <w:szCs w:val="24"/>
                <w:color w:val="auto"/>
              </w:rPr>
            </w:pPr>
          </w:p>
        </w:tc>
        <w:tc>
          <w:tcPr>
            <w:tcW w:w="24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SECTION 6.01. Indebtedness</w:t>
            </w:r>
          </w:p>
        </w:tc>
        <w:tc>
          <w:tcPr>
            <w:tcW w:w="7780" w:type="dxa"/>
            <w:vAlign w:val="bottom"/>
            <w:gridSpan w:val="9"/>
          </w:tcPr>
          <w:p>
            <w:pPr>
              <w:spacing w:after="0"/>
              <w:rPr>
                <w:sz w:val="24"/>
                <w:szCs w:val="24"/>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91</w:t>
            </w:r>
          </w:p>
        </w:tc>
      </w:tr>
      <w:tr>
        <w:trPr>
          <w:trHeight w:val="493"/>
        </w:trPr>
        <w:tc>
          <w:tcPr>
            <w:tcW w:w="320" w:type="dxa"/>
            <w:vAlign w:val="bottom"/>
          </w:tcPr>
          <w:p>
            <w:pPr>
              <w:spacing w:after="0"/>
              <w:rPr>
                <w:sz w:val="24"/>
                <w:szCs w:val="24"/>
                <w:color w:val="auto"/>
              </w:rPr>
            </w:pPr>
          </w:p>
        </w:tc>
        <w:tc>
          <w:tcPr>
            <w:tcW w:w="23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SECTION 6.02. Liens</w:t>
            </w:r>
          </w:p>
        </w:tc>
        <w:tc>
          <w:tcPr>
            <w:tcW w:w="7820" w:type="dxa"/>
            <w:vAlign w:val="bottom"/>
            <w:gridSpan w:val="10"/>
          </w:tcPr>
          <w:p>
            <w:pPr>
              <w:spacing w:after="0"/>
              <w:rPr>
                <w:sz w:val="24"/>
                <w:szCs w:val="24"/>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92</w:t>
            </w:r>
          </w:p>
        </w:tc>
      </w:tr>
      <w:tr>
        <w:trPr>
          <w:trHeight w:val="20"/>
        </w:trPr>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SECTION 6.03. Fundamental Changes</w:t>
            </w:r>
          </w:p>
        </w:tc>
        <w:tc>
          <w:tcPr>
            <w:tcW w:w="7080" w:type="dxa"/>
            <w:vAlign w:val="bottom"/>
            <w:gridSpan w:val="7"/>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93</w:t>
            </w:r>
          </w:p>
        </w:tc>
      </w:tr>
      <w:tr>
        <w:trPr>
          <w:trHeight w:val="493"/>
        </w:trPr>
        <w:tc>
          <w:tcPr>
            <w:tcW w:w="32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SECTION 6.04. Investments, Loans, Advances, Guarantees and Acquisitions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94</w:t>
            </w:r>
          </w:p>
        </w:tc>
      </w:tr>
      <w:tr>
        <w:trPr>
          <w:trHeight w:val="493"/>
        </w:trPr>
        <w:tc>
          <w:tcPr>
            <w:tcW w:w="320" w:type="dxa"/>
            <w:vAlign w:val="bottom"/>
          </w:tcPr>
          <w:p>
            <w:pPr>
              <w:spacing w:after="0"/>
              <w:rPr>
                <w:sz w:val="24"/>
                <w:szCs w:val="24"/>
                <w:color w:val="auto"/>
              </w:rPr>
            </w:pPr>
          </w:p>
        </w:tc>
        <w:tc>
          <w:tcPr>
            <w:tcW w:w="22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SECTION 6.05. Asset Sales</w:t>
            </w:r>
          </w:p>
        </w:tc>
        <w:tc>
          <w:tcPr>
            <w:tcW w:w="3880" w:type="dxa"/>
            <w:vAlign w:val="bottom"/>
            <w:tcBorders>
              <w:top w:val="single" w:sz="8" w:color="0000FF"/>
            </w:tcBorders>
            <w:gridSpan w:val="9"/>
          </w:tcPr>
          <w:p>
            <w:pPr>
              <w:spacing w:after="0"/>
              <w:rPr>
                <w:sz w:val="24"/>
                <w:szCs w:val="24"/>
                <w:color w:val="auto"/>
              </w:rPr>
            </w:pPr>
          </w:p>
        </w:tc>
        <w:tc>
          <w:tcPr>
            <w:tcW w:w="4060" w:type="dxa"/>
            <w:vAlign w:val="bottom"/>
            <w:gridSpan w:val="2"/>
          </w:tcPr>
          <w:p>
            <w:pPr>
              <w:spacing w:after="0"/>
              <w:rPr>
                <w:sz w:val="24"/>
                <w:szCs w:val="24"/>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95</w:t>
            </w:r>
          </w:p>
        </w:tc>
      </w:tr>
      <w:tr>
        <w:trPr>
          <w:trHeight w:val="493"/>
        </w:trPr>
        <w:tc>
          <w:tcPr>
            <w:tcW w:w="32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SECTION 6.06. Sale and Leaseback Transactions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96</w:t>
            </w:r>
          </w:p>
        </w:tc>
      </w:tr>
      <w:tr>
        <w:trPr>
          <w:trHeight w:val="20"/>
        </w:trPr>
        <w:tc>
          <w:tcPr>
            <w:tcW w:w="3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5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8"/>
              </w:rPr>
              <w:t>SECTION 6.07. Restricted Payments; Certain Payments of Indebtedness</w:t>
            </w:r>
          </w:p>
        </w:tc>
        <w:tc>
          <w:tcPr>
            <w:tcW w:w="4420" w:type="dxa"/>
            <w:vAlign w:val="bottom"/>
            <w:gridSpan w:val="3"/>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96</w:t>
            </w:r>
          </w:p>
        </w:tc>
      </w:tr>
      <w:tr>
        <w:trPr>
          <w:trHeight w:val="493"/>
        </w:trPr>
        <w:tc>
          <w:tcPr>
            <w:tcW w:w="32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SECTION 6.08. Transactions with Affiliates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97</w:t>
            </w:r>
          </w:p>
        </w:tc>
      </w:tr>
      <w:tr>
        <w:trPr>
          <w:trHeight w:val="493"/>
        </w:trPr>
        <w:tc>
          <w:tcPr>
            <w:tcW w:w="320" w:type="dxa"/>
            <w:vAlign w:val="bottom"/>
          </w:tcPr>
          <w:p>
            <w:pPr>
              <w:spacing w:after="0"/>
              <w:rPr>
                <w:sz w:val="24"/>
                <w:szCs w:val="24"/>
                <w:color w:val="auto"/>
              </w:rPr>
            </w:pPr>
          </w:p>
        </w:tc>
        <w:tc>
          <w:tcPr>
            <w:tcW w:w="32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SECTION 6.09. Restrictive Agreements</w:t>
            </w:r>
          </w:p>
        </w:tc>
        <w:tc>
          <w:tcPr>
            <w:tcW w:w="320" w:type="dxa"/>
            <w:vAlign w:val="bottom"/>
            <w:tcBorders>
              <w:top w:val="single" w:sz="8" w:color="0000FF"/>
            </w:tcBorders>
          </w:tcPr>
          <w:p>
            <w:pPr>
              <w:spacing w:after="0"/>
              <w:rPr>
                <w:sz w:val="24"/>
                <w:szCs w:val="24"/>
                <w:color w:val="auto"/>
              </w:rPr>
            </w:pPr>
          </w:p>
        </w:tc>
        <w:tc>
          <w:tcPr>
            <w:tcW w:w="6660" w:type="dxa"/>
            <w:vAlign w:val="bottom"/>
            <w:gridSpan w:val="5"/>
          </w:tcPr>
          <w:p>
            <w:pPr>
              <w:spacing w:after="0"/>
              <w:rPr>
                <w:sz w:val="24"/>
                <w:szCs w:val="24"/>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97</w:t>
            </w:r>
          </w:p>
        </w:tc>
      </w:tr>
      <w:tr>
        <w:trPr>
          <w:trHeight w:val="493"/>
        </w:trPr>
        <w:tc>
          <w:tcPr>
            <w:tcW w:w="320" w:type="dxa"/>
            <w:vAlign w:val="bottom"/>
          </w:tcPr>
          <w:p>
            <w:pPr>
              <w:spacing w:after="0"/>
              <w:rPr>
                <w:sz w:val="24"/>
                <w:szCs w:val="24"/>
                <w:color w:val="auto"/>
              </w:rPr>
            </w:pPr>
          </w:p>
        </w:tc>
        <w:tc>
          <w:tcPr>
            <w:tcW w:w="1018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SECTION 6.10. Subordinated Indebtedness and Amendments to Subordinated Indebtedness Documents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98</w:t>
            </w:r>
          </w:p>
        </w:tc>
      </w:tr>
      <w:tr>
        <w:trPr>
          <w:trHeight w:val="493"/>
        </w:trPr>
        <w:tc>
          <w:tcPr>
            <w:tcW w:w="320" w:type="dxa"/>
            <w:vAlign w:val="bottom"/>
          </w:tcPr>
          <w:p>
            <w:pPr>
              <w:spacing w:after="0"/>
              <w:rPr>
                <w:sz w:val="24"/>
                <w:szCs w:val="24"/>
                <w:color w:val="auto"/>
              </w:rPr>
            </w:pPr>
          </w:p>
        </w:tc>
        <w:tc>
          <w:tcPr>
            <w:tcW w:w="22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SECTION 6.11. [Reserved]</w:t>
            </w:r>
          </w:p>
        </w:tc>
        <w:tc>
          <w:tcPr>
            <w:tcW w:w="6040" w:type="dxa"/>
            <w:vAlign w:val="bottom"/>
            <w:tcBorders>
              <w:top w:val="single" w:sz="8" w:color="0000FF"/>
            </w:tcBorders>
            <w:gridSpan w:val="11"/>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98</w:t>
            </w:r>
          </w:p>
        </w:tc>
      </w:tr>
      <w:tr>
        <w:trPr>
          <w:trHeight w:val="493"/>
        </w:trPr>
        <w:tc>
          <w:tcPr>
            <w:tcW w:w="320" w:type="dxa"/>
            <w:vAlign w:val="bottom"/>
          </w:tcPr>
          <w:p>
            <w:pPr>
              <w:spacing w:after="0"/>
              <w:rPr>
                <w:sz w:val="24"/>
                <w:szCs w:val="24"/>
                <w:color w:val="auto"/>
              </w:rPr>
            </w:pPr>
          </w:p>
        </w:tc>
        <w:tc>
          <w:tcPr>
            <w:tcW w:w="3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SECTION 6.12. Financial Covenants</w:t>
            </w:r>
          </w:p>
        </w:tc>
        <w:tc>
          <w:tcPr>
            <w:tcW w:w="7180" w:type="dxa"/>
            <w:vAlign w:val="bottom"/>
            <w:gridSpan w:val="8"/>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700"/>
          </w:cols>
          <w:pgMar w:left="400" w:top="477" w:right="799" w:bottom="1440" w:gutter="0" w:footer="0" w:header="0"/>
        </w:sectPr>
      </w:pPr>
    </w:p>
    <w:bookmarkStart w:id="58" w:name="page59"/>
    <w:bookmarkEnd w:id="58"/>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0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ARTICLE VII Events of Default</w:t>
            </w:r>
          </w:p>
        </w:tc>
        <w:tc>
          <w:tcPr>
            <w:tcW w:w="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99</w:t>
            </w:r>
          </w:p>
        </w:tc>
        <w:tc>
          <w:tcPr>
            <w:tcW w:w="20" w:type="dxa"/>
            <w:vAlign w:val="bottom"/>
          </w:tcPr>
          <w:p>
            <w:pPr>
              <w:spacing w:after="0"/>
              <w:rPr>
                <w:sz w:val="19"/>
                <w:szCs w:val="19"/>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SECTION 7.01. Events of Default</w:t>
            </w:r>
          </w:p>
        </w:tc>
        <w:tc>
          <w:tcPr>
            <w:tcW w:w="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99</w:t>
            </w:r>
          </w:p>
        </w:tc>
        <w:tc>
          <w:tcPr>
            <w:tcW w:w="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SECTION 7.02. Remedies Upon an Event of Default</w:t>
            </w: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101</w:t>
            </w:r>
          </w:p>
        </w:tc>
      </w:tr>
      <w:tr>
        <w:trPr>
          <w:trHeight w:val="493"/>
        </w:trPr>
        <w:tc>
          <w:tcPr>
            <w:tcW w:w="320" w:type="dxa"/>
            <w:vAlign w:val="bottom"/>
          </w:tcPr>
          <w:p>
            <w:pPr>
              <w:spacing w:after="0"/>
              <w:rPr>
                <w:sz w:val="24"/>
                <w:szCs w:val="24"/>
                <w:color w:val="auto"/>
              </w:rPr>
            </w:pPr>
          </w:p>
        </w:tc>
        <w:tc>
          <w:tcPr>
            <w:tcW w:w="33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8"/>
              </w:rPr>
              <w:t>SECTION 7.03. Application of Payments</w:t>
            </w:r>
          </w:p>
        </w:tc>
        <w:tc>
          <w:tcPr>
            <w:tcW w:w="880" w:type="dxa"/>
            <w:vAlign w:val="bottom"/>
            <w:tcBorders>
              <w:top w:val="single" w:sz="8" w:color="0000FF"/>
            </w:tcBorders>
            <w:gridSpan w:val="5"/>
          </w:tcPr>
          <w:p>
            <w:pPr>
              <w:spacing w:after="0"/>
              <w:rPr>
                <w:sz w:val="24"/>
                <w:szCs w:val="24"/>
                <w:color w:val="auto"/>
              </w:rPr>
            </w:pPr>
          </w:p>
        </w:tc>
        <w:tc>
          <w:tcPr>
            <w:tcW w:w="5980" w:type="dxa"/>
            <w:vAlign w:val="bottom"/>
            <w:gridSpan w:val="7"/>
          </w:tcPr>
          <w:p>
            <w:pPr>
              <w:spacing w:after="0"/>
              <w:rPr>
                <w:sz w:val="24"/>
                <w:szCs w:val="24"/>
                <w:color w:val="auto"/>
              </w:rPr>
            </w:pPr>
          </w:p>
        </w:tc>
        <w:tc>
          <w:tcPr>
            <w:tcW w:w="3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102</w:t>
            </w:r>
          </w:p>
        </w:tc>
      </w:tr>
      <w:tr>
        <w:trPr>
          <w:trHeight w:val="493"/>
        </w:trPr>
        <w:tc>
          <w:tcPr>
            <w:tcW w:w="3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7"/>
              </w:rPr>
              <w:t>ARTICLE VIII The Administrative Agent</w:t>
            </w:r>
          </w:p>
        </w:tc>
        <w:tc>
          <w:tcPr>
            <w:tcW w:w="7160" w:type="dxa"/>
            <w:vAlign w:val="bottom"/>
            <w:gridSpan w:val="16"/>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103</w:t>
            </w:r>
          </w:p>
        </w:tc>
      </w:tr>
      <w:tr>
        <w:trPr>
          <w:trHeight w:val="493"/>
        </w:trPr>
        <w:tc>
          <w:tcPr>
            <w:tcW w:w="320" w:type="dxa"/>
            <w:vAlign w:val="bottom"/>
          </w:tcPr>
          <w:p>
            <w:pPr>
              <w:spacing w:after="0"/>
              <w:rPr>
                <w:sz w:val="24"/>
                <w:szCs w:val="24"/>
                <w:color w:val="auto"/>
              </w:rPr>
            </w:pPr>
          </w:p>
        </w:tc>
        <w:tc>
          <w:tcPr>
            <w:tcW w:w="3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8"/>
              </w:rPr>
              <w:t>SECTION 8.01. Authorization and Action</w:t>
            </w:r>
          </w:p>
        </w:tc>
        <w:tc>
          <w:tcPr>
            <w:tcW w:w="6820" w:type="dxa"/>
            <w:vAlign w:val="bottom"/>
            <w:gridSpan w:val="11"/>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103</w:t>
            </w:r>
          </w:p>
        </w:tc>
      </w:tr>
      <w:tr>
        <w:trPr>
          <w:trHeight w:val="493"/>
        </w:trPr>
        <w:tc>
          <w:tcPr>
            <w:tcW w:w="320" w:type="dxa"/>
            <w:vAlign w:val="bottom"/>
          </w:tcPr>
          <w:p>
            <w:pPr>
              <w:spacing w:after="0"/>
              <w:rPr>
                <w:sz w:val="24"/>
                <w:szCs w:val="24"/>
                <w:color w:val="auto"/>
              </w:rPr>
            </w:pPr>
          </w:p>
        </w:tc>
        <w:tc>
          <w:tcPr>
            <w:tcW w:w="61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w w:val="98"/>
              </w:rPr>
              <w:t>SECTION 8.02. Administrative Agent’s Reliance, Limitation of Liability, Etc</w:t>
            </w:r>
          </w:p>
        </w:tc>
        <w:tc>
          <w:tcPr>
            <w:tcW w:w="4020" w:type="dxa"/>
            <w:vAlign w:val="bottom"/>
            <w:gridSpan w:val="2"/>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106</w:t>
            </w:r>
          </w:p>
        </w:tc>
      </w:tr>
      <w:tr>
        <w:trPr>
          <w:trHeight w:val="493"/>
        </w:trPr>
        <w:tc>
          <w:tcPr>
            <w:tcW w:w="320" w:type="dxa"/>
            <w:vAlign w:val="bottom"/>
          </w:tcPr>
          <w:p>
            <w:pPr>
              <w:spacing w:after="0"/>
              <w:rPr>
                <w:sz w:val="24"/>
                <w:szCs w:val="24"/>
                <w:color w:val="auto"/>
              </w:rPr>
            </w:pPr>
          </w:p>
        </w:tc>
        <w:tc>
          <w:tcPr>
            <w:tcW w:w="1018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SECTION 8.03. The Administrative Agent Individually</w:t>
            </w: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107</w:t>
            </w:r>
          </w:p>
        </w:tc>
      </w:tr>
      <w:tr>
        <w:trPr>
          <w:trHeight w:val="493"/>
        </w:trPr>
        <w:tc>
          <w:tcPr>
            <w:tcW w:w="320" w:type="dxa"/>
            <w:vAlign w:val="bottom"/>
          </w:tcPr>
          <w:p>
            <w:pPr>
              <w:spacing w:after="0"/>
              <w:rPr>
                <w:sz w:val="24"/>
                <w:szCs w:val="24"/>
                <w:color w:val="auto"/>
              </w:rPr>
            </w:pPr>
          </w:p>
        </w:tc>
        <w:tc>
          <w:tcPr>
            <w:tcW w:w="390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w w:val="98"/>
              </w:rPr>
              <w:t>SECTION 8.04. Successor Administrative Agent</w:t>
            </w:r>
          </w:p>
        </w:tc>
        <w:tc>
          <w:tcPr>
            <w:tcW w:w="520" w:type="dxa"/>
            <w:vAlign w:val="bottom"/>
            <w:tcBorders>
              <w:top w:val="single" w:sz="8" w:color="0000FF"/>
            </w:tcBorders>
            <w:gridSpan w:val="2"/>
          </w:tcPr>
          <w:p>
            <w:pPr>
              <w:spacing w:after="0"/>
              <w:rPr>
                <w:sz w:val="24"/>
                <w:szCs w:val="24"/>
                <w:color w:val="auto"/>
              </w:rPr>
            </w:pPr>
          </w:p>
        </w:tc>
        <w:tc>
          <w:tcPr>
            <w:tcW w:w="5760" w:type="dxa"/>
            <w:vAlign w:val="bottom"/>
            <w:gridSpan w:val="6"/>
          </w:tcPr>
          <w:p>
            <w:pPr>
              <w:spacing w:after="0"/>
              <w:rPr>
                <w:sz w:val="24"/>
                <w:szCs w:val="24"/>
                <w:color w:val="auto"/>
              </w:rPr>
            </w:pPr>
          </w:p>
        </w:tc>
        <w:tc>
          <w:tcPr>
            <w:tcW w:w="3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107</w:t>
            </w:r>
          </w:p>
        </w:tc>
      </w:tr>
      <w:tr>
        <w:trPr>
          <w:trHeight w:val="493"/>
        </w:trPr>
        <w:tc>
          <w:tcPr>
            <w:tcW w:w="320" w:type="dxa"/>
            <w:vAlign w:val="bottom"/>
          </w:tcPr>
          <w:p>
            <w:pPr>
              <w:spacing w:after="0"/>
              <w:rPr>
                <w:sz w:val="24"/>
                <w:szCs w:val="24"/>
                <w:color w:val="auto"/>
              </w:rPr>
            </w:pPr>
          </w:p>
        </w:tc>
        <w:tc>
          <w:tcPr>
            <w:tcW w:w="5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8"/>
              </w:rPr>
              <w:t>SECTION 8.05. Acknowledgments of Lenders and Issuing Banks</w:t>
            </w:r>
          </w:p>
        </w:tc>
        <w:tc>
          <w:tcPr>
            <w:tcW w:w="4960" w:type="dxa"/>
            <w:vAlign w:val="bottom"/>
            <w:gridSpan w:val="5"/>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108</w:t>
            </w:r>
          </w:p>
        </w:tc>
      </w:tr>
      <w:tr>
        <w:trPr>
          <w:trHeight w:val="493"/>
        </w:trPr>
        <w:tc>
          <w:tcPr>
            <w:tcW w:w="320" w:type="dxa"/>
            <w:vAlign w:val="bottom"/>
          </w:tcPr>
          <w:p>
            <w:pPr>
              <w:spacing w:after="0"/>
              <w:rPr>
                <w:sz w:val="24"/>
                <w:szCs w:val="24"/>
                <w:color w:val="auto"/>
              </w:rPr>
            </w:pPr>
          </w:p>
        </w:tc>
        <w:tc>
          <w:tcPr>
            <w:tcW w:w="1018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SECTION 8.06. Collateral Matters</w:t>
            </w: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110</w:t>
            </w:r>
          </w:p>
        </w:tc>
      </w:tr>
      <w:tr>
        <w:trPr>
          <w:trHeight w:val="20"/>
        </w:trPr>
        <w:tc>
          <w:tcPr>
            <w:tcW w:w="3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SECTION 8.07. Certain ERISA Matters</w:t>
            </w: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110</w:t>
            </w:r>
          </w:p>
        </w:tc>
      </w:tr>
      <w:tr>
        <w:trPr>
          <w:trHeight w:val="20"/>
        </w:trPr>
        <w:tc>
          <w:tcPr>
            <w:tcW w:w="3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54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w w:val="98"/>
              </w:rPr>
              <w:t>SECTION 8.08. Posting of Communications</w:t>
            </w:r>
          </w:p>
        </w:tc>
        <w:tc>
          <w:tcPr>
            <w:tcW w:w="6640" w:type="dxa"/>
            <w:vAlign w:val="bottom"/>
            <w:gridSpan w:val="10"/>
          </w:tcPr>
          <w:p>
            <w:pPr>
              <w:spacing w:after="0"/>
              <w:rPr>
                <w:sz w:val="24"/>
                <w:szCs w:val="24"/>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111</w:t>
            </w:r>
          </w:p>
        </w:tc>
      </w:tr>
      <w:tr>
        <w:trPr>
          <w:trHeight w:val="20"/>
        </w:trPr>
        <w:tc>
          <w:tcPr>
            <w:tcW w:w="3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54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SECTION 8.09. Credit Bidding.</w:t>
            </w:r>
          </w:p>
        </w:tc>
        <w:tc>
          <w:tcPr>
            <w:tcW w:w="6640" w:type="dxa"/>
            <w:vAlign w:val="bottom"/>
            <w:gridSpan w:val="10"/>
          </w:tcPr>
          <w:p>
            <w:pPr>
              <w:spacing w:after="0"/>
              <w:rPr>
                <w:sz w:val="24"/>
                <w:szCs w:val="24"/>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113</w:t>
            </w:r>
          </w:p>
        </w:tc>
      </w:tr>
      <w:tr>
        <w:trPr>
          <w:trHeight w:val="20"/>
        </w:trPr>
        <w:tc>
          <w:tcPr>
            <w:tcW w:w="3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3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8"/>
              </w:rPr>
              <w:t>SECTION 8.10. Intercreditor Agreement.</w:t>
            </w:r>
          </w:p>
        </w:tc>
        <w:tc>
          <w:tcPr>
            <w:tcW w:w="6880" w:type="dxa"/>
            <w:vAlign w:val="bottom"/>
            <w:gridSpan w:val="13"/>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114</w:t>
            </w:r>
          </w:p>
        </w:tc>
      </w:tr>
      <w:tr>
        <w:trPr>
          <w:trHeight w:val="493"/>
        </w:trPr>
        <w:tc>
          <w:tcPr>
            <w:tcW w:w="2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ARTICLE IX Miscellaneous</w:t>
            </w:r>
          </w:p>
        </w:tc>
        <w:tc>
          <w:tcPr>
            <w:tcW w:w="8220" w:type="dxa"/>
            <w:vAlign w:val="bottom"/>
            <w:gridSpan w:val="24"/>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114</w:t>
            </w:r>
          </w:p>
        </w:tc>
      </w:tr>
      <w:tr>
        <w:trPr>
          <w:trHeight w:val="493"/>
        </w:trPr>
        <w:tc>
          <w:tcPr>
            <w:tcW w:w="320" w:type="dxa"/>
            <w:vAlign w:val="bottom"/>
          </w:tcPr>
          <w:p>
            <w:pPr>
              <w:spacing w:after="0"/>
              <w:rPr>
                <w:sz w:val="24"/>
                <w:szCs w:val="24"/>
                <w:color w:val="auto"/>
              </w:rPr>
            </w:pPr>
          </w:p>
        </w:tc>
        <w:tc>
          <w:tcPr>
            <w:tcW w:w="1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SECTION 9.01. Notices</w:t>
            </w:r>
          </w:p>
        </w:tc>
        <w:tc>
          <w:tcPr>
            <w:tcW w:w="8240" w:type="dxa"/>
            <w:vAlign w:val="bottom"/>
            <w:gridSpan w:val="25"/>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114</w:t>
            </w:r>
          </w:p>
        </w:tc>
      </w:tr>
      <w:tr>
        <w:trPr>
          <w:trHeight w:val="493"/>
        </w:trPr>
        <w:tc>
          <w:tcPr>
            <w:tcW w:w="320" w:type="dxa"/>
            <w:vAlign w:val="bottom"/>
          </w:tcPr>
          <w:p>
            <w:pPr>
              <w:spacing w:after="0"/>
              <w:rPr>
                <w:sz w:val="24"/>
                <w:szCs w:val="24"/>
                <w:color w:val="auto"/>
              </w:rPr>
            </w:pPr>
          </w:p>
        </w:tc>
        <w:tc>
          <w:tcPr>
            <w:tcW w:w="31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8"/>
              </w:rPr>
              <w:t>SECTION 9.02. Waivers; Amendments</w:t>
            </w:r>
          </w:p>
        </w:tc>
        <w:tc>
          <w:tcPr>
            <w:tcW w:w="7000" w:type="dxa"/>
            <w:vAlign w:val="bottom"/>
            <w:gridSpan w:val="15"/>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116</w:t>
            </w:r>
          </w:p>
        </w:tc>
      </w:tr>
      <w:tr>
        <w:trPr>
          <w:trHeight w:val="493"/>
        </w:trPr>
        <w:tc>
          <w:tcPr>
            <w:tcW w:w="320" w:type="dxa"/>
            <w:vAlign w:val="bottom"/>
          </w:tcPr>
          <w:p>
            <w:pPr>
              <w:spacing w:after="0"/>
              <w:rPr>
                <w:sz w:val="24"/>
                <w:szCs w:val="24"/>
                <w:color w:val="auto"/>
              </w:rPr>
            </w:pPr>
          </w:p>
        </w:tc>
        <w:tc>
          <w:tcPr>
            <w:tcW w:w="62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8"/>
              </w:rPr>
              <w:t>SECTION 9.03. Expenses; Indemnity; Limitation of Liability; Damage Waiver</w:t>
            </w:r>
          </w:p>
        </w:tc>
        <w:tc>
          <w:tcPr>
            <w:tcW w:w="3920" w:type="dxa"/>
            <w:vAlign w:val="bottom"/>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118</w:t>
            </w:r>
          </w:p>
        </w:tc>
      </w:tr>
      <w:tr>
        <w:trPr>
          <w:trHeight w:val="493"/>
        </w:trPr>
        <w:tc>
          <w:tcPr>
            <w:tcW w:w="320" w:type="dxa"/>
            <w:vAlign w:val="bottom"/>
          </w:tcPr>
          <w:p>
            <w:pPr>
              <w:spacing w:after="0"/>
              <w:rPr>
                <w:sz w:val="24"/>
                <w:szCs w:val="24"/>
                <w:color w:val="auto"/>
              </w:rPr>
            </w:pPr>
          </w:p>
        </w:tc>
        <w:tc>
          <w:tcPr>
            <w:tcW w:w="1018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SECTION 9.04. Successors and Assigns</w:t>
            </w: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118</w:t>
            </w:r>
          </w:p>
        </w:tc>
      </w:tr>
      <w:tr>
        <w:trPr>
          <w:trHeight w:val="493"/>
        </w:trPr>
        <w:tc>
          <w:tcPr>
            <w:tcW w:w="320" w:type="dxa"/>
            <w:vAlign w:val="bottom"/>
          </w:tcPr>
          <w:p>
            <w:pPr>
              <w:spacing w:after="0"/>
              <w:rPr>
                <w:sz w:val="24"/>
                <w:szCs w:val="24"/>
                <w:color w:val="auto"/>
              </w:rPr>
            </w:pPr>
          </w:p>
        </w:tc>
        <w:tc>
          <w:tcPr>
            <w:tcW w:w="32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SECTION 9.05. Survival</w:t>
            </w:r>
          </w:p>
        </w:tc>
        <w:tc>
          <w:tcPr>
            <w:tcW w:w="6980" w:type="dxa"/>
            <w:vAlign w:val="bottom"/>
            <w:gridSpan w:val="14"/>
          </w:tcPr>
          <w:p>
            <w:pPr>
              <w:spacing w:after="0"/>
              <w:rPr>
                <w:sz w:val="24"/>
                <w:szCs w:val="24"/>
                <w:color w:val="auto"/>
              </w:rPr>
            </w:pPr>
          </w:p>
        </w:tc>
        <w:tc>
          <w:tcPr>
            <w:tcW w:w="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124</w:t>
            </w:r>
          </w:p>
        </w:tc>
      </w:tr>
      <w:tr>
        <w:trPr>
          <w:trHeight w:val="20"/>
        </w:trPr>
        <w:tc>
          <w:tcPr>
            <w:tcW w:w="320" w:type="dxa"/>
            <w:vAlign w:val="bottom"/>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62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8"/>
              </w:rPr>
              <w:t>SECTION 9.06. Counterparts; Integration; Effectiveness; Electronic Execution</w:t>
            </w:r>
          </w:p>
        </w:tc>
        <w:tc>
          <w:tcPr>
            <w:tcW w:w="3920" w:type="dxa"/>
            <w:vAlign w:val="bottom"/>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124</w:t>
            </w:r>
          </w:p>
        </w:tc>
      </w:tr>
      <w:tr>
        <w:trPr>
          <w:trHeight w:val="493"/>
        </w:trPr>
        <w:tc>
          <w:tcPr>
            <w:tcW w:w="320" w:type="dxa"/>
            <w:vAlign w:val="bottom"/>
          </w:tcPr>
          <w:p>
            <w:pPr>
              <w:spacing w:after="0"/>
              <w:rPr>
                <w:sz w:val="24"/>
                <w:szCs w:val="24"/>
                <w:color w:val="auto"/>
              </w:rPr>
            </w:pPr>
          </w:p>
        </w:tc>
        <w:tc>
          <w:tcPr>
            <w:tcW w:w="1018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SECTION 9.07. Severability</w:t>
            </w: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125</w:t>
            </w:r>
          </w:p>
        </w:tc>
      </w:tr>
      <w:tr>
        <w:trPr>
          <w:trHeight w:val="20"/>
        </w:trPr>
        <w:tc>
          <w:tcPr>
            <w:tcW w:w="3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2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7"/>
              </w:rPr>
              <w:t>SECTION 9.08. Right of Setoff</w:t>
            </w:r>
          </w:p>
        </w:tc>
        <w:tc>
          <w:tcPr>
            <w:tcW w:w="7660" w:type="dxa"/>
            <w:vAlign w:val="bottom"/>
            <w:gridSpan w:val="19"/>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126</w:t>
            </w:r>
          </w:p>
        </w:tc>
      </w:tr>
      <w:tr>
        <w:trPr>
          <w:trHeight w:val="493"/>
        </w:trPr>
        <w:tc>
          <w:tcPr>
            <w:tcW w:w="320" w:type="dxa"/>
            <w:vAlign w:val="bottom"/>
          </w:tcPr>
          <w:p>
            <w:pPr>
              <w:spacing w:after="0"/>
              <w:rPr>
                <w:sz w:val="24"/>
                <w:szCs w:val="24"/>
                <w:color w:val="auto"/>
              </w:rPr>
            </w:pPr>
          </w:p>
        </w:tc>
        <w:tc>
          <w:tcPr>
            <w:tcW w:w="60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w w:val="98"/>
              </w:rPr>
              <w:t>SECTION 9.09. Governing Law; Jurisdiction; Consent to Service of Process</w:t>
            </w:r>
          </w:p>
        </w:tc>
        <w:tc>
          <w:tcPr>
            <w:tcW w:w="4100" w:type="dxa"/>
            <w:vAlign w:val="bottom"/>
            <w:gridSpan w:val="3"/>
          </w:tcPr>
          <w:p>
            <w:pPr>
              <w:spacing w:after="0"/>
              <w:rPr>
                <w:sz w:val="24"/>
                <w:szCs w:val="24"/>
                <w:color w:val="auto"/>
              </w:rPr>
            </w:pPr>
          </w:p>
        </w:tc>
        <w:tc>
          <w:tcPr>
            <w:tcW w:w="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126</w:t>
            </w:r>
          </w:p>
        </w:tc>
      </w:tr>
      <w:tr>
        <w:trPr>
          <w:trHeight w:val="493"/>
        </w:trPr>
        <w:tc>
          <w:tcPr>
            <w:tcW w:w="320" w:type="dxa"/>
            <w:vAlign w:val="bottom"/>
          </w:tcPr>
          <w:p>
            <w:pPr>
              <w:spacing w:after="0"/>
              <w:rPr>
                <w:sz w:val="24"/>
                <w:szCs w:val="24"/>
                <w:color w:val="auto"/>
              </w:rPr>
            </w:pPr>
          </w:p>
        </w:tc>
        <w:tc>
          <w:tcPr>
            <w:tcW w:w="1018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SECTION 9.10. WAIVER OF JURY TRIAL</w:t>
            </w: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127</w:t>
            </w:r>
          </w:p>
        </w:tc>
      </w:tr>
      <w:tr>
        <w:trPr>
          <w:trHeight w:val="493"/>
        </w:trPr>
        <w:tc>
          <w:tcPr>
            <w:tcW w:w="320" w:type="dxa"/>
            <w:vAlign w:val="bottom"/>
          </w:tcPr>
          <w:p>
            <w:pPr>
              <w:spacing w:after="0"/>
              <w:rPr>
                <w:sz w:val="24"/>
                <w:szCs w:val="24"/>
                <w:color w:val="auto"/>
              </w:rPr>
            </w:pPr>
          </w:p>
        </w:tc>
        <w:tc>
          <w:tcPr>
            <w:tcW w:w="25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SECTION 9.11. Headings</w:t>
            </w:r>
          </w:p>
        </w:tc>
        <w:tc>
          <w:tcPr>
            <w:tcW w:w="1040" w:type="dxa"/>
            <w:vAlign w:val="bottom"/>
            <w:tcBorders>
              <w:top w:val="single" w:sz="8" w:color="0000FF"/>
            </w:tcBorders>
            <w:gridSpan w:val="10"/>
          </w:tcPr>
          <w:p>
            <w:pPr>
              <w:spacing w:after="0"/>
              <w:rPr>
                <w:sz w:val="24"/>
                <w:szCs w:val="24"/>
                <w:color w:val="auto"/>
              </w:rPr>
            </w:pPr>
          </w:p>
        </w:tc>
        <w:tc>
          <w:tcPr>
            <w:tcW w:w="6620" w:type="dxa"/>
            <w:vAlign w:val="bottom"/>
            <w:gridSpan w:val="9"/>
          </w:tcPr>
          <w:p>
            <w:pPr>
              <w:spacing w:after="0"/>
              <w:rPr>
                <w:sz w:val="24"/>
                <w:szCs w:val="24"/>
                <w:color w:val="auto"/>
              </w:rPr>
            </w:pPr>
          </w:p>
        </w:tc>
        <w:tc>
          <w:tcPr>
            <w:tcW w:w="3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127</w:t>
            </w:r>
          </w:p>
        </w:tc>
      </w:tr>
      <w:tr>
        <w:trPr>
          <w:trHeight w:val="493"/>
        </w:trPr>
        <w:tc>
          <w:tcPr>
            <w:tcW w:w="320" w:type="dxa"/>
            <w:vAlign w:val="bottom"/>
          </w:tcPr>
          <w:p>
            <w:pPr>
              <w:spacing w:after="0"/>
              <w:rPr>
                <w:sz w:val="24"/>
                <w:szCs w:val="24"/>
                <w:color w:val="auto"/>
              </w:rPr>
            </w:pPr>
          </w:p>
        </w:tc>
        <w:tc>
          <w:tcPr>
            <w:tcW w:w="1018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SECTION 9.12. Confidentiality</w:t>
            </w: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127</w:t>
            </w:r>
          </w:p>
        </w:tc>
      </w:tr>
      <w:tr>
        <w:trPr>
          <w:trHeight w:val="20"/>
        </w:trPr>
        <w:tc>
          <w:tcPr>
            <w:tcW w:w="3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1018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SECTION 9.13. Several Obligations; Nonreliance; Violation of Law</w:t>
            </w:r>
          </w:p>
        </w:tc>
        <w:tc>
          <w:tcPr>
            <w:tcW w:w="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3"/>
              </w:rPr>
              <w:t>129</w:t>
            </w:r>
          </w:p>
        </w:tc>
      </w:tr>
      <w:tr>
        <w:trPr>
          <w:trHeight w:val="539"/>
        </w:trPr>
        <w:tc>
          <w:tcPr>
            <w:tcW w:w="320" w:type="dxa"/>
            <w:vAlign w:val="bottom"/>
          </w:tcPr>
          <w:p>
            <w:pPr>
              <w:spacing w:after="0"/>
              <w:rPr>
                <w:sz w:val="24"/>
                <w:szCs w:val="24"/>
                <w:color w:val="auto"/>
              </w:rPr>
            </w:pPr>
          </w:p>
        </w:tc>
        <w:tc>
          <w:tcPr>
            <w:tcW w:w="54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rPr>
              <w:t>SECTION 9 14 USA PATRIOT Act</w:t>
            </w:r>
          </w:p>
        </w:tc>
        <w:tc>
          <w:tcPr>
            <w:tcW w:w="4760" w:type="dxa"/>
            <w:vAlign w:val="bottom"/>
            <w:gridSpan w:val="4"/>
          </w:tcPr>
          <w:p>
            <w:pPr>
              <w:spacing w:after="0"/>
              <w:rPr>
                <w:sz w:val="24"/>
                <w:szCs w:val="24"/>
                <w:color w:val="auto"/>
              </w:rPr>
            </w:pPr>
          </w:p>
        </w:tc>
        <w:tc>
          <w:tcPr>
            <w:tcW w:w="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3"/>
              </w:rPr>
              <w:t>129</w:t>
            </w:r>
          </w:p>
        </w:tc>
      </w:tr>
    </w:tbl>
    <w:p>
      <w:pPr>
        <w:sectPr>
          <w:pgSz w:w="11900" w:h="17018" w:orient="portrait"/>
          <w:cols w:equalWidth="0" w:num="1">
            <w:col w:w="10800"/>
          </w:cols>
          <w:pgMar w:left="400" w:top="1440" w:right="699" w:bottom="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123190</wp:posOffset>
            </wp:positionV>
            <wp:extent cx="18453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845310" cy="8255"/>
                    </a:xfrm>
                    <a:prstGeom prst="rect">
                      <a:avLst/>
                    </a:prstGeom>
                    <a:noFill/>
                  </pic:spPr>
                </pic:pic>
              </a:graphicData>
            </a:graphic>
          </wp:anchor>
        </w:drawing>
        <w:drawing>
          <wp:anchor simplePos="0" relativeHeight="251657728" behindDoc="1" locked="0" layoutInCell="0" allowOverlap="1">
            <wp:simplePos x="0" y="0"/>
            <wp:positionH relativeFrom="page">
              <wp:posOffset>6923405</wp:posOffset>
            </wp:positionH>
            <wp:positionV relativeFrom="page">
              <wp:posOffset>123190</wp:posOffset>
            </wp:positionV>
            <wp:extent cx="1885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2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SECTION 9.15. Disclosure</w:t>
            </w:r>
          </w:p>
        </w:tc>
        <w:tc>
          <w:tcPr>
            <w:tcW w:w="8000" w:type="dxa"/>
            <w:vAlign w:val="bottom"/>
            <w:gridSpan w:val="9"/>
          </w:tcPr>
          <w:p>
            <w:pPr>
              <w:spacing w:after="0"/>
              <w:rPr>
                <w:sz w:val="19"/>
                <w:szCs w:val="19"/>
                <w:color w:val="auto"/>
              </w:rPr>
            </w:pPr>
          </w:p>
        </w:tc>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3"/>
              </w:rPr>
              <w:t>129</w:t>
            </w:r>
          </w:p>
        </w:tc>
      </w:tr>
      <w:tr>
        <w:trPr>
          <w:trHeight w:val="493"/>
        </w:trPr>
        <w:tc>
          <w:tcPr>
            <w:tcW w:w="320" w:type="dxa"/>
            <w:vAlign w:val="bottom"/>
          </w:tcPr>
          <w:p>
            <w:pPr>
              <w:spacing w:after="0"/>
              <w:rPr>
                <w:sz w:val="24"/>
                <w:szCs w:val="24"/>
                <w:color w:val="auto"/>
              </w:rPr>
            </w:pPr>
          </w:p>
        </w:tc>
        <w:tc>
          <w:tcPr>
            <w:tcW w:w="3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SECTION 9.16. Appointment for Perfection</w:t>
            </w:r>
          </w:p>
        </w:tc>
        <w:tc>
          <w:tcPr>
            <w:tcW w:w="6660" w:type="dxa"/>
            <w:vAlign w:val="bottom"/>
            <w:gridSpan w:val="6"/>
          </w:tcPr>
          <w:p>
            <w:pPr>
              <w:spacing w:after="0"/>
              <w:rPr>
                <w:sz w:val="24"/>
                <w:szCs w:val="24"/>
                <w:color w:val="auto"/>
              </w:rPr>
            </w:pPr>
          </w:p>
        </w:tc>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3"/>
              </w:rPr>
              <w:t>129</w:t>
            </w:r>
          </w:p>
        </w:tc>
      </w:tr>
      <w:tr>
        <w:trPr>
          <w:trHeight w:val="493"/>
        </w:trPr>
        <w:tc>
          <w:tcPr>
            <w:tcW w:w="32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SECTION 9.17. Releases of Subsidiary Guarantors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3"/>
              </w:rPr>
              <w:t>129</w:t>
            </w:r>
          </w:p>
        </w:tc>
      </w:tr>
      <w:tr>
        <w:trPr>
          <w:trHeight w:val="493"/>
        </w:trPr>
        <w:tc>
          <w:tcPr>
            <w:tcW w:w="320" w:type="dxa"/>
            <w:vAlign w:val="bottom"/>
          </w:tcPr>
          <w:p>
            <w:pPr>
              <w:spacing w:after="0"/>
              <w:rPr>
                <w:sz w:val="24"/>
                <w:szCs w:val="24"/>
                <w:color w:val="auto"/>
              </w:rPr>
            </w:pPr>
          </w:p>
        </w:tc>
        <w:tc>
          <w:tcPr>
            <w:tcW w:w="32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SECTION 9.18. Interest Rate Limitation</w:t>
            </w:r>
          </w:p>
        </w:tc>
        <w:tc>
          <w:tcPr>
            <w:tcW w:w="840" w:type="dxa"/>
            <w:vAlign w:val="bottom"/>
            <w:tcBorders>
              <w:top w:val="single" w:sz="8" w:color="0000FF"/>
            </w:tcBorders>
            <w:gridSpan w:val="2"/>
          </w:tcPr>
          <w:p>
            <w:pPr>
              <w:spacing w:after="0"/>
              <w:rPr>
                <w:sz w:val="24"/>
                <w:szCs w:val="24"/>
                <w:color w:val="auto"/>
              </w:rPr>
            </w:pPr>
          </w:p>
        </w:tc>
        <w:tc>
          <w:tcPr>
            <w:tcW w:w="6120" w:type="dxa"/>
            <w:vAlign w:val="bottom"/>
            <w:gridSpan w:val="5"/>
          </w:tcPr>
          <w:p>
            <w:pPr>
              <w:spacing w:after="0"/>
              <w:rPr>
                <w:sz w:val="24"/>
                <w:szCs w:val="24"/>
                <w:color w:val="auto"/>
              </w:rPr>
            </w:pPr>
          </w:p>
        </w:tc>
        <w:tc>
          <w:tcPr>
            <w:tcW w:w="3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3"/>
              </w:rPr>
              <w:t>130</w:t>
            </w:r>
          </w:p>
        </w:tc>
      </w:tr>
      <w:tr>
        <w:trPr>
          <w:trHeight w:val="493"/>
        </w:trPr>
        <w:tc>
          <w:tcPr>
            <w:tcW w:w="320" w:type="dxa"/>
            <w:vAlign w:val="bottom"/>
          </w:tcPr>
          <w:p>
            <w:pPr>
              <w:spacing w:after="0"/>
              <w:rPr>
                <w:sz w:val="24"/>
                <w:szCs w:val="24"/>
                <w:color w:val="auto"/>
              </w:rPr>
            </w:pPr>
          </w:p>
        </w:tc>
        <w:tc>
          <w:tcPr>
            <w:tcW w:w="4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SECTION 9.19. No Advisory or Fiduciary Responsibility</w:t>
            </w:r>
          </w:p>
        </w:tc>
        <w:tc>
          <w:tcPr>
            <w:tcW w:w="5600" w:type="dxa"/>
            <w:vAlign w:val="bottom"/>
            <w:gridSpan w:val="4"/>
          </w:tcPr>
          <w:p>
            <w:pPr>
              <w:spacing w:after="0"/>
              <w:rPr>
                <w:sz w:val="24"/>
                <w:szCs w:val="24"/>
                <w:color w:val="auto"/>
              </w:rPr>
            </w:pPr>
          </w:p>
        </w:tc>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3"/>
              </w:rPr>
              <w:t>130</w:t>
            </w:r>
          </w:p>
        </w:tc>
      </w:tr>
      <w:tr>
        <w:trPr>
          <w:trHeight w:val="493"/>
        </w:trPr>
        <w:tc>
          <w:tcPr>
            <w:tcW w:w="32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SECTION 9.20. Acknowledgment and Consent to Bail-In of Affected Financial Institutions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3"/>
              </w:rPr>
              <w:t>131</w:t>
            </w:r>
          </w:p>
        </w:tc>
      </w:tr>
      <w:tr>
        <w:trPr>
          <w:trHeight w:val="493"/>
        </w:trPr>
        <w:tc>
          <w:tcPr>
            <w:tcW w:w="320" w:type="dxa"/>
            <w:vAlign w:val="bottom"/>
          </w:tcPr>
          <w:p>
            <w:pPr>
              <w:spacing w:after="0"/>
              <w:rPr>
                <w:sz w:val="24"/>
                <w:szCs w:val="24"/>
                <w:color w:val="auto"/>
              </w:rPr>
            </w:pPr>
          </w:p>
        </w:tc>
        <w:tc>
          <w:tcPr>
            <w:tcW w:w="72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SECTION 9.21. Acknowledgement Regarding Any Supported QFCs</w:t>
            </w:r>
          </w:p>
        </w:tc>
        <w:tc>
          <w:tcPr>
            <w:tcW w:w="2920" w:type="dxa"/>
            <w:vAlign w:val="bottom"/>
            <w:gridSpan w:val="2"/>
          </w:tcPr>
          <w:p>
            <w:pPr>
              <w:spacing w:after="0"/>
              <w:rPr>
                <w:sz w:val="24"/>
                <w:szCs w:val="24"/>
                <w:color w:val="auto"/>
              </w:rPr>
            </w:pPr>
          </w:p>
        </w:tc>
        <w:tc>
          <w:tcPr>
            <w:tcW w:w="3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3"/>
              </w:rPr>
              <w:t>131</w:t>
            </w:r>
          </w:p>
        </w:tc>
      </w:tr>
      <w:tr>
        <w:trPr>
          <w:trHeight w:val="20"/>
        </w:trPr>
        <w:tc>
          <w:tcPr>
            <w:tcW w:w="3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8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8"/>
              </w:rPr>
              <w:t>SECTION 9.22. Lender Acknowledgment Regarding Name Change of MYR Transmission Services, Inc.</w:t>
            </w:r>
          </w:p>
        </w:tc>
        <w:tc>
          <w:tcPr>
            <w:tcW w:w="1840" w:type="dxa"/>
            <w:vAlign w:val="bottom"/>
          </w:tcPr>
          <w:p>
            <w:pPr>
              <w:spacing w:after="0"/>
              <w:rPr>
                <w:sz w:val="24"/>
                <w:szCs w:val="24"/>
                <w:color w:val="auto"/>
              </w:rPr>
            </w:pPr>
          </w:p>
        </w:tc>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3"/>
              </w:rPr>
              <w:t>132</w:t>
            </w:r>
          </w:p>
        </w:tc>
      </w:tr>
      <w:tr>
        <w:trPr>
          <w:trHeight w:val="493"/>
        </w:trPr>
        <w:tc>
          <w:tcPr>
            <w:tcW w:w="1050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ARTICLE X Borrower Guarantee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3"/>
              </w:rPr>
              <w:t>132</w:t>
            </w:r>
          </w:p>
        </w:tc>
      </w:tr>
      <w:tr>
        <w:trPr>
          <w:trHeight w:val="20"/>
        </w:trPr>
        <w:tc>
          <w:tcPr>
            <w:tcW w:w="3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 Schedule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 of Credit Commitment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0880"/>
          </w:cols>
          <w:pgMar w:left="320" w:top="477" w:right="699" w:bottom="1440" w:gutter="0" w:footer="0" w:header="0"/>
        </w:sectPr>
      </w:pPr>
    </w:p>
    <w:bookmarkStart w:id="60" w:name="page61"/>
    <w:bookmarkEnd w:id="60"/>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3.06 -- Disclosed Matters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3.14 -- Capitalization and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3.15 -- Financing Statements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6.01 -- Existing Indebtedness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6.02 -- Existing Liens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6.04 -- Existing Investments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 Form of Assignment and Assumption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 -- List of Closing Documents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C-1 -- Form of Increasing Lender Supplement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C-2 -- Form of Augmenting Lender Supplement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D -- Form of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139"/>
          </w:cols>
          <w:pgMar w:left="320" w:top="1440" w:right="1440" w:bottom="1440" w:gutter="0" w:footer="0" w:header="0"/>
        </w:sectPr>
      </w:pPr>
    </w:p>
    <w:bookmarkStart w:id="61" w:name="page62"/>
    <w:bookmarkEnd w:id="61"/>
    <w:p>
      <w:pPr>
        <w:spacing w:after="0" w:line="18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THIRD AMENDED AND RESTATED CREDIT AGREEMENT dated as of May 31, 2023 </w:t>
      </w:r>
      <w:r>
        <w:rPr>
          <w:rFonts w:ascii="Times New Roman" w:cs="Times New Roman" w:eastAsia="Times New Roman" w:hAnsi="Times New Roman"/>
          <w:sz w:val="19"/>
          <w:szCs w:val="19"/>
          <w:u w:val="single" w:color="auto"/>
          <w:color w:val="0000FF"/>
        </w:rPr>
        <w:t>and amended as of May 21, 2024</w:t>
      </w:r>
      <w:r>
        <w:rPr>
          <w:rFonts w:ascii="Times New Roman" w:cs="Times New Roman" w:eastAsia="Times New Roman" w:hAnsi="Times New Roman"/>
          <w:sz w:val="19"/>
          <w:szCs w:val="19"/>
          <w:color w:val="auto"/>
        </w:rPr>
        <w:t xml:space="preserve"> (as it may be </w:t>
      </w:r>
      <w:r>
        <w:rPr>
          <w:rFonts w:ascii="Times New Roman" w:cs="Times New Roman" w:eastAsia="Times New Roman" w:hAnsi="Times New Roman"/>
          <w:sz w:val="19"/>
          <w:szCs w:val="19"/>
          <w:u w:val="single" w:color="auto"/>
          <w:color w:val="0000FF"/>
        </w:rPr>
        <w:t>further</w:t>
      </w:r>
      <w:r>
        <w:rPr>
          <w:rFonts w:ascii="Times New Roman" w:cs="Times New Roman" w:eastAsia="Times New Roman" w:hAnsi="Times New Roman"/>
          <w:sz w:val="19"/>
          <w:szCs w:val="19"/>
          <w:color w:val="auto"/>
        </w:rPr>
        <w:t xml:space="preserve"> amended or modified from time to time,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among MYR GROUP INC., the Lenders party hereto, BANK OF MONTREAL, CIBC BANK USA, TD BANK, N.A. and WELLS FARGO BANK, NATIONAL ASSOCIATION, as Co-Documentation Agents, BANK OF AMERICA, N.A., as Syndication Agent and JPMORGAN CHASE BANK, N.A., as Administrative Agent.</w:t>
      </w:r>
    </w:p>
    <w:p>
      <w:pPr>
        <w:spacing w:after="0" w:line="15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WHEREAS, the Borrower, the lenders party thereto and JPMorgan Chase Bank, N.A., as administrative agent thereunder, are currently party to the Second Amended and Restated Credit Agreement, dated as of September 13, 2019 (as amended,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9"/>
          <w:szCs w:val="19"/>
          <w:color w:val="auto"/>
        </w:rPr>
        <w:t>WHEREAS, the Borrower, the Lenders and the Administrative Agent have entered into this Agreement in order to (i) amend and restate the Existing Credit Agreement in its entirety; (ii) re-evidence the “Obligations” under, and as defined in, the Existing Credit Agreement, which shall be repayable in accordance with the terms of this Agreement; and (iii) set forth the terms and conditions under which the Lenders will, from time to time, make loans and extend other financial accommodations to or for the benefit of the Borrower;</w:t>
      </w:r>
    </w:p>
    <w:p>
      <w:pPr>
        <w:spacing w:after="0" w:line="17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 outstanding thereunder, which shall be payable in accordance with the terms hereof; and</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it is also the intent of the Borrower to confirm that all obligations under the applicable “Loan Documents” (as referred to and defined in the Existing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NOW, THEREFORE, in consideration of the premises and of the mutual covenants herein contained, the parties hereto agree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follows: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have the meanings specified below:</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Adjusted CDOR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8000"/>
        </w:rPr>
        <w:t>Rate</w:t>
      </w:r>
      <w:r>
        <w:rPr>
          <w:rFonts w:ascii="Times New Roman" w:cs="Times New Roman" w:eastAsia="Times New Roman" w:hAnsi="Times New Roman"/>
          <w:sz w:val="20"/>
          <w:szCs w:val="20"/>
          <w:color w:val="008000"/>
        </w:rPr>
        <w:t>” means,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with respect to any Term Benchmark Borrowing denominated in Canadian dollars for 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 xml:space="preserve">Interest Period, an interest </w:t>
      </w:r>
      <w:r>
        <w:rPr>
          <w:rFonts w:ascii="Times New Roman" w:cs="Times New Roman" w:eastAsia="Times New Roman" w:hAnsi="Times New Roman"/>
          <w:sz w:val="20"/>
          <w:szCs w:val="20"/>
          <w:color w:val="008000"/>
          <w:strike w:val="1"/>
        </w:rPr>
        <w:t>rate per annum equal to (a)</w:t>
      </w:r>
      <w:r>
        <w:rPr>
          <w:rFonts w:ascii="Times New Roman" w:cs="Times New Roman" w:eastAsia="Times New Roman" w:hAnsi="Times New Roman"/>
          <w:sz w:val="20"/>
          <w:szCs w:val="20"/>
          <w:color w:val="FF0000"/>
          <w:strike w:val="1"/>
        </w:rPr>
        <w:t xml:space="preserve"> the CDOR Rate for such Interest Period multiplied by </w:t>
      </w:r>
      <w:r>
        <w:rPr>
          <w:rFonts w:ascii="Times New Roman" w:cs="Times New Roman" w:eastAsia="Times New Roman" w:hAnsi="Times New Roman"/>
          <w:sz w:val="20"/>
          <w:szCs w:val="20"/>
          <w:color w:val="008000"/>
          <w:strike w:val="1"/>
        </w:rPr>
        <w:t>(b) the</w:t>
      </w:r>
      <w:r>
        <w:rPr>
          <w:rFonts w:ascii="Times New Roman" w:cs="Times New Roman" w:eastAsia="Times New Roman" w:hAnsi="Times New Roman"/>
          <w:sz w:val="20"/>
          <w:szCs w:val="20"/>
          <w:color w:val="FF0000"/>
          <w:strike w:val="1"/>
        </w:rPr>
        <w:t xml:space="preserve"> Statutory Reserve Rate</w:t>
      </w:r>
      <w:r>
        <w:rPr>
          <w:rFonts w:ascii="Times New Roman" w:cs="Times New Roman" w:eastAsia="Times New Roman" w:hAnsi="Times New Roman"/>
          <w:sz w:val="20"/>
          <w:szCs w:val="20"/>
          <w:color w:val="008000"/>
          <w:strike w:val="1"/>
        </w:rPr>
        <w: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i w:val="1"/>
          <w:iCs w:val="1"/>
          <w:color w:val="008000"/>
          <w:strike w:val="1"/>
        </w:rPr>
        <w:t xml:space="preserve">provided that </w:t>
      </w:r>
      <w:r>
        <w:rPr>
          <w:rFonts w:ascii="Times New Roman" w:cs="Times New Roman" w:eastAsia="Times New Roman" w:hAnsi="Times New Roman"/>
          <w:sz w:val="20"/>
          <w:szCs w:val="20"/>
          <w:color w:val="008000"/>
          <w:strike w:val="1"/>
        </w:rPr>
        <w:t>if the Adjusted</w:t>
      </w:r>
      <w:r>
        <w:rPr>
          <w:rFonts w:ascii="Times New Roman" w:cs="Times New Roman" w:eastAsia="Times New Roman" w:hAnsi="Times New Roman"/>
          <w:sz w:val="20"/>
          <w:szCs w:val="20"/>
          <w:i w:val="1"/>
          <w:iCs w:val="1"/>
          <w:color w:val="008000"/>
          <w:strike w:val="1"/>
        </w:rPr>
        <w:t xml:space="preserve">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i w:val="1"/>
          <w:iCs w:val="1"/>
          <w:color w:val="008000"/>
          <w:strike w:val="1"/>
        </w:rPr>
        <w:t xml:space="preserve"> </w:t>
      </w:r>
      <w:r>
        <w:rPr>
          <w:rFonts w:ascii="Times New Roman" w:cs="Times New Roman" w:eastAsia="Times New Roman" w:hAnsi="Times New Roman"/>
          <w:sz w:val="20"/>
          <w:szCs w:val="20"/>
          <w:color w:val="008000"/>
          <w:strike w:val="1"/>
        </w:rPr>
        <w:t>Rate as so determined would be less than the Floor, such rate shall be deemed to be equal to the Floor</w:t>
      </w:r>
      <w:r>
        <w:rPr>
          <w:rFonts w:ascii="Times New Roman" w:cs="Times New Roman" w:eastAsia="Times New Roman" w:hAnsi="Times New Roman"/>
          <w:sz w:val="20"/>
          <w:szCs w:val="20"/>
          <w:i w:val="1"/>
          <w:iCs w:val="1"/>
          <w:color w:val="008000"/>
          <w:strike w:val="1"/>
        </w:rPr>
        <w:t xml:space="preserve"> </w:t>
      </w:r>
      <w:r>
        <w:rPr>
          <w:rFonts w:ascii="Times New Roman" w:cs="Times New Roman" w:eastAsia="Times New Roman" w:hAnsi="Times New Roman"/>
          <w:sz w:val="20"/>
          <w:szCs w:val="20"/>
          <w:color w:val="008000"/>
          <w:strike w:val="1"/>
        </w:rPr>
        <w:t>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1766570</wp:posOffset>
            </wp:positionH>
            <wp:positionV relativeFrom="paragraph">
              <wp:posOffset>-544195</wp:posOffset>
            </wp:positionV>
            <wp:extent cx="7181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RFR</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auto"/>
        </w:rPr>
        <w:t xml:space="preserve"> with respect to any RFR Borrowing denominated in Dollars, an interest rate per annum equal to (a) the Daily Simple </w:t>
      </w:r>
      <w:r>
        <w:rPr>
          <w:rFonts w:ascii="Times New Roman" w:cs="Times New Roman" w:eastAsia="Times New Roman" w:hAnsi="Times New Roman"/>
          <w:sz w:val="20"/>
          <w:szCs w:val="20"/>
          <w:color w:val="FF0000"/>
          <w:strike w:val="1"/>
        </w:rPr>
        <w:t>SOFR</w:t>
      </w:r>
      <w:r>
        <w:rPr>
          <w:rFonts w:ascii="Times New Roman" w:cs="Times New Roman" w:eastAsia="Times New Roman" w:hAnsi="Times New Roman"/>
          <w:sz w:val="20"/>
          <w:szCs w:val="20"/>
          <w:u w:val="single" w:color="auto"/>
          <w:color w:val="0000FF"/>
        </w:rPr>
        <w:t>RFR for Dollars</w:t>
      </w:r>
      <w:r>
        <w:rPr>
          <w:rFonts w:ascii="Times New Roman" w:cs="Times New Roman" w:eastAsia="Times New Roman" w:hAnsi="Times New Roman"/>
          <w:sz w:val="20"/>
          <w:szCs w:val="20"/>
          <w:color w:val="auto"/>
        </w:rPr>
        <w:t xml:space="preserve"> plus (b) 0.10%</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8000"/>
        </w:rPr>
        <w:t>and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with respect to any RFR Borrowing denominated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Canadian dollars, an interest rate per annum equal to (a) the Daily Simple RFR for Canadian Dollars,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i w:val="1"/>
          <w:iCs w:val="1"/>
          <w:u w:val="single" w:color="auto"/>
          <w:color w:val="0000FF"/>
        </w:rPr>
        <w:t>plus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(b) 0.29547%</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if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Adjusted Daily Simple RFR as so determined would be less than the Floor, such rate shall be deemed to be equal to the Floor for the purposes of this Agreement.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EURIBOR Rate</w:t>
      </w:r>
      <w:r>
        <w:rPr>
          <w:rFonts w:ascii="Times New Roman" w:cs="Times New Roman" w:eastAsia="Times New Roman" w:hAnsi="Times New Roman"/>
          <w:sz w:val="20"/>
          <w:szCs w:val="20"/>
          <w:color w:val="auto"/>
        </w:rPr>
        <w:t xml:space="preserve">” means, with respect to any Term Benchmark Borrowing denominated in Euros for any Interest Period, an interest rate per annum equal to (a) the EURIBOR Rate for such Interest Period multiplied by (b) the Statutory Reserve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EURIBOR Rate as so determined would be less than the Floor, such rate shall be deemed to be equal to the Floor for the purposes of this Agreement.</w:t>
      </w:r>
    </w:p>
    <w:p>
      <w:pPr>
        <w:spacing w:after="0" w:line="17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u w:val="single" w:color="auto"/>
          <w:color w:val="0000FF"/>
        </w:rPr>
        <w:t xml:space="preserve">“Adjusted Term CORRA </w:t>
      </w:r>
      <w:r>
        <w:rPr>
          <w:rFonts w:ascii="Times New Roman" w:cs="Times New Roman" w:eastAsia="Times New Roman" w:hAnsi="Times New Roman"/>
          <w:sz w:val="20"/>
          <w:szCs w:val="20"/>
          <w:u w:val="single" w:color="auto"/>
          <w:color w:val="008000"/>
        </w:rPr>
        <w:t>Rate” means,</w:t>
      </w:r>
      <w:r>
        <w:rPr>
          <w:rFonts w:ascii="Times New Roman" w:cs="Times New Roman" w:eastAsia="Times New Roman" w:hAnsi="Times New Roman"/>
          <w:sz w:val="20"/>
          <w:szCs w:val="20"/>
          <w:u w:val="single" w:color="auto"/>
          <w:color w:val="0000FF"/>
        </w:rPr>
        <w:t xml:space="preserve"> for purposes of any calculation, the </w:t>
      </w:r>
      <w:r>
        <w:rPr>
          <w:rFonts w:ascii="Times New Roman" w:cs="Times New Roman" w:eastAsia="Times New Roman" w:hAnsi="Times New Roman"/>
          <w:sz w:val="20"/>
          <w:szCs w:val="20"/>
          <w:u w:val="single" w:color="auto"/>
          <w:color w:val="008000"/>
        </w:rPr>
        <w:t>rate per annum equal to (a)</w:t>
      </w:r>
      <w:r>
        <w:rPr>
          <w:rFonts w:ascii="Times New Roman" w:cs="Times New Roman" w:eastAsia="Times New Roman" w:hAnsi="Times New Roman"/>
          <w:sz w:val="20"/>
          <w:szCs w:val="20"/>
          <w:u w:val="single" w:color="auto"/>
          <w:color w:val="0000FF"/>
        </w:rPr>
        <w:t xml:space="preserve"> Term CORRA for such calculation plus (b) 0.29547% for a one month interest period or 0.32138% for a three month interest period</w:t>
      </w:r>
      <w:r>
        <w:rPr>
          <w:rFonts w:ascii="Times New Roman" w:cs="Times New Roman" w:eastAsia="Times New Roman" w:hAnsi="Times New Roman"/>
          <w:sz w:val="20"/>
          <w:szCs w:val="20"/>
          <w:u w:val="single" w:color="auto"/>
          <w:color w:val="008000"/>
        </w:rPr>
        <w:t>; provided that if</w:t>
      </w:r>
      <w:r>
        <w:rPr>
          <w:rFonts w:ascii="Times New Roman" w:cs="Times New Roman" w:eastAsia="Times New Roman" w:hAnsi="Times New Roman"/>
          <w:sz w:val="20"/>
          <w:szCs w:val="20"/>
          <w:u w:val="single" w:color="auto"/>
          <w:color w:val="0000FF"/>
        </w:rPr>
        <w:t xml:space="preserve"> Adjusted Term CORRA </w:t>
      </w:r>
      <w:r>
        <w:rPr>
          <w:rFonts w:ascii="Times New Roman" w:cs="Times New Roman" w:eastAsia="Times New Roman" w:hAnsi="Times New Roman"/>
          <w:sz w:val="20"/>
          <w:szCs w:val="20"/>
          <w:u w:val="single" w:color="auto"/>
          <w:color w:val="008000"/>
        </w:rPr>
        <w:t>Rate as so determined would be less than the Floor, such rate shall be deemed to be equal to the Floor for the purposes of this</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Agreement.</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means, with respect to any Term Benchmark Borrowing denominated in Dollars for any Interest Period, an interest rate per annum equal to (a) the Term SOFR Rate for such Interest Period, plus (b) 0.10%;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would be less than the Floor, such rate shall be deemed to be equal to the Floor for the purposes of this Agreement.</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JPMorgan Chase Bank, N.A. (or any of its designated branch offices or affiliates), in its capacity as administrative agent for the Lenders hereunder.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Related Person</w:t>
      </w:r>
      <w:r>
        <w:rPr>
          <w:rFonts w:ascii="Times New Roman" w:cs="Times New Roman" w:eastAsia="Times New Roman" w:hAnsi="Times New Roman"/>
          <w:sz w:val="20"/>
          <w:szCs w:val="20"/>
          <w:color w:val="auto"/>
        </w:rPr>
        <w:t>” has the meaning assigned to it in Section 9.03(d).</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w:t>
      </w:r>
      <w:r>
        <w:rPr>
          <w:rFonts w:ascii="Times New Roman" w:cs="Times New Roman" w:eastAsia="Times New Roman" w:hAnsi="Times New Roman"/>
          <w:sz w:val="20"/>
          <w:szCs w:val="20"/>
          <w:color w:val="auto"/>
        </w:rPr>
        <w:t>” means the aggregate of the Commitments of all of the Lenders, as reduced or increased from time to time pursuant to the terms and conditions hereof. As of the Effective Date, the Aggregate Commitment is $490,000,000.</w:t>
      </w:r>
    </w:p>
    <w:p>
      <w:pPr>
        <w:spacing w:after="0" w:line="14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xml:space="preserve">” means (i) Dollars, (ii) euro, (iii) Canadian Dollars and (iv) any other currency (x) that is a lawful currency (other than Dollars) that is readily available and freely transferable and convertible into Dollars and (y) that is agreed to by the Administrative Agent, the Issuing Banks and each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of euro and Canadian Dollars shall be Agreed Currencies so long as such currency, as applicable, is a lawful currency that is readily available and freely transferable and convertible into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8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xml:space="preserve">” means, for any day, a rate per annum equal to (i) if the applicable Loan or Borrowing is denominated in Dollars,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and (ii) if the applicable Loan or Borrowing is denominated in Canadian Dollars, the Canadian Prime Rate. Any change in the Alternate Base Rate due to a change in the Prime Rate, the Canadian Prime Rate, the NYFRB Rate or the Adjusted Term SOFR Rate shall be effective from and including the effective date of such change in the Prime Rate, the Canadian Prime Rate, the NYFRB Rate or the Adjusted Term SOFR Rate, respectively. If the Alternate Base Rate for Dollars described in clause (i) is being used as an alternate rate of interest pursuant to Section 2.14 hereof (for the avoidance of doubt, only until the Benchmark Replacement has been determined pursuant to Section 2.14(b)), then the Alternate Base Rate shall be the greater of clauses (i)(a) and (i)(b) above and shall be determined without reference to clause (i)(c) above. For the avoidance of doubt, if the Alternate Base Rate as so determined would be less than 1.00%, such rate shall be deemed to be 1.00% for purposes of this Agreement.</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“Amendment No. 1 Effective Date” means May 21, 2024.</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has the meaning assigned to it in Section 9.06(b).</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Fees</w:t>
      </w:r>
      <w:r>
        <w:rPr>
          <w:rFonts w:ascii="Times New Roman" w:cs="Times New Roman" w:eastAsia="Times New Roman" w:hAnsi="Times New Roman"/>
          <w:sz w:val="20"/>
          <w:szCs w:val="20"/>
          <w:color w:val="auto"/>
        </w:rPr>
        <w:t>” has the meaning assigned to it in Section 9.02(b).</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 or any of its Subsidiaries from time to time concerning or relating to bribery or corruption.</w:t>
      </w:r>
    </w:p>
    <w:p>
      <w:pPr>
        <w:spacing w:after="0" w:line="173"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any Lender, the percentage of the Aggregate Commitment represented by such Lender’s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Section 2.20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75"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Pledge Percentage</w:t>
      </w:r>
      <w:r>
        <w:rPr>
          <w:rFonts w:ascii="Times New Roman" w:cs="Times New Roman" w:eastAsia="Times New Roman" w:hAnsi="Times New Roman"/>
          <w:sz w:val="20"/>
          <w:szCs w:val="20"/>
          <w:color w:val="auto"/>
        </w:rPr>
        <w:t>” means (x) in the case of a Domestic Subsidiary (other than a Foreign Subsidiary Holdco), 100%, and (y) in the case of a First Tier Foreign Subsidiary or First Tier Foreign Subsidiary Holdco, 65% with respect to voting Equity Interests and 100% with respect to non-voting Equity Interests.</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 with respect to any ABR Loan, RFR Loan or Term Benchmark Loan, or with respect to the commitment fees payable hereunder, or with respect to the participation fees payable hereunder on non-performance Letters of Credit and performance Letters of Credit, as the case may be, the applicable rate per annum set forth below under the caption “ABR Spread”, “Term Benchmark/RFR Spread”, “Commitment Fee Rate”, “Non-Performance Letters of Credit” or “Performance Letters of Credit”, as the case may be, based upon the Borrower’s Net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8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 xml:space="preserve">Ratio as of the most recent determination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delivery to the Administrative Agent, pursuant to Section 5.01, of the Borrower’s consolidated financial information for the Borrower’s first fiscal quarter ending after the Effective Date, the “Applicable Rate” shall be the applicable rate per annum set forth below in Category 1 (unless such Financials demonstrate that Category 2, 3 or 4 should have been applicable during such period, in which case such other Category shall be deemed to be applicable during such period), and adjustments to the Applicable Rate then in effect shall thereafter be effected in accordance with the paragraph below:</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40" w:type="dxa"/>
            <w:vAlign w:val="bottom"/>
            <w:tcBorders>
              <w:top w:val="single" w:sz="8" w:color="auto"/>
              <w:left w:val="single" w:sz="8" w:color="auto"/>
            </w:tcBorders>
            <w:shd w:val="clear" w:color="auto" w:fill="B3B3B3"/>
          </w:tcPr>
          <w:p>
            <w:pPr>
              <w:spacing w:after="0"/>
              <w:rPr>
                <w:sz w:val="18"/>
                <w:szCs w:val="18"/>
                <w:color w:val="auto"/>
              </w:rPr>
            </w:pPr>
          </w:p>
        </w:tc>
        <w:tc>
          <w:tcPr>
            <w:tcW w:w="1880" w:type="dxa"/>
            <w:vAlign w:val="bottom"/>
            <w:tcBorders>
              <w:top w:val="single" w:sz="8" w:color="auto"/>
              <w:right w:val="single" w:sz="8" w:color="auto"/>
            </w:tcBorders>
            <w:gridSpan w:val="8"/>
            <w:shd w:val="clear" w:color="auto" w:fill="B3B3B3"/>
          </w:tcPr>
          <w:p>
            <w:pPr>
              <w:jc w:val="center"/>
              <w:ind w:right="340"/>
              <w:spacing w:after="0" w:line="203" w:lineRule="exact"/>
              <w:rPr>
                <w:sz w:val="20"/>
                <w:szCs w:val="20"/>
                <w:color w:val="auto"/>
              </w:rPr>
            </w:pPr>
            <w:r>
              <w:rPr>
                <w:rFonts w:ascii="Times New Roman" w:cs="Times New Roman" w:eastAsia="Times New Roman" w:hAnsi="Times New Roman"/>
                <w:sz w:val="20"/>
                <w:szCs w:val="20"/>
                <w:color w:val="auto"/>
                <w:w w:val="98"/>
              </w:rPr>
              <w:t>Net Leverage Ratio</w:t>
            </w:r>
          </w:p>
        </w:tc>
        <w:tc>
          <w:tcPr>
            <w:tcW w:w="2220" w:type="dxa"/>
            <w:vAlign w:val="bottom"/>
            <w:tcBorders>
              <w:top w:val="single" w:sz="8" w:color="auto"/>
              <w:right w:val="single" w:sz="8" w:color="auto"/>
            </w:tcBorders>
            <w:gridSpan w:val="5"/>
            <w:shd w:val="clear" w:color="auto" w:fill="B3B3B3"/>
          </w:tcPr>
          <w:p>
            <w:pPr>
              <w:jc w:val="center"/>
              <w:ind w:right="20"/>
              <w:spacing w:after="0" w:line="203" w:lineRule="exact"/>
              <w:rPr>
                <w:sz w:val="20"/>
                <w:szCs w:val="20"/>
                <w:color w:val="auto"/>
              </w:rPr>
            </w:pPr>
            <w:r>
              <w:rPr>
                <w:rFonts w:ascii="Times New Roman" w:cs="Times New Roman" w:eastAsia="Times New Roman" w:hAnsi="Times New Roman"/>
                <w:sz w:val="20"/>
                <w:szCs w:val="20"/>
                <w:color w:val="auto"/>
                <w:w w:val="97"/>
              </w:rPr>
              <w:t>Term Benchmark/RFR</w:t>
            </w:r>
          </w:p>
        </w:tc>
        <w:tc>
          <w:tcPr>
            <w:tcW w:w="120" w:type="dxa"/>
            <w:vAlign w:val="bottom"/>
            <w:tcBorders>
              <w:top w:val="single" w:sz="8" w:color="auto"/>
            </w:tcBorders>
            <w:shd w:val="clear" w:color="auto" w:fill="B3B3B3"/>
          </w:tcPr>
          <w:p>
            <w:pPr>
              <w:spacing w:after="0"/>
              <w:rPr>
                <w:sz w:val="18"/>
                <w:szCs w:val="18"/>
                <w:color w:val="auto"/>
              </w:rPr>
            </w:pPr>
          </w:p>
        </w:tc>
        <w:tc>
          <w:tcPr>
            <w:tcW w:w="1400" w:type="dxa"/>
            <w:vAlign w:val="bottom"/>
            <w:tcBorders>
              <w:top w:val="single" w:sz="8" w:color="auto"/>
              <w:right w:val="single" w:sz="8" w:color="auto"/>
            </w:tcBorders>
            <w:gridSpan w:val="8"/>
            <w:shd w:val="clear" w:color="auto" w:fill="B3B3B3"/>
          </w:tcPr>
          <w:p>
            <w:pPr>
              <w:jc w:val="center"/>
              <w:ind w:right="140"/>
              <w:spacing w:after="0" w:line="203" w:lineRule="exact"/>
              <w:rPr>
                <w:sz w:val="20"/>
                <w:szCs w:val="20"/>
                <w:color w:val="auto"/>
              </w:rPr>
            </w:pPr>
            <w:r>
              <w:rPr>
                <w:rFonts w:ascii="Times New Roman" w:cs="Times New Roman" w:eastAsia="Times New Roman" w:hAnsi="Times New Roman"/>
                <w:sz w:val="20"/>
                <w:szCs w:val="20"/>
                <w:color w:val="auto"/>
                <w:w w:val="98"/>
              </w:rPr>
              <w:t>ABR and</w:t>
            </w:r>
          </w:p>
        </w:tc>
        <w:tc>
          <w:tcPr>
            <w:tcW w:w="200" w:type="dxa"/>
            <w:vAlign w:val="bottom"/>
            <w:tcBorders>
              <w:top w:val="single" w:sz="8" w:color="auto"/>
            </w:tcBorders>
            <w:shd w:val="clear" w:color="auto" w:fill="B3B3B3"/>
          </w:tcPr>
          <w:p>
            <w:pPr>
              <w:spacing w:after="0"/>
              <w:rPr>
                <w:sz w:val="18"/>
                <w:szCs w:val="18"/>
                <w:color w:val="auto"/>
              </w:rPr>
            </w:pPr>
          </w:p>
        </w:tc>
        <w:tc>
          <w:tcPr>
            <w:tcW w:w="1600" w:type="dxa"/>
            <w:vAlign w:val="bottom"/>
            <w:tcBorders>
              <w:top w:val="single" w:sz="8" w:color="auto"/>
              <w:right w:val="single" w:sz="8" w:color="auto"/>
            </w:tcBorders>
            <w:gridSpan w:val="4"/>
            <w:shd w:val="clear" w:color="auto" w:fill="B3B3B3"/>
          </w:tcPr>
          <w:p>
            <w:pPr>
              <w:jc w:val="center"/>
              <w:ind w:right="220"/>
              <w:spacing w:after="0" w:line="203" w:lineRule="exact"/>
              <w:rPr>
                <w:sz w:val="20"/>
                <w:szCs w:val="20"/>
                <w:color w:val="auto"/>
              </w:rPr>
            </w:pPr>
            <w:r>
              <w:rPr>
                <w:rFonts w:ascii="Times New Roman" w:cs="Times New Roman" w:eastAsia="Times New Roman" w:hAnsi="Times New Roman"/>
                <w:sz w:val="20"/>
                <w:szCs w:val="20"/>
                <w:color w:val="auto"/>
                <w:w w:val="98"/>
              </w:rPr>
              <w:t>Commitment Fee</w:t>
            </w:r>
          </w:p>
        </w:tc>
        <w:tc>
          <w:tcPr>
            <w:tcW w:w="1780" w:type="dxa"/>
            <w:vAlign w:val="bottom"/>
            <w:tcBorders>
              <w:top w:val="single" w:sz="8" w:color="auto"/>
              <w:right w:val="single" w:sz="8" w:color="auto"/>
            </w:tcBorders>
            <w:gridSpan w:val="5"/>
            <w:shd w:val="clear" w:color="auto" w:fill="B3B3B3"/>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Non-Performance</w:t>
            </w:r>
          </w:p>
        </w:tc>
        <w:tc>
          <w:tcPr>
            <w:tcW w:w="40" w:type="dxa"/>
            <w:vAlign w:val="bottom"/>
            <w:tcBorders>
              <w:top w:val="single" w:sz="8" w:color="auto"/>
            </w:tcBorders>
            <w:shd w:val="clear" w:color="auto" w:fill="B3B3B3"/>
          </w:tcPr>
          <w:p>
            <w:pPr>
              <w:spacing w:after="0"/>
              <w:rPr>
                <w:sz w:val="18"/>
                <w:szCs w:val="18"/>
                <w:color w:val="auto"/>
              </w:rPr>
            </w:pPr>
          </w:p>
        </w:tc>
        <w:tc>
          <w:tcPr>
            <w:tcW w:w="1680" w:type="dxa"/>
            <w:vAlign w:val="bottom"/>
            <w:tcBorders>
              <w:top w:val="single" w:sz="8" w:color="auto"/>
              <w:right w:val="single" w:sz="8" w:color="auto"/>
            </w:tcBorders>
            <w:gridSpan w:val="3"/>
            <w:shd w:val="clear" w:color="auto" w:fill="B3B3B3"/>
          </w:tcPr>
          <w:p>
            <w:pPr>
              <w:jc w:val="center"/>
              <w:ind w:right="60"/>
              <w:spacing w:after="0" w:line="203" w:lineRule="exact"/>
              <w:rPr>
                <w:sz w:val="20"/>
                <w:szCs w:val="20"/>
                <w:color w:val="auto"/>
              </w:rPr>
            </w:pPr>
            <w:r>
              <w:rPr>
                <w:rFonts w:ascii="Times New Roman" w:cs="Times New Roman" w:eastAsia="Times New Roman" w:hAnsi="Times New Roman"/>
                <w:sz w:val="20"/>
                <w:szCs w:val="20"/>
                <w:color w:val="auto"/>
                <w:w w:val="99"/>
              </w:rPr>
              <w:t>Performance Letters</w:t>
            </w:r>
          </w:p>
        </w:tc>
        <w:tc>
          <w:tcPr>
            <w:tcW w:w="0" w:type="dxa"/>
            <w:vAlign w:val="bottom"/>
          </w:tcPr>
          <w:p>
            <w:pPr>
              <w:spacing w:after="0"/>
              <w:rPr>
                <w:sz w:val="1"/>
                <w:szCs w:val="1"/>
                <w:color w:val="auto"/>
              </w:rPr>
            </w:pPr>
          </w:p>
        </w:tc>
      </w:tr>
      <w:tr>
        <w:trPr>
          <w:trHeight w:val="20"/>
        </w:trPr>
        <w:tc>
          <w:tcPr>
            <w:tcW w:w="340" w:type="dxa"/>
            <w:vAlign w:val="bottom"/>
            <w:tcBorders>
              <w:top w:val="single" w:sz="8" w:color="B3B3B3"/>
              <w:left w:val="single" w:sz="8" w:color="auto"/>
            </w:tcBorders>
            <w:shd w:val="clear" w:color="auto" w:fill="B3B3B3"/>
          </w:tcPr>
          <w:p>
            <w:pPr>
              <w:spacing w:after="0" w:line="20" w:lineRule="exact"/>
              <w:rPr>
                <w:sz w:val="1"/>
                <w:szCs w:val="1"/>
                <w:color w:val="auto"/>
              </w:rPr>
            </w:pPr>
          </w:p>
        </w:tc>
        <w:tc>
          <w:tcPr>
            <w:tcW w:w="120" w:type="dxa"/>
            <w:vAlign w:val="bottom"/>
            <w:tcBorders>
              <w:top w:val="single" w:sz="8" w:color="auto"/>
            </w:tcBorders>
            <w:shd w:val="clear" w:color="auto" w:fill="B3B3B3"/>
          </w:tcPr>
          <w:p>
            <w:pPr>
              <w:spacing w:after="0" w:line="20" w:lineRule="exact"/>
              <w:rPr>
                <w:sz w:val="1"/>
                <w:szCs w:val="1"/>
                <w:color w:val="auto"/>
              </w:rPr>
            </w:pPr>
          </w:p>
        </w:tc>
        <w:tc>
          <w:tcPr>
            <w:tcW w:w="160" w:type="dxa"/>
            <w:vAlign w:val="bottom"/>
            <w:tcBorders>
              <w:top w:val="single" w:sz="8" w:color="auto"/>
            </w:tcBorders>
            <w:shd w:val="clear" w:color="auto" w:fill="B3B3B3"/>
          </w:tcPr>
          <w:p>
            <w:pPr>
              <w:spacing w:after="0" w:line="20" w:lineRule="exact"/>
              <w:rPr>
                <w:sz w:val="1"/>
                <w:szCs w:val="1"/>
                <w:color w:val="auto"/>
              </w:rPr>
            </w:pPr>
          </w:p>
        </w:tc>
        <w:tc>
          <w:tcPr>
            <w:tcW w:w="60" w:type="dxa"/>
            <w:vAlign w:val="bottom"/>
            <w:tcBorders>
              <w:top w:val="single" w:sz="8" w:color="auto"/>
            </w:tcBorders>
            <w:shd w:val="clear" w:color="auto" w:fill="B3B3B3"/>
          </w:tcPr>
          <w:p>
            <w:pPr>
              <w:spacing w:after="0" w:line="20" w:lineRule="exact"/>
              <w:rPr>
                <w:sz w:val="1"/>
                <w:szCs w:val="1"/>
                <w:color w:val="auto"/>
              </w:rPr>
            </w:pPr>
          </w:p>
        </w:tc>
        <w:tc>
          <w:tcPr>
            <w:tcW w:w="880" w:type="dxa"/>
            <w:vAlign w:val="bottom"/>
            <w:tcBorders>
              <w:top w:val="single" w:sz="8" w:color="auto"/>
            </w:tcBorders>
            <w:shd w:val="clear" w:color="auto" w:fill="B3B3B3"/>
          </w:tcPr>
          <w:p>
            <w:pPr>
              <w:spacing w:after="0" w:line="20" w:lineRule="exact"/>
              <w:rPr>
                <w:sz w:val="1"/>
                <w:szCs w:val="1"/>
                <w:color w:val="auto"/>
              </w:rPr>
            </w:pPr>
          </w:p>
        </w:tc>
        <w:tc>
          <w:tcPr>
            <w:tcW w:w="60" w:type="dxa"/>
            <w:vAlign w:val="bottom"/>
            <w:tcBorders>
              <w:top w:val="single" w:sz="8" w:color="auto"/>
            </w:tcBorders>
            <w:shd w:val="clear" w:color="auto" w:fill="B3B3B3"/>
          </w:tcPr>
          <w:p>
            <w:pPr>
              <w:spacing w:after="0" w:line="20" w:lineRule="exact"/>
              <w:rPr>
                <w:sz w:val="1"/>
                <w:szCs w:val="1"/>
                <w:color w:val="auto"/>
              </w:rPr>
            </w:pPr>
          </w:p>
        </w:tc>
        <w:tc>
          <w:tcPr>
            <w:tcW w:w="140" w:type="dxa"/>
            <w:vAlign w:val="bottom"/>
            <w:tcBorders>
              <w:top w:val="single" w:sz="8" w:color="auto"/>
            </w:tcBorders>
            <w:shd w:val="clear" w:color="auto" w:fill="B3B3B3"/>
          </w:tcPr>
          <w:p>
            <w:pPr>
              <w:spacing w:after="0" w:line="20" w:lineRule="exact"/>
              <w:rPr>
                <w:sz w:val="1"/>
                <w:szCs w:val="1"/>
                <w:color w:val="auto"/>
              </w:rPr>
            </w:pPr>
          </w:p>
        </w:tc>
        <w:tc>
          <w:tcPr>
            <w:tcW w:w="120" w:type="dxa"/>
            <w:vAlign w:val="bottom"/>
            <w:tcBorders>
              <w:top w:val="single" w:sz="8" w:color="auto"/>
            </w:tcBorders>
            <w:shd w:val="clear" w:color="auto" w:fill="B3B3B3"/>
          </w:tcPr>
          <w:p>
            <w:pPr>
              <w:spacing w:after="0" w:line="20" w:lineRule="exact"/>
              <w:rPr>
                <w:sz w:val="1"/>
                <w:szCs w:val="1"/>
                <w:color w:val="auto"/>
              </w:rPr>
            </w:pPr>
          </w:p>
        </w:tc>
        <w:tc>
          <w:tcPr>
            <w:tcW w:w="340" w:type="dxa"/>
            <w:vAlign w:val="bottom"/>
            <w:tcBorders>
              <w:top w:val="single" w:sz="8" w:color="B3B3B3"/>
              <w:right w:val="single" w:sz="8" w:color="auto"/>
            </w:tcBorders>
            <w:shd w:val="clear" w:color="auto" w:fill="B3B3B3"/>
          </w:tcPr>
          <w:p>
            <w:pPr>
              <w:spacing w:after="0" w:line="20" w:lineRule="exact"/>
              <w:rPr>
                <w:sz w:val="1"/>
                <w:szCs w:val="1"/>
                <w:color w:val="auto"/>
              </w:rPr>
            </w:pPr>
          </w:p>
        </w:tc>
        <w:tc>
          <w:tcPr>
            <w:tcW w:w="200" w:type="dxa"/>
            <w:vAlign w:val="bottom"/>
            <w:tcBorders>
              <w:top w:val="single" w:sz="8" w:color="B3B3B3"/>
            </w:tcBorders>
            <w:shd w:val="clear" w:color="auto" w:fill="B3B3B3"/>
          </w:tcPr>
          <w:p>
            <w:pPr>
              <w:spacing w:after="0" w:line="20" w:lineRule="exact"/>
              <w:rPr>
                <w:sz w:val="1"/>
                <w:szCs w:val="1"/>
                <w:color w:val="auto"/>
              </w:rPr>
            </w:pPr>
          </w:p>
        </w:tc>
        <w:tc>
          <w:tcPr>
            <w:tcW w:w="620" w:type="dxa"/>
            <w:vAlign w:val="bottom"/>
            <w:tcBorders>
              <w:top w:val="single" w:sz="8" w:color="B3B3B3"/>
            </w:tcBorders>
            <w:shd w:val="clear" w:color="auto" w:fill="000000"/>
          </w:tcPr>
          <w:p>
            <w:pPr>
              <w:spacing w:after="0" w:line="20" w:lineRule="exact"/>
              <w:rPr>
                <w:sz w:val="1"/>
                <w:szCs w:val="1"/>
                <w:color w:val="auto"/>
              </w:rPr>
            </w:pPr>
          </w:p>
        </w:tc>
        <w:tc>
          <w:tcPr>
            <w:tcW w:w="560" w:type="dxa"/>
            <w:vAlign w:val="bottom"/>
            <w:tcBorders>
              <w:top w:val="single" w:sz="8" w:color="B3B3B3"/>
            </w:tcBorders>
            <w:shd w:val="clear" w:color="auto" w:fill="000000"/>
          </w:tcPr>
          <w:p>
            <w:pPr>
              <w:spacing w:after="0" w:line="20" w:lineRule="exact"/>
              <w:rPr>
                <w:sz w:val="1"/>
                <w:szCs w:val="1"/>
                <w:color w:val="auto"/>
              </w:rPr>
            </w:pPr>
          </w:p>
        </w:tc>
        <w:tc>
          <w:tcPr>
            <w:tcW w:w="620" w:type="dxa"/>
            <w:vAlign w:val="bottom"/>
            <w:tcBorders>
              <w:top w:val="single" w:sz="8" w:color="B3B3B3"/>
            </w:tcBorders>
            <w:shd w:val="clear" w:color="auto" w:fill="000000"/>
          </w:tcPr>
          <w:p>
            <w:pPr>
              <w:spacing w:after="0" w:line="20" w:lineRule="exact"/>
              <w:rPr>
                <w:sz w:val="1"/>
                <w:szCs w:val="1"/>
                <w:color w:val="auto"/>
              </w:rPr>
            </w:pPr>
          </w:p>
        </w:tc>
        <w:tc>
          <w:tcPr>
            <w:tcW w:w="220" w:type="dxa"/>
            <w:vAlign w:val="bottom"/>
            <w:tcBorders>
              <w:top w:val="single" w:sz="8" w:color="B3B3B3"/>
              <w:right w:val="single" w:sz="8" w:color="auto"/>
            </w:tcBorders>
            <w:shd w:val="clear" w:color="auto" w:fill="B3B3B3"/>
          </w:tcPr>
          <w:p>
            <w:pPr>
              <w:spacing w:after="0" w:line="20" w:lineRule="exact"/>
              <w:rPr>
                <w:sz w:val="1"/>
                <w:szCs w:val="1"/>
                <w:color w:val="auto"/>
              </w:rPr>
            </w:pPr>
          </w:p>
        </w:tc>
        <w:tc>
          <w:tcPr>
            <w:tcW w:w="120" w:type="dxa"/>
            <w:vAlign w:val="bottom"/>
            <w:tcBorders>
              <w:top w:val="single" w:sz="8" w:color="B3B3B3"/>
            </w:tcBorders>
            <w:shd w:val="clear" w:color="auto" w:fill="B3B3B3"/>
          </w:tcPr>
          <w:p>
            <w:pPr>
              <w:spacing w:after="0" w:line="20" w:lineRule="exact"/>
              <w:rPr>
                <w:sz w:val="1"/>
                <w:szCs w:val="1"/>
                <w:color w:val="auto"/>
              </w:rPr>
            </w:pPr>
          </w:p>
        </w:tc>
        <w:tc>
          <w:tcPr>
            <w:tcW w:w="260" w:type="dxa"/>
            <w:vAlign w:val="bottom"/>
            <w:tcBorders>
              <w:top w:val="single" w:sz="8" w:color="B3B3B3"/>
            </w:tcBorders>
            <w:shd w:val="clear" w:color="auto" w:fill="B3B3B3"/>
          </w:tcPr>
          <w:p>
            <w:pPr>
              <w:spacing w:after="0" w:line="20" w:lineRule="exact"/>
              <w:rPr>
                <w:sz w:val="1"/>
                <w:szCs w:val="1"/>
                <w:color w:val="auto"/>
              </w:rPr>
            </w:pPr>
          </w:p>
        </w:tc>
        <w:tc>
          <w:tcPr>
            <w:tcW w:w="100" w:type="dxa"/>
            <w:vAlign w:val="bottom"/>
            <w:tcBorders>
              <w:top w:val="single" w:sz="8" w:color="B3B3B3"/>
            </w:tcBorders>
            <w:shd w:val="clear" w:color="auto" w:fill="000000"/>
          </w:tcPr>
          <w:p>
            <w:pPr>
              <w:spacing w:after="0" w:line="20" w:lineRule="exact"/>
              <w:rPr>
                <w:sz w:val="1"/>
                <w:szCs w:val="1"/>
                <w:color w:val="auto"/>
              </w:rPr>
            </w:pPr>
          </w:p>
        </w:tc>
        <w:tc>
          <w:tcPr>
            <w:tcW w:w="80" w:type="dxa"/>
            <w:vAlign w:val="bottom"/>
            <w:tcBorders>
              <w:top w:val="single" w:sz="8" w:color="B3B3B3"/>
            </w:tcBorders>
            <w:shd w:val="clear" w:color="auto" w:fill="000000"/>
          </w:tcPr>
          <w:p>
            <w:pPr>
              <w:spacing w:after="0" w:line="20" w:lineRule="exact"/>
              <w:rPr>
                <w:sz w:val="1"/>
                <w:szCs w:val="1"/>
                <w:color w:val="auto"/>
              </w:rPr>
            </w:pPr>
          </w:p>
        </w:tc>
        <w:tc>
          <w:tcPr>
            <w:tcW w:w="360" w:type="dxa"/>
            <w:vAlign w:val="bottom"/>
            <w:tcBorders>
              <w:top w:val="single" w:sz="8" w:color="B3B3B3"/>
            </w:tcBorders>
            <w:shd w:val="clear" w:color="auto" w:fill="000000"/>
          </w:tcPr>
          <w:p>
            <w:pPr>
              <w:spacing w:after="0" w:line="20" w:lineRule="exact"/>
              <w:rPr>
                <w:sz w:val="1"/>
                <w:szCs w:val="1"/>
                <w:color w:val="auto"/>
              </w:rPr>
            </w:pPr>
          </w:p>
        </w:tc>
        <w:tc>
          <w:tcPr>
            <w:tcW w:w="100" w:type="dxa"/>
            <w:vAlign w:val="bottom"/>
            <w:tcBorders>
              <w:top w:val="single" w:sz="8" w:color="B3B3B3"/>
            </w:tcBorders>
            <w:shd w:val="clear" w:color="auto" w:fill="000000"/>
          </w:tcPr>
          <w:p>
            <w:pPr>
              <w:spacing w:after="0" w:line="20" w:lineRule="exact"/>
              <w:rPr>
                <w:sz w:val="1"/>
                <w:szCs w:val="1"/>
                <w:color w:val="auto"/>
              </w:rPr>
            </w:pPr>
          </w:p>
        </w:tc>
        <w:tc>
          <w:tcPr>
            <w:tcW w:w="100" w:type="dxa"/>
            <w:vAlign w:val="bottom"/>
            <w:tcBorders>
              <w:top w:val="single" w:sz="8" w:color="B3B3B3"/>
            </w:tcBorders>
            <w:shd w:val="clear" w:color="auto" w:fill="000000"/>
          </w:tcPr>
          <w:p>
            <w:pPr>
              <w:spacing w:after="0" w:line="20" w:lineRule="exact"/>
              <w:rPr>
                <w:sz w:val="1"/>
                <w:szCs w:val="1"/>
                <w:color w:val="auto"/>
              </w:rPr>
            </w:pPr>
          </w:p>
        </w:tc>
        <w:tc>
          <w:tcPr>
            <w:tcW w:w="260" w:type="dxa"/>
            <w:vAlign w:val="bottom"/>
            <w:tcBorders>
              <w:top w:val="single" w:sz="8" w:color="B3B3B3"/>
            </w:tcBorders>
            <w:shd w:val="clear" w:color="auto" w:fill="B3B3B3"/>
          </w:tcPr>
          <w:p>
            <w:pPr>
              <w:spacing w:after="0" w:line="20" w:lineRule="exact"/>
              <w:rPr>
                <w:sz w:val="1"/>
                <w:szCs w:val="1"/>
                <w:color w:val="auto"/>
              </w:rPr>
            </w:pPr>
          </w:p>
        </w:tc>
        <w:tc>
          <w:tcPr>
            <w:tcW w:w="140" w:type="dxa"/>
            <w:vAlign w:val="bottom"/>
            <w:tcBorders>
              <w:top w:val="single" w:sz="8" w:color="B3B3B3"/>
              <w:right w:val="single" w:sz="8" w:color="auto"/>
            </w:tcBorders>
            <w:shd w:val="clear" w:color="auto" w:fill="B3B3B3"/>
          </w:tcPr>
          <w:p>
            <w:pPr>
              <w:spacing w:after="0" w:line="20" w:lineRule="exact"/>
              <w:rPr>
                <w:sz w:val="1"/>
                <w:szCs w:val="1"/>
                <w:color w:val="auto"/>
              </w:rPr>
            </w:pPr>
          </w:p>
        </w:tc>
        <w:tc>
          <w:tcPr>
            <w:tcW w:w="200" w:type="dxa"/>
            <w:vAlign w:val="bottom"/>
            <w:tcBorders>
              <w:top w:val="single" w:sz="8" w:color="B3B3B3"/>
            </w:tcBorders>
            <w:vMerge w:val="restart"/>
            <w:shd w:val="clear" w:color="auto" w:fill="B3B3B3"/>
          </w:tcPr>
          <w:p>
            <w:pPr>
              <w:spacing w:after="0" w:line="20" w:lineRule="exact"/>
              <w:rPr>
                <w:sz w:val="1"/>
                <w:szCs w:val="1"/>
                <w:color w:val="auto"/>
              </w:rPr>
            </w:pPr>
          </w:p>
        </w:tc>
        <w:tc>
          <w:tcPr>
            <w:tcW w:w="500" w:type="dxa"/>
            <w:vAlign w:val="bottom"/>
            <w:tcBorders>
              <w:top w:val="single" w:sz="8" w:color="auto"/>
            </w:tcBorders>
            <w:vMerge w:val="restart"/>
            <w:shd w:val="clear" w:color="auto" w:fill="B3B3B3"/>
          </w:tcPr>
          <w:p>
            <w:pPr>
              <w:spacing w:after="0" w:line="20" w:lineRule="exact"/>
              <w:rPr>
                <w:sz w:val="1"/>
                <w:szCs w:val="1"/>
                <w:color w:val="auto"/>
              </w:rPr>
            </w:pPr>
          </w:p>
        </w:tc>
        <w:tc>
          <w:tcPr>
            <w:tcW w:w="360" w:type="dxa"/>
            <w:vAlign w:val="bottom"/>
            <w:tcBorders>
              <w:top w:val="single" w:sz="8" w:color="auto"/>
            </w:tcBorders>
            <w:vMerge w:val="restart"/>
            <w:shd w:val="clear" w:color="auto" w:fill="B3B3B3"/>
          </w:tcPr>
          <w:p>
            <w:pPr>
              <w:jc w:val="center"/>
              <w:spacing w:after="0" w:line="169" w:lineRule="exact"/>
              <w:rPr>
                <w:sz w:val="20"/>
                <w:szCs w:val="20"/>
                <w:color w:val="auto"/>
              </w:rPr>
            </w:pPr>
            <w:r>
              <w:rPr>
                <w:rFonts w:ascii="Times New Roman" w:cs="Times New Roman" w:eastAsia="Times New Roman" w:hAnsi="Times New Roman"/>
                <w:sz w:val="19"/>
                <w:szCs w:val="19"/>
                <w:color w:val="auto"/>
              </w:rPr>
              <w:t>Rate</w:t>
            </w:r>
          </w:p>
        </w:tc>
        <w:tc>
          <w:tcPr>
            <w:tcW w:w="520" w:type="dxa"/>
            <w:vAlign w:val="bottom"/>
            <w:tcBorders>
              <w:top w:val="single" w:sz="8" w:color="auto"/>
            </w:tcBorders>
            <w:vMerge w:val="restart"/>
            <w:shd w:val="clear" w:color="auto" w:fill="B3B3B3"/>
          </w:tcPr>
          <w:p>
            <w:pPr>
              <w:spacing w:after="0" w:line="20" w:lineRule="exact"/>
              <w:rPr>
                <w:sz w:val="1"/>
                <w:szCs w:val="1"/>
                <w:color w:val="auto"/>
              </w:rPr>
            </w:pPr>
          </w:p>
        </w:tc>
        <w:tc>
          <w:tcPr>
            <w:tcW w:w="220" w:type="dxa"/>
            <w:vAlign w:val="bottom"/>
            <w:tcBorders>
              <w:top w:val="single" w:sz="8" w:color="B3B3B3"/>
              <w:right w:val="single" w:sz="8" w:color="auto"/>
            </w:tcBorders>
            <w:vMerge w:val="restart"/>
            <w:shd w:val="clear" w:color="auto" w:fill="B3B3B3"/>
          </w:tcPr>
          <w:p>
            <w:pPr>
              <w:spacing w:after="0" w:line="20" w:lineRule="exact"/>
              <w:rPr>
                <w:sz w:val="1"/>
                <w:szCs w:val="1"/>
                <w:color w:val="auto"/>
              </w:rPr>
            </w:pPr>
          </w:p>
        </w:tc>
        <w:tc>
          <w:tcPr>
            <w:tcW w:w="180" w:type="dxa"/>
            <w:vAlign w:val="bottom"/>
            <w:tcBorders>
              <w:top w:val="single" w:sz="8" w:color="B3B3B3"/>
            </w:tcBorders>
            <w:vMerge w:val="restart"/>
            <w:shd w:val="clear" w:color="auto" w:fill="B3B3B3"/>
          </w:tcPr>
          <w:p>
            <w:pPr>
              <w:spacing w:after="0" w:line="20" w:lineRule="exact"/>
              <w:rPr>
                <w:sz w:val="1"/>
                <w:szCs w:val="1"/>
                <w:color w:val="auto"/>
              </w:rPr>
            </w:pPr>
          </w:p>
        </w:tc>
        <w:tc>
          <w:tcPr>
            <w:tcW w:w="40" w:type="dxa"/>
            <w:vAlign w:val="bottom"/>
            <w:tcBorders>
              <w:top w:val="single" w:sz="8" w:color="auto"/>
            </w:tcBorders>
            <w:vMerge w:val="restart"/>
            <w:shd w:val="clear" w:color="auto" w:fill="B3B3B3"/>
          </w:tcPr>
          <w:p>
            <w:pPr>
              <w:spacing w:after="0" w:line="20" w:lineRule="exact"/>
              <w:rPr>
                <w:sz w:val="1"/>
                <w:szCs w:val="1"/>
                <w:color w:val="auto"/>
              </w:rPr>
            </w:pPr>
          </w:p>
        </w:tc>
        <w:tc>
          <w:tcPr>
            <w:tcW w:w="1320" w:type="dxa"/>
            <w:vAlign w:val="bottom"/>
            <w:tcBorders>
              <w:top w:val="single" w:sz="8" w:color="auto"/>
            </w:tcBorders>
            <w:vMerge w:val="restart"/>
            <w:shd w:val="clear" w:color="auto" w:fill="B3B3B3"/>
          </w:tcPr>
          <w:p>
            <w:pPr>
              <w:jc w:val="center"/>
              <w:spacing w:after="0" w:line="169" w:lineRule="exact"/>
              <w:rPr>
                <w:sz w:val="20"/>
                <w:szCs w:val="20"/>
                <w:color w:val="auto"/>
              </w:rPr>
            </w:pPr>
            <w:r>
              <w:rPr>
                <w:rFonts w:ascii="Times New Roman" w:cs="Times New Roman" w:eastAsia="Times New Roman" w:hAnsi="Times New Roman"/>
                <w:sz w:val="19"/>
                <w:szCs w:val="19"/>
                <w:color w:val="auto"/>
              </w:rPr>
              <w:t>Letters of Credit</w:t>
            </w:r>
          </w:p>
        </w:tc>
        <w:tc>
          <w:tcPr>
            <w:tcW w:w="40" w:type="dxa"/>
            <w:vAlign w:val="bottom"/>
            <w:tcBorders>
              <w:top w:val="single" w:sz="8" w:color="auto"/>
            </w:tcBorders>
            <w:vMerge w:val="restart"/>
            <w:shd w:val="clear" w:color="auto" w:fill="B3B3B3"/>
          </w:tcPr>
          <w:p>
            <w:pPr>
              <w:spacing w:after="0" w:line="20" w:lineRule="exact"/>
              <w:rPr>
                <w:sz w:val="1"/>
                <w:szCs w:val="1"/>
                <w:color w:val="auto"/>
              </w:rPr>
            </w:pPr>
          </w:p>
        </w:tc>
        <w:tc>
          <w:tcPr>
            <w:tcW w:w="200" w:type="dxa"/>
            <w:vAlign w:val="bottom"/>
            <w:tcBorders>
              <w:top w:val="single" w:sz="8" w:color="B3B3B3"/>
              <w:right w:val="single" w:sz="8" w:color="auto"/>
            </w:tcBorders>
            <w:vMerge w:val="restart"/>
            <w:shd w:val="clear" w:color="auto" w:fill="B3B3B3"/>
          </w:tcPr>
          <w:p>
            <w:pPr>
              <w:spacing w:after="0" w:line="20" w:lineRule="exact"/>
              <w:rPr>
                <w:sz w:val="1"/>
                <w:szCs w:val="1"/>
                <w:color w:val="auto"/>
              </w:rPr>
            </w:pPr>
          </w:p>
        </w:tc>
        <w:tc>
          <w:tcPr>
            <w:tcW w:w="40" w:type="dxa"/>
            <w:vAlign w:val="bottom"/>
            <w:tcBorders>
              <w:top w:val="single" w:sz="8" w:color="B3B3B3"/>
            </w:tcBorders>
            <w:vMerge w:val="restart"/>
            <w:shd w:val="clear" w:color="auto" w:fill="B3B3B3"/>
          </w:tcPr>
          <w:p>
            <w:pPr>
              <w:spacing w:after="0" w:line="20" w:lineRule="exact"/>
              <w:rPr>
                <w:sz w:val="1"/>
                <w:szCs w:val="1"/>
                <w:color w:val="auto"/>
              </w:rPr>
            </w:pPr>
          </w:p>
        </w:tc>
        <w:tc>
          <w:tcPr>
            <w:tcW w:w="460" w:type="dxa"/>
            <w:vAlign w:val="bottom"/>
            <w:tcBorders>
              <w:top w:val="single" w:sz="8" w:color="auto"/>
            </w:tcBorders>
            <w:vMerge w:val="restart"/>
            <w:shd w:val="clear" w:color="auto" w:fill="B3B3B3"/>
          </w:tcPr>
          <w:p>
            <w:pPr>
              <w:spacing w:after="0" w:line="20" w:lineRule="exact"/>
              <w:rPr>
                <w:sz w:val="1"/>
                <w:szCs w:val="1"/>
                <w:color w:val="auto"/>
              </w:rPr>
            </w:pPr>
          </w:p>
        </w:tc>
        <w:tc>
          <w:tcPr>
            <w:tcW w:w="700" w:type="dxa"/>
            <w:vAlign w:val="bottom"/>
            <w:tcBorders>
              <w:top w:val="single" w:sz="8" w:color="auto"/>
            </w:tcBorders>
            <w:vMerge w:val="restart"/>
            <w:shd w:val="clear" w:color="auto" w:fill="B3B3B3"/>
          </w:tcPr>
          <w:p>
            <w:pPr>
              <w:jc w:val="center"/>
              <w:spacing w:after="0" w:line="169" w:lineRule="exact"/>
              <w:rPr>
                <w:sz w:val="20"/>
                <w:szCs w:val="20"/>
                <w:color w:val="auto"/>
              </w:rPr>
            </w:pPr>
            <w:r>
              <w:rPr>
                <w:rFonts w:ascii="Times New Roman" w:cs="Times New Roman" w:eastAsia="Times New Roman" w:hAnsi="Times New Roman"/>
                <w:sz w:val="19"/>
                <w:szCs w:val="19"/>
                <w:color w:val="auto"/>
              </w:rPr>
              <w:t>of Credit</w:t>
            </w:r>
          </w:p>
        </w:tc>
        <w:tc>
          <w:tcPr>
            <w:tcW w:w="520" w:type="dxa"/>
            <w:vAlign w:val="bottom"/>
            <w:tcBorders>
              <w:top w:val="single" w:sz="8" w:color="auto"/>
              <w:right w:val="single" w:sz="8" w:color="auto"/>
            </w:tcBorders>
            <w:vMerge w:val="restart"/>
            <w:shd w:val="clear" w:color="auto" w:fill="B3B3B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 w:type="dxa"/>
            <w:vAlign w:val="bottom"/>
            <w:tcBorders>
              <w:left w:val="single" w:sz="8" w:color="auto"/>
              <w:bottom w:val="single" w:sz="8" w:color="B3B3B3"/>
            </w:tcBorders>
            <w:shd w:val="clear" w:color="auto" w:fill="B3B3B3"/>
          </w:tcPr>
          <w:p>
            <w:pPr>
              <w:spacing w:after="0"/>
              <w:rPr>
                <w:sz w:val="14"/>
                <w:szCs w:val="14"/>
                <w:color w:val="auto"/>
              </w:rPr>
            </w:pPr>
          </w:p>
        </w:tc>
        <w:tc>
          <w:tcPr>
            <w:tcW w:w="120" w:type="dxa"/>
            <w:vAlign w:val="bottom"/>
            <w:tcBorders>
              <w:bottom w:val="single" w:sz="8" w:color="B3B3B3"/>
            </w:tcBorders>
            <w:shd w:val="clear" w:color="auto" w:fill="B3B3B3"/>
          </w:tcPr>
          <w:p>
            <w:pPr>
              <w:spacing w:after="0"/>
              <w:rPr>
                <w:sz w:val="14"/>
                <w:szCs w:val="14"/>
                <w:color w:val="auto"/>
              </w:rPr>
            </w:pPr>
          </w:p>
        </w:tc>
        <w:tc>
          <w:tcPr>
            <w:tcW w:w="160" w:type="dxa"/>
            <w:vAlign w:val="bottom"/>
            <w:tcBorders>
              <w:bottom w:val="single" w:sz="8" w:color="B3B3B3"/>
            </w:tcBorders>
            <w:shd w:val="clear" w:color="auto" w:fill="B3B3B3"/>
          </w:tcPr>
          <w:p>
            <w:pPr>
              <w:spacing w:after="0"/>
              <w:rPr>
                <w:sz w:val="14"/>
                <w:szCs w:val="14"/>
                <w:color w:val="auto"/>
              </w:rPr>
            </w:pPr>
          </w:p>
        </w:tc>
        <w:tc>
          <w:tcPr>
            <w:tcW w:w="60" w:type="dxa"/>
            <w:vAlign w:val="bottom"/>
            <w:tcBorders>
              <w:bottom w:val="single" w:sz="8" w:color="B3B3B3"/>
            </w:tcBorders>
            <w:shd w:val="clear" w:color="auto" w:fill="B3B3B3"/>
          </w:tcPr>
          <w:p>
            <w:pPr>
              <w:spacing w:after="0"/>
              <w:rPr>
                <w:sz w:val="14"/>
                <w:szCs w:val="14"/>
                <w:color w:val="auto"/>
              </w:rPr>
            </w:pPr>
          </w:p>
        </w:tc>
        <w:tc>
          <w:tcPr>
            <w:tcW w:w="880" w:type="dxa"/>
            <w:vAlign w:val="bottom"/>
            <w:tcBorders>
              <w:bottom w:val="single" w:sz="8" w:color="B3B3B3"/>
            </w:tcBorders>
            <w:shd w:val="clear" w:color="auto" w:fill="B3B3B3"/>
          </w:tcPr>
          <w:p>
            <w:pPr>
              <w:spacing w:after="0"/>
              <w:rPr>
                <w:sz w:val="14"/>
                <w:szCs w:val="14"/>
                <w:color w:val="auto"/>
              </w:rPr>
            </w:pPr>
          </w:p>
        </w:tc>
        <w:tc>
          <w:tcPr>
            <w:tcW w:w="60" w:type="dxa"/>
            <w:vAlign w:val="bottom"/>
            <w:tcBorders>
              <w:bottom w:val="single" w:sz="8" w:color="B3B3B3"/>
            </w:tcBorders>
            <w:shd w:val="clear" w:color="auto" w:fill="B3B3B3"/>
          </w:tcPr>
          <w:p>
            <w:pPr>
              <w:spacing w:after="0"/>
              <w:rPr>
                <w:sz w:val="14"/>
                <w:szCs w:val="14"/>
                <w:color w:val="auto"/>
              </w:rPr>
            </w:pPr>
          </w:p>
        </w:tc>
        <w:tc>
          <w:tcPr>
            <w:tcW w:w="140" w:type="dxa"/>
            <w:vAlign w:val="bottom"/>
            <w:tcBorders>
              <w:bottom w:val="single" w:sz="8" w:color="B3B3B3"/>
            </w:tcBorders>
            <w:shd w:val="clear" w:color="auto" w:fill="B3B3B3"/>
          </w:tcPr>
          <w:p>
            <w:pPr>
              <w:spacing w:after="0"/>
              <w:rPr>
                <w:sz w:val="14"/>
                <w:szCs w:val="14"/>
                <w:color w:val="auto"/>
              </w:rPr>
            </w:pPr>
          </w:p>
        </w:tc>
        <w:tc>
          <w:tcPr>
            <w:tcW w:w="120" w:type="dxa"/>
            <w:vAlign w:val="bottom"/>
            <w:tcBorders>
              <w:bottom w:val="single" w:sz="8" w:color="B3B3B3"/>
            </w:tcBorders>
            <w:shd w:val="clear" w:color="auto" w:fill="B3B3B3"/>
          </w:tcPr>
          <w:p>
            <w:pPr>
              <w:spacing w:after="0"/>
              <w:rPr>
                <w:sz w:val="14"/>
                <w:szCs w:val="14"/>
                <w:color w:val="auto"/>
              </w:rPr>
            </w:pPr>
          </w:p>
        </w:tc>
        <w:tc>
          <w:tcPr>
            <w:tcW w:w="340" w:type="dxa"/>
            <w:vAlign w:val="bottom"/>
            <w:tcBorders>
              <w:bottom w:val="single" w:sz="8" w:color="B3B3B3"/>
              <w:right w:val="single" w:sz="8" w:color="auto"/>
            </w:tcBorders>
            <w:shd w:val="clear" w:color="auto" w:fill="B3B3B3"/>
          </w:tcPr>
          <w:p>
            <w:pPr>
              <w:spacing w:after="0"/>
              <w:rPr>
                <w:sz w:val="14"/>
                <w:szCs w:val="14"/>
                <w:color w:val="auto"/>
              </w:rPr>
            </w:pPr>
          </w:p>
        </w:tc>
        <w:tc>
          <w:tcPr>
            <w:tcW w:w="200" w:type="dxa"/>
            <w:vAlign w:val="bottom"/>
            <w:tcBorders>
              <w:bottom w:val="single" w:sz="8" w:color="B3B3B3"/>
            </w:tcBorders>
            <w:shd w:val="clear" w:color="auto" w:fill="B3B3B3"/>
          </w:tcPr>
          <w:p>
            <w:pPr>
              <w:spacing w:after="0"/>
              <w:rPr>
                <w:sz w:val="14"/>
                <w:szCs w:val="14"/>
                <w:color w:val="auto"/>
              </w:rPr>
            </w:pPr>
          </w:p>
        </w:tc>
        <w:tc>
          <w:tcPr>
            <w:tcW w:w="620" w:type="dxa"/>
            <w:vAlign w:val="bottom"/>
            <w:tcBorders>
              <w:bottom w:val="single" w:sz="8" w:color="B3B3B3"/>
            </w:tcBorders>
            <w:vMerge w:val="restart"/>
            <w:shd w:val="clear" w:color="auto" w:fill="B3B3B3"/>
          </w:tcPr>
          <w:p>
            <w:pPr>
              <w:spacing w:after="0"/>
              <w:rPr>
                <w:sz w:val="14"/>
                <w:szCs w:val="14"/>
                <w:color w:val="auto"/>
              </w:rPr>
            </w:pPr>
          </w:p>
        </w:tc>
        <w:tc>
          <w:tcPr>
            <w:tcW w:w="560" w:type="dxa"/>
            <w:vAlign w:val="bottom"/>
            <w:tcBorders>
              <w:bottom w:val="single" w:sz="8" w:color="B3B3B3"/>
            </w:tcBorders>
            <w:vMerge w:val="restart"/>
            <w:shd w:val="clear" w:color="auto" w:fill="B3B3B3"/>
          </w:tcPr>
          <w:p>
            <w:pPr>
              <w:jc w:val="center"/>
              <w:spacing w:after="0"/>
              <w:rPr>
                <w:sz w:val="20"/>
                <w:szCs w:val="20"/>
                <w:color w:val="auto"/>
              </w:rPr>
            </w:pPr>
            <w:r>
              <w:rPr>
                <w:rFonts w:ascii="Times New Roman" w:cs="Times New Roman" w:eastAsia="Times New Roman" w:hAnsi="Times New Roman"/>
                <w:sz w:val="20"/>
                <w:szCs w:val="20"/>
                <w:color w:val="auto"/>
              </w:rPr>
              <w:t>Spread</w:t>
            </w:r>
          </w:p>
        </w:tc>
        <w:tc>
          <w:tcPr>
            <w:tcW w:w="620" w:type="dxa"/>
            <w:vAlign w:val="bottom"/>
            <w:tcBorders>
              <w:bottom w:val="single" w:sz="8" w:color="B3B3B3"/>
            </w:tcBorders>
            <w:vMerge w:val="restart"/>
            <w:shd w:val="clear" w:color="auto" w:fill="B3B3B3"/>
          </w:tcPr>
          <w:p>
            <w:pPr>
              <w:spacing w:after="0"/>
              <w:rPr>
                <w:sz w:val="14"/>
                <w:szCs w:val="14"/>
                <w:color w:val="auto"/>
              </w:rPr>
            </w:pPr>
          </w:p>
        </w:tc>
        <w:tc>
          <w:tcPr>
            <w:tcW w:w="220" w:type="dxa"/>
            <w:vAlign w:val="bottom"/>
            <w:tcBorders>
              <w:bottom w:val="single" w:sz="8" w:color="B3B3B3"/>
              <w:right w:val="single" w:sz="8" w:color="auto"/>
            </w:tcBorders>
            <w:vMerge w:val="restart"/>
            <w:shd w:val="clear" w:color="auto" w:fill="B3B3B3"/>
          </w:tcPr>
          <w:p>
            <w:pPr>
              <w:spacing w:after="0"/>
              <w:rPr>
                <w:sz w:val="14"/>
                <w:szCs w:val="14"/>
                <w:color w:val="auto"/>
              </w:rPr>
            </w:pPr>
          </w:p>
        </w:tc>
        <w:tc>
          <w:tcPr>
            <w:tcW w:w="120" w:type="dxa"/>
            <w:vAlign w:val="bottom"/>
            <w:tcBorders>
              <w:bottom w:val="single" w:sz="8" w:color="B3B3B3"/>
            </w:tcBorders>
            <w:shd w:val="clear" w:color="auto" w:fill="B3B3B3"/>
          </w:tcPr>
          <w:p>
            <w:pPr>
              <w:spacing w:after="0"/>
              <w:rPr>
                <w:sz w:val="14"/>
                <w:szCs w:val="14"/>
                <w:color w:val="auto"/>
              </w:rPr>
            </w:pPr>
          </w:p>
        </w:tc>
        <w:tc>
          <w:tcPr>
            <w:tcW w:w="1260" w:type="dxa"/>
            <w:vAlign w:val="bottom"/>
            <w:tcBorders>
              <w:bottom w:val="single" w:sz="8" w:color="B3B3B3"/>
            </w:tcBorders>
            <w:gridSpan w:val="7"/>
            <w:vMerge w:val="restart"/>
            <w:shd w:val="clear" w:color="auto" w:fill="B3B3B3"/>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Canadian Prime</w:t>
            </w:r>
          </w:p>
        </w:tc>
        <w:tc>
          <w:tcPr>
            <w:tcW w:w="140" w:type="dxa"/>
            <w:vAlign w:val="bottom"/>
            <w:tcBorders>
              <w:bottom w:val="single" w:sz="8" w:color="B3B3B3"/>
              <w:right w:val="single" w:sz="8" w:color="auto"/>
            </w:tcBorders>
            <w:vMerge w:val="restart"/>
            <w:shd w:val="clear" w:color="auto" w:fill="B3B3B3"/>
          </w:tcPr>
          <w:p>
            <w:pPr>
              <w:spacing w:after="0"/>
              <w:rPr>
                <w:sz w:val="14"/>
                <w:szCs w:val="14"/>
                <w:color w:val="auto"/>
              </w:rPr>
            </w:pPr>
          </w:p>
        </w:tc>
        <w:tc>
          <w:tcPr>
            <w:tcW w:w="200" w:type="dxa"/>
            <w:vAlign w:val="bottom"/>
            <w:tcBorders>
              <w:bottom w:val="single" w:sz="8" w:color="B3B3B3"/>
            </w:tcBorders>
            <w:vMerge w:val="continue"/>
            <w:shd w:val="clear" w:color="auto" w:fill="B3B3B3"/>
          </w:tcPr>
          <w:p>
            <w:pPr>
              <w:spacing w:after="0"/>
              <w:rPr>
                <w:sz w:val="14"/>
                <w:szCs w:val="14"/>
                <w:color w:val="auto"/>
              </w:rPr>
            </w:pPr>
          </w:p>
        </w:tc>
        <w:tc>
          <w:tcPr>
            <w:tcW w:w="500" w:type="dxa"/>
            <w:vAlign w:val="bottom"/>
            <w:tcBorders>
              <w:bottom w:val="single" w:sz="8" w:color="B3B3B3"/>
            </w:tcBorders>
            <w:vMerge w:val="continue"/>
            <w:shd w:val="clear" w:color="auto" w:fill="B3B3B3"/>
          </w:tcPr>
          <w:p>
            <w:pPr>
              <w:spacing w:after="0"/>
              <w:rPr>
                <w:sz w:val="14"/>
                <w:szCs w:val="14"/>
                <w:color w:val="auto"/>
              </w:rPr>
            </w:pPr>
          </w:p>
        </w:tc>
        <w:tc>
          <w:tcPr>
            <w:tcW w:w="360" w:type="dxa"/>
            <w:vAlign w:val="bottom"/>
            <w:tcBorders>
              <w:bottom w:val="single" w:sz="8" w:color="auto"/>
            </w:tcBorders>
            <w:vMerge w:val="continue"/>
            <w:shd w:val="clear" w:color="auto" w:fill="B3B3B3"/>
          </w:tcPr>
          <w:p>
            <w:pPr>
              <w:spacing w:after="0"/>
              <w:rPr>
                <w:sz w:val="14"/>
                <w:szCs w:val="14"/>
                <w:color w:val="auto"/>
              </w:rPr>
            </w:pPr>
          </w:p>
        </w:tc>
        <w:tc>
          <w:tcPr>
            <w:tcW w:w="520" w:type="dxa"/>
            <w:vAlign w:val="bottom"/>
            <w:tcBorders>
              <w:bottom w:val="single" w:sz="8" w:color="auto"/>
            </w:tcBorders>
            <w:vMerge w:val="continue"/>
            <w:shd w:val="clear" w:color="auto" w:fill="B3B3B3"/>
          </w:tcPr>
          <w:p>
            <w:pPr>
              <w:spacing w:after="0"/>
              <w:rPr>
                <w:sz w:val="14"/>
                <w:szCs w:val="14"/>
                <w:color w:val="auto"/>
              </w:rPr>
            </w:pPr>
          </w:p>
        </w:tc>
        <w:tc>
          <w:tcPr>
            <w:tcW w:w="220" w:type="dxa"/>
            <w:vAlign w:val="bottom"/>
            <w:tcBorders>
              <w:bottom w:val="single" w:sz="8" w:color="B3B3B3"/>
              <w:right w:val="single" w:sz="8" w:color="auto"/>
            </w:tcBorders>
            <w:vMerge w:val="continue"/>
            <w:shd w:val="clear" w:color="auto" w:fill="B3B3B3"/>
          </w:tcPr>
          <w:p>
            <w:pPr>
              <w:spacing w:after="0"/>
              <w:rPr>
                <w:sz w:val="14"/>
                <w:szCs w:val="14"/>
                <w:color w:val="auto"/>
              </w:rPr>
            </w:pPr>
          </w:p>
        </w:tc>
        <w:tc>
          <w:tcPr>
            <w:tcW w:w="180" w:type="dxa"/>
            <w:vAlign w:val="bottom"/>
            <w:tcBorders>
              <w:bottom w:val="single" w:sz="8" w:color="B3B3B3"/>
            </w:tcBorders>
            <w:vMerge w:val="continue"/>
            <w:shd w:val="clear" w:color="auto" w:fill="B3B3B3"/>
          </w:tcPr>
          <w:p>
            <w:pPr>
              <w:spacing w:after="0"/>
              <w:rPr>
                <w:sz w:val="14"/>
                <w:szCs w:val="14"/>
                <w:color w:val="auto"/>
              </w:rPr>
            </w:pPr>
          </w:p>
        </w:tc>
        <w:tc>
          <w:tcPr>
            <w:tcW w:w="40" w:type="dxa"/>
            <w:vAlign w:val="bottom"/>
            <w:tcBorders>
              <w:bottom w:val="single" w:sz="8" w:color="auto"/>
            </w:tcBorders>
            <w:vMerge w:val="continue"/>
            <w:shd w:val="clear" w:color="auto" w:fill="B3B3B3"/>
          </w:tcPr>
          <w:p>
            <w:pPr>
              <w:spacing w:after="0"/>
              <w:rPr>
                <w:sz w:val="14"/>
                <w:szCs w:val="14"/>
                <w:color w:val="auto"/>
              </w:rPr>
            </w:pPr>
          </w:p>
        </w:tc>
        <w:tc>
          <w:tcPr>
            <w:tcW w:w="1320" w:type="dxa"/>
            <w:vAlign w:val="bottom"/>
            <w:tcBorders>
              <w:bottom w:val="single" w:sz="8" w:color="auto"/>
            </w:tcBorders>
            <w:vMerge w:val="continue"/>
            <w:shd w:val="clear" w:color="auto" w:fill="B3B3B3"/>
          </w:tcPr>
          <w:p>
            <w:pPr>
              <w:spacing w:after="0"/>
              <w:rPr>
                <w:sz w:val="14"/>
                <w:szCs w:val="14"/>
                <w:color w:val="auto"/>
              </w:rPr>
            </w:pPr>
          </w:p>
        </w:tc>
        <w:tc>
          <w:tcPr>
            <w:tcW w:w="40" w:type="dxa"/>
            <w:vAlign w:val="bottom"/>
            <w:tcBorders>
              <w:bottom w:val="single" w:sz="8" w:color="auto"/>
            </w:tcBorders>
            <w:vMerge w:val="continue"/>
            <w:shd w:val="clear" w:color="auto" w:fill="B3B3B3"/>
          </w:tcPr>
          <w:p>
            <w:pPr>
              <w:spacing w:after="0"/>
              <w:rPr>
                <w:sz w:val="14"/>
                <w:szCs w:val="14"/>
                <w:color w:val="auto"/>
              </w:rPr>
            </w:pPr>
          </w:p>
        </w:tc>
        <w:tc>
          <w:tcPr>
            <w:tcW w:w="200" w:type="dxa"/>
            <w:vAlign w:val="bottom"/>
            <w:tcBorders>
              <w:bottom w:val="single" w:sz="8" w:color="B3B3B3"/>
              <w:right w:val="single" w:sz="8" w:color="auto"/>
            </w:tcBorders>
            <w:vMerge w:val="continue"/>
            <w:shd w:val="clear" w:color="auto" w:fill="B3B3B3"/>
          </w:tcPr>
          <w:p>
            <w:pPr>
              <w:spacing w:after="0"/>
              <w:rPr>
                <w:sz w:val="14"/>
                <w:szCs w:val="14"/>
                <w:color w:val="auto"/>
              </w:rPr>
            </w:pPr>
          </w:p>
        </w:tc>
        <w:tc>
          <w:tcPr>
            <w:tcW w:w="40" w:type="dxa"/>
            <w:vAlign w:val="bottom"/>
            <w:tcBorders>
              <w:bottom w:val="single" w:sz="8" w:color="B3B3B3"/>
            </w:tcBorders>
            <w:vMerge w:val="continue"/>
            <w:shd w:val="clear" w:color="auto" w:fill="B3B3B3"/>
          </w:tcPr>
          <w:p>
            <w:pPr>
              <w:spacing w:after="0"/>
              <w:rPr>
                <w:sz w:val="14"/>
                <w:szCs w:val="14"/>
                <w:color w:val="auto"/>
              </w:rPr>
            </w:pPr>
          </w:p>
        </w:tc>
        <w:tc>
          <w:tcPr>
            <w:tcW w:w="460" w:type="dxa"/>
            <w:vAlign w:val="bottom"/>
            <w:tcBorders>
              <w:bottom w:val="single" w:sz="8" w:color="auto"/>
            </w:tcBorders>
            <w:vMerge w:val="continue"/>
            <w:shd w:val="clear" w:color="auto" w:fill="B3B3B3"/>
          </w:tcPr>
          <w:p>
            <w:pPr>
              <w:spacing w:after="0"/>
              <w:rPr>
                <w:sz w:val="14"/>
                <w:szCs w:val="14"/>
                <w:color w:val="auto"/>
              </w:rPr>
            </w:pPr>
          </w:p>
        </w:tc>
        <w:tc>
          <w:tcPr>
            <w:tcW w:w="700" w:type="dxa"/>
            <w:vAlign w:val="bottom"/>
            <w:tcBorders>
              <w:bottom w:val="single" w:sz="8" w:color="auto"/>
            </w:tcBorders>
            <w:vMerge w:val="continue"/>
            <w:shd w:val="clear" w:color="auto" w:fill="B3B3B3"/>
          </w:tcPr>
          <w:p>
            <w:pPr>
              <w:spacing w:after="0"/>
              <w:rPr>
                <w:sz w:val="14"/>
                <w:szCs w:val="14"/>
                <w:color w:val="auto"/>
              </w:rPr>
            </w:pPr>
          </w:p>
        </w:tc>
        <w:tc>
          <w:tcPr>
            <w:tcW w:w="520" w:type="dxa"/>
            <w:vAlign w:val="bottom"/>
            <w:tcBorders>
              <w:bottom w:val="single" w:sz="8" w:color="auto"/>
              <w:right w:val="single" w:sz="8" w:color="auto"/>
            </w:tcBorders>
            <w:vMerge w:val="continue"/>
            <w:shd w:val="clear" w:color="auto" w:fill="B3B3B3"/>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Borders>
              <w:left w:val="single" w:sz="8" w:color="auto"/>
              <w:bottom w:val="single" w:sz="8" w:color="B3B3B3"/>
            </w:tcBorders>
            <w:shd w:val="clear" w:color="auto" w:fill="B3B3B3"/>
          </w:tcPr>
          <w:p>
            <w:pPr>
              <w:spacing w:after="0"/>
              <w:rPr>
                <w:sz w:val="2"/>
                <w:szCs w:val="2"/>
                <w:color w:val="auto"/>
              </w:rPr>
            </w:pPr>
          </w:p>
        </w:tc>
        <w:tc>
          <w:tcPr>
            <w:tcW w:w="120" w:type="dxa"/>
            <w:vAlign w:val="bottom"/>
            <w:tcBorders>
              <w:bottom w:val="single" w:sz="8" w:color="B3B3B3"/>
            </w:tcBorders>
            <w:shd w:val="clear" w:color="auto" w:fill="B3B3B3"/>
          </w:tcPr>
          <w:p>
            <w:pPr>
              <w:spacing w:after="0"/>
              <w:rPr>
                <w:sz w:val="2"/>
                <w:szCs w:val="2"/>
                <w:color w:val="auto"/>
              </w:rPr>
            </w:pPr>
          </w:p>
        </w:tc>
        <w:tc>
          <w:tcPr>
            <w:tcW w:w="160" w:type="dxa"/>
            <w:vAlign w:val="bottom"/>
            <w:tcBorders>
              <w:bottom w:val="single" w:sz="8" w:color="B3B3B3"/>
            </w:tcBorders>
            <w:shd w:val="clear" w:color="auto" w:fill="B3B3B3"/>
          </w:tcPr>
          <w:p>
            <w:pPr>
              <w:spacing w:after="0"/>
              <w:rPr>
                <w:sz w:val="2"/>
                <w:szCs w:val="2"/>
                <w:color w:val="auto"/>
              </w:rPr>
            </w:pPr>
          </w:p>
        </w:tc>
        <w:tc>
          <w:tcPr>
            <w:tcW w:w="60" w:type="dxa"/>
            <w:vAlign w:val="bottom"/>
            <w:tcBorders>
              <w:bottom w:val="single" w:sz="8" w:color="B3B3B3"/>
            </w:tcBorders>
            <w:shd w:val="clear" w:color="auto" w:fill="B3B3B3"/>
          </w:tcPr>
          <w:p>
            <w:pPr>
              <w:spacing w:after="0"/>
              <w:rPr>
                <w:sz w:val="2"/>
                <w:szCs w:val="2"/>
                <w:color w:val="auto"/>
              </w:rPr>
            </w:pPr>
          </w:p>
        </w:tc>
        <w:tc>
          <w:tcPr>
            <w:tcW w:w="880" w:type="dxa"/>
            <w:vAlign w:val="bottom"/>
            <w:tcBorders>
              <w:bottom w:val="single" w:sz="8" w:color="B3B3B3"/>
            </w:tcBorders>
            <w:shd w:val="clear" w:color="auto" w:fill="B3B3B3"/>
          </w:tcPr>
          <w:p>
            <w:pPr>
              <w:spacing w:after="0"/>
              <w:rPr>
                <w:sz w:val="2"/>
                <w:szCs w:val="2"/>
                <w:color w:val="auto"/>
              </w:rPr>
            </w:pPr>
          </w:p>
        </w:tc>
        <w:tc>
          <w:tcPr>
            <w:tcW w:w="60" w:type="dxa"/>
            <w:vAlign w:val="bottom"/>
            <w:tcBorders>
              <w:bottom w:val="single" w:sz="8" w:color="B3B3B3"/>
            </w:tcBorders>
            <w:shd w:val="clear" w:color="auto" w:fill="B3B3B3"/>
          </w:tcPr>
          <w:p>
            <w:pPr>
              <w:spacing w:after="0"/>
              <w:rPr>
                <w:sz w:val="2"/>
                <w:szCs w:val="2"/>
                <w:color w:val="auto"/>
              </w:rPr>
            </w:pPr>
          </w:p>
        </w:tc>
        <w:tc>
          <w:tcPr>
            <w:tcW w:w="140" w:type="dxa"/>
            <w:vAlign w:val="bottom"/>
            <w:tcBorders>
              <w:bottom w:val="single" w:sz="8" w:color="B3B3B3"/>
            </w:tcBorders>
            <w:shd w:val="clear" w:color="auto" w:fill="B3B3B3"/>
          </w:tcPr>
          <w:p>
            <w:pPr>
              <w:spacing w:after="0"/>
              <w:rPr>
                <w:sz w:val="2"/>
                <w:szCs w:val="2"/>
                <w:color w:val="auto"/>
              </w:rPr>
            </w:pPr>
          </w:p>
        </w:tc>
        <w:tc>
          <w:tcPr>
            <w:tcW w:w="120" w:type="dxa"/>
            <w:vAlign w:val="bottom"/>
            <w:tcBorders>
              <w:bottom w:val="single" w:sz="8" w:color="B3B3B3"/>
            </w:tcBorders>
            <w:shd w:val="clear" w:color="auto" w:fill="B3B3B3"/>
          </w:tcPr>
          <w:p>
            <w:pPr>
              <w:spacing w:after="0"/>
              <w:rPr>
                <w:sz w:val="2"/>
                <w:szCs w:val="2"/>
                <w:color w:val="auto"/>
              </w:rPr>
            </w:pPr>
          </w:p>
        </w:tc>
        <w:tc>
          <w:tcPr>
            <w:tcW w:w="340" w:type="dxa"/>
            <w:vAlign w:val="bottom"/>
            <w:tcBorders>
              <w:bottom w:val="single" w:sz="8" w:color="B3B3B3"/>
              <w:right w:val="single" w:sz="8" w:color="auto"/>
            </w:tcBorders>
            <w:shd w:val="clear" w:color="auto" w:fill="B3B3B3"/>
          </w:tcPr>
          <w:p>
            <w:pPr>
              <w:spacing w:after="0"/>
              <w:rPr>
                <w:sz w:val="2"/>
                <w:szCs w:val="2"/>
                <w:color w:val="auto"/>
              </w:rPr>
            </w:pPr>
          </w:p>
        </w:tc>
        <w:tc>
          <w:tcPr>
            <w:tcW w:w="200" w:type="dxa"/>
            <w:vAlign w:val="bottom"/>
            <w:tcBorders>
              <w:bottom w:val="single" w:sz="8" w:color="B3B3B3"/>
            </w:tcBorders>
            <w:shd w:val="clear" w:color="auto" w:fill="B3B3B3"/>
          </w:tcPr>
          <w:p>
            <w:pPr>
              <w:spacing w:after="0"/>
              <w:rPr>
                <w:sz w:val="2"/>
                <w:szCs w:val="2"/>
                <w:color w:val="auto"/>
              </w:rPr>
            </w:pPr>
          </w:p>
        </w:tc>
        <w:tc>
          <w:tcPr>
            <w:tcW w:w="620" w:type="dxa"/>
            <w:vAlign w:val="bottom"/>
            <w:tcBorders>
              <w:bottom w:val="single" w:sz="8" w:color="B3B3B3"/>
            </w:tcBorders>
            <w:vMerge w:val="continue"/>
            <w:shd w:val="clear" w:color="auto" w:fill="B3B3B3"/>
          </w:tcPr>
          <w:p>
            <w:pPr>
              <w:spacing w:after="0"/>
              <w:rPr>
                <w:sz w:val="2"/>
                <w:szCs w:val="2"/>
                <w:color w:val="auto"/>
              </w:rPr>
            </w:pPr>
          </w:p>
        </w:tc>
        <w:tc>
          <w:tcPr>
            <w:tcW w:w="560" w:type="dxa"/>
            <w:vAlign w:val="bottom"/>
            <w:tcBorders>
              <w:bottom w:val="single" w:sz="8" w:color="B3B3B3"/>
            </w:tcBorders>
            <w:vMerge w:val="continue"/>
            <w:shd w:val="clear" w:color="auto" w:fill="B3B3B3"/>
          </w:tcPr>
          <w:p>
            <w:pPr>
              <w:spacing w:after="0"/>
              <w:rPr>
                <w:sz w:val="2"/>
                <w:szCs w:val="2"/>
                <w:color w:val="auto"/>
              </w:rPr>
            </w:pPr>
          </w:p>
        </w:tc>
        <w:tc>
          <w:tcPr>
            <w:tcW w:w="620" w:type="dxa"/>
            <w:vAlign w:val="bottom"/>
            <w:tcBorders>
              <w:bottom w:val="single" w:sz="8" w:color="B3B3B3"/>
            </w:tcBorders>
            <w:vMerge w:val="continue"/>
            <w:shd w:val="clear" w:color="auto" w:fill="B3B3B3"/>
          </w:tcPr>
          <w:p>
            <w:pPr>
              <w:spacing w:after="0"/>
              <w:rPr>
                <w:sz w:val="2"/>
                <w:szCs w:val="2"/>
                <w:color w:val="auto"/>
              </w:rPr>
            </w:pPr>
          </w:p>
        </w:tc>
        <w:tc>
          <w:tcPr>
            <w:tcW w:w="220" w:type="dxa"/>
            <w:vAlign w:val="bottom"/>
            <w:tcBorders>
              <w:bottom w:val="single" w:sz="8" w:color="B3B3B3"/>
              <w:right w:val="single" w:sz="8" w:color="auto"/>
            </w:tcBorders>
            <w:vMerge w:val="continue"/>
            <w:shd w:val="clear" w:color="auto" w:fill="B3B3B3"/>
          </w:tcPr>
          <w:p>
            <w:pPr>
              <w:spacing w:after="0"/>
              <w:rPr>
                <w:sz w:val="2"/>
                <w:szCs w:val="2"/>
                <w:color w:val="auto"/>
              </w:rPr>
            </w:pPr>
          </w:p>
        </w:tc>
        <w:tc>
          <w:tcPr>
            <w:tcW w:w="120" w:type="dxa"/>
            <w:vAlign w:val="bottom"/>
            <w:tcBorders>
              <w:bottom w:val="single" w:sz="8" w:color="B3B3B3"/>
            </w:tcBorders>
            <w:shd w:val="clear" w:color="auto" w:fill="B3B3B3"/>
          </w:tcPr>
          <w:p>
            <w:pPr>
              <w:spacing w:after="0"/>
              <w:rPr>
                <w:sz w:val="2"/>
                <w:szCs w:val="2"/>
                <w:color w:val="auto"/>
              </w:rPr>
            </w:pPr>
          </w:p>
        </w:tc>
        <w:tc>
          <w:tcPr>
            <w:tcW w:w="1260" w:type="dxa"/>
            <w:vAlign w:val="bottom"/>
            <w:tcBorders>
              <w:bottom w:val="single" w:sz="8" w:color="auto"/>
            </w:tcBorders>
            <w:gridSpan w:val="7"/>
            <w:vMerge w:val="continue"/>
            <w:shd w:val="clear" w:color="auto" w:fill="B3B3B3"/>
          </w:tcPr>
          <w:p>
            <w:pPr>
              <w:spacing w:after="0"/>
              <w:rPr>
                <w:sz w:val="2"/>
                <w:szCs w:val="2"/>
                <w:color w:val="auto"/>
              </w:rPr>
            </w:pPr>
          </w:p>
        </w:tc>
        <w:tc>
          <w:tcPr>
            <w:tcW w:w="140" w:type="dxa"/>
            <w:vAlign w:val="bottom"/>
            <w:tcBorders>
              <w:bottom w:val="single" w:sz="8" w:color="B3B3B3"/>
              <w:right w:val="single" w:sz="8" w:color="auto"/>
            </w:tcBorders>
            <w:vMerge w:val="continue"/>
            <w:shd w:val="clear" w:color="auto" w:fill="B3B3B3"/>
          </w:tcPr>
          <w:p>
            <w:pPr>
              <w:spacing w:after="0"/>
              <w:rPr>
                <w:sz w:val="2"/>
                <w:szCs w:val="2"/>
                <w:color w:val="auto"/>
              </w:rPr>
            </w:pPr>
          </w:p>
        </w:tc>
        <w:tc>
          <w:tcPr>
            <w:tcW w:w="200" w:type="dxa"/>
            <w:vAlign w:val="bottom"/>
            <w:tcBorders>
              <w:bottom w:val="single" w:sz="8" w:color="B3B3B3"/>
            </w:tcBorders>
            <w:shd w:val="clear" w:color="auto" w:fill="B3B3B3"/>
          </w:tcPr>
          <w:p>
            <w:pPr>
              <w:spacing w:after="0"/>
              <w:rPr>
                <w:sz w:val="2"/>
                <w:szCs w:val="2"/>
                <w:color w:val="auto"/>
              </w:rPr>
            </w:pPr>
          </w:p>
        </w:tc>
        <w:tc>
          <w:tcPr>
            <w:tcW w:w="500" w:type="dxa"/>
            <w:vAlign w:val="bottom"/>
            <w:tcBorders>
              <w:bottom w:val="single" w:sz="8" w:color="B3B3B3"/>
            </w:tcBorders>
            <w:shd w:val="clear" w:color="auto" w:fill="B3B3B3"/>
          </w:tcPr>
          <w:p>
            <w:pPr>
              <w:spacing w:after="0"/>
              <w:rPr>
                <w:sz w:val="2"/>
                <w:szCs w:val="2"/>
                <w:color w:val="auto"/>
              </w:rPr>
            </w:pPr>
          </w:p>
        </w:tc>
        <w:tc>
          <w:tcPr>
            <w:tcW w:w="360" w:type="dxa"/>
            <w:vAlign w:val="bottom"/>
            <w:tcBorders>
              <w:bottom w:val="single" w:sz="8" w:color="B3B3B3"/>
            </w:tcBorders>
            <w:shd w:val="clear" w:color="auto" w:fill="B3B3B3"/>
          </w:tcPr>
          <w:p>
            <w:pPr>
              <w:spacing w:after="0"/>
              <w:rPr>
                <w:sz w:val="2"/>
                <w:szCs w:val="2"/>
                <w:color w:val="auto"/>
              </w:rPr>
            </w:pPr>
          </w:p>
        </w:tc>
        <w:tc>
          <w:tcPr>
            <w:tcW w:w="520" w:type="dxa"/>
            <w:vAlign w:val="bottom"/>
            <w:tcBorders>
              <w:bottom w:val="single" w:sz="8" w:color="B3B3B3"/>
            </w:tcBorders>
            <w:vMerge w:val="continue"/>
            <w:shd w:val="clear" w:color="auto" w:fill="B3B3B3"/>
          </w:tcPr>
          <w:p>
            <w:pPr>
              <w:spacing w:after="0"/>
              <w:rPr>
                <w:sz w:val="2"/>
                <w:szCs w:val="2"/>
                <w:color w:val="auto"/>
              </w:rPr>
            </w:pPr>
          </w:p>
        </w:tc>
        <w:tc>
          <w:tcPr>
            <w:tcW w:w="220" w:type="dxa"/>
            <w:vAlign w:val="bottom"/>
            <w:tcBorders>
              <w:bottom w:val="single" w:sz="8" w:color="B3B3B3"/>
              <w:right w:val="single" w:sz="8" w:color="auto"/>
            </w:tcBorders>
            <w:shd w:val="clear" w:color="auto" w:fill="B3B3B3"/>
          </w:tcPr>
          <w:p>
            <w:pPr>
              <w:spacing w:after="0"/>
              <w:rPr>
                <w:sz w:val="2"/>
                <w:szCs w:val="2"/>
                <w:color w:val="auto"/>
              </w:rPr>
            </w:pPr>
          </w:p>
        </w:tc>
        <w:tc>
          <w:tcPr>
            <w:tcW w:w="180" w:type="dxa"/>
            <w:vAlign w:val="bottom"/>
            <w:tcBorders>
              <w:bottom w:val="single" w:sz="8" w:color="B3B3B3"/>
            </w:tcBorders>
            <w:vMerge w:val="continue"/>
            <w:shd w:val="clear" w:color="auto" w:fill="B3B3B3"/>
          </w:tcPr>
          <w:p>
            <w:pPr>
              <w:spacing w:after="0"/>
              <w:rPr>
                <w:sz w:val="2"/>
                <w:szCs w:val="2"/>
                <w:color w:val="auto"/>
              </w:rPr>
            </w:pPr>
          </w:p>
        </w:tc>
        <w:tc>
          <w:tcPr>
            <w:tcW w:w="40" w:type="dxa"/>
            <w:vAlign w:val="bottom"/>
            <w:tcBorders>
              <w:bottom w:val="single" w:sz="8" w:color="B3B3B3"/>
            </w:tcBorders>
            <w:vMerge w:val="continue"/>
            <w:shd w:val="clear" w:color="auto" w:fill="B3B3B3"/>
          </w:tcPr>
          <w:p>
            <w:pPr>
              <w:spacing w:after="0"/>
              <w:rPr>
                <w:sz w:val="2"/>
                <w:szCs w:val="2"/>
                <w:color w:val="auto"/>
              </w:rPr>
            </w:pPr>
          </w:p>
        </w:tc>
        <w:tc>
          <w:tcPr>
            <w:tcW w:w="1320" w:type="dxa"/>
            <w:vAlign w:val="bottom"/>
            <w:tcBorders>
              <w:bottom w:val="single" w:sz="8" w:color="B3B3B3"/>
            </w:tcBorders>
            <w:shd w:val="clear" w:color="auto" w:fill="B3B3B3"/>
          </w:tcPr>
          <w:p>
            <w:pPr>
              <w:spacing w:after="0"/>
              <w:rPr>
                <w:sz w:val="2"/>
                <w:szCs w:val="2"/>
                <w:color w:val="auto"/>
              </w:rPr>
            </w:pPr>
          </w:p>
        </w:tc>
        <w:tc>
          <w:tcPr>
            <w:tcW w:w="40" w:type="dxa"/>
            <w:vAlign w:val="bottom"/>
            <w:tcBorders>
              <w:bottom w:val="single" w:sz="8" w:color="B3B3B3"/>
            </w:tcBorders>
            <w:vMerge w:val="continue"/>
            <w:shd w:val="clear" w:color="auto" w:fill="B3B3B3"/>
          </w:tcPr>
          <w:p>
            <w:pPr>
              <w:spacing w:after="0"/>
              <w:rPr>
                <w:sz w:val="2"/>
                <w:szCs w:val="2"/>
                <w:color w:val="auto"/>
              </w:rPr>
            </w:pPr>
          </w:p>
        </w:tc>
        <w:tc>
          <w:tcPr>
            <w:tcW w:w="200" w:type="dxa"/>
            <w:vAlign w:val="bottom"/>
            <w:tcBorders>
              <w:bottom w:val="single" w:sz="8" w:color="B3B3B3"/>
              <w:right w:val="single" w:sz="8" w:color="auto"/>
            </w:tcBorders>
            <w:vMerge w:val="continue"/>
            <w:shd w:val="clear" w:color="auto" w:fill="B3B3B3"/>
          </w:tcPr>
          <w:p>
            <w:pPr>
              <w:spacing w:after="0"/>
              <w:rPr>
                <w:sz w:val="2"/>
                <w:szCs w:val="2"/>
                <w:color w:val="auto"/>
              </w:rPr>
            </w:pPr>
          </w:p>
        </w:tc>
        <w:tc>
          <w:tcPr>
            <w:tcW w:w="40" w:type="dxa"/>
            <w:vAlign w:val="bottom"/>
            <w:tcBorders>
              <w:bottom w:val="single" w:sz="8" w:color="B3B3B3"/>
            </w:tcBorders>
            <w:vMerge w:val="continue"/>
            <w:shd w:val="clear" w:color="auto" w:fill="B3B3B3"/>
          </w:tcPr>
          <w:p>
            <w:pPr>
              <w:spacing w:after="0"/>
              <w:rPr>
                <w:sz w:val="2"/>
                <w:szCs w:val="2"/>
                <w:color w:val="auto"/>
              </w:rPr>
            </w:pPr>
          </w:p>
        </w:tc>
        <w:tc>
          <w:tcPr>
            <w:tcW w:w="460" w:type="dxa"/>
            <w:vAlign w:val="bottom"/>
            <w:tcBorders>
              <w:bottom w:val="single" w:sz="8" w:color="B3B3B3"/>
            </w:tcBorders>
            <w:vMerge w:val="continue"/>
            <w:shd w:val="clear" w:color="auto" w:fill="B3B3B3"/>
          </w:tcPr>
          <w:p>
            <w:pPr>
              <w:spacing w:after="0"/>
              <w:rPr>
                <w:sz w:val="2"/>
                <w:szCs w:val="2"/>
                <w:color w:val="auto"/>
              </w:rPr>
            </w:pPr>
          </w:p>
        </w:tc>
        <w:tc>
          <w:tcPr>
            <w:tcW w:w="700" w:type="dxa"/>
            <w:vAlign w:val="bottom"/>
            <w:tcBorders>
              <w:bottom w:val="single" w:sz="8" w:color="B3B3B3"/>
            </w:tcBorders>
            <w:shd w:val="clear" w:color="auto" w:fill="B3B3B3"/>
          </w:tcPr>
          <w:p>
            <w:pPr>
              <w:spacing w:after="0"/>
              <w:rPr>
                <w:sz w:val="2"/>
                <w:szCs w:val="2"/>
                <w:color w:val="auto"/>
              </w:rPr>
            </w:pPr>
          </w:p>
        </w:tc>
        <w:tc>
          <w:tcPr>
            <w:tcW w:w="520" w:type="dxa"/>
            <w:vAlign w:val="bottom"/>
            <w:tcBorders>
              <w:bottom w:val="single" w:sz="8" w:color="B3B3B3"/>
              <w:right w:val="single" w:sz="8" w:color="auto"/>
            </w:tcBorders>
            <w:vMerge w:val="continue"/>
            <w:shd w:val="clear" w:color="auto" w:fill="B3B3B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0" w:type="dxa"/>
            <w:vAlign w:val="bottom"/>
            <w:tcBorders>
              <w:left w:val="single" w:sz="8" w:color="auto"/>
            </w:tcBorders>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160" w:type="dxa"/>
            <w:vAlign w:val="bottom"/>
            <w:shd w:val="clear" w:color="auto" w:fill="B3B3B3"/>
          </w:tcPr>
          <w:p>
            <w:pPr>
              <w:spacing w:after="0"/>
              <w:rPr>
                <w:sz w:val="17"/>
                <w:szCs w:val="17"/>
                <w:color w:val="auto"/>
              </w:rPr>
            </w:pPr>
          </w:p>
        </w:tc>
        <w:tc>
          <w:tcPr>
            <w:tcW w:w="60" w:type="dxa"/>
            <w:vAlign w:val="bottom"/>
            <w:shd w:val="clear" w:color="auto" w:fill="B3B3B3"/>
          </w:tcPr>
          <w:p>
            <w:pPr>
              <w:spacing w:after="0"/>
              <w:rPr>
                <w:sz w:val="17"/>
                <w:szCs w:val="17"/>
                <w:color w:val="auto"/>
              </w:rPr>
            </w:pPr>
          </w:p>
        </w:tc>
        <w:tc>
          <w:tcPr>
            <w:tcW w:w="880" w:type="dxa"/>
            <w:vAlign w:val="bottom"/>
            <w:shd w:val="clear" w:color="auto" w:fill="B3B3B3"/>
          </w:tcPr>
          <w:p>
            <w:pPr>
              <w:spacing w:after="0"/>
              <w:rPr>
                <w:sz w:val="17"/>
                <w:szCs w:val="17"/>
                <w:color w:val="auto"/>
              </w:rPr>
            </w:pPr>
          </w:p>
        </w:tc>
        <w:tc>
          <w:tcPr>
            <w:tcW w:w="60" w:type="dxa"/>
            <w:vAlign w:val="bottom"/>
            <w:shd w:val="clear" w:color="auto" w:fill="B3B3B3"/>
          </w:tcPr>
          <w:p>
            <w:pPr>
              <w:spacing w:after="0"/>
              <w:rPr>
                <w:sz w:val="17"/>
                <w:szCs w:val="17"/>
                <w:color w:val="auto"/>
              </w:rPr>
            </w:pPr>
          </w:p>
        </w:tc>
        <w:tc>
          <w:tcPr>
            <w:tcW w:w="140" w:type="dxa"/>
            <w:vAlign w:val="bottom"/>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340" w:type="dxa"/>
            <w:vAlign w:val="bottom"/>
            <w:tcBorders>
              <w:right w:val="single" w:sz="8" w:color="auto"/>
            </w:tcBorders>
            <w:shd w:val="clear" w:color="auto" w:fill="B3B3B3"/>
          </w:tcPr>
          <w:p>
            <w:pPr>
              <w:spacing w:after="0"/>
              <w:rPr>
                <w:sz w:val="17"/>
                <w:szCs w:val="17"/>
                <w:color w:val="auto"/>
              </w:rPr>
            </w:pPr>
          </w:p>
        </w:tc>
        <w:tc>
          <w:tcPr>
            <w:tcW w:w="200" w:type="dxa"/>
            <w:vAlign w:val="bottom"/>
            <w:shd w:val="clear" w:color="auto" w:fill="B3B3B3"/>
          </w:tcPr>
          <w:p>
            <w:pPr>
              <w:spacing w:after="0"/>
              <w:rPr>
                <w:sz w:val="17"/>
                <w:szCs w:val="17"/>
                <w:color w:val="auto"/>
              </w:rPr>
            </w:pPr>
          </w:p>
        </w:tc>
        <w:tc>
          <w:tcPr>
            <w:tcW w:w="620" w:type="dxa"/>
            <w:vAlign w:val="bottom"/>
            <w:vMerge w:val="continue"/>
            <w:shd w:val="clear" w:color="auto" w:fill="B3B3B3"/>
          </w:tcPr>
          <w:p>
            <w:pPr>
              <w:spacing w:after="0"/>
              <w:rPr>
                <w:sz w:val="17"/>
                <w:szCs w:val="17"/>
                <w:color w:val="auto"/>
              </w:rPr>
            </w:pPr>
          </w:p>
        </w:tc>
        <w:tc>
          <w:tcPr>
            <w:tcW w:w="560" w:type="dxa"/>
            <w:vAlign w:val="bottom"/>
            <w:vMerge w:val="continue"/>
            <w:shd w:val="clear" w:color="auto" w:fill="B3B3B3"/>
          </w:tcPr>
          <w:p>
            <w:pPr>
              <w:spacing w:after="0"/>
              <w:rPr>
                <w:sz w:val="17"/>
                <w:szCs w:val="17"/>
                <w:color w:val="auto"/>
              </w:rPr>
            </w:pPr>
          </w:p>
        </w:tc>
        <w:tc>
          <w:tcPr>
            <w:tcW w:w="620" w:type="dxa"/>
            <w:vAlign w:val="bottom"/>
            <w:vMerge w:val="continue"/>
            <w:shd w:val="clear" w:color="auto" w:fill="B3B3B3"/>
          </w:tcPr>
          <w:p>
            <w:pPr>
              <w:spacing w:after="0"/>
              <w:rPr>
                <w:sz w:val="17"/>
                <w:szCs w:val="17"/>
                <w:color w:val="auto"/>
              </w:rPr>
            </w:pPr>
          </w:p>
        </w:tc>
        <w:tc>
          <w:tcPr>
            <w:tcW w:w="220" w:type="dxa"/>
            <w:vAlign w:val="bottom"/>
            <w:tcBorders>
              <w:right w:val="single" w:sz="8" w:color="auto"/>
            </w:tcBorders>
            <w:vMerge w:val="continue"/>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26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80" w:type="dxa"/>
            <w:vAlign w:val="bottom"/>
            <w:shd w:val="clear" w:color="auto" w:fill="B3B3B3"/>
          </w:tcPr>
          <w:p>
            <w:pPr>
              <w:spacing w:after="0"/>
              <w:rPr>
                <w:sz w:val="17"/>
                <w:szCs w:val="17"/>
                <w:color w:val="auto"/>
              </w:rPr>
            </w:pPr>
          </w:p>
        </w:tc>
        <w:tc>
          <w:tcPr>
            <w:tcW w:w="960" w:type="dxa"/>
            <w:vAlign w:val="bottom"/>
            <w:tcBorders>
              <w:right w:val="single" w:sz="8" w:color="auto"/>
            </w:tcBorders>
            <w:gridSpan w:val="5"/>
            <w:shd w:val="clear" w:color="auto" w:fill="B3B3B3"/>
          </w:tcPr>
          <w:p>
            <w:pPr>
              <w:jc w:val="center"/>
              <w:ind w:right="600"/>
              <w:spacing w:after="0" w:line="183" w:lineRule="exact"/>
              <w:rPr>
                <w:sz w:val="20"/>
                <w:szCs w:val="20"/>
                <w:color w:val="auto"/>
              </w:rPr>
            </w:pPr>
            <w:r>
              <w:rPr>
                <w:rFonts w:ascii="Times New Roman" w:cs="Times New Roman" w:eastAsia="Times New Roman" w:hAnsi="Times New Roman"/>
                <w:sz w:val="20"/>
                <w:szCs w:val="20"/>
                <w:color w:val="auto"/>
                <w:w w:val="98"/>
              </w:rPr>
              <w:t>Rate</w:t>
            </w:r>
          </w:p>
        </w:tc>
        <w:tc>
          <w:tcPr>
            <w:tcW w:w="200" w:type="dxa"/>
            <w:vAlign w:val="bottom"/>
            <w:shd w:val="clear" w:color="auto" w:fill="B3B3B3"/>
          </w:tcPr>
          <w:p>
            <w:pPr>
              <w:spacing w:after="0"/>
              <w:rPr>
                <w:sz w:val="17"/>
                <w:szCs w:val="17"/>
                <w:color w:val="auto"/>
              </w:rPr>
            </w:pPr>
          </w:p>
        </w:tc>
        <w:tc>
          <w:tcPr>
            <w:tcW w:w="500" w:type="dxa"/>
            <w:vAlign w:val="bottom"/>
            <w:shd w:val="clear" w:color="auto" w:fill="B3B3B3"/>
          </w:tcPr>
          <w:p>
            <w:pPr>
              <w:spacing w:after="0"/>
              <w:rPr>
                <w:sz w:val="17"/>
                <w:szCs w:val="17"/>
                <w:color w:val="auto"/>
              </w:rPr>
            </w:pPr>
          </w:p>
        </w:tc>
        <w:tc>
          <w:tcPr>
            <w:tcW w:w="360" w:type="dxa"/>
            <w:vAlign w:val="bottom"/>
            <w:shd w:val="clear" w:color="auto" w:fill="B3B3B3"/>
          </w:tcPr>
          <w:p>
            <w:pPr>
              <w:spacing w:after="0"/>
              <w:rPr>
                <w:sz w:val="17"/>
                <w:szCs w:val="17"/>
                <w:color w:val="auto"/>
              </w:rPr>
            </w:pPr>
          </w:p>
        </w:tc>
        <w:tc>
          <w:tcPr>
            <w:tcW w:w="520" w:type="dxa"/>
            <w:vAlign w:val="bottom"/>
            <w:shd w:val="clear" w:color="auto" w:fill="B3B3B3"/>
          </w:tcPr>
          <w:p>
            <w:pPr>
              <w:spacing w:after="0"/>
              <w:rPr>
                <w:sz w:val="17"/>
                <w:szCs w:val="17"/>
                <w:color w:val="auto"/>
              </w:rPr>
            </w:pPr>
          </w:p>
        </w:tc>
        <w:tc>
          <w:tcPr>
            <w:tcW w:w="220" w:type="dxa"/>
            <w:vAlign w:val="bottom"/>
            <w:tcBorders>
              <w:right w:val="single" w:sz="8" w:color="auto"/>
            </w:tcBorders>
            <w:shd w:val="clear" w:color="auto" w:fill="B3B3B3"/>
          </w:tcPr>
          <w:p>
            <w:pPr>
              <w:spacing w:after="0"/>
              <w:rPr>
                <w:sz w:val="17"/>
                <w:szCs w:val="17"/>
                <w:color w:val="auto"/>
              </w:rPr>
            </w:pPr>
          </w:p>
        </w:tc>
        <w:tc>
          <w:tcPr>
            <w:tcW w:w="180" w:type="dxa"/>
            <w:vAlign w:val="bottom"/>
            <w:shd w:val="clear" w:color="auto" w:fill="B3B3B3"/>
          </w:tcPr>
          <w:p>
            <w:pPr>
              <w:spacing w:after="0"/>
              <w:rPr>
                <w:sz w:val="17"/>
                <w:szCs w:val="17"/>
                <w:color w:val="auto"/>
              </w:rPr>
            </w:pPr>
          </w:p>
        </w:tc>
        <w:tc>
          <w:tcPr>
            <w:tcW w:w="40" w:type="dxa"/>
            <w:vAlign w:val="bottom"/>
            <w:shd w:val="clear" w:color="auto" w:fill="B3B3B3"/>
          </w:tcPr>
          <w:p>
            <w:pPr>
              <w:spacing w:after="0"/>
              <w:rPr>
                <w:sz w:val="17"/>
                <w:szCs w:val="17"/>
                <w:color w:val="auto"/>
              </w:rPr>
            </w:pPr>
          </w:p>
        </w:tc>
        <w:tc>
          <w:tcPr>
            <w:tcW w:w="1320" w:type="dxa"/>
            <w:vAlign w:val="bottom"/>
            <w:shd w:val="clear" w:color="auto" w:fill="B3B3B3"/>
          </w:tcPr>
          <w:p>
            <w:pPr>
              <w:spacing w:after="0"/>
              <w:rPr>
                <w:sz w:val="17"/>
                <w:szCs w:val="17"/>
                <w:color w:val="auto"/>
              </w:rPr>
            </w:pPr>
          </w:p>
        </w:tc>
        <w:tc>
          <w:tcPr>
            <w:tcW w:w="40" w:type="dxa"/>
            <w:vAlign w:val="bottom"/>
            <w:shd w:val="clear" w:color="auto" w:fill="B3B3B3"/>
          </w:tcPr>
          <w:p>
            <w:pPr>
              <w:spacing w:after="0"/>
              <w:rPr>
                <w:sz w:val="17"/>
                <w:szCs w:val="17"/>
                <w:color w:val="auto"/>
              </w:rPr>
            </w:pPr>
          </w:p>
        </w:tc>
        <w:tc>
          <w:tcPr>
            <w:tcW w:w="200" w:type="dxa"/>
            <w:vAlign w:val="bottom"/>
            <w:tcBorders>
              <w:right w:val="single" w:sz="8" w:color="auto"/>
            </w:tcBorders>
            <w:shd w:val="clear" w:color="auto" w:fill="B3B3B3"/>
          </w:tcPr>
          <w:p>
            <w:pPr>
              <w:spacing w:after="0"/>
              <w:rPr>
                <w:sz w:val="17"/>
                <w:szCs w:val="17"/>
                <w:color w:val="auto"/>
              </w:rPr>
            </w:pPr>
          </w:p>
        </w:tc>
        <w:tc>
          <w:tcPr>
            <w:tcW w:w="40" w:type="dxa"/>
            <w:vAlign w:val="bottom"/>
            <w:shd w:val="clear" w:color="auto" w:fill="B3B3B3"/>
          </w:tcPr>
          <w:p>
            <w:pPr>
              <w:spacing w:after="0"/>
              <w:rPr>
                <w:sz w:val="17"/>
                <w:szCs w:val="17"/>
                <w:color w:val="auto"/>
              </w:rPr>
            </w:pPr>
          </w:p>
        </w:tc>
        <w:tc>
          <w:tcPr>
            <w:tcW w:w="460" w:type="dxa"/>
            <w:vAlign w:val="bottom"/>
            <w:shd w:val="clear" w:color="auto" w:fill="B3B3B3"/>
          </w:tcPr>
          <w:p>
            <w:pPr>
              <w:spacing w:after="0"/>
              <w:rPr>
                <w:sz w:val="17"/>
                <w:szCs w:val="17"/>
                <w:color w:val="auto"/>
              </w:rPr>
            </w:pPr>
          </w:p>
        </w:tc>
        <w:tc>
          <w:tcPr>
            <w:tcW w:w="700" w:type="dxa"/>
            <w:vAlign w:val="bottom"/>
            <w:shd w:val="clear" w:color="auto" w:fill="B3B3B3"/>
          </w:tcPr>
          <w:p>
            <w:pPr>
              <w:spacing w:after="0"/>
              <w:rPr>
                <w:sz w:val="17"/>
                <w:szCs w:val="17"/>
                <w:color w:val="auto"/>
              </w:rPr>
            </w:pPr>
          </w:p>
        </w:tc>
        <w:tc>
          <w:tcPr>
            <w:tcW w:w="520" w:type="dxa"/>
            <w:vAlign w:val="bottom"/>
            <w:tcBorders>
              <w:right w:val="single" w:sz="8" w:color="auto"/>
            </w:tcBorders>
            <w:shd w:val="clear" w:color="auto" w:fill="B3B3B3"/>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shd w:val="clear" w:color="auto" w:fill="B3B3B3"/>
          </w:tcPr>
          <w:p>
            <w:pPr>
              <w:spacing w:after="0"/>
              <w:rPr>
                <w:sz w:val="2"/>
                <w:szCs w:val="2"/>
                <w:color w:val="auto"/>
              </w:rPr>
            </w:pPr>
          </w:p>
        </w:tc>
        <w:tc>
          <w:tcPr>
            <w:tcW w:w="120" w:type="dxa"/>
            <w:vAlign w:val="bottom"/>
            <w:shd w:val="clear" w:color="auto" w:fill="B3B3B3"/>
          </w:tcPr>
          <w:p>
            <w:pPr>
              <w:spacing w:after="0"/>
              <w:rPr>
                <w:sz w:val="2"/>
                <w:szCs w:val="2"/>
                <w:color w:val="auto"/>
              </w:rPr>
            </w:pPr>
          </w:p>
        </w:tc>
        <w:tc>
          <w:tcPr>
            <w:tcW w:w="160" w:type="dxa"/>
            <w:vAlign w:val="bottom"/>
            <w:shd w:val="clear" w:color="auto" w:fill="B3B3B3"/>
          </w:tcPr>
          <w:p>
            <w:pPr>
              <w:spacing w:after="0"/>
              <w:rPr>
                <w:sz w:val="2"/>
                <w:szCs w:val="2"/>
                <w:color w:val="auto"/>
              </w:rPr>
            </w:pPr>
          </w:p>
        </w:tc>
        <w:tc>
          <w:tcPr>
            <w:tcW w:w="60" w:type="dxa"/>
            <w:vAlign w:val="bottom"/>
            <w:shd w:val="clear" w:color="auto" w:fill="B3B3B3"/>
          </w:tcPr>
          <w:p>
            <w:pPr>
              <w:spacing w:after="0"/>
              <w:rPr>
                <w:sz w:val="2"/>
                <w:szCs w:val="2"/>
                <w:color w:val="auto"/>
              </w:rPr>
            </w:pPr>
          </w:p>
        </w:tc>
        <w:tc>
          <w:tcPr>
            <w:tcW w:w="880" w:type="dxa"/>
            <w:vAlign w:val="bottom"/>
            <w:shd w:val="clear" w:color="auto" w:fill="B3B3B3"/>
          </w:tcPr>
          <w:p>
            <w:pPr>
              <w:spacing w:after="0"/>
              <w:rPr>
                <w:sz w:val="2"/>
                <w:szCs w:val="2"/>
                <w:color w:val="auto"/>
              </w:rPr>
            </w:pPr>
          </w:p>
        </w:tc>
        <w:tc>
          <w:tcPr>
            <w:tcW w:w="60" w:type="dxa"/>
            <w:vAlign w:val="bottom"/>
            <w:shd w:val="clear" w:color="auto" w:fill="B3B3B3"/>
          </w:tcPr>
          <w:p>
            <w:pPr>
              <w:spacing w:after="0"/>
              <w:rPr>
                <w:sz w:val="2"/>
                <w:szCs w:val="2"/>
                <w:color w:val="auto"/>
              </w:rPr>
            </w:pPr>
          </w:p>
        </w:tc>
        <w:tc>
          <w:tcPr>
            <w:tcW w:w="140" w:type="dxa"/>
            <w:vAlign w:val="bottom"/>
            <w:shd w:val="clear" w:color="auto" w:fill="B3B3B3"/>
          </w:tcPr>
          <w:p>
            <w:pPr>
              <w:spacing w:after="0"/>
              <w:rPr>
                <w:sz w:val="2"/>
                <w:szCs w:val="2"/>
                <w:color w:val="auto"/>
              </w:rPr>
            </w:pPr>
          </w:p>
        </w:tc>
        <w:tc>
          <w:tcPr>
            <w:tcW w:w="120" w:type="dxa"/>
            <w:vAlign w:val="bottom"/>
            <w:shd w:val="clear" w:color="auto" w:fill="B3B3B3"/>
          </w:tcPr>
          <w:p>
            <w:pPr>
              <w:spacing w:after="0"/>
              <w:rPr>
                <w:sz w:val="2"/>
                <w:szCs w:val="2"/>
                <w:color w:val="auto"/>
              </w:rPr>
            </w:pPr>
          </w:p>
        </w:tc>
        <w:tc>
          <w:tcPr>
            <w:tcW w:w="340" w:type="dxa"/>
            <w:vAlign w:val="bottom"/>
            <w:tcBorders>
              <w:right w:val="single" w:sz="8" w:color="auto"/>
            </w:tcBorders>
            <w:shd w:val="clear" w:color="auto" w:fill="B3B3B3"/>
          </w:tcPr>
          <w:p>
            <w:pPr>
              <w:spacing w:after="0"/>
              <w:rPr>
                <w:sz w:val="2"/>
                <w:szCs w:val="2"/>
                <w:color w:val="auto"/>
              </w:rPr>
            </w:pPr>
          </w:p>
        </w:tc>
        <w:tc>
          <w:tcPr>
            <w:tcW w:w="200" w:type="dxa"/>
            <w:vAlign w:val="bottom"/>
            <w:shd w:val="clear" w:color="auto" w:fill="B3B3B3"/>
          </w:tcPr>
          <w:p>
            <w:pPr>
              <w:spacing w:after="0"/>
              <w:rPr>
                <w:sz w:val="2"/>
                <w:szCs w:val="2"/>
                <w:color w:val="auto"/>
              </w:rPr>
            </w:pPr>
          </w:p>
        </w:tc>
        <w:tc>
          <w:tcPr>
            <w:tcW w:w="620" w:type="dxa"/>
            <w:vAlign w:val="bottom"/>
            <w:shd w:val="clear" w:color="auto" w:fill="B3B3B3"/>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shd w:val="clear" w:color="auto" w:fill="B3B3B3"/>
          </w:tcPr>
          <w:p>
            <w:pPr>
              <w:spacing w:after="0"/>
              <w:rPr>
                <w:sz w:val="2"/>
                <w:szCs w:val="2"/>
                <w:color w:val="auto"/>
              </w:rPr>
            </w:pPr>
          </w:p>
        </w:tc>
        <w:tc>
          <w:tcPr>
            <w:tcW w:w="220" w:type="dxa"/>
            <w:vAlign w:val="bottom"/>
            <w:tcBorders>
              <w:right w:val="single" w:sz="8" w:color="auto"/>
            </w:tcBorders>
            <w:shd w:val="clear" w:color="auto" w:fill="B3B3B3"/>
          </w:tcPr>
          <w:p>
            <w:pPr>
              <w:spacing w:after="0"/>
              <w:rPr>
                <w:sz w:val="2"/>
                <w:szCs w:val="2"/>
                <w:color w:val="auto"/>
              </w:rPr>
            </w:pPr>
          </w:p>
        </w:tc>
        <w:tc>
          <w:tcPr>
            <w:tcW w:w="120" w:type="dxa"/>
            <w:vAlign w:val="bottom"/>
            <w:shd w:val="clear" w:color="auto" w:fill="B3B3B3"/>
          </w:tcPr>
          <w:p>
            <w:pPr>
              <w:spacing w:after="0"/>
              <w:rPr>
                <w:sz w:val="2"/>
                <w:szCs w:val="2"/>
                <w:color w:val="auto"/>
              </w:rPr>
            </w:pPr>
          </w:p>
        </w:tc>
        <w:tc>
          <w:tcPr>
            <w:tcW w:w="260" w:type="dxa"/>
            <w:vAlign w:val="bottom"/>
            <w:shd w:val="clear" w:color="auto" w:fill="B3B3B3"/>
          </w:tcPr>
          <w:p>
            <w:pPr>
              <w:spacing w:after="0"/>
              <w:rPr>
                <w:sz w:val="2"/>
                <w:szCs w:val="2"/>
                <w:color w:val="auto"/>
              </w:rPr>
            </w:pPr>
          </w:p>
        </w:tc>
        <w:tc>
          <w:tcPr>
            <w:tcW w:w="100" w:type="dxa"/>
            <w:vAlign w:val="bottom"/>
            <w:shd w:val="clear" w:color="auto" w:fill="B3B3B3"/>
          </w:tcPr>
          <w:p>
            <w:pPr>
              <w:spacing w:after="0"/>
              <w:rPr>
                <w:sz w:val="2"/>
                <w:szCs w:val="2"/>
                <w:color w:val="auto"/>
              </w:rPr>
            </w:pPr>
          </w:p>
        </w:tc>
        <w:tc>
          <w:tcPr>
            <w:tcW w:w="80" w:type="dxa"/>
            <w:vAlign w:val="bottom"/>
            <w:shd w:val="clear" w:color="auto" w:fill="B3B3B3"/>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B3B3B3"/>
          </w:tcPr>
          <w:p>
            <w:pPr>
              <w:spacing w:after="0"/>
              <w:rPr>
                <w:sz w:val="2"/>
                <w:szCs w:val="2"/>
                <w:color w:val="auto"/>
              </w:rPr>
            </w:pPr>
          </w:p>
        </w:tc>
        <w:tc>
          <w:tcPr>
            <w:tcW w:w="500" w:type="dxa"/>
            <w:vAlign w:val="bottom"/>
            <w:tcBorders>
              <w:right w:val="single" w:sz="8" w:color="auto"/>
            </w:tcBorders>
            <w:gridSpan w:val="3"/>
            <w:shd w:val="clear" w:color="auto" w:fill="B3B3B3"/>
          </w:tcPr>
          <w:p>
            <w:pPr>
              <w:spacing w:after="0"/>
              <w:rPr>
                <w:sz w:val="2"/>
                <w:szCs w:val="2"/>
                <w:color w:val="auto"/>
              </w:rPr>
            </w:pPr>
          </w:p>
        </w:tc>
        <w:tc>
          <w:tcPr>
            <w:tcW w:w="200" w:type="dxa"/>
            <w:vAlign w:val="bottom"/>
            <w:shd w:val="clear" w:color="auto" w:fill="B3B3B3"/>
          </w:tcPr>
          <w:p>
            <w:pPr>
              <w:spacing w:after="0"/>
              <w:rPr>
                <w:sz w:val="2"/>
                <w:szCs w:val="2"/>
                <w:color w:val="auto"/>
              </w:rPr>
            </w:pPr>
          </w:p>
        </w:tc>
        <w:tc>
          <w:tcPr>
            <w:tcW w:w="500" w:type="dxa"/>
            <w:vAlign w:val="bottom"/>
            <w:shd w:val="clear" w:color="auto" w:fill="B3B3B3"/>
          </w:tcPr>
          <w:p>
            <w:pPr>
              <w:spacing w:after="0"/>
              <w:rPr>
                <w:sz w:val="2"/>
                <w:szCs w:val="2"/>
                <w:color w:val="auto"/>
              </w:rPr>
            </w:pPr>
          </w:p>
        </w:tc>
        <w:tc>
          <w:tcPr>
            <w:tcW w:w="360" w:type="dxa"/>
            <w:vAlign w:val="bottom"/>
            <w:shd w:val="clear" w:color="auto" w:fill="B3B3B3"/>
          </w:tcPr>
          <w:p>
            <w:pPr>
              <w:spacing w:after="0"/>
              <w:rPr>
                <w:sz w:val="2"/>
                <w:szCs w:val="2"/>
                <w:color w:val="auto"/>
              </w:rPr>
            </w:pPr>
          </w:p>
        </w:tc>
        <w:tc>
          <w:tcPr>
            <w:tcW w:w="520" w:type="dxa"/>
            <w:vAlign w:val="bottom"/>
            <w:shd w:val="clear" w:color="auto" w:fill="B3B3B3"/>
          </w:tcPr>
          <w:p>
            <w:pPr>
              <w:spacing w:after="0"/>
              <w:rPr>
                <w:sz w:val="2"/>
                <w:szCs w:val="2"/>
                <w:color w:val="auto"/>
              </w:rPr>
            </w:pPr>
          </w:p>
        </w:tc>
        <w:tc>
          <w:tcPr>
            <w:tcW w:w="220" w:type="dxa"/>
            <w:vAlign w:val="bottom"/>
            <w:tcBorders>
              <w:right w:val="single" w:sz="8" w:color="auto"/>
            </w:tcBorders>
            <w:shd w:val="clear" w:color="auto" w:fill="B3B3B3"/>
          </w:tcPr>
          <w:p>
            <w:pPr>
              <w:spacing w:after="0"/>
              <w:rPr>
                <w:sz w:val="2"/>
                <w:szCs w:val="2"/>
                <w:color w:val="auto"/>
              </w:rPr>
            </w:pPr>
          </w:p>
        </w:tc>
        <w:tc>
          <w:tcPr>
            <w:tcW w:w="180" w:type="dxa"/>
            <w:vAlign w:val="bottom"/>
            <w:shd w:val="clear" w:color="auto" w:fill="B3B3B3"/>
          </w:tcPr>
          <w:p>
            <w:pPr>
              <w:spacing w:after="0"/>
              <w:rPr>
                <w:sz w:val="2"/>
                <w:szCs w:val="2"/>
                <w:color w:val="auto"/>
              </w:rPr>
            </w:pPr>
          </w:p>
        </w:tc>
        <w:tc>
          <w:tcPr>
            <w:tcW w:w="40" w:type="dxa"/>
            <w:vAlign w:val="bottom"/>
            <w:shd w:val="clear" w:color="auto" w:fill="B3B3B3"/>
          </w:tcPr>
          <w:p>
            <w:pPr>
              <w:spacing w:after="0"/>
              <w:rPr>
                <w:sz w:val="2"/>
                <w:szCs w:val="2"/>
                <w:color w:val="auto"/>
              </w:rPr>
            </w:pPr>
          </w:p>
        </w:tc>
        <w:tc>
          <w:tcPr>
            <w:tcW w:w="1320" w:type="dxa"/>
            <w:vAlign w:val="bottom"/>
            <w:shd w:val="clear" w:color="auto" w:fill="B3B3B3"/>
          </w:tcPr>
          <w:p>
            <w:pPr>
              <w:spacing w:after="0"/>
              <w:rPr>
                <w:sz w:val="2"/>
                <w:szCs w:val="2"/>
                <w:color w:val="auto"/>
              </w:rPr>
            </w:pPr>
          </w:p>
        </w:tc>
        <w:tc>
          <w:tcPr>
            <w:tcW w:w="40" w:type="dxa"/>
            <w:vAlign w:val="bottom"/>
            <w:shd w:val="clear" w:color="auto" w:fill="B3B3B3"/>
          </w:tcPr>
          <w:p>
            <w:pPr>
              <w:spacing w:after="0"/>
              <w:rPr>
                <w:sz w:val="2"/>
                <w:szCs w:val="2"/>
                <w:color w:val="auto"/>
              </w:rPr>
            </w:pPr>
          </w:p>
        </w:tc>
        <w:tc>
          <w:tcPr>
            <w:tcW w:w="200" w:type="dxa"/>
            <w:vAlign w:val="bottom"/>
            <w:tcBorders>
              <w:right w:val="single" w:sz="8" w:color="auto"/>
            </w:tcBorders>
            <w:shd w:val="clear" w:color="auto" w:fill="B3B3B3"/>
          </w:tcPr>
          <w:p>
            <w:pPr>
              <w:spacing w:after="0"/>
              <w:rPr>
                <w:sz w:val="2"/>
                <w:szCs w:val="2"/>
                <w:color w:val="auto"/>
              </w:rPr>
            </w:pPr>
          </w:p>
        </w:tc>
        <w:tc>
          <w:tcPr>
            <w:tcW w:w="40" w:type="dxa"/>
            <w:vAlign w:val="bottom"/>
            <w:shd w:val="clear" w:color="auto" w:fill="B3B3B3"/>
          </w:tcPr>
          <w:p>
            <w:pPr>
              <w:spacing w:after="0"/>
              <w:rPr>
                <w:sz w:val="2"/>
                <w:szCs w:val="2"/>
                <w:color w:val="auto"/>
              </w:rPr>
            </w:pPr>
          </w:p>
        </w:tc>
        <w:tc>
          <w:tcPr>
            <w:tcW w:w="460" w:type="dxa"/>
            <w:vAlign w:val="bottom"/>
            <w:shd w:val="clear" w:color="auto" w:fill="B3B3B3"/>
          </w:tcPr>
          <w:p>
            <w:pPr>
              <w:spacing w:after="0"/>
              <w:rPr>
                <w:sz w:val="2"/>
                <w:szCs w:val="2"/>
                <w:color w:val="auto"/>
              </w:rPr>
            </w:pPr>
          </w:p>
        </w:tc>
        <w:tc>
          <w:tcPr>
            <w:tcW w:w="700" w:type="dxa"/>
            <w:vAlign w:val="bottom"/>
            <w:shd w:val="clear" w:color="auto" w:fill="B3B3B3"/>
          </w:tcPr>
          <w:p>
            <w:pPr>
              <w:spacing w:after="0"/>
              <w:rPr>
                <w:sz w:val="2"/>
                <w:szCs w:val="2"/>
                <w:color w:val="auto"/>
              </w:rPr>
            </w:pPr>
          </w:p>
        </w:tc>
        <w:tc>
          <w:tcPr>
            <w:tcW w:w="520" w:type="dxa"/>
            <w:vAlign w:val="bottom"/>
            <w:tcBorders>
              <w:right w:val="single" w:sz="8" w:color="auto"/>
            </w:tcBorders>
            <w:shd w:val="clear" w:color="auto" w:fill="B3B3B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340" w:type="dxa"/>
            <w:vAlign w:val="bottom"/>
            <w:tcBorders>
              <w:left w:val="single" w:sz="8" w:color="auto"/>
            </w:tcBorders>
            <w:shd w:val="clear" w:color="auto" w:fill="B3B3B3"/>
          </w:tcPr>
          <w:p>
            <w:pPr>
              <w:spacing w:after="0"/>
              <w:rPr>
                <w:sz w:val="24"/>
                <w:szCs w:val="24"/>
                <w:color w:val="auto"/>
              </w:rPr>
            </w:pPr>
          </w:p>
        </w:tc>
        <w:tc>
          <w:tcPr>
            <w:tcW w:w="120" w:type="dxa"/>
            <w:vAlign w:val="bottom"/>
            <w:shd w:val="clear" w:color="auto" w:fill="B3B3B3"/>
          </w:tcPr>
          <w:p>
            <w:pPr>
              <w:spacing w:after="0"/>
              <w:rPr>
                <w:sz w:val="24"/>
                <w:szCs w:val="24"/>
                <w:color w:val="auto"/>
              </w:rPr>
            </w:pPr>
          </w:p>
        </w:tc>
        <w:tc>
          <w:tcPr>
            <w:tcW w:w="160" w:type="dxa"/>
            <w:vAlign w:val="bottom"/>
            <w:shd w:val="clear" w:color="auto" w:fill="B3B3B3"/>
          </w:tcPr>
          <w:p>
            <w:pPr>
              <w:spacing w:after="0"/>
              <w:rPr>
                <w:sz w:val="24"/>
                <w:szCs w:val="24"/>
                <w:color w:val="auto"/>
              </w:rPr>
            </w:pPr>
          </w:p>
        </w:tc>
        <w:tc>
          <w:tcPr>
            <w:tcW w:w="60" w:type="dxa"/>
            <w:vAlign w:val="bottom"/>
            <w:shd w:val="clear" w:color="auto" w:fill="B3B3B3"/>
          </w:tcPr>
          <w:p>
            <w:pPr>
              <w:spacing w:after="0"/>
              <w:rPr>
                <w:sz w:val="24"/>
                <w:szCs w:val="24"/>
                <w:color w:val="auto"/>
              </w:rPr>
            </w:pPr>
          </w:p>
        </w:tc>
        <w:tc>
          <w:tcPr>
            <w:tcW w:w="880" w:type="dxa"/>
            <w:vAlign w:val="bottom"/>
            <w:shd w:val="clear" w:color="auto" w:fill="B3B3B3"/>
          </w:tcPr>
          <w:p>
            <w:pPr>
              <w:spacing w:after="0"/>
              <w:rPr>
                <w:sz w:val="24"/>
                <w:szCs w:val="24"/>
                <w:color w:val="auto"/>
              </w:rPr>
            </w:pPr>
          </w:p>
        </w:tc>
        <w:tc>
          <w:tcPr>
            <w:tcW w:w="60" w:type="dxa"/>
            <w:vAlign w:val="bottom"/>
            <w:shd w:val="clear" w:color="auto" w:fill="B3B3B3"/>
          </w:tcPr>
          <w:p>
            <w:pPr>
              <w:spacing w:after="0"/>
              <w:rPr>
                <w:sz w:val="24"/>
                <w:szCs w:val="24"/>
                <w:color w:val="auto"/>
              </w:rPr>
            </w:pPr>
          </w:p>
        </w:tc>
        <w:tc>
          <w:tcPr>
            <w:tcW w:w="140" w:type="dxa"/>
            <w:vAlign w:val="bottom"/>
            <w:shd w:val="clear" w:color="auto" w:fill="B3B3B3"/>
          </w:tcPr>
          <w:p>
            <w:pPr>
              <w:spacing w:after="0"/>
              <w:rPr>
                <w:sz w:val="24"/>
                <w:szCs w:val="24"/>
                <w:color w:val="auto"/>
              </w:rPr>
            </w:pPr>
          </w:p>
        </w:tc>
        <w:tc>
          <w:tcPr>
            <w:tcW w:w="120" w:type="dxa"/>
            <w:vAlign w:val="bottom"/>
            <w:shd w:val="clear" w:color="auto" w:fill="B3B3B3"/>
          </w:tcPr>
          <w:p>
            <w:pPr>
              <w:spacing w:after="0"/>
              <w:rPr>
                <w:sz w:val="24"/>
                <w:szCs w:val="24"/>
                <w:color w:val="auto"/>
              </w:rPr>
            </w:pPr>
          </w:p>
        </w:tc>
        <w:tc>
          <w:tcPr>
            <w:tcW w:w="340" w:type="dxa"/>
            <w:vAlign w:val="bottom"/>
            <w:tcBorders>
              <w:right w:val="single" w:sz="8" w:color="auto"/>
            </w:tcBorders>
            <w:shd w:val="clear" w:color="auto" w:fill="B3B3B3"/>
          </w:tcPr>
          <w:p>
            <w:pPr>
              <w:spacing w:after="0"/>
              <w:rPr>
                <w:sz w:val="24"/>
                <w:szCs w:val="24"/>
                <w:color w:val="auto"/>
              </w:rPr>
            </w:pPr>
          </w:p>
        </w:tc>
        <w:tc>
          <w:tcPr>
            <w:tcW w:w="200" w:type="dxa"/>
            <w:vAlign w:val="bottom"/>
            <w:shd w:val="clear" w:color="auto" w:fill="B3B3B3"/>
          </w:tcPr>
          <w:p>
            <w:pPr>
              <w:spacing w:after="0"/>
              <w:rPr>
                <w:sz w:val="24"/>
                <w:szCs w:val="24"/>
                <w:color w:val="auto"/>
              </w:rPr>
            </w:pPr>
          </w:p>
        </w:tc>
        <w:tc>
          <w:tcPr>
            <w:tcW w:w="620" w:type="dxa"/>
            <w:vAlign w:val="bottom"/>
            <w:shd w:val="clear" w:color="auto" w:fill="B3B3B3"/>
          </w:tcPr>
          <w:p>
            <w:pPr>
              <w:spacing w:after="0"/>
              <w:rPr>
                <w:sz w:val="24"/>
                <w:szCs w:val="24"/>
                <w:color w:val="auto"/>
              </w:rPr>
            </w:pPr>
          </w:p>
        </w:tc>
        <w:tc>
          <w:tcPr>
            <w:tcW w:w="560" w:type="dxa"/>
            <w:vAlign w:val="bottom"/>
            <w:shd w:val="clear" w:color="auto" w:fill="B3B3B3"/>
          </w:tcPr>
          <w:p>
            <w:pPr>
              <w:spacing w:after="0"/>
              <w:rPr>
                <w:sz w:val="24"/>
                <w:szCs w:val="24"/>
                <w:color w:val="auto"/>
              </w:rPr>
            </w:pPr>
          </w:p>
        </w:tc>
        <w:tc>
          <w:tcPr>
            <w:tcW w:w="620" w:type="dxa"/>
            <w:vAlign w:val="bottom"/>
            <w:shd w:val="clear" w:color="auto" w:fill="B3B3B3"/>
          </w:tcPr>
          <w:p>
            <w:pPr>
              <w:spacing w:after="0"/>
              <w:rPr>
                <w:sz w:val="24"/>
                <w:szCs w:val="24"/>
                <w:color w:val="auto"/>
              </w:rPr>
            </w:pPr>
          </w:p>
        </w:tc>
        <w:tc>
          <w:tcPr>
            <w:tcW w:w="220" w:type="dxa"/>
            <w:vAlign w:val="bottom"/>
            <w:tcBorders>
              <w:right w:val="single" w:sz="8" w:color="auto"/>
            </w:tcBorders>
            <w:shd w:val="clear" w:color="auto" w:fill="B3B3B3"/>
          </w:tcPr>
          <w:p>
            <w:pPr>
              <w:spacing w:after="0"/>
              <w:rPr>
                <w:sz w:val="24"/>
                <w:szCs w:val="24"/>
                <w:color w:val="auto"/>
              </w:rPr>
            </w:pPr>
          </w:p>
        </w:tc>
        <w:tc>
          <w:tcPr>
            <w:tcW w:w="120" w:type="dxa"/>
            <w:vAlign w:val="bottom"/>
            <w:shd w:val="clear" w:color="auto" w:fill="B3B3B3"/>
          </w:tcPr>
          <w:p>
            <w:pPr>
              <w:spacing w:after="0"/>
              <w:rPr>
                <w:sz w:val="24"/>
                <w:szCs w:val="24"/>
                <w:color w:val="auto"/>
              </w:rPr>
            </w:pPr>
          </w:p>
        </w:tc>
        <w:tc>
          <w:tcPr>
            <w:tcW w:w="260" w:type="dxa"/>
            <w:vAlign w:val="bottom"/>
            <w:shd w:val="clear" w:color="auto" w:fill="B3B3B3"/>
          </w:tcPr>
          <w:p>
            <w:pPr>
              <w:spacing w:after="0"/>
              <w:rPr>
                <w:sz w:val="24"/>
                <w:szCs w:val="24"/>
                <w:color w:val="auto"/>
              </w:rPr>
            </w:pPr>
          </w:p>
        </w:tc>
        <w:tc>
          <w:tcPr>
            <w:tcW w:w="1140" w:type="dxa"/>
            <w:vAlign w:val="bottom"/>
            <w:tcBorders>
              <w:right w:val="single" w:sz="8" w:color="auto"/>
            </w:tcBorders>
            <w:gridSpan w:val="7"/>
            <w:shd w:val="clear" w:color="auto" w:fill="B3B3B3"/>
          </w:tcPr>
          <w:p>
            <w:pPr>
              <w:jc w:val="center"/>
              <w:ind w:right="400"/>
              <w:spacing w:after="0"/>
              <w:rPr>
                <w:sz w:val="20"/>
                <w:szCs w:val="20"/>
                <w:color w:val="auto"/>
              </w:rPr>
            </w:pPr>
            <w:r>
              <w:rPr>
                <w:rFonts w:ascii="Times New Roman" w:cs="Times New Roman" w:eastAsia="Times New Roman" w:hAnsi="Times New Roman"/>
                <w:sz w:val="20"/>
                <w:szCs w:val="20"/>
                <w:color w:val="auto"/>
                <w:w w:val="97"/>
              </w:rPr>
              <w:t>Spread</w:t>
            </w:r>
          </w:p>
        </w:tc>
        <w:tc>
          <w:tcPr>
            <w:tcW w:w="200" w:type="dxa"/>
            <w:vAlign w:val="bottom"/>
            <w:shd w:val="clear" w:color="auto" w:fill="B3B3B3"/>
          </w:tcPr>
          <w:p>
            <w:pPr>
              <w:spacing w:after="0"/>
              <w:rPr>
                <w:sz w:val="24"/>
                <w:szCs w:val="24"/>
                <w:color w:val="auto"/>
              </w:rPr>
            </w:pPr>
          </w:p>
        </w:tc>
        <w:tc>
          <w:tcPr>
            <w:tcW w:w="500" w:type="dxa"/>
            <w:vAlign w:val="bottom"/>
            <w:shd w:val="clear" w:color="auto" w:fill="B3B3B3"/>
          </w:tcPr>
          <w:p>
            <w:pPr>
              <w:spacing w:after="0"/>
              <w:rPr>
                <w:sz w:val="24"/>
                <w:szCs w:val="24"/>
                <w:color w:val="auto"/>
              </w:rPr>
            </w:pPr>
          </w:p>
        </w:tc>
        <w:tc>
          <w:tcPr>
            <w:tcW w:w="360" w:type="dxa"/>
            <w:vAlign w:val="bottom"/>
            <w:shd w:val="clear" w:color="auto" w:fill="B3B3B3"/>
          </w:tcPr>
          <w:p>
            <w:pPr>
              <w:spacing w:after="0"/>
              <w:rPr>
                <w:sz w:val="24"/>
                <w:szCs w:val="24"/>
                <w:color w:val="auto"/>
              </w:rPr>
            </w:pPr>
          </w:p>
        </w:tc>
        <w:tc>
          <w:tcPr>
            <w:tcW w:w="520" w:type="dxa"/>
            <w:vAlign w:val="bottom"/>
            <w:shd w:val="clear" w:color="auto" w:fill="B3B3B3"/>
          </w:tcPr>
          <w:p>
            <w:pPr>
              <w:spacing w:after="0"/>
              <w:rPr>
                <w:sz w:val="24"/>
                <w:szCs w:val="24"/>
                <w:color w:val="auto"/>
              </w:rPr>
            </w:pPr>
          </w:p>
        </w:tc>
        <w:tc>
          <w:tcPr>
            <w:tcW w:w="220" w:type="dxa"/>
            <w:vAlign w:val="bottom"/>
            <w:tcBorders>
              <w:right w:val="single" w:sz="8" w:color="auto"/>
            </w:tcBorders>
            <w:shd w:val="clear" w:color="auto" w:fill="B3B3B3"/>
          </w:tcPr>
          <w:p>
            <w:pPr>
              <w:spacing w:after="0"/>
              <w:rPr>
                <w:sz w:val="24"/>
                <w:szCs w:val="24"/>
                <w:color w:val="auto"/>
              </w:rPr>
            </w:pPr>
          </w:p>
        </w:tc>
        <w:tc>
          <w:tcPr>
            <w:tcW w:w="180" w:type="dxa"/>
            <w:vAlign w:val="bottom"/>
            <w:shd w:val="clear" w:color="auto" w:fill="B3B3B3"/>
          </w:tcPr>
          <w:p>
            <w:pPr>
              <w:spacing w:after="0"/>
              <w:rPr>
                <w:sz w:val="24"/>
                <w:szCs w:val="24"/>
                <w:color w:val="auto"/>
              </w:rPr>
            </w:pPr>
          </w:p>
        </w:tc>
        <w:tc>
          <w:tcPr>
            <w:tcW w:w="40" w:type="dxa"/>
            <w:vAlign w:val="bottom"/>
            <w:shd w:val="clear" w:color="auto" w:fill="B3B3B3"/>
          </w:tcPr>
          <w:p>
            <w:pPr>
              <w:spacing w:after="0"/>
              <w:rPr>
                <w:sz w:val="24"/>
                <w:szCs w:val="24"/>
                <w:color w:val="auto"/>
              </w:rPr>
            </w:pPr>
          </w:p>
        </w:tc>
        <w:tc>
          <w:tcPr>
            <w:tcW w:w="1320" w:type="dxa"/>
            <w:vAlign w:val="bottom"/>
            <w:shd w:val="clear" w:color="auto" w:fill="B3B3B3"/>
          </w:tcPr>
          <w:p>
            <w:pPr>
              <w:spacing w:after="0"/>
              <w:rPr>
                <w:sz w:val="24"/>
                <w:szCs w:val="24"/>
                <w:color w:val="auto"/>
              </w:rPr>
            </w:pPr>
          </w:p>
        </w:tc>
        <w:tc>
          <w:tcPr>
            <w:tcW w:w="40" w:type="dxa"/>
            <w:vAlign w:val="bottom"/>
            <w:shd w:val="clear" w:color="auto" w:fill="B3B3B3"/>
          </w:tcPr>
          <w:p>
            <w:pPr>
              <w:spacing w:after="0"/>
              <w:rPr>
                <w:sz w:val="24"/>
                <w:szCs w:val="24"/>
                <w:color w:val="auto"/>
              </w:rPr>
            </w:pPr>
          </w:p>
        </w:tc>
        <w:tc>
          <w:tcPr>
            <w:tcW w:w="200" w:type="dxa"/>
            <w:vAlign w:val="bottom"/>
            <w:tcBorders>
              <w:right w:val="single" w:sz="8" w:color="auto"/>
            </w:tcBorders>
            <w:shd w:val="clear" w:color="auto" w:fill="B3B3B3"/>
          </w:tcPr>
          <w:p>
            <w:pPr>
              <w:spacing w:after="0"/>
              <w:rPr>
                <w:sz w:val="24"/>
                <w:szCs w:val="24"/>
                <w:color w:val="auto"/>
              </w:rPr>
            </w:pPr>
          </w:p>
        </w:tc>
        <w:tc>
          <w:tcPr>
            <w:tcW w:w="40" w:type="dxa"/>
            <w:vAlign w:val="bottom"/>
            <w:shd w:val="clear" w:color="auto" w:fill="B3B3B3"/>
          </w:tcPr>
          <w:p>
            <w:pPr>
              <w:spacing w:after="0"/>
              <w:rPr>
                <w:sz w:val="24"/>
                <w:szCs w:val="24"/>
                <w:color w:val="auto"/>
              </w:rPr>
            </w:pPr>
          </w:p>
        </w:tc>
        <w:tc>
          <w:tcPr>
            <w:tcW w:w="460" w:type="dxa"/>
            <w:vAlign w:val="bottom"/>
            <w:shd w:val="clear" w:color="auto" w:fill="B3B3B3"/>
          </w:tcPr>
          <w:p>
            <w:pPr>
              <w:spacing w:after="0"/>
              <w:rPr>
                <w:sz w:val="24"/>
                <w:szCs w:val="24"/>
                <w:color w:val="auto"/>
              </w:rPr>
            </w:pPr>
          </w:p>
        </w:tc>
        <w:tc>
          <w:tcPr>
            <w:tcW w:w="700" w:type="dxa"/>
            <w:vAlign w:val="bottom"/>
            <w:shd w:val="clear" w:color="auto" w:fill="B3B3B3"/>
          </w:tcPr>
          <w:p>
            <w:pPr>
              <w:spacing w:after="0"/>
              <w:rPr>
                <w:sz w:val="24"/>
                <w:szCs w:val="24"/>
                <w:color w:val="auto"/>
              </w:rPr>
            </w:pPr>
          </w:p>
        </w:tc>
        <w:tc>
          <w:tcPr>
            <w:tcW w:w="520" w:type="dxa"/>
            <w:vAlign w:val="bottom"/>
            <w:tcBorders>
              <w:right w:val="single" w:sz="8" w:color="auto"/>
            </w:tcBorders>
            <w:shd w:val="clear" w:color="auto" w:fill="B3B3B3"/>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Borders>
              <w:top w:val="single" w:sz="8" w:color="B3B3B3"/>
              <w:left w:val="single" w:sz="8" w:color="auto"/>
              <w:bottom w:val="single" w:sz="8" w:color="auto"/>
            </w:tcBorders>
            <w:shd w:val="clear" w:color="auto" w:fill="B3B3B3"/>
          </w:tcPr>
          <w:p>
            <w:pPr>
              <w:spacing w:after="0"/>
              <w:rPr>
                <w:sz w:val="22"/>
                <w:szCs w:val="22"/>
                <w:color w:val="auto"/>
              </w:rPr>
            </w:pPr>
          </w:p>
        </w:tc>
        <w:tc>
          <w:tcPr>
            <w:tcW w:w="120" w:type="dxa"/>
            <w:vAlign w:val="bottom"/>
            <w:tcBorders>
              <w:top w:val="single" w:sz="8" w:color="B3B3B3"/>
              <w:bottom w:val="single" w:sz="8" w:color="auto"/>
            </w:tcBorders>
            <w:shd w:val="clear" w:color="auto" w:fill="B3B3B3"/>
          </w:tcPr>
          <w:p>
            <w:pPr>
              <w:spacing w:after="0"/>
              <w:rPr>
                <w:sz w:val="22"/>
                <w:szCs w:val="22"/>
                <w:color w:val="auto"/>
              </w:rPr>
            </w:pPr>
          </w:p>
        </w:tc>
        <w:tc>
          <w:tcPr>
            <w:tcW w:w="160" w:type="dxa"/>
            <w:vAlign w:val="bottom"/>
            <w:tcBorders>
              <w:top w:val="single" w:sz="8" w:color="B3B3B3"/>
              <w:bottom w:val="single" w:sz="8" w:color="auto"/>
            </w:tcBorders>
            <w:shd w:val="clear" w:color="auto" w:fill="B3B3B3"/>
          </w:tcPr>
          <w:p>
            <w:pPr>
              <w:spacing w:after="0"/>
              <w:rPr>
                <w:sz w:val="22"/>
                <w:szCs w:val="22"/>
                <w:color w:val="auto"/>
              </w:rPr>
            </w:pPr>
          </w:p>
        </w:tc>
        <w:tc>
          <w:tcPr>
            <w:tcW w:w="60" w:type="dxa"/>
            <w:vAlign w:val="bottom"/>
            <w:tcBorders>
              <w:top w:val="single" w:sz="8" w:color="B3B3B3"/>
              <w:bottom w:val="single" w:sz="8" w:color="auto"/>
            </w:tcBorders>
            <w:shd w:val="clear" w:color="auto" w:fill="B3B3B3"/>
          </w:tcPr>
          <w:p>
            <w:pPr>
              <w:spacing w:after="0"/>
              <w:rPr>
                <w:sz w:val="22"/>
                <w:szCs w:val="22"/>
                <w:color w:val="auto"/>
              </w:rPr>
            </w:pPr>
          </w:p>
        </w:tc>
        <w:tc>
          <w:tcPr>
            <w:tcW w:w="880" w:type="dxa"/>
            <w:vAlign w:val="bottom"/>
            <w:tcBorders>
              <w:top w:val="single" w:sz="8" w:color="B3B3B3"/>
              <w:bottom w:val="single" w:sz="8" w:color="auto"/>
            </w:tcBorders>
            <w:shd w:val="clear" w:color="auto" w:fill="B3B3B3"/>
          </w:tcPr>
          <w:p>
            <w:pPr>
              <w:spacing w:after="0"/>
              <w:rPr>
                <w:sz w:val="22"/>
                <w:szCs w:val="22"/>
                <w:color w:val="auto"/>
              </w:rPr>
            </w:pPr>
          </w:p>
        </w:tc>
        <w:tc>
          <w:tcPr>
            <w:tcW w:w="60" w:type="dxa"/>
            <w:vAlign w:val="bottom"/>
            <w:tcBorders>
              <w:top w:val="single" w:sz="8" w:color="B3B3B3"/>
              <w:bottom w:val="single" w:sz="8" w:color="auto"/>
            </w:tcBorders>
            <w:shd w:val="clear" w:color="auto" w:fill="B3B3B3"/>
          </w:tcPr>
          <w:p>
            <w:pPr>
              <w:spacing w:after="0"/>
              <w:rPr>
                <w:sz w:val="22"/>
                <w:szCs w:val="22"/>
                <w:color w:val="auto"/>
              </w:rPr>
            </w:pPr>
          </w:p>
        </w:tc>
        <w:tc>
          <w:tcPr>
            <w:tcW w:w="140" w:type="dxa"/>
            <w:vAlign w:val="bottom"/>
            <w:tcBorders>
              <w:top w:val="single" w:sz="8" w:color="B3B3B3"/>
              <w:bottom w:val="single" w:sz="8" w:color="auto"/>
            </w:tcBorders>
            <w:shd w:val="clear" w:color="auto" w:fill="B3B3B3"/>
          </w:tcPr>
          <w:p>
            <w:pPr>
              <w:spacing w:after="0"/>
              <w:rPr>
                <w:sz w:val="22"/>
                <w:szCs w:val="22"/>
                <w:color w:val="auto"/>
              </w:rPr>
            </w:pPr>
          </w:p>
        </w:tc>
        <w:tc>
          <w:tcPr>
            <w:tcW w:w="120" w:type="dxa"/>
            <w:vAlign w:val="bottom"/>
            <w:tcBorders>
              <w:top w:val="single" w:sz="8" w:color="B3B3B3"/>
              <w:bottom w:val="single" w:sz="8" w:color="auto"/>
            </w:tcBorders>
            <w:shd w:val="clear" w:color="auto" w:fill="B3B3B3"/>
          </w:tcPr>
          <w:p>
            <w:pPr>
              <w:spacing w:after="0"/>
              <w:rPr>
                <w:sz w:val="22"/>
                <w:szCs w:val="22"/>
                <w:color w:val="auto"/>
              </w:rPr>
            </w:pPr>
          </w:p>
        </w:tc>
        <w:tc>
          <w:tcPr>
            <w:tcW w:w="34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200" w:type="dxa"/>
            <w:vAlign w:val="bottom"/>
            <w:tcBorders>
              <w:top w:val="single" w:sz="8" w:color="B3B3B3"/>
              <w:bottom w:val="single" w:sz="8" w:color="auto"/>
            </w:tcBorders>
            <w:shd w:val="clear" w:color="auto" w:fill="B3B3B3"/>
          </w:tcPr>
          <w:p>
            <w:pPr>
              <w:spacing w:after="0"/>
              <w:rPr>
                <w:sz w:val="22"/>
                <w:szCs w:val="22"/>
                <w:color w:val="auto"/>
              </w:rPr>
            </w:pPr>
          </w:p>
        </w:tc>
        <w:tc>
          <w:tcPr>
            <w:tcW w:w="620" w:type="dxa"/>
            <w:vAlign w:val="bottom"/>
            <w:tcBorders>
              <w:top w:val="single" w:sz="8" w:color="B3B3B3"/>
              <w:bottom w:val="single" w:sz="8" w:color="auto"/>
            </w:tcBorders>
            <w:shd w:val="clear" w:color="auto" w:fill="B3B3B3"/>
          </w:tcPr>
          <w:p>
            <w:pPr>
              <w:spacing w:after="0"/>
              <w:rPr>
                <w:sz w:val="22"/>
                <w:szCs w:val="22"/>
                <w:color w:val="auto"/>
              </w:rPr>
            </w:pPr>
          </w:p>
        </w:tc>
        <w:tc>
          <w:tcPr>
            <w:tcW w:w="560" w:type="dxa"/>
            <w:vAlign w:val="bottom"/>
            <w:tcBorders>
              <w:top w:val="single" w:sz="8" w:color="B3B3B3"/>
              <w:bottom w:val="single" w:sz="8" w:color="auto"/>
            </w:tcBorders>
            <w:shd w:val="clear" w:color="auto" w:fill="B3B3B3"/>
          </w:tcPr>
          <w:p>
            <w:pPr>
              <w:spacing w:after="0"/>
              <w:rPr>
                <w:sz w:val="22"/>
                <w:szCs w:val="22"/>
                <w:color w:val="auto"/>
              </w:rPr>
            </w:pPr>
          </w:p>
        </w:tc>
        <w:tc>
          <w:tcPr>
            <w:tcW w:w="620" w:type="dxa"/>
            <w:vAlign w:val="bottom"/>
            <w:tcBorders>
              <w:top w:val="single" w:sz="8" w:color="B3B3B3"/>
              <w:bottom w:val="single" w:sz="8" w:color="auto"/>
            </w:tcBorders>
            <w:shd w:val="clear" w:color="auto" w:fill="B3B3B3"/>
          </w:tcPr>
          <w:p>
            <w:pPr>
              <w:spacing w:after="0"/>
              <w:rPr>
                <w:sz w:val="22"/>
                <w:szCs w:val="22"/>
                <w:color w:val="auto"/>
              </w:rPr>
            </w:pPr>
          </w:p>
        </w:tc>
        <w:tc>
          <w:tcPr>
            <w:tcW w:w="22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120" w:type="dxa"/>
            <w:vAlign w:val="bottom"/>
            <w:tcBorders>
              <w:top w:val="single" w:sz="8" w:color="B3B3B3"/>
              <w:bottom w:val="single" w:sz="8" w:color="auto"/>
            </w:tcBorders>
            <w:shd w:val="clear" w:color="auto" w:fill="B3B3B3"/>
          </w:tcPr>
          <w:p>
            <w:pPr>
              <w:spacing w:after="0"/>
              <w:rPr>
                <w:sz w:val="22"/>
                <w:szCs w:val="22"/>
                <w:color w:val="auto"/>
              </w:rPr>
            </w:pPr>
          </w:p>
        </w:tc>
        <w:tc>
          <w:tcPr>
            <w:tcW w:w="260" w:type="dxa"/>
            <w:vAlign w:val="bottom"/>
            <w:tcBorders>
              <w:top w:val="single" w:sz="8" w:color="B3B3B3"/>
              <w:bottom w:val="single" w:sz="8" w:color="auto"/>
            </w:tcBorders>
            <w:shd w:val="clear" w:color="auto" w:fill="B3B3B3"/>
          </w:tcPr>
          <w:p>
            <w:pPr>
              <w:spacing w:after="0"/>
              <w:rPr>
                <w:sz w:val="22"/>
                <w:szCs w:val="22"/>
                <w:color w:val="auto"/>
              </w:rPr>
            </w:pPr>
          </w:p>
        </w:tc>
        <w:tc>
          <w:tcPr>
            <w:tcW w:w="100" w:type="dxa"/>
            <w:vAlign w:val="bottom"/>
            <w:tcBorders>
              <w:top w:val="single" w:sz="8" w:color="B3B3B3"/>
              <w:bottom w:val="single" w:sz="8" w:color="auto"/>
            </w:tcBorders>
            <w:shd w:val="clear" w:color="auto" w:fill="B3B3B3"/>
          </w:tcPr>
          <w:p>
            <w:pPr>
              <w:spacing w:after="0"/>
              <w:rPr>
                <w:sz w:val="22"/>
                <w:szCs w:val="22"/>
                <w:color w:val="auto"/>
              </w:rPr>
            </w:pPr>
          </w:p>
        </w:tc>
        <w:tc>
          <w:tcPr>
            <w:tcW w:w="80" w:type="dxa"/>
            <w:vAlign w:val="bottom"/>
            <w:tcBorders>
              <w:top w:val="single" w:sz="8" w:color="auto"/>
              <w:bottom w:val="single" w:sz="8" w:color="auto"/>
            </w:tcBorders>
            <w:shd w:val="clear" w:color="auto" w:fill="B3B3B3"/>
          </w:tcPr>
          <w:p>
            <w:pPr>
              <w:spacing w:after="0"/>
              <w:rPr>
                <w:sz w:val="22"/>
                <w:szCs w:val="22"/>
                <w:color w:val="auto"/>
              </w:rPr>
            </w:pPr>
          </w:p>
        </w:tc>
        <w:tc>
          <w:tcPr>
            <w:tcW w:w="360" w:type="dxa"/>
            <w:vAlign w:val="bottom"/>
            <w:tcBorders>
              <w:top w:val="single" w:sz="8" w:color="auto"/>
              <w:bottom w:val="single" w:sz="8" w:color="auto"/>
            </w:tcBorders>
            <w:shd w:val="clear" w:color="auto" w:fill="B3B3B3"/>
          </w:tcPr>
          <w:p>
            <w:pPr>
              <w:spacing w:after="0"/>
              <w:rPr>
                <w:sz w:val="22"/>
                <w:szCs w:val="22"/>
                <w:color w:val="auto"/>
              </w:rPr>
            </w:pPr>
          </w:p>
        </w:tc>
        <w:tc>
          <w:tcPr>
            <w:tcW w:w="100" w:type="dxa"/>
            <w:vAlign w:val="bottom"/>
            <w:tcBorders>
              <w:top w:val="single" w:sz="8" w:color="auto"/>
              <w:bottom w:val="single" w:sz="8" w:color="auto"/>
            </w:tcBorders>
            <w:shd w:val="clear" w:color="auto" w:fill="B3B3B3"/>
          </w:tcPr>
          <w:p>
            <w:pPr>
              <w:spacing w:after="0"/>
              <w:rPr>
                <w:sz w:val="22"/>
                <w:szCs w:val="22"/>
                <w:color w:val="auto"/>
              </w:rPr>
            </w:pPr>
          </w:p>
        </w:tc>
        <w:tc>
          <w:tcPr>
            <w:tcW w:w="100" w:type="dxa"/>
            <w:vAlign w:val="bottom"/>
            <w:tcBorders>
              <w:top w:val="single" w:sz="8" w:color="B3B3B3"/>
              <w:bottom w:val="single" w:sz="8" w:color="auto"/>
            </w:tcBorders>
            <w:shd w:val="clear" w:color="auto" w:fill="B3B3B3"/>
          </w:tcPr>
          <w:p>
            <w:pPr>
              <w:spacing w:after="0"/>
              <w:rPr>
                <w:sz w:val="22"/>
                <w:szCs w:val="22"/>
                <w:color w:val="auto"/>
              </w:rPr>
            </w:pPr>
          </w:p>
        </w:tc>
        <w:tc>
          <w:tcPr>
            <w:tcW w:w="260" w:type="dxa"/>
            <w:vAlign w:val="bottom"/>
            <w:tcBorders>
              <w:top w:val="single" w:sz="8" w:color="B3B3B3"/>
              <w:bottom w:val="single" w:sz="8" w:color="auto"/>
            </w:tcBorders>
            <w:shd w:val="clear" w:color="auto" w:fill="B3B3B3"/>
          </w:tcPr>
          <w:p>
            <w:pPr>
              <w:spacing w:after="0"/>
              <w:rPr>
                <w:sz w:val="22"/>
                <w:szCs w:val="22"/>
                <w:color w:val="auto"/>
              </w:rPr>
            </w:pPr>
          </w:p>
        </w:tc>
        <w:tc>
          <w:tcPr>
            <w:tcW w:w="14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200" w:type="dxa"/>
            <w:vAlign w:val="bottom"/>
            <w:tcBorders>
              <w:top w:val="single" w:sz="8" w:color="B3B3B3"/>
              <w:bottom w:val="single" w:sz="8" w:color="auto"/>
            </w:tcBorders>
            <w:shd w:val="clear" w:color="auto" w:fill="B3B3B3"/>
          </w:tcPr>
          <w:p>
            <w:pPr>
              <w:spacing w:after="0"/>
              <w:rPr>
                <w:sz w:val="22"/>
                <w:szCs w:val="22"/>
                <w:color w:val="auto"/>
              </w:rPr>
            </w:pPr>
          </w:p>
        </w:tc>
        <w:tc>
          <w:tcPr>
            <w:tcW w:w="500" w:type="dxa"/>
            <w:vAlign w:val="bottom"/>
            <w:tcBorders>
              <w:top w:val="single" w:sz="8" w:color="B3B3B3"/>
              <w:bottom w:val="single" w:sz="8" w:color="auto"/>
            </w:tcBorders>
            <w:shd w:val="clear" w:color="auto" w:fill="B3B3B3"/>
          </w:tcPr>
          <w:p>
            <w:pPr>
              <w:spacing w:after="0"/>
              <w:rPr>
                <w:sz w:val="22"/>
                <w:szCs w:val="22"/>
                <w:color w:val="auto"/>
              </w:rPr>
            </w:pPr>
          </w:p>
        </w:tc>
        <w:tc>
          <w:tcPr>
            <w:tcW w:w="360" w:type="dxa"/>
            <w:vAlign w:val="bottom"/>
            <w:tcBorders>
              <w:top w:val="single" w:sz="8" w:color="B3B3B3"/>
              <w:bottom w:val="single" w:sz="8" w:color="auto"/>
            </w:tcBorders>
            <w:shd w:val="clear" w:color="auto" w:fill="B3B3B3"/>
          </w:tcPr>
          <w:p>
            <w:pPr>
              <w:spacing w:after="0"/>
              <w:rPr>
                <w:sz w:val="22"/>
                <w:szCs w:val="22"/>
                <w:color w:val="auto"/>
              </w:rPr>
            </w:pPr>
          </w:p>
        </w:tc>
        <w:tc>
          <w:tcPr>
            <w:tcW w:w="520" w:type="dxa"/>
            <w:vAlign w:val="bottom"/>
            <w:tcBorders>
              <w:top w:val="single" w:sz="8" w:color="B3B3B3"/>
              <w:bottom w:val="single" w:sz="8" w:color="auto"/>
            </w:tcBorders>
            <w:shd w:val="clear" w:color="auto" w:fill="B3B3B3"/>
          </w:tcPr>
          <w:p>
            <w:pPr>
              <w:spacing w:after="0"/>
              <w:rPr>
                <w:sz w:val="22"/>
                <w:szCs w:val="22"/>
                <w:color w:val="auto"/>
              </w:rPr>
            </w:pPr>
          </w:p>
        </w:tc>
        <w:tc>
          <w:tcPr>
            <w:tcW w:w="22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180" w:type="dxa"/>
            <w:vAlign w:val="bottom"/>
            <w:tcBorders>
              <w:top w:val="single" w:sz="8" w:color="B3B3B3"/>
              <w:bottom w:val="single" w:sz="8" w:color="auto"/>
            </w:tcBorders>
            <w:shd w:val="clear" w:color="auto" w:fill="B3B3B3"/>
          </w:tcPr>
          <w:p>
            <w:pPr>
              <w:spacing w:after="0"/>
              <w:rPr>
                <w:sz w:val="22"/>
                <w:szCs w:val="22"/>
                <w:color w:val="auto"/>
              </w:rPr>
            </w:pPr>
          </w:p>
        </w:tc>
        <w:tc>
          <w:tcPr>
            <w:tcW w:w="40" w:type="dxa"/>
            <w:vAlign w:val="bottom"/>
            <w:tcBorders>
              <w:top w:val="single" w:sz="8" w:color="B3B3B3"/>
              <w:bottom w:val="single" w:sz="8" w:color="auto"/>
            </w:tcBorders>
            <w:shd w:val="clear" w:color="auto" w:fill="B3B3B3"/>
          </w:tcPr>
          <w:p>
            <w:pPr>
              <w:spacing w:after="0"/>
              <w:rPr>
                <w:sz w:val="22"/>
                <w:szCs w:val="22"/>
                <w:color w:val="auto"/>
              </w:rPr>
            </w:pPr>
          </w:p>
        </w:tc>
        <w:tc>
          <w:tcPr>
            <w:tcW w:w="1320" w:type="dxa"/>
            <w:vAlign w:val="bottom"/>
            <w:tcBorders>
              <w:top w:val="single" w:sz="8" w:color="B3B3B3"/>
              <w:bottom w:val="single" w:sz="8" w:color="auto"/>
            </w:tcBorders>
            <w:shd w:val="clear" w:color="auto" w:fill="B3B3B3"/>
          </w:tcPr>
          <w:p>
            <w:pPr>
              <w:spacing w:after="0"/>
              <w:rPr>
                <w:sz w:val="22"/>
                <w:szCs w:val="22"/>
                <w:color w:val="auto"/>
              </w:rPr>
            </w:pPr>
          </w:p>
        </w:tc>
        <w:tc>
          <w:tcPr>
            <w:tcW w:w="40" w:type="dxa"/>
            <w:vAlign w:val="bottom"/>
            <w:tcBorders>
              <w:top w:val="single" w:sz="8" w:color="B3B3B3"/>
              <w:bottom w:val="single" w:sz="8" w:color="auto"/>
            </w:tcBorders>
            <w:shd w:val="clear" w:color="auto" w:fill="B3B3B3"/>
          </w:tcPr>
          <w:p>
            <w:pPr>
              <w:spacing w:after="0"/>
              <w:rPr>
                <w:sz w:val="22"/>
                <w:szCs w:val="22"/>
                <w:color w:val="auto"/>
              </w:rPr>
            </w:pPr>
          </w:p>
        </w:tc>
        <w:tc>
          <w:tcPr>
            <w:tcW w:w="20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40" w:type="dxa"/>
            <w:vAlign w:val="bottom"/>
            <w:tcBorders>
              <w:top w:val="single" w:sz="8" w:color="B3B3B3"/>
              <w:bottom w:val="single" w:sz="8" w:color="auto"/>
            </w:tcBorders>
            <w:shd w:val="clear" w:color="auto" w:fill="B3B3B3"/>
          </w:tcPr>
          <w:p>
            <w:pPr>
              <w:spacing w:after="0"/>
              <w:rPr>
                <w:sz w:val="22"/>
                <w:szCs w:val="22"/>
                <w:color w:val="auto"/>
              </w:rPr>
            </w:pPr>
          </w:p>
        </w:tc>
        <w:tc>
          <w:tcPr>
            <w:tcW w:w="460" w:type="dxa"/>
            <w:vAlign w:val="bottom"/>
            <w:tcBorders>
              <w:top w:val="single" w:sz="8" w:color="B3B3B3"/>
              <w:bottom w:val="single" w:sz="8" w:color="auto"/>
            </w:tcBorders>
            <w:shd w:val="clear" w:color="auto" w:fill="B3B3B3"/>
          </w:tcPr>
          <w:p>
            <w:pPr>
              <w:spacing w:after="0"/>
              <w:rPr>
                <w:sz w:val="22"/>
                <w:szCs w:val="22"/>
                <w:color w:val="auto"/>
              </w:rPr>
            </w:pPr>
          </w:p>
        </w:tc>
        <w:tc>
          <w:tcPr>
            <w:tcW w:w="700" w:type="dxa"/>
            <w:vAlign w:val="bottom"/>
            <w:tcBorders>
              <w:top w:val="single" w:sz="8" w:color="B3B3B3"/>
              <w:bottom w:val="single" w:sz="8" w:color="auto"/>
            </w:tcBorders>
            <w:shd w:val="clear" w:color="auto" w:fill="B3B3B3"/>
          </w:tcPr>
          <w:p>
            <w:pPr>
              <w:spacing w:after="0"/>
              <w:rPr>
                <w:sz w:val="22"/>
                <w:szCs w:val="22"/>
                <w:color w:val="auto"/>
              </w:rPr>
            </w:pPr>
          </w:p>
        </w:tc>
        <w:tc>
          <w:tcPr>
            <w:tcW w:w="520" w:type="dxa"/>
            <w:vAlign w:val="bottom"/>
            <w:tcBorders>
              <w:top w:val="single" w:sz="8" w:color="B3B3B3"/>
              <w:bottom w:val="single" w:sz="8" w:color="auto"/>
              <w:right w:val="single" w:sz="8" w:color="auto"/>
            </w:tcBorders>
            <w:shd w:val="clear" w:color="auto" w:fill="B3B3B3"/>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Category 1</w:t>
            </w:r>
          </w:p>
        </w:tc>
        <w:tc>
          <w:tcPr>
            <w:tcW w:w="660" w:type="dxa"/>
            <w:vAlign w:val="bottom"/>
            <w:tcBorders>
              <w:right w:val="single" w:sz="8" w:color="auto"/>
            </w:tcBorders>
            <w:gridSpan w:val="4"/>
          </w:tcPr>
          <w:p>
            <w:pPr>
              <w:spacing w:after="0"/>
              <w:rPr>
                <w:sz w:val="18"/>
                <w:szCs w:val="18"/>
                <w:color w:val="auto"/>
              </w:rPr>
            </w:pPr>
          </w:p>
        </w:tc>
        <w:tc>
          <w:tcPr>
            <w:tcW w:w="1380" w:type="dxa"/>
            <w:vAlign w:val="bottom"/>
            <w:gridSpan w:val="3"/>
          </w:tcPr>
          <w:p>
            <w:pPr>
              <w:jc w:val="center"/>
              <w:ind w:left="721"/>
              <w:spacing w:after="0" w:line="209" w:lineRule="exact"/>
              <w:rPr>
                <w:sz w:val="20"/>
                <w:szCs w:val="20"/>
                <w:color w:val="auto"/>
              </w:rPr>
            </w:pPr>
            <w:r>
              <w:rPr>
                <w:rFonts w:ascii="Times New Roman" w:cs="Times New Roman" w:eastAsia="Times New Roman" w:hAnsi="Times New Roman"/>
                <w:sz w:val="20"/>
                <w:szCs w:val="20"/>
                <w:color w:val="auto"/>
              </w:rPr>
              <w:t>1.25%</w:t>
            </w:r>
          </w:p>
        </w:tc>
        <w:tc>
          <w:tcPr>
            <w:tcW w:w="6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20" w:type="dxa"/>
            <w:vAlign w:val="bottom"/>
            <w:gridSpan w:val="6"/>
          </w:tcPr>
          <w:p>
            <w:pPr>
              <w:jc w:val="center"/>
              <w:ind w:left="361"/>
              <w:spacing w:after="0" w:line="209" w:lineRule="exact"/>
              <w:rPr>
                <w:sz w:val="20"/>
                <w:szCs w:val="20"/>
                <w:color w:val="auto"/>
              </w:rPr>
            </w:pPr>
            <w:r>
              <w:rPr>
                <w:rFonts w:ascii="Times New Roman" w:cs="Times New Roman" w:eastAsia="Times New Roman" w:hAnsi="Times New Roman"/>
                <w:sz w:val="20"/>
                <w:szCs w:val="20"/>
                <w:color w:val="auto"/>
              </w:rPr>
              <w:t>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580" w:type="dxa"/>
            <w:vAlign w:val="bottom"/>
            <w:gridSpan w:val="4"/>
          </w:tcPr>
          <w:p>
            <w:pPr>
              <w:jc w:val="center"/>
              <w:ind w:left="101"/>
              <w:spacing w:after="0" w:line="209" w:lineRule="exact"/>
              <w:rPr>
                <w:sz w:val="20"/>
                <w:szCs w:val="20"/>
                <w:color w:val="auto"/>
              </w:rPr>
            </w:pPr>
            <w:r>
              <w:rPr>
                <w:rFonts w:ascii="Times New Roman" w:cs="Times New Roman" w:eastAsia="Times New Roman" w:hAnsi="Times New Roman"/>
                <w:sz w:val="20"/>
                <w:szCs w:val="20"/>
                <w:color w:val="auto"/>
              </w:rPr>
              <w:t>0.200%</w:t>
            </w:r>
          </w:p>
        </w:tc>
        <w:tc>
          <w:tcPr>
            <w:tcW w:w="220" w:type="dxa"/>
            <w:vAlign w:val="bottom"/>
            <w:tcBorders>
              <w:right w:val="single" w:sz="8" w:color="auto"/>
            </w:tcBorders>
          </w:tcPr>
          <w:p>
            <w:pPr>
              <w:spacing w:after="0"/>
              <w:rPr>
                <w:sz w:val="18"/>
                <w:szCs w:val="18"/>
                <w:color w:val="auto"/>
              </w:rPr>
            </w:pPr>
          </w:p>
        </w:tc>
        <w:tc>
          <w:tcPr>
            <w:tcW w:w="1540" w:type="dxa"/>
            <w:vAlign w:val="bottom"/>
            <w:gridSpan w:val="3"/>
          </w:tcPr>
          <w:p>
            <w:pPr>
              <w:jc w:val="center"/>
              <w:ind w:left="121"/>
              <w:spacing w:after="0" w:line="209" w:lineRule="exact"/>
              <w:rPr>
                <w:sz w:val="20"/>
                <w:szCs w:val="20"/>
                <w:color w:val="auto"/>
              </w:rPr>
            </w:pPr>
            <w:r>
              <w:rPr>
                <w:rFonts w:ascii="Times New Roman" w:cs="Times New Roman" w:eastAsia="Times New Roman" w:hAnsi="Times New Roman"/>
                <w:sz w:val="20"/>
                <w:szCs w:val="20"/>
                <w:color w:val="auto"/>
              </w:rPr>
              <w:t>1.25%</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0" w:type="dxa"/>
            <w:vAlign w:val="bottom"/>
            <w:gridSpan w:val="3"/>
          </w:tcPr>
          <w:p>
            <w:pPr>
              <w:jc w:val="center"/>
              <w:ind w:left="401"/>
              <w:spacing w:after="0" w:line="209" w:lineRule="exact"/>
              <w:rPr>
                <w:sz w:val="20"/>
                <w:szCs w:val="20"/>
                <w:color w:val="auto"/>
              </w:rPr>
            </w:pPr>
            <w:r>
              <w:rPr>
                <w:rFonts w:ascii="Times New Roman" w:cs="Times New Roman" w:eastAsia="Times New Roman" w:hAnsi="Times New Roman"/>
                <w:sz w:val="20"/>
                <w:szCs w:val="20"/>
                <w:color w:val="auto"/>
              </w:rPr>
              <w:t>0.625%</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right w:val="single" w:sz="8" w:color="auto"/>
            </w:tcBorders>
            <w:gridSpan w:val="7"/>
          </w:tcPr>
          <w:p>
            <w:pPr>
              <w:jc w:val="center"/>
              <w:ind w:right="440"/>
              <w:spacing w:after="0" w:line="223" w:lineRule="exact"/>
              <w:rPr>
                <w:sz w:val="20"/>
                <w:szCs w:val="20"/>
                <w:color w:val="auto"/>
              </w:rPr>
            </w:pPr>
            <w:r>
              <w:rPr>
                <w:rFonts w:ascii="Times New Roman" w:cs="Times New Roman" w:eastAsia="Times New Roman" w:hAnsi="Times New Roman"/>
                <w:sz w:val="20"/>
                <w:szCs w:val="20"/>
                <w:color w:val="auto"/>
                <w:w w:val="98"/>
              </w:rPr>
              <w:t>&lt; 1.50 to 1.0</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Category 2</w:t>
            </w:r>
          </w:p>
        </w:tc>
        <w:tc>
          <w:tcPr>
            <w:tcW w:w="660" w:type="dxa"/>
            <w:vAlign w:val="bottom"/>
            <w:tcBorders>
              <w:right w:val="single" w:sz="8" w:color="auto"/>
            </w:tcBorders>
            <w:gridSpan w:val="4"/>
          </w:tcPr>
          <w:p>
            <w:pPr>
              <w:spacing w:after="0"/>
              <w:rPr>
                <w:sz w:val="18"/>
                <w:szCs w:val="18"/>
                <w:color w:val="auto"/>
              </w:rPr>
            </w:pPr>
          </w:p>
        </w:tc>
        <w:tc>
          <w:tcPr>
            <w:tcW w:w="1380" w:type="dxa"/>
            <w:vAlign w:val="bottom"/>
            <w:gridSpan w:val="3"/>
          </w:tcPr>
          <w:p>
            <w:pPr>
              <w:jc w:val="center"/>
              <w:ind w:left="721"/>
              <w:spacing w:after="0" w:line="209" w:lineRule="exact"/>
              <w:rPr>
                <w:sz w:val="20"/>
                <w:szCs w:val="20"/>
                <w:color w:val="auto"/>
              </w:rPr>
            </w:pPr>
            <w:r>
              <w:rPr>
                <w:rFonts w:ascii="Times New Roman" w:cs="Times New Roman" w:eastAsia="Times New Roman" w:hAnsi="Times New Roman"/>
                <w:sz w:val="20"/>
                <w:szCs w:val="20"/>
                <w:color w:val="auto"/>
              </w:rPr>
              <w:t>1.50%</w:t>
            </w:r>
          </w:p>
        </w:tc>
        <w:tc>
          <w:tcPr>
            <w:tcW w:w="6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20" w:type="dxa"/>
            <w:vAlign w:val="bottom"/>
            <w:gridSpan w:val="6"/>
          </w:tcPr>
          <w:p>
            <w:pPr>
              <w:jc w:val="center"/>
              <w:ind w:left="361"/>
              <w:spacing w:after="0" w:line="209" w:lineRule="exact"/>
              <w:rPr>
                <w:sz w:val="20"/>
                <w:szCs w:val="20"/>
                <w:color w:val="auto"/>
              </w:rPr>
            </w:pPr>
            <w:r>
              <w:rPr>
                <w:rFonts w:ascii="Times New Roman" w:cs="Times New Roman" w:eastAsia="Times New Roman" w:hAnsi="Times New Roman"/>
                <w:sz w:val="20"/>
                <w:szCs w:val="20"/>
                <w:color w:val="auto"/>
              </w:rPr>
              <w:t>0.50%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580" w:type="dxa"/>
            <w:vAlign w:val="bottom"/>
            <w:gridSpan w:val="4"/>
          </w:tcPr>
          <w:p>
            <w:pPr>
              <w:jc w:val="center"/>
              <w:ind w:left="101"/>
              <w:spacing w:after="0" w:line="209" w:lineRule="exact"/>
              <w:rPr>
                <w:sz w:val="20"/>
                <w:szCs w:val="20"/>
                <w:color w:val="auto"/>
              </w:rPr>
            </w:pPr>
            <w:r>
              <w:rPr>
                <w:rFonts w:ascii="Times New Roman" w:cs="Times New Roman" w:eastAsia="Times New Roman" w:hAnsi="Times New Roman"/>
                <w:sz w:val="20"/>
                <w:szCs w:val="20"/>
                <w:color w:val="auto"/>
              </w:rPr>
              <w:t>0.225%</w:t>
            </w:r>
          </w:p>
        </w:tc>
        <w:tc>
          <w:tcPr>
            <w:tcW w:w="220" w:type="dxa"/>
            <w:vAlign w:val="bottom"/>
            <w:tcBorders>
              <w:right w:val="single" w:sz="8" w:color="auto"/>
            </w:tcBorders>
          </w:tcPr>
          <w:p>
            <w:pPr>
              <w:spacing w:after="0"/>
              <w:rPr>
                <w:sz w:val="18"/>
                <w:szCs w:val="18"/>
                <w:color w:val="auto"/>
              </w:rPr>
            </w:pPr>
          </w:p>
        </w:tc>
        <w:tc>
          <w:tcPr>
            <w:tcW w:w="1540" w:type="dxa"/>
            <w:vAlign w:val="bottom"/>
            <w:gridSpan w:val="3"/>
          </w:tcPr>
          <w:p>
            <w:pPr>
              <w:jc w:val="center"/>
              <w:ind w:left="121"/>
              <w:spacing w:after="0" w:line="209" w:lineRule="exact"/>
              <w:rPr>
                <w:sz w:val="20"/>
                <w:szCs w:val="20"/>
                <w:color w:val="auto"/>
              </w:rPr>
            </w:pPr>
            <w:r>
              <w:rPr>
                <w:rFonts w:ascii="Times New Roman" w:cs="Times New Roman" w:eastAsia="Times New Roman" w:hAnsi="Times New Roman"/>
                <w:sz w:val="20"/>
                <w:szCs w:val="20"/>
                <w:color w:val="auto"/>
              </w:rPr>
              <w:t>1.50%</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0" w:type="dxa"/>
            <w:vAlign w:val="bottom"/>
            <w:gridSpan w:val="3"/>
          </w:tcPr>
          <w:p>
            <w:pPr>
              <w:jc w:val="center"/>
              <w:ind w:left="401"/>
              <w:spacing w:after="0" w:line="209" w:lineRule="exact"/>
              <w:rPr>
                <w:sz w:val="20"/>
                <w:szCs w:val="20"/>
                <w:color w:val="auto"/>
              </w:rPr>
            </w:pPr>
            <w:r>
              <w:rPr>
                <w:rFonts w:ascii="Times New Roman" w:cs="Times New Roman" w:eastAsia="Times New Roman" w:hAnsi="Times New Roman"/>
                <w:sz w:val="20"/>
                <w:szCs w:val="20"/>
                <w:color w:val="auto"/>
                <w:w w:val="96"/>
              </w:rPr>
              <w:t>0.75%</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right w:val="single" w:sz="8" w:color="auto"/>
            </w:tcBorders>
            <w:gridSpan w:val="7"/>
          </w:tcPr>
          <w:p>
            <w:pPr>
              <w:jc w:val="center"/>
              <w:ind w:right="460"/>
              <w:spacing w:after="0" w:line="223" w:lineRule="exact"/>
              <w:rPr>
                <w:sz w:val="20"/>
                <w:szCs w:val="20"/>
                <w:color w:val="auto"/>
              </w:rPr>
            </w:pPr>
            <w:r>
              <w:rPr>
                <w:rFonts w:ascii="Times New Roman" w:cs="Times New Roman" w:eastAsia="Times New Roman" w:hAnsi="Times New Roman"/>
                <w:sz w:val="20"/>
                <w:szCs w:val="20"/>
                <w:color w:val="auto"/>
                <w:w w:val="98"/>
              </w:rPr>
              <w:t>&gt; 1.50 to 1.0 but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gridSpan w:val="5"/>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&lt; 2.00 to 1.0</w:t>
            </w:r>
          </w:p>
        </w:tc>
        <w:tc>
          <w:tcPr>
            <w:tcW w:w="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Category 3</w:t>
            </w:r>
          </w:p>
        </w:tc>
        <w:tc>
          <w:tcPr>
            <w:tcW w:w="660" w:type="dxa"/>
            <w:vAlign w:val="bottom"/>
            <w:tcBorders>
              <w:right w:val="single" w:sz="8" w:color="auto"/>
            </w:tcBorders>
            <w:gridSpan w:val="4"/>
          </w:tcPr>
          <w:p>
            <w:pPr>
              <w:spacing w:after="0"/>
              <w:rPr>
                <w:sz w:val="18"/>
                <w:szCs w:val="18"/>
                <w:color w:val="auto"/>
              </w:rPr>
            </w:pPr>
          </w:p>
        </w:tc>
        <w:tc>
          <w:tcPr>
            <w:tcW w:w="1380" w:type="dxa"/>
            <w:vAlign w:val="bottom"/>
            <w:gridSpan w:val="3"/>
          </w:tcPr>
          <w:p>
            <w:pPr>
              <w:jc w:val="center"/>
              <w:ind w:left="721"/>
              <w:spacing w:after="0" w:line="209" w:lineRule="exact"/>
              <w:rPr>
                <w:sz w:val="20"/>
                <w:szCs w:val="20"/>
                <w:color w:val="auto"/>
              </w:rPr>
            </w:pPr>
            <w:r>
              <w:rPr>
                <w:rFonts w:ascii="Times New Roman" w:cs="Times New Roman" w:eastAsia="Times New Roman" w:hAnsi="Times New Roman"/>
                <w:sz w:val="20"/>
                <w:szCs w:val="20"/>
                <w:color w:val="auto"/>
              </w:rPr>
              <w:t>1.75%</w:t>
            </w:r>
          </w:p>
        </w:tc>
        <w:tc>
          <w:tcPr>
            <w:tcW w:w="6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20" w:type="dxa"/>
            <w:vAlign w:val="bottom"/>
            <w:gridSpan w:val="6"/>
          </w:tcPr>
          <w:p>
            <w:pPr>
              <w:jc w:val="center"/>
              <w:ind w:left="361"/>
              <w:spacing w:after="0" w:line="209" w:lineRule="exact"/>
              <w:rPr>
                <w:sz w:val="20"/>
                <w:szCs w:val="20"/>
                <w:color w:val="auto"/>
              </w:rPr>
            </w:pPr>
            <w:r>
              <w:rPr>
                <w:rFonts w:ascii="Times New Roman" w:cs="Times New Roman" w:eastAsia="Times New Roman" w:hAnsi="Times New Roman"/>
                <w:sz w:val="20"/>
                <w:szCs w:val="20"/>
                <w:color w:val="auto"/>
              </w:rPr>
              <w:t>0.75%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580" w:type="dxa"/>
            <w:vAlign w:val="bottom"/>
            <w:gridSpan w:val="4"/>
          </w:tcPr>
          <w:p>
            <w:pPr>
              <w:jc w:val="center"/>
              <w:ind w:left="101"/>
              <w:spacing w:after="0" w:line="209" w:lineRule="exact"/>
              <w:rPr>
                <w:sz w:val="20"/>
                <w:szCs w:val="20"/>
                <w:color w:val="auto"/>
              </w:rPr>
            </w:pPr>
            <w:r>
              <w:rPr>
                <w:rFonts w:ascii="Times New Roman" w:cs="Times New Roman" w:eastAsia="Times New Roman" w:hAnsi="Times New Roman"/>
                <w:sz w:val="20"/>
                <w:szCs w:val="20"/>
                <w:color w:val="auto"/>
              </w:rPr>
              <w:t>0.275%</w:t>
            </w:r>
          </w:p>
        </w:tc>
        <w:tc>
          <w:tcPr>
            <w:tcW w:w="220" w:type="dxa"/>
            <w:vAlign w:val="bottom"/>
            <w:tcBorders>
              <w:right w:val="single" w:sz="8" w:color="auto"/>
            </w:tcBorders>
          </w:tcPr>
          <w:p>
            <w:pPr>
              <w:spacing w:after="0"/>
              <w:rPr>
                <w:sz w:val="18"/>
                <w:szCs w:val="18"/>
                <w:color w:val="auto"/>
              </w:rPr>
            </w:pPr>
          </w:p>
        </w:tc>
        <w:tc>
          <w:tcPr>
            <w:tcW w:w="1540" w:type="dxa"/>
            <w:vAlign w:val="bottom"/>
            <w:gridSpan w:val="3"/>
          </w:tcPr>
          <w:p>
            <w:pPr>
              <w:jc w:val="center"/>
              <w:ind w:left="121"/>
              <w:spacing w:after="0" w:line="209" w:lineRule="exact"/>
              <w:rPr>
                <w:sz w:val="20"/>
                <w:szCs w:val="20"/>
                <w:color w:val="auto"/>
              </w:rPr>
            </w:pPr>
            <w:r>
              <w:rPr>
                <w:rFonts w:ascii="Times New Roman" w:cs="Times New Roman" w:eastAsia="Times New Roman" w:hAnsi="Times New Roman"/>
                <w:sz w:val="20"/>
                <w:szCs w:val="20"/>
                <w:color w:val="auto"/>
              </w:rPr>
              <w:t>1.75%</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0" w:type="dxa"/>
            <w:vAlign w:val="bottom"/>
            <w:gridSpan w:val="3"/>
          </w:tcPr>
          <w:p>
            <w:pPr>
              <w:jc w:val="center"/>
              <w:ind w:left="401"/>
              <w:spacing w:after="0" w:line="209" w:lineRule="exact"/>
              <w:rPr>
                <w:sz w:val="20"/>
                <w:szCs w:val="20"/>
                <w:color w:val="auto"/>
              </w:rPr>
            </w:pPr>
            <w:r>
              <w:rPr>
                <w:rFonts w:ascii="Times New Roman" w:cs="Times New Roman" w:eastAsia="Times New Roman" w:hAnsi="Times New Roman"/>
                <w:sz w:val="20"/>
                <w:szCs w:val="20"/>
                <w:color w:val="auto"/>
              </w:rPr>
              <w:t>0.875%</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right w:val="single" w:sz="8" w:color="auto"/>
            </w:tcBorders>
            <w:gridSpan w:val="7"/>
          </w:tcPr>
          <w:p>
            <w:pPr>
              <w:jc w:val="center"/>
              <w:ind w:right="460"/>
              <w:spacing w:after="0" w:line="223" w:lineRule="exact"/>
              <w:rPr>
                <w:sz w:val="20"/>
                <w:szCs w:val="20"/>
                <w:color w:val="auto"/>
              </w:rPr>
            </w:pPr>
            <w:r>
              <w:rPr>
                <w:rFonts w:ascii="Times New Roman" w:cs="Times New Roman" w:eastAsia="Times New Roman" w:hAnsi="Times New Roman"/>
                <w:sz w:val="20"/>
                <w:szCs w:val="20"/>
                <w:color w:val="auto"/>
                <w:w w:val="98"/>
              </w:rPr>
              <w:t>&gt; 2.00 to 1.0 but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gridSpan w:val="5"/>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&lt; 2.50 to 1.0</w:t>
            </w:r>
          </w:p>
        </w:tc>
        <w:tc>
          <w:tcPr>
            <w:tcW w:w="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Category 4</w:t>
            </w:r>
          </w:p>
        </w:tc>
        <w:tc>
          <w:tcPr>
            <w:tcW w:w="660" w:type="dxa"/>
            <w:vAlign w:val="bottom"/>
            <w:tcBorders>
              <w:right w:val="single" w:sz="8" w:color="auto"/>
            </w:tcBorders>
            <w:gridSpan w:val="4"/>
          </w:tcPr>
          <w:p>
            <w:pPr>
              <w:spacing w:after="0"/>
              <w:rPr>
                <w:sz w:val="18"/>
                <w:szCs w:val="18"/>
                <w:color w:val="auto"/>
              </w:rPr>
            </w:pPr>
          </w:p>
        </w:tc>
        <w:tc>
          <w:tcPr>
            <w:tcW w:w="1380" w:type="dxa"/>
            <w:vAlign w:val="bottom"/>
            <w:gridSpan w:val="3"/>
          </w:tcPr>
          <w:p>
            <w:pPr>
              <w:jc w:val="center"/>
              <w:ind w:left="721"/>
              <w:spacing w:after="0" w:line="209" w:lineRule="exact"/>
              <w:rPr>
                <w:sz w:val="20"/>
                <w:szCs w:val="20"/>
                <w:color w:val="auto"/>
              </w:rPr>
            </w:pPr>
            <w:r>
              <w:rPr>
                <w:rFonts w:ascii="Times New Roman" w:cs="Times New Roman" w:eastAsia="Times New Roman" w:hAnsi="Times New Roman"/>
                <w:sz w:val="20"/>
                <w:szCs w:val="20"/>
                <w:color w:val="auto"/>
              </w:rPr>
              <w:t>2.00%</w:t>
            </w:r>
          </w:p>
        </w:tc>
        <w:tc>
          <w:tcPr>
            <w:tcW w:w="6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20" w:type="dxa"/>
            <w:vAlign w:val="bottom"/>
            <w:gridSpan w:val="6"/>
          </w:tcPr>
          <w:p>
            <w:pPr>
              <w:jc w:val="center"/>
              <w:ind w:left="361"/>
              <w:spacing w:after="0" w:line="209" w:lineRule="exact"/>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580" w:type="dxa"/>
            <w:vAlign w:val="bottom"/>
            <w:gridSpan w:val="4"/>
          </w:tcPr>
          <w:p>
            <w:pPr>
              <w:jc w:val="center"/>
              <w:ind w:left="101"/>
              <w:spacing w:after="0" w:line="209" w:lineRule="exact"/>
              <w:rPr>
                <w:sz w:val="20"/>
                <w:szCs w:val="20"/>
                <w:color w:val="auto"/>
              </w:rPr>
            </w:pPr>
            <w:r>
              <w:rPr>
                <w:rFonts w:ascii="Times New Roman" w:cs="Times New Roman" w:eastAsia="Times New Roman" w:hAnsi="Times New Roman"/>
                <w:sz w:val="20"/>
                <w:szCs w:val="20"/>
                <w:color w:val="auto"/>
              </w:rPr>
              <w:t>0.300%</w:t>
            </w:r>
          </w:p>
        </w:tc>
        <w:tc>
          <w:tcPr>
            <w:tcW w:w="220" w:type="dxa"/>
            <w:vAlign w:val="bottom"/>
            <w:tcBorders>
              <w:right w:val="single" w:sz="8" w:color="auto"/>
            </w:tcBorders>
          </w:tcPr>
          <w:p>
            <w:pPr>
              <w:spacing w:after="0"/>
              <w:rPr>
                <w:sz w:val="18"/>
                <w:szCs w:val="18"/>
                <w:color w:val="auto"/>
              </w:rPr>
            </w:pPr>
          </w:p>
        </w:tc>
        <w:tc>
          <w:tcPr>
            <w:tcW w:w="1540" w:type="dxa"/>
            <w:vAlign w:val="bottom"/>
            <w:gridSpan w:val="3"/>
          </w:tcPr>
          <w:p>
            <w:pPr>
              <w:jc w:val="center"/>
              <w:ind w:left="121"/>
              <w:spacing w:after="0" w:line="209" w:lineRule="exact"/>
              <w:rPr>
                <w:sz w:val="20"/>
                <w:szCs w:val="20"/>
                <w:color w:val="auto"/>
              </w:rPr>
            </w:pPr>
            <w:r>
              <w:rPr>
                <w:rFonts w:ascii="Times New Roman" w:cs="Times New Roman" w:eastAsia="Times New Roman" w:hAnsi="Times New Roman"/>
                <w:sz w:val="20"/>
                <w:szCs w:val="20"/>
                <w:color w:val="auto"/>
              </w:rPr>
              <w:t>2.00%</w:t>
            </w:r>
          </w:p>
        </w:tc>
        <w:tc>
          <w:tcPr>
            <w:tcW w:w="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200" w:type="dxa"/>
            <w:vAlign w:val="bottom"/>
            <w:gridSpan w:val="3"/>
          </w:tcPr>
          <w:p>
            <w:pPr>
              <w:jc w:val="center"/>
              <w:ind w:left="401"/>
              <w:spacing w:after="0" w:line="209" w:lineRule="exact"/>
              <w:rPr>
                <w:sz w:val="20"/>
                <w:szCs w:val="20"/>
                <w:color w:val="auto"/>
              </w:rPr>
            </w:pPr>
            <w:r>
              <w:rPr>
                <w:rFonts w:ascii="Times New Roman" w:cs="Times New Roman" w:eastAsia="Times New Roman" w:hAnsi="Times New Roman"/>
                <w:sz w:val="20"/>
                <w:szCs w:val="20"/>
                <w:color w:val="auto"/>
                <w:w w:val="96"/>
              </w:rPr>
              <w:t>1.00%</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right w:val="single" w:sz="8" w:color="auto"/>
            </w:tcBorders>
            <w:gridSpan w:val="7"/>
          </w:tcPr>
          <w:p>
            <w:pPr>
              <w:jc w:val="center"/>
              <w:ind w:right="440"/>
              <w:spacing w:after="0" w:line="223" w:lineRule="exact"/>
              <w:rPr>
                <w:sz w:val="20"/>
                <w:szCs w:val="20"/>
                <w:color w:val="auto"/>
              </w:rPr>
            </w:pPr>
            <w:r>
              <w:rPr>
                <w:rFonts w:ascii="Times New Roman" w:cs="Times New Roman" w:eastAsia="Times New Roman" w:hAnsi="Times New Roman"/>
                <w:sz w:val="20"/>
                <w:szCs w:val="20"/>
                <w:color w:val="auto"/>
                <w:w w:val="98"/>
              </w:rPr>
              <w:t>&gt; 2.50 to 1.0</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firstLine="1296"/>
        <w:spacing w:after="0" w:line="251" w:lineRule="auto"/>
        <w:rPr>
          <w:sz w:val="20"/>
          <w:szCs w:val="20"/>
          <w:color w:val="auto"/>
        </w:rPr>
      </w:pPr>
      <w:r>
        <w:rPr>
          <w:rFonts w:ascii="Times New Roman" w:cs="Times New Roman" w:eastAsia="Times New Roman" w:hAnsi="Times New Roman"/>
          <w:sz w:val="20"/>
          <w:szCs w:val="20"/>
          <w:color w:val="auto"/>
        </w:rPr>
        <w:t xml:space="preserve">For purposes of the foregoing, (a) the Applicable Rate shall be determined as of the end of each fiscal quarter of the Borrower based upon the Borrower’s annual or quarterly consolidated financial statements delivered pursuant to Section 5.01 and (b) each change in the Applicable Rate resulting from a change in the Net Leverage Ratio shall be effective during the period commencing on and including five (5) Business Days after the date of delivery to the Administrative Agent of such consolidated financial statements indicating such change and ending on the date immediately preceding the effective date of the next such 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Net Leverage Ratio shall be deemed to be in Category 4 at the option of the Administrative Agent or at the request of the Required Lenders if the Borrower fails to deliver the annual or quarterly consolidated financial statements required to be delivered by it pursuant to Section 5.01, during the period from the expiration of the time for delivery thereof until five (5) Business Days after such consolidated financial statements are delivered.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has the meaning assigned to such term in Section 8.08(a).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such term in Section 9.04(b).</w:t>
      </w:r>
    </w:p>
    <w:p>
      <w:pPr>
        <w:spacing w:after="0" w:line="22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JPMorgan Chase Bank, N.A. and BofA Securities, Inc., in their capacities as joint bookrunners and joint lead arrangers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60"/>
          </w:cols>
          <w:pgMar w:left="320" w:top="1440" w:right="319" w:bottom="1440" w:gutter="0" w:footer="0" w:header="0"/>
        </w:sectPr>
      </w:pPr>
    </w:p>
    <w:bookmarkStart w:id="65" w:name="page66"/>
    <w:bookmarkEnd w:id="65"/>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or any other form (including electronic records generated by the use of an electronic platform) approved by the Administrative Agent.</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Receivables Indebtedness</w:t>
      </w:r>
      <w:r>
        <w:rPr>
          <w:rFonts w:ascii="Times New Roman" w:cs="Times New Roman" w:eastAsia="Times New Roman" w:hAnsi="Times New Roman"/>
          <w:sz w:val="20"/>
          <w:szCs w:val="20"/>
          <w:color w:val="auto"/>
        </w:rPr>
        <w:t>” means, at any time, the principal amount of Indebtedness which (i) if a Receivables Facility is structured as a lending agreement or other similar agreement, constitutes the principal amount of such Indebtedness or (ii) if a Receivables Facility is structured as a purchase agreement or other similar agreement, would be outstanding at such time under the Receivables Facility if the same were structured as a lending agreement rather than a purchase agreement or such other similar agreement (whether such amount is described as “capital” or otherwise).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Augmenting Lender</w:t>
      </w:r>
      <w:r>
        <w:rPr>
          <w:rFonts w:ascii="Times New Roman" w:cs="Times New Roman" w:eastAsia="Times New Roman" w:hAnsi="Times New Roman"/>
          <w:sz w:val="20"/>
          <w:szCs w:val="20"/>
          <w:color w:val="auto"/>
        </w:rPr>
        <w:t>” has the meaning assigned to such term in Section 2.04.</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Effective Date to but excluding the earlier of the Maturity Date and the date of termination of the Commitments.</w:t>
      </w:r>
    </w:p>
    <w:p>
      <w:pPr>
        <w:spacing w:after="0" w:line="16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Revolving Commitment</w:t>
      </w:r>
      <w:r>
        <w:rPr>
          <w:rFonts w:ascii="Times New Roman" w:cs="Times New Roman" w:eastAsia="Times New Roman" w:hAnsi="Times New Roman"/>
          <w:sz w:val="20"/>
          <w:szCs w:val="20"/>
          <w:color w:val="auto"/>
        </w:rPr>
        <w:t>” means, at any time with respect to any Lender, the Commitment of such Lender then in effect minus the Revolving Exposure of such Lender at such time.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2.14(e).</w:t>
      </w:r>
    </w:p>
    <w:p>
      <w:pPr>
        <w:spacing w:after="0" w:line="17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w:t>
      </w:r>
      <w:r>
        <w:rPr>
          <w:rFonts w:ascii="Times New Roman" w:cs="Times New Roman" w:eastAsia="Times New Roman" w:hAnsi="Times New Roman"/>
          <w:sz w:val="20"/>
          <w:szCs w:val="20"/>
          <w:color w:val="auto"/>
        </w:rPr>
        <w:t>” means each and any of the following bank services provided to the Borrower or any Subsidiary by any Lender or any of its Affiliates: (a) commercial credit cards, (b) stored value cards and (c) treasury management services (including, without limitation, controlled disbursement, automated clearinghouse transactions, return items, overdrafts and interstate depository network services).</w:t>
      </w:r>
    </w:p>
    <w:p>
      <w:pPr>
        <w:spacing w:after="0" w:line="17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Agreement</w:t>
      </w:r>
      <w:r>
        <w:rPr>
          <w:rFonts w:ascii="Times New Roman" w:cs="Times New Roman" w:eastAsia="Times New Roman" w:hAnsi="Times New Roman"/>
          <w:sz w:val="20"/>
          <w:szCs w:val="20"/>
          <w:color w:val="auto"/>
        </w:rPr>
        <w:t>” means any agreement entered into by the Borrower or any Subsidiary in connection with Banking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Obligations</w:t>
      </w:r>
      <w:r>
        <w:rPr>
          <w:rFonts w:ascii="Times New Roman" w:cs="Times New Roman" w:eastAsia="Times New Roman" w:hAnsi="Times New Roman"/>
          <w:sz w:val="20"/>
          <w:szCs w:val="20"/>
          <w:color w:val="auto"/>
        </w:rPr>
        <w:t>” means any and all obligations of the Borrower or any Subsidiary, whether absolute or contingent and howsoever and whensoever created, arising, evidenced or acquired (including all renewals, extensions and modifications thereof and substitutions therefor) in connection with Banking Services.</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entitled “Bankruptcy”, as now or hereafter in effect, or any successor thereto, as hereafter amended.</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highlight w:val="white"/>
        </w:rPr>
        <w:t>” means, initially, with respect to any (i) RFR Loan in any Agreed Currency, the applicable Relevant Rate for</w:t>
      </w:r>
      <w:r>
        <w:rPr>
          <w:rFonts w:ascii="Times New Roman" w:cs="Times New Roman" w:eastAsia="Times New Roman" w:hAnsi="Times New Roman"/>
          <w:sz w:val="20"/>
          <w:szCs w:val="20"/>
          <w:color w:val="auto"/>
        </w:rPr>
        <w:t xml:space="preserve"> such Agreed Currency or (ii) Term Benchmark Loan, the Relevant Rate for the applicable Agreed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w:t>
      </w:r>
      <w:r>
        <w:rPr>
          <w:rFonts w:ascii="Times New Roman" w:cs="Times New Roman" w:eastAsia="Times New Roman" w:hAnsi="Times New Roman"/>
          <w:sz w:val="20"/>
          <w:szCs w:val="20"/>
          <w:u w:val="single" w:color="auto"/>
          <w:color w:val="0000FF"/>
        </w:rPr>
        <w:t>or a Term CORRA Reelection Event</w:t>
      </w:r>
      <w:r>
        <w:rPr>
          <w:rFonts w:ascii="Times New Roman" w:cs="Times New Roman" w:eastAsia="Times New Roman" w:hAnsi="Times New Roman"/>
          <w:sz w:val="20"/>
          <w:szCs w:val="20"/>
          <w:color w:val="auto"/>
        </w:rPr>
        <w:t xml:space="preserve">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2.14(b).</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highlight w:val="white"/>
        </w:rPr>
        <w:t>” means, for any Available Tenor, the first alternative set forth in the order below that can be</w:t>
      </w:r>
      <w:r>
        <w:rPr>
          <w:rFonts w:ascii="Times New Roman" w:cs="Times New Roman" w:eastAsia="Times New Roman" w:hAnsi="Times New Roman"/>
          <w:sz w:val="20"/>
          <w:szCs w:val="20"/>
          <w:color w:val="auto"/>
        </w:rPr>
        <w:t xml:space="preserve"> determined by the Administrative Agent for the applicable Benchmark Replacement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Loan denominated in a Foreign Currency </w:t>
      </w:r>
      <w:r>
        <w:rPr>
          <w:rFonts w:ascii="Times New Roman" w:cs="Times New Roman" w:eastAsia="Times New Roman" w:hAnsi="Times New Roman"/>
          <w:sz w:val="20"/>
          <w:szCs w:val="20"/>
          <w:color w:val="0000FF"/>
        </w:rPr>
        <w:t>(other than any Loan denominated in Canadian Dollars)</w:t>
      </w:r>
      <w:r>
        <w:rPr>
          <w:rFonts w:ascii="Times New Roman" w:cs="Times New Roman" w:eastAsia="Times New Roman" w:hAnsi="Times New Roman"/>
          <w:sz w:val="20"/>
          <w:szCs w:val="20"/>
          <w:color w:val="auto"/>
        </w:rPr>
        <w:t>, “Benchmark Replacement” shall mean the alternative set forth in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1859915</wp:posOffset>
            </wp:positionH>
            <wp:positionV relativeFrom="paragraph">
              <wp:posOffset>-193040</wp:posOffset>
            </wp:positionV>
            <wp:extent cx="29857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985770" cy="8890"/>
                    </a:xfrm>
                    <a:prstGeom prst="rect">
                      <a:avLst/>
                    </a:prstGeom>
                    <a:noFill/>
                  </pic:spPr>
                </pic:pic>
              </a:graphicData>
            </a:graphic>
          </wp:anchor>
        </w:drawing>
      </w:r>
    </w:p>
    <w:p>
      <w:pPr>
        <w:spacing w:after="0" w:line="152" w:lineRule="exact"/>
        <w:rPr>
          <w:sz w:val="20"/>
          <w:szCs w:val="20"/>
          <w:color w:val="auto"/>
        </w:rPr>
      </w:pPr>
    </w:p>
    <w:p>
      <w:pPr>
        <w:jc w:val="both"/>
        <w:ind w:firstLine="1304"/>
        <w:spacing w:after="0" w:line="261" w:lineRule="auto"/>
        <w:tabs>
          <w:tab w:leader="none" w:pos="1837"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Loan denominated in Dollars, </w:t>
      </w:r>
      <w:r>
        <w:rPr>
          <w:rFonts w:ascii="Times New Roman" w:cs="Times New Roman" w:eastAsia="Times New Roman" w:hAnsi="Times New Roman"/>
          <w:sz w:val="20"/>
          <w:szCs w:val="20"/>
          <w:color w:val="FF0000"/>
          <w:strike w:val="1"/>
        </w:rPr>
        <w:t>the sum of: (a)</w:t>
      </w:r>
      <w:r>
        <w:rPr>
          <w:rFonts w:ascii="Times New Roman" w:cs="Times New Roman" w:eastAsia="Times New Roman" w:hAnsi="Times New Roman"/>
          <w:sz w:val="20"/>
          <w:szCs w:val="20"/>
          <w:u w:val="single" w:color="auto"/>
          <w:color w:val="0000FF"/>
        </w:rPr>
        <w:t>Adjusted</w:t>
      </w:r>
      <w:r>
        <w:rPr>
          <w:rFonts w:ascii="Times New Roman" w:cs="Times New Roman" w:eastAsia="Times New Roman" w:hAnsi="Times New Roman"/>
          <w:sz w:val="20"/>
          <w:szCs w:val="20"/>
          <w:color w:val="auto"/>
        </w:rPr>
        <w:t xml:space="preserve"> Daily Simple </w:t>
      </w:r>
      <w:r>
        <w:rPr>
          <w:rFonts w:ascii="Times New Roman" w:cs="Times New Roman" w:eastAsia="Times New Roman" w:hAnsi="Times New Roman"/>
          <w:sz w:val="20"/>
          <w:szCs w:val="20"/>
          <w:color w:val="FF0000"/>
          <w:strike w:val="1"/>
        </w:rPr>
        <w:t>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strike w:val="1"/>
        </w:rPr>
        <w:t>and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highlight w:val="white"/>
          <w:strike w:val="1"/>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highlight w:val="white"/>
          <w:strike w:val="1"/>
        </w:rPr>
        <w:t>related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strike w:val="1"/>
        </w:rPr>
        <w:t xml:space="preserve">Benchmark Replacement </w:t>
      </w:r>
      <w:r>
        <w:rPr>
          <w:rFonts w:ascii="Times New Roman" w:cs="Times New Roman" w:eastAsia="Times New Roman" w:hAnsi="Times New Roman"/>
          <w:sz w:val="20"/>
          <w:szCs w:val="20"/>
          <w:color w:val="FF0000"/>
          <w:highlight w:val="white"/>
          <w:strike w:val="1"/>
        </w:rPr>
        <w:t>Adjustment</w:t>
      </w:r>
      <w:r>
        <w:rPr>
          <w:rFonts w:ascii="Times New Roman" w:cs="Times New Roman" w:eastAsia="Times New Roman" w:hAnsi="Times New Roman"/>
          <w:sz w:val="20"/>
          <w:szCs w:val="20"/>
          <w:u w:val="single" w:color="auto"/>
          <w:color w:val="0000FF"/>
          <w:highlight w:val="white"/>
          <w:strike w:val="1"/>
        </w:rPr>
        <w:t>RFR for Dollars and and/or in the case of any Loan denominated in Canadian Dollars, the Adjusted</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u w:val="single" w:color="auto"/>
          <w:color w:val="0000FF"/>
          <w:strike w:val="1"/>
        </w:rPr>
        <w:t>Daily Simple RFR for Canadian Dollars</w:t>
      </w:r>
      <w:r>
        <w:rPr>
          <w:rFonts w:ascii="Times New Roman" w:cs="Times New Roman" w:eastAsia="Times New Roman" w:hAnsi="Times New Roman"/>
          <w:sz w:val="20"/>
          <w:szCs w:val="20"/>
          <w:color w:val="000000"/>
          <w:strike w:val="1"/>
        </w:rPr>
        <w:t>, or</w:t>
      </w:r>
    </w:p>
    <w:p>
      <w:pPr>
        <w:spacing w:after="0" w:line="18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25"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w:t>
      </w:r>
    </w:p>
    <w:p>
      <w:pPr>
        <w:jc w:val="both"/>
        <w:ind w:firstLine="8"/>
        <w:spacing w:after="0" w:line="253" w:lineRule="auto"/>
        <w:tabs>
          <w:tab w:leader="none" w:pos="29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-1502410</wp:posOffset>
            </wp:positionV>
            <wp:extent cx="15684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684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0000FF"/>
        </w:rPr>
        <w:t xml:space="preserve">provided that notwithstanding anything to the contrary in this Agreement </w:t>
      </w:r>
      <w:r>
        <w:rPr>
          <w:rFonts w:ascii="Times New Roman" w:cs="Times New Roman" w:eastAsia="Times New Roman" w:hAnsi="Times New Roman"/>
          <w:sz w:val="20"/>
          <w:szCs w:val="20"/>
          <w:u w:val="single" w:color="auto"/>
          <w:color w:val="008000"/>
        </w:rPr>
        <w:t>or in</w:t>
      </w:r>
      <w:r>
        <w:rPr>
          <w:rFonts w:ascii="Times New Roman" w:cs="Times New Roman" w:eastAsia="Times New Roman" w:hAnsi="Times New Roman"/>
          <w:sz w:val="20"/>
          <w:szCs w:val="20"/>
          <w:u w:val="single" w:color="auto"/>
          <w:color w:val="0000FF"/>
        </w:rPr>
        <w:t xml:space="preserve"> any other Loan Document, upon the occurrence of a Term CORRA Reelection Event, and the delivery of a Term CORRA Notice, on the applicable Benchmark Replacement Date the “Benchmark Replacement” shall revert to and shall </w:t>
      </w:r>
      <w:r>
        <w:rPr>
          <w:rFonts w:ascii="Times New Roman" w:cs="Times New Roman" w:eastAsia="Times New Roman" w:hAnsi="Times New Roman"/>
          <w:sz w:val="20"/>
          <w:szCs w:val="20"/>
          <w:u w:val="single" w:color="auto"/>
          <w:color w:val="008000"/>
        </w:rPr>
        <w:t>be deemed to be</w:t>
      </w:r>
      <w:r>
        <w:rPr>
          <w:rFonts w:ascii="Times New Roman" w:cs="Times New Roman" w:eastAsia="Times New Roman" w:hAnsi="Times New Roman"/>
          <w:sz w:val="20"/>
          <w:szCs w:val="20"/>
          <w:u w:val="single" w:color="auto"/>
          <w:color w:val="0000FF"/>
        </w:rPr>
        <w:t xml:space="preserve"> the Adjusted Term CORRA Rate.</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clauses (1) or (2) above would be less than the Floor, the Benchmark Replacement will be deemed to be the Floor for the purposes of this Agreement and the other Loan Documents.</w:t>
      </w:r>
    </w:p>
    <w:p>
      <w:pPr>
        <w:spacing w:after="0" w:line="17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highlight w:val="white"/>
        </w:rPr>
        <w:t>” means, with respect to any replacement of the then-current Benchmark with an</w:t>
      </w:r>
      <w:r>
        <w:rPr>
          <w:rFonts w:ascii="Times New Roman" w:cs="Times New Roman" w:eastAsia="Times New Roman" w:hAnsi="Times New Roman"/>
          <w:sz w:val="20"/>
          <w:szCs w:val="20"/>
          <w:color w:val="auto"/>
        </w:rPr>
        <w:t xml:space="preserve">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73" w:lineRule="exact"/>
        <w:rPr>
          <w:sz w:val="20"/>
          <w:szCs w:val="20"/>
          <w:color w:val="auto"/>
        </w:rPr>
      </w:pPr>
    </w:p>
    <w:p>
      <w:pPr>
        <w:jc w:val="both"/>
        <w:ind w:firstLine="1304"/>
        <w:spacing w:after="0" w:line="258" w:lineRule="auto"/>
        <w:tabs>
          <w:tab w:leader="none" w:pos="173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clauses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Times New Roman" w:cs="Times New Roman" w:eastAsia="Times New Roman" w:hAnsi="Times New Roman"/>
          <w:sz w:val="20"/>
          <w:szCs w:val="20"/>
          <w:color w:val="FF0000"/>
          <w:strike w:val="1"/>
        </w:rPr>
        <w: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89" w:lineRule="exact"/>
        <w:rPr>
          <w:sz w:val="20"/>
          <w:szCs w:val="20"/>
          <w:color w:val="auto"/>
        </w:rPr>
      </w:pPr>
    </w:p>
    <w:p>
      <w:pPr>
        <w:jc w:val="both"/>
        <w:ind w:firstLine="1304"/>
        <w:spacing w:after="0" w:line="253" w:lineRule="auto"/>
        <w:tabs>
          <w:tab w:leader="none" w:pos="173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highlight w:val="white"/>
        </w:rPr>
        <w:t>, that such non-representativeness will be determined by</w:t>
      </w:r>
      <w:r>
        <w:rPr>
          <w:rFonts w:ascii="Times New Roman" w:cs="Times New Roman" w:eastAsia="Times New Roman" w:hAnsi="Times New Roman"/>
          <w:sz w:val="20"/>
          <w:szCs w:val="20"/>
          <w:color w:val="auto"/>
        </w:rPr>
        <w:t xml:space="preserve"> reference to the most recent statement or publication referenced in such clause (3) and even if such Benchmark (or component thereof) or, if such Benchmark is a term rate, any Available Tenor of such Benchmark (or such component thereof) continues to be provided on such date</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or</w:t>
      </w:r>
    </w:p>
    <w:p>
      <w:pPr>
        <w:spacing w:after="0" w:line="179" w:lineRule="exact"/>
        <w:rPr>
          <w:rFonts w:ascii="Times New Roman" w:cs="Times New Roman" w:eastAsia="Times New Roman" w:hAnsi="Times New Roman"/>
          <w:sz w:val="20"/>
          <w:szCs w:val="20"/>
          <w:color w:val="auto"/>
        </w:rPr>
      </w:pPr>
    </w:p>
    <w:p>
      <w:pPr>
        <w:ind w:firstLine="1304"/>
        <w:spacing w:after="0" w:line="283" w:lineRule="auto"/>
        <w:tabs>
          <w:tab w:leader="none" w:pos="1751" w:val="left"/>
        </w:tabs>
        <w:numPr>
          <w:ilvl w:val="0"/>
          <w:numId w:val="2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the case of a Term CORRA Reelection Event, the date that is thirty (30) days after the date a Term CORRA Notice (if any) is provided to the Lenders and the Borrower pursuant to Section 2.14(c).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-329565</wp:posOffset>
            </wp:positionV>
            <wp:extent cx="615505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155055" cy="137160"/>
                    </a:xfrm>
                    <a:prstGeom prst="rect">
                      <a:avLst/>
                    </a:prstGeom>
                    <a:noFill/>
                  </pic:spPr>
                </pic:pic>
              </a:graphicData>
            </a:graphic>
          </wp:anchor>
        </w:drawing>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highlight w:val="white"/>
        </w:rPr>
        <w:t>” means, with respect to any Benchmark, the occurrence of one or more of the following events</w:t>
      </w:r>
      <w:r>
        <w:rPr>
          <w:rFonts w:ascii="Times New Roman" w:cs="Times New Roman" w:eastAsia="Times New Roman" w:hAnsi="Times New Roman"/>
          <w:sz w:val="20"/>
          <w:szCs w:val="20"/>
          <w:color w:val="auto"/>
        </w:rPr>
        <w:t xml:space="preserve"> with respect to such then-current Benchmark:</w:t>
      </w:r>
    </w:p>
    <w:p>
      <w:pPr>
        <w:spacing w:after="0" w:line="160" w:lineRule="exact"/>
        <w:rPr>
          <w:sz w:val="20"/>
          <w:szCs w:val="20"/>
          <w:color w:val="auto"/>
        </w:rPr>
      </w:pPr>
    </w:p>
    <w:p>
      <w:pPr>
        <w:jc w:val="both"/>
        <w:ind w:firstLine="1304"/>
        <w:spacing w:after="0" w:line="253" w:lineRule="auto"/>
        <w:tabs>
          <w:tab w:leader="none" w:pos="185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78"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in each case,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89" w:lineRule="exact"/>
        <w:rPr>
          <w:sz w:val="20"/>
          <w:szCs w:val="20"/>
          <w:color w:val="auto"/>
        </w:rPr>
      </w:pPr>
    </w:p>
    <w:p>
      <w:pPr>
        <w:jc w:val="both"/>
        <w:ind w:firstLine="1304"/>
        <w:spacing w:after="0" w:line="258" w:lineRule="auto"/>
        <w:tabs>
          <w:tab w:leader="none" w:pos="17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announcing that such Benchmark (or such component thereof) </w:t>
      </w:r>
      <w:r>
        <w:rPr>
          <w:rFonts w:ascii="Times New Roman" w:cs="Times New Roman" w:eastAsia="Times New Roman" w:hAnsi="Times New Roman"/>
          <w:sz w:val="20"/>
          <w:szCs w:val="20"/>
          <w:color w:val="FF0000"/>
          <w:strike w:val="1"/>
        </w:rPr>
        <w:t>of</w:t>
      </w:r>
      <w:r>
        <w:rPr>
          <w:rFonts w:ascii="Times New Roman" w:cs="Times New Roman" w:eastAsia="Times New Roman" w:hAnsi="Times New Roman"/>
          <w:sz w:val="20"/>
          <w:szCs w:val="20"/>
          <w:u w:val="single" w:color="auto"/>
          <w:color w:val="0000FF"/>
        </w:rPr>
        <w:t>or</w:t>
      </w:r>
      <w:r>
        <w:rPr>
          <w:rFonts w:ascii="Times New Roman" w:cs="Times New Roman" w:eastAsia="Times New Roman" w:hAnsi="Times New Roman"/>
          <w:sz w:val="20"/>
          <w:szCs w:val="20"/>
          <w:color w:val="auto"/>
        </w:rPr>
        <w:t>, if such Benchmark is a term rate, all Available Tenors of such Benchmark (or such component thereof) are no longer, or as of a specified future date will no longer be, representative.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highlight w:val="white"/>
        </w:rPr>
        <w:t>” means, with respect to any Benchmark, the period (if any) (x) beginning at the time that</w:t>
      </w:r>
      <w:r>
        <w:rPr>
          <w:rFonts w:ascii="Times New Roman" w:cs="Times New Roman" w:eastAsia="Times New Roman" w:hAnsi="Times New Roman"/>
          <w:sz w:val="20"/>
          <w:szCs w:val="20"/>
          <w:color w:val="auto"/>
        </w:rPr>
        <w:t xml:space="preserve"> a Benchmark Replacement Date pursuant to clauses (1) or (2) of that definition has occurred if, at such time, no Benchmark Replacement has replaced such then-current Benchmark for all purposes hereunder and under any Loan Document in accordance with Section 2.14 and</w:t>
      </w:r>
    </w:p>
    <w:p>
      <w:pPr>
        <w:spacing w:after="0" w:line="1" w:lineRule="exact"/>
        <w:rPr>
          <w:sz w:val="20"/>
          <w:szCs w:val="20"/>
          <w:color w:val="auto"/>
        </w:rPr>
      </w:pPr>
    </w:p>
    <w:p>
      <w:pPr>
        <w:ind w:firstLine="8"/>
        <w:spacing w:after="0" w:line="267" w:lineRule="auto"/>
        <w:tabs>
          <w:tab w:leader="none" w:pos="29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ending at the time that a Benchmark Replacement has replaced such then-current Benchmark for all purposes hereunder and under any Loan Document in accordance with Section 2.14.</w:t>
      </w:r>
    </w:p>
    <w:p>
      <w:pPr>
        <w:spacing w:after="0" w:line="16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highlight w:val="white"/>
        </w:rPr>
        <w:t>” means a certification regarding beneficial ownership or control as required by the</w:t>
      </w:r>
      <w:r>
        <w:rPr>
          <w:rFonts w:ascii="Times New Roman" w:cs="Times New Roman" w:eastAsia="Times New Roman" w:hAnsi="Times New Roman"/>
          <w:sz w:val="20"/>
          <w:szCs w:val="20"/>
          <w:color w:val="auto"/>
        </w:rPr>
        <w:t xml:space="preserve"> Beneficial Ownership Regulation.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highlight w:val="white"/>
        </w:rPr>
        <w:t>” means any of (a) an “employee benefit plan” (as defined in Section 3(3) ERISA) that is subject to Title I of</w:t>
      </w:r>
      <w:r>
        <w:rPr>
          <w:rFonts w:ascii="Times New Roman" w:cs="Times New Roman" w:eastAsia="Times New Roman" w:hAnsi="Times New Roman"/>
          <w:sz w:val="20"/>
          <w:szCs w:val="20"/>
          <w:color w:val="auto"/>
        </w:rPr>
        <w:t xml:space="preserve"> ERISA, (b) a “plan” as defined in Section 4975 of the Code to which Section 4975 of the Code applies, and (c) any Person whose assets include (for purposes of the Plan Asset Regulation or otherwise for purposes of Title I of ERISA or Section 4975 of the Code) the assets of any such “employee benefit plan” or “plan”.</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Bonding Obligations</w:t>
      </w:r>
      <w:r>
        <w:rPr>
          <w:rFonts w:ascii="Times New Roman" w:cs="Times New Roman" w:eastAsia="Times New Roman" w:hAnsi="Times New Roman"/>
          <w:sz w:val="20"/>
          <w:szCs w:val="20"/>
          <w:color w:val="auto"/>
        </w:rPr>
        <w:t>” means any and all obligations of the Borrower or any of its Subsidiaries to any Person to secure or assure the performance of any bid, contract, lease or statutory obligation, or otherwise constituting a bid, performance, return-of-money, surety, appeal or payment bond, contract or like undertaking, in each case, entered into by the Borrower or such Subsidiary in the ordinary course of business or in connection with a transaction permitted hereby.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MYR Group Inc., a Delaware corporation.</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Revolving Loans of the same Type, made, advanced, converted or continued on the same date and, in the case of a Term Benchmark Loan, as to which a single Interest Period is in effect.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means a request by the Borrower for a Revolving Borrowing in accordance with Section 2.03.</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or a Sunday) on which banks are open for business in New York City;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addition to the foregoing, a Business Day shall be (a) in relation to Loans denominated in Euros and in relation to the calculation or computation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EURIBOR, any day which is a TARGET Day, (b) in relation to RFR Loans and any interest rate settings, fundings, disbursements, settlements or payments of any such RFR Loan, or any other dealings in the applicable Agreed Currency of such RFR Loan, any such day that is only a RFR Business Day</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(c)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and (d) in relation to Loans denominated in Canadian Dollars and in relation to the calculation or computation of </w:t>
      </w:r>
      <w:r>
        <w:rPr>
          <w:rFonts w:ascii="Times New Roman" w:cs="Times New Roman" w:eastAsia="Times New Roman" w:hAnsi="Times New Roman"/>
          <w:sz w:val="20"/>
          <w:szCs w:val="20"/>
          <w:color w:val="FF0000"/>
          <w:strike w:val="1"/>
        </w:rPr>
        <w:t>the Adjusted CDOR Rate</w:t>
      </w:r>
      <w:r>
        <w:rPr>
          <w:rFonts w:ascii="Times New Roman" w:cs="Times New Roman" w:eastAsia="Times New Roman" w:hAnsi="Times New Roman"/>
          <w:sz w:val="20"/>
          <w:szCs w:val="20"/>
          <w:u w:val="single" w:color="auto"/>
          <w:color w:val="0000FF"/>
        </w:rPr>
        <w:t>CORRA</w:t>
      </w:r>
      <w:r>
        <w:rPr>
          <w:rFonts w:ascii="Times New Roman" w:cs="Times New Roman" w:eastAsia="Times New Roman" w:hAnsi="Times New Roman"/>
          <w:sz w:val="20"/>
          <w:szCs w:val="20"/>
          <w:color w:val="auto"/>
        </w:rPr>
        <w:t xml:space="preserve"> or the Canadian Prime Rate, any day </w:t>
      </w:r>
      <w:r>
        <w:rPr>
          <w:rFonts w:ascii="Times New Roman" w:cs="Times New Roman" w:eastAsia="Times New Roman" w:hAnsi="Times New Roman"/>
          <w:sz w:val="20"/>
          <w:szCs w:val="20"/>
          <w:u w:val="single" w:color="auto"/>
          <w:color w:val="0000FF"/>
        </w:rPr>
        <w:t>(other than a Saturday or a Sunday)</w:t>
      </w:r>
      <w:r>
        <w:rPr>
          <w:rFonts w:ascii="Times New Roman" w:cs="Times New Roman" w:eastAsia="Times New Roman" w:hAnsi="Times New Roman"/>
          <w:sz w:val="20"/>
          <w:szCs w:val="20"/>
          <w:color w:val="auto"/>
        </w:rPr>
        <w:t xml:space="preserve"> on which banks are open for general business in Toronto, Ontario.</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means the lawful currency of Canada.</w:t>
      </w:r>
    </w:p>
    <w:p>
      <w:pPr>
        <w:spacing w:after="0" w:line="22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xml:space="preserve">” means, on any day, the rate determined by the Administrative Agent to be </w:t>
      </w:r>
      <w:r>
        <w:rPr>
          <w:rFonts w:ascii="Times New Roman" w:cs="Times New Roman" w:eastAsia="Times New Roman" w:hAnsi="Times New Roman"/>
          <w:sz w:val="20"/>
          <w:szCs w:val="20"/>
          <w:color w:val="FF0000"/>
          <w:strike w:val="1"/>
        </w:rPr>
        <w:t>the higher of (i) the rate</w:t>
      </w:r>
      <w:r>
        <w:rPr>
          <w:rFonts w:ascii="Times New Roman" w:cs="Times New Roman" w:eastAsia="Times New Roman" w:hAnsi="Times New Roman"/>
          <w:sz w:val="20"/>
          <w:szCs w:val="20"/>
          <w:color w:val="auto"/>
        </w:rPr>
        <w:t xml:space="preserv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w:t>
      </w:r>
      <w:r>
        <w:rPr>
          <w:rFonts w:ascii="Times New Roman" w:cs="Times New Roman" w:eastAsia="Times New Roman" w:hAnsi="Times New Roman"/>
          <w:sz w:val="20"/>
          <w:szCs w:val="20"/>
          <w:color w:val="008000"/>
        </w:rPr>
        <w:t>and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the average rate for thirty (30) day Canadian Dollar bankers’ acceptances that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w:t>
      </w:r>
      <w:r>
        <w:rPr>
          <w:rFonts w:ascii="Times New Roman" w:cs="Times New Roman" w:eastAsia="Times New Roman" w:hAnsi="Times New Roman"/>
          <w:sz w:val="20"/>
          <w:szCs w:val="20"/>
          <w:color w:val="000000"/>
          <w:strike w:val="1"/>
        </w:rPr>
        <w: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00"/>
          <w:strike w:val="1"/>
        </w:rPr>
        <w:t>provided</w:t>
      </w:r>
      <w:r>
        <w:rPr>
          <w:rFonts w:ascii="Times New Roman" w:cs="Times New Roman" w:eastAsia="Times New Roman" w:hAnsi="Times New Roman"/>
          <w:sz w:val="20"/>
          <w:szCs w:val="20"/>
          <w:color w:val="000000"/>
          <w:strike w:val="1"/>
        </w:rPr>
        <w: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that </w:t>
      </w:r>
      <w:r>
        <w:rPr>
          <w:rFonts w:ascii="Times New Roman" w:cs="Times New Roman" w:eastAsia="Times New Roman" w:hAnsi="Times New Roman"/>
          <w:sz w:val="20"/>
          <w:szCs w:val="20"/>
          <w:color w:val="FF0000"/>
          <w:strike w:val="1"/>
        </w:rPr>
        <w:t>if any of</w:t>
      </w:r>
      <w:r>
        <w:rPr>
          <w:rFonts w:ascii="Times New Roman" w:cs="Times New Roman" w:eastAsia="Times New Roman" w:hAnsi="Times New Roman"/>
          <w:sz w:val="20"/>
          <w:szCs w:val="20"/>
          <w:color w:val="000000"/>
          <w:strike w:val="1"/>
        </w:rPr>
        <w:t xml:space="preserve"> the above </w:t>
      </w:r>
      <w:r>
        <w:rPr>
          <w:rFonts w:ascii="Times New Roman" w:cs="Times New Roman" w:eastAsia="Times New Roman" w:hAnsi="Times New Roman"/>
          <w:sz w:val="20"/>
          <w:szCs w:val="20"/>
          <w:color w:val="FF0000"/>
          <w:strike w:val="1"/>
        </w:rPr>
        <w:t>rates</w:t>
      </w:r>
      <w:r>
        <w:rPr>
          <w:rFonts w:ascii="Times New Roman" w:cs="Times New Roman" w:eastAsia="Times New Roman" w:hAnsi="Times New Roman"/>
          <w:sz w:val="20"/>
          <w:szCs w:val="20"/>
          <w:u w:val="single" w:color="auto"/>
          <w:color w:val="0000FF"/>
          <w:strike w:val="1"/>
        </w:rPr>
        <w:t>rate</w:t>
      </w:r>
      <w:r>
        <w:rPr>
          <w:rFonts w:ascii="Times New Roman" w:cs="Times New Roman" w:eastAsia="Times New Roman" w:hAnsi="Times New Roman"/>
          <w:sz w:val="20"/>
          <w:szCs w:val="20"/>
          <w:color w:val="000000"/>
          <w:strike w:val="1"/>
        </w:rPr>
        <w:t xml:space="preserve"> shall be less than </w:t>
      </w:r>
      <w:r>
        <w:rPr>
          <w:rFonts w:ascii="Times New Roman" w:cs="Times New Roman" w:eastAsia="Times New Roman" w:hAnsi="Times New Roman"/>
          <w:sz w:val="20"/>
          <w:szCs w:val="20"/>
          <w:color w:val="FF0000"/>
          <w:strike w:val="1"/>
        </w:rPr>
        <w:t>1</w:t>
      </w:r>
      <w:r>
        <w:rPr>
          <w:rFonts w:ascii="Times New Roman" w:cs="Times New Roman" w:eastAsia="Times New Roman" w:hAnsi="Times New Roman"/>
          <w:sz w:val="20"/>
          <w:szCs w:val="20"/>
          <w:u w:val="single" w:color="auto"/>
          <w:color w:val="0000FF"/>
          <w:strike w:val="1"/>
        </w:rPr>
        <w:t>0.0</w:t>
      </w:r>
      <w:r>
        <w:rPr>
          <w:rFonts w:ascii="Times New Roman" w:cs="Times New Roman" w:eastAsia="Times New Roman" w:hAnsi="Times New Roman"/>
          <w:sz w:val="20"/>
          <w:szCs w:val="20"/>
          <w:color w:val="000000"/>
          <w:strike w:val="1"/>
        </w:rPr>
        <w:t xml:space="preserve">%, such rate shall be deemed to be </w:t>
      </w:r>
      <w:r>
        <w:rPr>
          <w:rFonts w:ascii="Times New Roman" w:cs="Times New Roman" w:eastAsia="Times New Roman" w:hAnsi="Times New Roman"/>
          <w:sz w:val="20"/>
          <w:szCs w:val="20"/>
          <w:color w:val="FF0000"/>
          <w:strike w:val="1"/>
        </w:rPr>
        <w:t>1</w:t>
      </w:r>
      <w:r>
        <w:rPr>
          <w:rFonts w:ascii="Times New Roman" w:cs="Times New Roman" w:eastAsia="Times New Roman" w:hAnsi="Times New Roman"/>
          <w:sz w:val="20"/>
          <w:szCs w:val="20"/>
          <w:u w:val="single" w:color="auto"/>
          <w:color w:val="0000FF"/>
          <w:strike w:val="1"/>
        </w:rPr>
        <w:t>0.0</w:t>
      </w:r>
      <w:r>
        <w:rPr>
          <w:rFonts w:ascii="Times New Roman" w:cs="Times New Roman" w:eastAsia="Times New Roman" w:hAnsi="Times New Roman"/>
          <w:sz w:val="20"/>
          <w:szCs w:val="20"/>
          <w:color w:val="000000"/>
          <w:strike w:val="1"/>
        </w:rPr>
        <w:t xml:space="preserve">% for purposes of this Agreement. Any change in the Canadian Prime Rate due to a change in the PRIMCAN Index </w:t>
      </w:r>
      <w:r>
        <w:rPr>
          <w:rFonts w:ascii="Times New Roman" w:cs="Times New Roman" w:eastAsia="Times New Roman" w:hAnsi="Times New Roman"/>
          <w:sz w:val="20"/>
          <w:szCs w:val="20"/>
          <w:color w:val="008000"/>
          <w:strike w:val="1"/>
        </w:rPr>
        <w:t>or the</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rate appearing</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008000"/>
          <w:strike w:val="1"/>
        </w:rPr>
        <w:t>on the</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Reuters Screen CDOR Page</w:t>
      </w:r>
      <w:r>
        <w:rPr>
          <w:rFonts w:ascii="Times New Roman" w:cs="Times New Roman" w:eastAsia="Times New Roman" w:hAnsi="Times New Roman"/>
          <w:sz w:val="20"/>
          <w:szCs w:val="20"/>
          <w:color w:val="000000"/>
          <w:strike w:val="1"/>
        </w:rPr>
        <w:t xml:space="preserve"> shall be effective from and including the effective date of such change in the PRIMCAN Index </w:t>
      </w:r>
      <w:r>
        <w:rPr>
          <w:rFonts w:ascii="Times New Roman" w:cs="Times New Roman" w:eastAsia="Times New Roman" w:hAnsi="Times New Roman"/>
          <w:sz w:val="20"/>
          <w:szCs w:val="20"/>
          <w:color w:val="FF0000"/>
          <w:strike w:val="1"/>
        </w:rPr>
        <w:t>or the rate appearing on the Reuters Screen CDOR</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Page, respectively</w:t>
      </w:r>
      <w:r>
        <w:rPr>
          <w:rFonts w:ascii="Times New Roman" w:cs="Times New Roman" w:eastAsia="Times New Roman" w:hAnsi="Times New Roman"/>
          <w:sz w:val="20"/>
          <w:szCs w:val="20"/>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-1135380</wp:posOffset>
            </wp:positionV>
            <wp:extent cx="446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44640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-234950</wp:posOffset>
            </wp:positionV>
            <wp:extent cx="26638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663825" cy="8255"/>
                    </a:xfrm>
                    <a:prstGeom prst="rect">
                      <a:avLst/>
                    </a:prstGeom>
                    <a:noFill/>
                  </pic:spPr>
                </pic:pic>
              </a:graphicData>
            </a:graphic>
          </wp:anchor>
        </w:drawing>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Loan</w:t>
      </w:r>
      <w:r>
        <w:rPr>
          <w:rFonts w:ascii="Times New Roman" w:cs="Times New Roman" w:eastAsia="Times New Roman" w:hAnsi="Times New Roman"/>
          <w:sz w:val="20"/>
          <w:szCs w:val="20"/>
          <w:color w:val="auto"/>
        </w:rPr>
        <w:t>” means a Loan (other than a Swingline Loan) that bears interest at a rate determined by reference to the Central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Rate.</w:t>
      </w:r>
    </w:p>
    <w:p>
      <w:pPr>
        <w:spacing w:after="0" w:line="200" w:lineRule="exact"/>
        <w:rPr>
          <w:sz w:val="20"/>
          <w:szCs w:val="20"/>
          <w:color w:val="auto"/>
        </w:rPr>
      </w:pPr>
    </w:p>
    <w:p>
      <w:pPr>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Spread</w:t>
      </w:r>
      <w:r>
        <w:rPr>
          <w:rFonts w:ascii="Times New Roman" w:cs="Times New Roman" w:eastAsia="Times New Roman" w:hAnsi="Times New Roman"/>
          <w:sz w:val="20"/>
          <w:szCs w:val="20"/>
          <w:color w:val="auto"/>
        </w:rPr>
        <w:t>” means (x) for CBR Loans, the Applicable Rate applicable to such Loan that is replaced by a CBR Loan and (y) for Canadian Prime Rate Loans, the Applicable Rate applicable to ABR Loans.</w:t>
      </w:r>
    </w:p>
    <w:p>
      <w:pPr>
        <w:spacing w:after="0" w:line="16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CDOR Rate</w:t>
      </w:r>
      <w:r>
        <w:rPr>
          <w:rFonts w:ascii="Times New Roman" w:cs="Times New Roman" w:eastAsia="Times New Roman" w:hAnsi="Times New Roman"/>
          <w:sz w:val="20"/>
          <w:szCs w:val="20"/>
          <w:color w:val="008000"/>
          <w:strike w:val="1"/>
        </w:rPr>
        <w:t>” means, with respect to any Term Benchmark Borrowing denominated in Canadian dollars</w:t>
      </w:r>
      <w:r>
        <w:rPr>
          <w:rFonts w:ascii="Times New Roman" w:cs="Times New Roman" w:eastAsia="Times New Roman" w:hAnsi="Times New Roman"/>
          <w:sz w:val="20"/>
          <w:szCs w:val="20"/>
          <w:color w:val="FF0000"/>
          <w:strike w:val="1"/>
        </w:rPr>
        <w:t xml:space="preserve"> and for any Interest Period, the CDOR Screen Rate on the day of the commencement of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8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CDOR Screen Rate</w:t>
      </w:r>
      <w:r>
        <w:rPr>
          <w:rFonts w:ascii="Times New Roman" w:cs="Times New Roman" w:eastAsia="Times New Roman" w:hAnsi="Times New Roman"/>
          <w:sz w:val="20"/>
          <w:szCs w:val="20"/>
          <w:color w:val="FF0000"/>
          <w:strike w:val="1"/>
        </w:rPr>
        <w:t xml:space="preserve">” means on any day for the relevant </w:t>
      </w:r>
      <w:r>
        <w:rPr>
          <w:rFonts w:ascii="Times New Roman" w:cs="Times New Roman" w:eastAsia="Times New Roman" w:hAnsi="Times New Roman"/>
          <w:sz w:val="20"/>
          <w:szCs w:val="20"/>
          <w:color w:val="008000"/>
          <w:strike w:val="1"/>
        </w:rPr>
        <w:t>Interest Period</w:t>
      </w:r>
      <w:r>
        <w:rPr>
          <w:rFonts w:ascii="Times New Roman" w:cs="Times New Roman" w:eastAsia="Times New Roman" w:hAnsi="Times New Roman"/>
          <w:sz w:val="20"/>
          <w:szCs w:val="20"/>
          <w:color w:val="FF0000"/>
          <w:strike w:val="1"/>
        </w:rPr>
        <w:t xml:space="preserve">, the annual rate of interest equal to the average rate applicable to Canadian dollar Canadian bankers’ acceptances for the applicable period that appears on the “Reuters Screen CDOR Page” </w:t>
      </w:r>
      <w:r>
        <w:rPr>
          <w:rFonts w:ascii="Times New Roman" w:cs="Times New Roman" w:eastAsia="Times New Roman" w:hAnsi="Times New Roman"/>
          <w:sz w:val="20"/>
          <w:szCs w:val="20"/>
          <w:color w:val="008000"/>
          <w:strike w:val="1"/>
        </w:rPr>
        <w:t>as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defined in the </w:t>
      </w:r>
      <w:r>
        <w:rPr>
          <w:rFonts w:ascii="Times New Roman" w:cs="Times New Roman" w:eastAsia="Times New Roman" w:hAnsi="Times New Roman"/>
          <w:sz w:val="20"/>
          <w:szCs w:val="20"/>
          <w:color w:val="FF0000"/>
          <w:strike w:val="1"/>
        </w:rPr>
        <w:t>International Swap Dealer Association, Inc. definitions, as modified and amended from time to time (or, in the event such rate</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 xml:space="preserve">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w:t>
      </w:r>
      <w:r>
        <w:rPr>
          <w:rFonts w:ascii="Times New Roman" w:cs="Times New Roman" w:eastAsia="Times New Roman" w:hAnsi="Times New Roman"/>
          <w:sz w:val="20"/>
          <w:szCs w:val="20"/>
          <w:color w:val="008000"/>
          <w:strike w:val="1"/>
        </w:rPr>
        <w:t>to the</w:t>
      </w:r>
      <w:r>
        <w:rPr>
          <w:rFonts w:ascii="Times New Roman" w:cs="Times New Roman" w:eastAsia="Times New Roman" w:hAnsi="Times New Roman"/>
          <w:sz w:val="20"/>
          <w:szCs w:val="20"/>
          <w:color w:val="FF0000"/>
          <w:strike w:val="1"/>
        </w:rPr>
        <w:t xml:space="preserve"> nearest 1/100</w:t>
      </w:r>
      <w:r>
        <w:rPr>
          <w:rFonts w:ascii="Times New Roman" w:cs="Times New Roman" w:eastAsia="Times New Roman" w:hAnsi="Times New Roman"/>
          <w:sz w:val="25"/>
          <w:szCs w:val="25"/>
          <w:color w:val="FF0000"/>
          <w:strike w:val="1"/>
          <w:vertAlign w:val="superscript"/>
        </w:rPr>
        <w:t>th</w:t>
      </w:r>
      <w:r>
        <w:rPr>
          <w:rFonts w:ascii="Times New Roman" w:cs="Times New Roman" w:eastAsia="Times New Roman" w:hAnsi="Times New Roman"/>
          <w:sz w:val="20"/>
          <w:szCs w:val="20"/>
          <w:color w:val="FF0000"/>
          <w:strike w:val="1"/>
        </w:rPr>
        <w:t xml:space="preserve"> of 1% (with .005% being rounded up), as of 10:15 a.m. Toronto local time on </w:t>
      </w:r>
      <w:r>
        <w:rPr>
          <w:rFonts w:ascii="Times New Roman" w:cs="Times New Roman" w:eastAsia="Times New Roman" w:hAnsi="Times New Roman"/>
          <w:sz w:val="20"/>
          <w:szCs w:val="20"/>
          <w:color w:val="008000"/>
          <w:strike w:val="1"/>
        </w:rPr>
        <w:t>the first day of such</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Interest Period </w:t>
      </w:r>
      <w:r>
        <w:rPr>
          <w:rFonts w:ascii="Times New Roman" w:cs="Times New Roman" w:eastAsia="Times New Roman" w:hAnsi="Times New Roman"/>
          <w:sz w:val="20"/>
          <w:szCs w:val="20"/>
          <w:color w:val="FF0000"/>
          <w:strike w:val="1"/>
        </w:rPr>
        <w:t>and, if</w:t>
      </w:r>
      <w:r>
        <w:rPr>
          <w:rFonts w:ascii="Times New Roman" w:cs="Times New Roman" w:eastAsia="Times New Roman" w:hAnsi="Times New Roman"/>
          <w:sz w:val="20"/>
          <w:szCs w:val="20"/>
          <w:color w:val="008000"/>
          <w:strike w:val="1"/>
        </w:rPr>
        <w:t xml:space="preserve"> such day </w:t>
      </w:r>
      <w:r>
        <w:rPr>
          <w:rFonts w:ascii="Times New Roman" w:cs="Times New Roman" w:eastAsia="Times New Roman" w:hAnsi="Times New Roman"/>
          <w:sz w:val="20"/>
          <w:szCs w:val="20"/>
          <w:color w:val="FF0000"/>
          <w:strike w:val="1"/>
        </w:rPr>
        <w:t>is not a</w:t>
      </w:r>
      <w:r>
        <w:rPr>
          <w:rFonts w:ascii="Times New Roman" w:cs="Times New Roman" w:eastAsia="Times New Roman" w:hAnsi="Times New Roman"/>
          <w:sz w:val="20"/>
          <w:szCs w:val="20"/>
          <w:color w:val="008000"/>
          <w:strike w:val="1"/>
        </w:rPr>
        <w:t xml:space="preserve"> Business Day, </w:t>
      </w:r>
      <w:r>
        <w:rPr>
          <w:rFonts w:ascii="Times New Roman" w:cs="Times New Roman" w:eastAsia="Times New Roman" w:hAnsi="Times New Roman"/>
          <w:sz w:val="20"/>
          <w:szCs w:val="20"/>
          <w:color w:val="FF0000"/>
          <w:strike w:val="1"/>
        </w:rPr>
        <w:t>then</w:t>
      </w:r>
      <w:r>
        <w:rPr>
          <w:rFonts w:ascii="Times New Roman" w:cs="Times New Roman" w:eastAsia="Times New Roman" w:hAnsi="Times New Roman"/>
          <w:sz w:val="20"/>
          <w:szCs w:val="20"/>
          <w:color w:val="008000"/>
          <w:strike w:val="1"/>
        </w:rPr>
        <w:t xml:space="preserve"> on the </w:t>
      </w:r>
      <w:r>
        <w:rPr>
          <w:rFonts w:ascii="Times New Roman" w:cs="Times New Roman" w:eastAsia="Times New Roman" w:hAnsi="Times New Roman"/>
          <w:sz w:val="20"/>
          <w:szCs w:val="20"/>
          <w:color w:val="FF0000"/>
          <w:strike w:val="1"/>
        </w:rPr>
        <w:t>immediately</w:t>
      </w:r>
      <w:r>
        <w:rPr>
          <w:rFonts w:ascii="Times New Roman" w:cs="Times New Roman" w:eastAsia="Times New Roman" w:hAnsi="Times New Roman"/>
          <w:sz w:val="20"/>
          <w:szCs w:val="20"/>
          <w:color w:val="008000"/>
          <w:strike w:val="1"/>
        </w:rPr>
        <w:t xml:space="preserve"> preceding Business Day </w:t>
      </w:r>
      <w:r>
        <w:rPr>
          <w:rFonts w:ascii="Times New Roman" w:cs="Times New Roman" w:eastAsia="Times New Roman" w:hAnsi="Times New Roman"/>
          <w:sz w:val="20"/>
          <w:szCs w:val="20"/>
          <w:color w:val="FF0000"/>
          <w:strike w:val="1"/>
        </w:rPr>
        <w:t>(as adjusted by Administrative Agent</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 xml:space="preserve">after 10:15 a.m. Toronto local time to reflect any error in the posted rate of interest </w:t>
      </w:r>
      <w:r>
        <w:rPr>
          <w:rFonts w:ascii="Times New Roman" w:cs="Times New Roman" w:eastAsia="Times New Roman" w:hAnsi="Times New Roman"/>
          <w:sz w:val="20"/>
          <w:szCs w:val="20"/>
          <w:color w:val="008000"/>
          <w:strike w:val="1"/>
        </w:rPr>
        <w:t>or in</w:t>
      </w:r>
      <w:r>
        <w:rPr>
          <w:rFonts w:ascii="Times New Roman" w:cs="Times New Roman" w:eastAsia="Times New Roman" w:hAnsi="Times New Roman"/>
          <w:sz w:val="20"/>
          <w:szCs w:val="20"/>
          <w:color w:val="FF0000"/>
          <w:strike w:val="1"/>
        </w:rPr>
        <w:t xml:space="preserve"> the posted average annual rate of interest). If the CDOR Screen Rate shall be less than zero, the CDOR Screen Rate shall </w:t>
      </w:r>
      <w:r>
        <w:rPr>
          <w:rFonts w:ascii="Times New Roman" w:cs="Times New Roman" w:eastAsia="Times New Roman" w:hAnsi="Times New Roman"/>
          <w:sz w:val="20"/>
          <w:szCs w:val="20"/>
          <w:color w:val="008000"/>
          <w:strike w:val="1"/>
        </w:rPr>
        <w:t>be deemed to be</w:t>
      </w:r>
      <w:r>
        <w:rPr>
          <w:rFonts w:ascii="Times New Roman" w:cs="Times New Roman" w:eastAsia="Times New Roman" w:hAnsi="Times New Roman"/>
          <w:sz w:val="20"/>
          <w:szCs w:val="20"/>
          <w:color w:val="FF0000"/>
          <w:strike w:val="1"/>
        </w:rPr>
        <w:t xml:space="preserv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-518160</wp:posOffset>
            </wp:positionV>
            <wp:extent cx="196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9685" cy="8255"/>
                    </a:xfrm>
                    <a:prstGeom prst="rect">
                      <a:avLst/>
                    </a:prstGeom>
                    <a:noFill/>
                  </pic:spPr>
                </pic:pic>
              </a:graphicData>
            </a:graphic>
          </wp:anchor>
        </w:drawing>
      </w:r>
    </w:p>
    <w:p>
      <w:pPr>
        <w:spacing w:after="0" w:line="16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w:t>
      </w:r>
      <w:r>
        <w:rPr>
          <w:rFonts w:ascii="Times New Roman" w:cs="Times New Roman" w:eastAsia="Times New Roman" w:hAnsi="Times New Roman"/>
          <w:sz w:val="20"/>
          <w:szCs w:val="20"/>
          <w:color w:val="auto"/>
        </w:rPr>
        <w:t>” means,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(b) any other Foreign Currency determined after the Effective Date, a central bank rate as determined by the Administrative Agent in its reasonable discretion plus (B) the applicable Central Bank Rate Adjustment and (II) the Floor.</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 Adjustment</w:t>
      </w:r>
      <w:r>
        <w:rPr>
          <w:rFonts w:ascii="Times New Roman" w:cs="Times New Roman" w:eastAsia="Times New Roman" w:hAnsi="Times New Roman"/>
          <w:sz w:val="20"/>
          <w:szCs w:val="20"/>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and (b) any other Foreign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spacing w:after="0" w:line="19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(i)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Borrower (calculated on a fully diluted basis taking into account all options or other rights to acquire voting common Equity Interests of the Borrower then outstanding, regardless of whether such options or other rights are then currently exercisable); or</w:t>
      </w:r>
    </w:p>
    <w:p>
      <w:pPr>
        <w:spacing w:after="0" w:line="1" w:lineRule="exact"/>
        <w:rPr>
          <w:sz w:val="20"/>
          <w:szCs w:val="20"/>
          <w:color w:val="auto"/>
        </w:rPr>
      </w:pPr>
    </w:p>
    <w:p>
      <w:pPr>
        <w:ind w:firstLine="8"/>
        <w:spacing w:after="0" w:line="267" w:lineRule="auto"/>
        <w:tabs>
          <w:tab w:leader="none" w:pos="29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occupation at any time of a majority of the seats (other than vacant seats) on the board of directors of the Borrower by Persons who were not nominated or appointed by the board of directors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8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2.15(b), by any lending office of such Lender or by such Lender’s or Issuing Bank’s holding company, if any) with any request, rule, guideline, requirement or directive (whether or not having the force of law) of any Governmental Authority made or issued after the date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Secured Overnight Financing Rate (SOFR) (or a successor administrator).</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w:t>
      </w:r>
      <w:r>
        <w:rPr>
          <w:rFonts w:ascii="Times New Roman" w:cs="Times New Roman" w:eastAsia="Times New Roman" w:hAnsi="Times New Roman"/>
          <w:sz w:val="20"/>
          <w:szCs w:val="20"/>
          <w:color w:val="auto"/>
        </w:rPr>
        <w:t>” means each of Bank of Montreal, CIBC Bank USA, TD Bank, N.A. and Wells Fargo Bank, National Association, in its capacity as co-documentation agent for the credit facility evidenced by this Agreement.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means any and all property owned by any Loan Party, now existing or hereafter acquired, that may at any time be or become subject to a security interest or Lien in favor of Administrative Agent, on behalf of itself and the Holders of Secured Obligations, to secure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Collateral shall not include (i) Excluded Assets or (ii) any Equity Interests of a Foreign Subsidiary or Foreign Subsidiary Holdco in excess of the Applicable Pledge Percentage in any First Tier Foreign Subsidiary or First Tier Foreign Subsidiary Holdco that is a Pledge Subsidiary.</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Security Agreement and all other agreements, instruments and documents executed in connection with this Agreement that are intended to create or evidence Liens on the Collateral for the purpose of securing the Secured Obligations, including all other security agreements, pledge agreements, loan agreements, notes, guarantees, subordination agreements, pledges, powers of attorney, consents, assignments, contracts, fee letters, notices, leases, financing statements and all other written matter whether heretofore, now, or hereafter executed by the Borrower or any of its Material Subsidiaries and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8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xml:space="preserve">” means, with respect to each Lender, the amount set forth on the </w:t>
      </w:r>
      <w:r>
        <w:rPr>
          <w:rFonts w:ascii="Times New Roman" w:cs="Times New Roman" w:eastAsia="Times New Roman" w:hAnsi="Times New Roman"/>
          <w:sz w:val="19"/>
          <w:szCs w:val="19"/>
          <w:u w:val="single" w:color="auto"/>
          <w:color w:val="auto"/>
        </w:rPr>
        <w:t>Commitment Schedule</w:t>
      </w:r>
      <w:r>
        <w:rPr>
          <w:rFonts w:ascii="Times New Roman" w:cs="Times New Roman" w:eastAsia="Times New Roman" w:hAnsi="Times New Roman"/>
          <w:sz w:val="19"/>
          <w:szCs w:val="19"/>
          <w:color w:val="auto"/>
        </w:rPr>
        <w:t xml:space="preserve"> opposite such Lender’s name, or in the Assignment and Assumption or other documentation or record (as such term is defined in Section 9-102(a)(70) of the UCC) as provided in Section 9.04(b)(ii)(C) pursuant to which such Lender shall have assumed its Commitment, as applicable, and giving effect to (a) any reduction in such amount from time to time pursuant to Section 2.09 and (b) any reduction or increase in such amount from time to time pursuant to assignments by or to such Lender pursuant to Section 9.04;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at no time shall the Revolving Exposure of any Lender exceed its Commitment. The aggregate amount of the Lenders’ Commitments on the Effective Date is $490,000,000.</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means the Schedule attached hereto identified as such.</w:t>
      </w:r>
    </w:p>
    <w:p>
      <w:pPr>
        <w:spacing w:after="0" w:line="212"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has the meaning assigned to such term in Section 8.08(c).</w:t>
      </w:r>
    </w:p>
    <w:p>
      <w:pPr>
        <w:spacing w:after="0" w:line="22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means, for any period, Net Income for such period plus (a) without duplication and to the extent deducted in determining Net Income for such period, the sum of (i) Interest Expense for such period, (ii) income tax expense for such period,</w:t>
      </w:r>
    </w:p>
    <w:p>
      <w:pPr>
        <w:spacing w:after="0" w:line="1" w:lineRule="exact"/>
        <w:rPr>
          <w:sz w:val="20"/>
          <w:szCs w:val="20"/>
          <w:color w:val="auto"/>
        </w:rPr>
      </w:pPr>
    </w:p>
    <w:p>
      <w:pPr>
        <w:jc w:val="both"/>
        <w:ind w:firstLine="8"/>
        <w:spacing w:after="0" w:line="248" w:lineRule="auto"/>
        <w:tabs>
          <w:tab w:leader="none" w:pos="36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attributable to depreciation and amortization expense for such period, (iv) non-cash charges (but excluding any non-cash charge in respect of an item that was included in Net Income in a prior period and any non-cash charge that relates to the write-down or write-off of inventory) and (v) any restructuring charges, not in excess of $10,000,000 in the aggregate during the term of this Agreement, minus (b) without duplication and to the extent included in Net Income, (i) any cash payments made during such period in respect of non-cash charges described in clause (a)(iv) taken in a prior period and (ii) any non-cash gains or items of income for such period, all calculated for the Borrower and its Subsidiaries on a consolidated basis in accordance with GAAP. Notwithstanding the foregoing, with respect to any period during which a Permitted Acquisition occurs or the Borrower or any of its Subsidiaries acquires or sells or otherwise disposes of a Subsidiary or other assets, for purposes of determining compliance with the financial covenants set forth in Section 6.12, (x) Consolidated EBITDA shall be calculated pro forma (without duplication) as if the Permitted Acquisition or other acquisition or disposition had occurred on the first day of such period and (y) any Indebtedness incurred or repaid in connection therewith shall be deemed to have been consummated or incurred or repaid at the beginning of such period.</w:t>
      </w:r>
    </w:p>
    <w:p>
      <w:pPr>
        <w:spacing w:after="0" w:line="19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Worth</w:t>
      </w:r>
      <w:r>
        <w:rPr>
          <w:rFonts w:ascii="Times New Roman" w:cs="Times New Roman" w:eastAsia="Times New Roman" w:hAnsi="Times New Roman"/>
          <w:sz w:val="20"/>
          <w:szCs w:val="20"/>
          <w:color w:val="auto"/>
        </w:rPr>
        <w:t>” means, as of the date of any determination thereof, the consolidated stockholders’ equity of the Borrower and its Subsidiaries calculated in accordance with GAAP on a consolidated basis as of such date.</w:t>
      </w:r>
    </w:p>
    <w:p>
      <w:pPr>
        <w:spacing w:after="0" w:line="1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as of the date of any determination thereof, total assets of the Borrower and its Subsidiaries calculated in accordance with GAAP on a consolidated basis as of such date.</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means, at any date, the aggregate principal amount of all Indebtedness of the Borrower and its Subsidiaries at such date, determined on a consolidated basis in accordance with GAAP. For the avoidance of doubt, Consolidated Total Indebtedness includes all Attributable Receivables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81"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u w:val="single" w:color="auto"/>
          <w:color w:val="0000FF"/>
        </w:rPr>
        <w:t>“CORRA” means the Canadian Overnight Repo Rate Average administered and published by the Bank of Canada (or any successor administrator).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“CORRA Administrator” means the Bank of Canada (or any successor administrator).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“CORRA Determination Date” has the meaning specified in the definition of “Daily Simple CORRA”.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“CORRA Rate Day” has the meaning specified in the definition of “Daily Simple CORRA”.</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29" w:lineRule="exact"/>
        <w:rPr>
          <w:sz w:val="20"/>
          <w:szCs w:val="20"/>
          <w:color w:val="auto"/>
        </w:rPr>
      </w:pPr>
    </w:p>
    <w:p>
      <w:pPr>
        <w:ind w:left="1680" w:hanging="376"/>
        <w:spacing w:after="0"/>
        <w:tabs>
          <w:tab w:leader="none" w:pos="16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29" w:lineRule="exact"/>
        <w:rPr>
          <w:rFonts w:ascii="Times New Roman" w:cs="Times New Roman" w:eastAsia="Times New Roman" w:hAnsi="Times New Roman"/>
          <w:sz w:val="20"/>
          <w:szCs w:val="20"/>
          <w:color w:val="auto"/>
        </w:rPr>
      </w:pPr>
    </w:p>
    <w:p>
      <w:pPr>
        <w:ind w:left="1300" w:right="1560" w:firstLine="4"/>
        <w:spacing w:after="0" w:line="471" w:lineRule="auto"/>
        <w:tabs>
          <w:tab w:leader="none" w:pos="179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has the meaning assigned to such term in Section 9.21.</w:t>
      </w:r>
    </w:p>
    <w:p>
      <w:pPr>
        <w:spacing w:after="0" w:line="2"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means a Borrowing, the issuance, amendment, renewal or extension of a Letter of Credit, an LC Disbursement or any of the foregoing.</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each Issuing Bank, or any other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8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u w:val="single" w:color="auto"/>
          <w:color w:val="0000FF"/>
        </w:rPr>
        <w:t>“Daily Simple CORRA” means, for any day (a “CORRA Rate Day”), a rate per annum equal to CORRA for the day (</w:t>
      </w:r>
      <w:r>
        <w:rPr>
          <w:rFonts w:ascii="Times New Roman" w:cs="Times New Roman" w:eastAsia="Times New Roman" w:hAnsi="Times New Roman"/>
          <w:sz w:val="19"/>
          <w:szCs w:val="19"/>
          <w:u w:val="single" w:color="auto"/>
          <w:color w:val="008000"/>
        </w:rPr>
        <w:t>such</w:t>
      </w:r>
      <w:r>
        <w:rPr>
          <w:rFonts w:ascii="Times New Roman" w:cs="Times New Roman" w:eastAsia="Times New Roman" w:hAnsi="Times New Roman"/>
          <w:sz w:val="19"/>
          <w:szCs w:val="19"/>
          <w:u w:val="single" w:color="auto"/>
          <w:color w:val="0000FF"/>
        </w:rPr>
        <w:t xml:space="preserve"> </w:t>
      </w:r>
      <w:r>
        <w:rPr>
          <w:rFonts w:ascii="Times New Roman" w:cs="Times New Roman" w:eastAsia="Times New Roman" w:hAnsi="Times New Roman"/>
          <w:sz w:val="19"/>
          <w:szCs w:val="19"/>
          <w:u w:val="single" w:color="auto"/>
          <w:color w:val="008000"/>
        </w:rPr>
        <w:t xml:space="preserve">day </w:t>
      </w:r>
      <w:r>
        <w:rPr>
          <w:rFonts w:ascii="Times New Roman" w:cs="Times New Roman" w:eastAsia="Times New Roman" w:hAnsi="Times New Roman"/>
          <w:sz w:val="19"/>
          <w:szCs w:val="19"/>
          <w:u w:val="single" w:color="auto"/>
          <w:color w:val="0000FF"/>
        </w:rPr>
        <w:t>“CORRA Determination Date”) that is five (5) RFR Business Days prior to (i) if such CORRA Rate Day is an RFR</w:t>
      </w:r>
      <w:r>
        <w:rPr>
          <w:rFonts w:ascii="Times New Roman" w:cs="Times New Roman" w:eastAsia="Times New Roman" w:hAnsi="Times New Roman"/>
          <w:sz w:val="19"/>
          <w:szCs w:val="19"/>
          <w:u w:val="single" w:color="auto"/>
          <w:color w:val="008000"/>
        </w:rPr>
        <w:t xml:space="preserve"> Business Day, </w:t>
      </w:r>
      <w:r>
        <w:rPr>
          <w:rFonts w:ascii="Times New Roman" w:cs="Times New Roman" w:eastAsia="Times New Roman" w:hAnsi="Times New Roman"/>
          <w:sz w:val="19"/>
          <w:szCs w:val="19"/>
          <w:u w:val="single" w:color="auto"/>
          <w:color w:val="0000FF"/>
        </w:rPr>
        <w:t>such</w:t>
      </w:r>
      <w:r>
        <w:rPr>
          <w:rFonts w:ascii="Times New Roman" w:cs="Times New Roman" w:eastAsia="Times New Roman" w:hAnsi="Times New Roman"/>
          <w:sz w:val="19"/>
          <w:szCs w:val="19"/>
          <w:u w:val="single" w:color="auto"/>
          <w:color w:val="008000"/>
        </w:rPr>
        <w:t xml:space="preserve"> </w:t>
      </w:r>
      <w:r>
        <w:rPr>
          <w:rFonts w:ascii="Times New Roman" w:cs="Times New Roman" w:eastAsia="Times New Roman" w:hAnsi="Times New Roman"/>
          <w:sz w:val="19"/>
          <w:szCs w:val="19"/>
          <w:u w:val="single" w:color="auto"/>
          <w:color w:val="0000FF"/>
        </w:rPr>
        <w:t xml:space="preserve">CORRA Rate Day or (ii) if such CORRA Rate Day is not an RFR Business Day, the RFR Business Day immediately preceding such CORRA Rate Day, in each case, as such CORRA is published by the CORRA Administrator </w:t>
      </w:r>
      <w:r>
        <w:rPr>
          <w:rFonts w:ascii="Times New Roman" w:cs="Times New Roman" w:eastAsia="Times New Roman" w:hAnsi="Times New Roman"/>
          <w:sz w:val="19"/>
          <w:szCs w:val="19"/>
          <w:u w:val="single" w:color="auto"/>
          <w:color w:val="008000"/>
        </w:rPr>
        <w:t>on the</w:t>
      </w:r>
      <w:r>
        <w:rPr>
          <w:rFonts w:ascii="Times New Roman" w:cs="Times New Roman" w:eastAsia="Times New Roman" w:hAnsi="Times New Roman"/>
          <w:sz w:val="19"/>
          <w:szCs w:val="19"/>
          <w:u w:val="single" w:color="auto"/>
          <w:color w:val="0000FF"/>
        </w:rPr>
        <w:t xml:space="preserv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u w:val="single" w:color="auto"/>
          <w:color w:val="0000FF"/>
        </w:rPr>
        <w:t>“Daily Simple RFR” means, for any day (an “RFR Interest Day”), an interest rate per annum equal to, for any RFR Loan denominated in (i) Dollars, Daily Simple SOFR (following a Benchmark Transition Event and Benchmark Replacement Date with respect to the Term SOFR Rate) and (ii) Canadian Dollars, Daily Simple CORRA (following a Benchmark Transition Event and a Benchmark Replacement Date with respect to Term CORRA).</w:t>
      </w:r>
    </w:p>
    <w:p>
      <w:pPr>
        <w:spacing w:after="0" w:line="17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a rate per annum equal to SOFR for the day (such day a “</w:t>
      </w:r>
      <w:r>
        <w:rPr>
          <w:rFonts w:ascii="Times New Roman" w:cs="Times New Roman" w:eastAsia="Times New Roman" w:hAnsi="Times New Roman"/>
          <w:sz w:val="19"/>
          <w:szCs w:val="19"/>
          <w:u w:val="single" w:color="auto"/>
          <w:color w:val="auto"/>
        </w:rPr>
        <w:t>SOFR Determination Date</w:t>
      </w:r>
      <w:r>
        <w:rPr>
          <w:rFonts w:ascii="Times New Roman" w:cs="Times New Roman" w:eastAsia="Times New Roman" w:hAnsi="Times New Roman"/>
          <w:sz w:val="19"/>
          <w:szCs w:val="19"/>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18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subject to the last sentence of Section 2.20,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good-faith determination that a condition precedent to funding (specifically identified and including the particular default, if any) has not been satisfied,</w:t>
      </w:r>
    </w:p>
    <w:p>
      <w:pPr>
        <w:spacing w:after="0" w:line="2" w:lineRule="exact"/>
        <w:rPr>
          <w:sz w:val="20"/>
          <w:szCs w:val="20"/>
          <w:color w:val="auto"/>
        </w:rPr>
      </w:pPr>
    </w:p>
    <w:p>
      <w:pPr>
        <w:ind w:firstLine="8"/>
        <w:spacing w:after="0" w:line="267" w:lineRule="auto"/>
        <w:tabs>
          <w:tab w:leader="none" w:pos="28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notified the Borrower or any Credit Party in writing, or has made a public statement to the effect, that it does not intend or expect to comply with any of its funding obligations under this Agreement (unless such writing or public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indicates that such position is based on such Lender’s good-faith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such Credit Party’s receipt of such certification in form and substance reasonably satisfactory to it and the Administrative Agent, or (d) has become the subject of (A) a Bankruptcy Event or (B) a Bail-In Action.</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Disclosed Matters</w:t>
      </w:r>
      <w:r>
        <w:rPr>
          <w:rFonts w:ascii="Times New Roman" w:cs="Times New Roman" w:eastAsia="Times New Roman" w:hAnsi="Times New Roman"/>
          <w:sz w:val="20"/>
          <w:szCs w:val="20"/>
          <w:color w:val="auto"/>
        </w:rPr>
        <w:t xml:space="preserve">” means the actions, suits and proceedings and the environmental matters disclosed in </w:t>
      </w:r>
      <w:r>
        <w:rPr>
          <w:rFonts w:ascii="Times New Roman" w:cs="Times New Roman" w:eastAsia="Times New Roman" w:hAnsi="Times New Roman"/>
          <w:sz w:val="20"/>
          <w:szCs w:val="20"/>
          <w:u w:val="single" w:color="auto"/>
          <w:color w:val="auto"/>
        </w:rPr>
        <w:t>Schedule 3.06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Amount</w:t>
      </w:r>
      <w:r>
        <w:rPr>
          <w:rFonts w:ascii="Times New Roman" w:cs="Times New Roman" w:eastAsia="Times New Roman" w:hAnsi="Times New Roman"/>
          <w:sz w:val="20"/>
          <w:szCs w:val="20"/>
          <w:color w:val="auto"/>
        </w:rPr>
        <w:t>” of any currency at any date means (i) the amount of such currency if such currency is Dollars or (ii) the equivalent amount thereof in Dollars if such currency is a Foreign Currency, calculated on the basis of the Exchange Rate for such currency, on or as of the most recent Revaluation Date provided for in Section 1.10.</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incorporated or organized under the laws of the United States of America, any state thereof or in the District of Columbia.</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Earn-Out</w:t>
      </w:r>
      <w:r>
        <w:rPr>
          <w:rFonts w:ascii="Times New Roman" w:cs="Times New Roman" w:eastAsia="Times New Roman" w:hAnsi="Times New Roman"/>
          <w:sz w:val="20"/>
          <w:szCs w:val="20"/>
          <w:color w:val="auto"/>
        </w:rPr>
        <w:t>” means those certain obligations of the Borrower or any Subsidiary arising in connection with any acquisition of assets or businesses to the seller of such assets or businesses, the payment of which is dependent on the future earnings or performance of such assets or businesses, and in each case as determined in accordance with GAAP.</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ECP</w:t>
      </w:r>
      <w:r>
        <w:rPr>
          <w:rFonts w:ascii="Times New Roman" w:cs="Times New Roman" w:eastAsia="Times New Roman" w:hAnsi="Times New Roman"/>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3"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the date on which the conditions specified in Section 4.01 are satisfied (or waived in accordance with Section 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health and safety matters.</w:t>
      </w:r>
    </w:p>
    <w:p>
      <w:pPr>
        <w:spacing w:after="0" w:line="18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Equivalent Amount</w:t>
      </w:r>
      <w:r>
        <w:rPr>
          <w:rFonts w:ascii="Times New Roman" w:cs="Times New Roman" w:eastAsia="Times New Roman" w:hAnsi="Times New Roman"/>
          <w:sz w:val="20"/>
          <w:szCs w:val="20"/>
          <w:color w:val="auto"/>
        </w:rPr>
        <w:t>” of any currency with respect to any amount of Dollars at any date means the equivalent in such currency of such amount of Dollars, calculated on the basis of the Exchange Rate for such other currency at 11:00 a.m., London time, on the date on or as of which such amount is to be determined.</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rules and regulations promulgated thereunder.</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Borrower, is treated as a single employer under Section 414(b) or (c) of the Code or, solely for purposes of Title IV of ERISA, Section 4001 of ERISA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30-day notice period is waived by such regulations); (b) the failure to satisfy the “minimum funding standard” (as defined in Section 412 of the Code or Section 302 of ERISA) with respect to any Plan,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concerning the imposition upon the Borrower or any of its ERISA Affiliates of Withdrawal Liability or a determination that a Multiemployer Plan to which the Borrower or any of its ERISA Affiliates contributes or is required to contribute or otherwise has any outstanding liability is, or is expected to be, insolvent, within the meaning of Title IV of ERISA.</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Rate</w:t>
      </w:r>
      <w:r>
        <w:rPr>
          <w:rFonts w:ascii="Times New Roman" w:cs="Times New Roman" w:eastAsia="Times New Roman" w:hAnsi="Times New Roman"/>
          <w:sz w:val="20"/>
          <w:szCs w:val="20"/>
          <w:color w:val="auto"/>
        </w:rPr>
        <w:t>” means, with respect to any Term Benchmark Borrowing denominated in Euros and for any Interest Period, the EURIBOR Screen Rate two (2) TARGET Days prior to the commencement of such Interest Period.</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(2) TARGET Days prior to the commencement of such Interest Period. If such page or service ceases to be available, the Administrative Agent may specify another page or service displaying the relevant rate after consultation with the Borrower.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the single currency of the Participating Member States.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Section 7.01.</w:t>
      </w:r>
    </w:p>
    <w:p>
      <w:pPr>
        <w:spacing w:after="0" w:line="22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Rate</w:t>
      </w:r>
      <w:r>
        <w:rPr>
          <w:rFonts w:ascii="Times New Roman" w:cs="Times New Roman" w:eastAsia="Times New Roman" w:hAnsi="Times New Roman"/>
          <w:sz w:val="20"/>
          <w:szCs w:val="20"/>
          <w:color w:val="auto"/>
        </w:rPr>
        <w:t>” means, on any day, (a) with respect to any Foreign Currency, the rate of exchange for the purchase of Dollars with such Foreign Currency last provided (either by publication or otherwise provided to the Administrative Agent) by the applicable Thomson Reuters Corp., Refinitiv, or any successor thereto (“</w:t>
      </w:r>
      <w:r>
        <w:rPr>
          <w:rFonts w:ascii="Times New Roman" w:cs="Times New Roman" w:eastAsia="Times New Roman" w:hAnsi="Times New Roman"/>
          <w:sz w:val="20"/>
          <w:szCs w:val="20"/>
          <w:u w:val="single" w:color="auto"/>
          <w:color w:val="auto"/>
        </w:rPr>
        <w:t>Reuters</w:t>
      </w:r>
      <w:r>
        <w:rPr>
          <w:rFonts w:ascii="Times New Roman" w:cs="Times New Roman" w:eastAsia="Times New Roman" w:hAnsi="Times New Roman"/>
          <w:sz w:val="20"/>
          <w:szCs w:val="20"/>
          <w:color w:val="auto"/>
        </w:rPr>
        <w:t>”) source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(b) if such amount is denominated in any other currency (other than Dollars), the equivalent of such amount in Dollars as determined by the Administrative Agent using any method of determination it deems appropriate in its sole discretion.</w:t>
      </w:r>
    </w:p>
    <w:p>
      <w:pPr>
        <w:spacing w:after="0" w:line="183" w:lineRule="exact"/>
        <w:rPr>
          <w:sz w:val="20"/>
          <w:szCs w:val="20"/>
          <w:color w:val="auto"/>
        </w:rPr>
      </w:pPr>
    </w:p>
    <w:p>
      <w:pPr>
        <w:jc w:val="both"/>
        <w:ind w:firstLine="129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Assets</w:t>
      </w:r>
      <w:r>
        <w:rPr>
          <w:rFonts w:ascii="Times New Roman" w:cs="Times New Roman" w:eastAsia="Times New Roman" w:hAnsi="Times New Roman"/>
          <w:sz w:val="19"/>
          <w:szCs w:val="19"/>
          <w:color w:val="auto"/>
        </w:rPr>
        <w:t>” means (i) any property (x) subject to any “certificate of title” (as defined in the UCC), (y) subject to any lease or other right-of-use agreement in favor of a Loan Party or constituting a leasehold or similar interest or (z) constituting any real property or interest therein or any “fixtures” (as defined in the UCC) related thereto and (ii) any Equity Interest in a Permitted Joint Venture.</w:t>
      </w:r>
    </w:p>
    <w:p>
      <w:pPr>
        <w:spacing w:after="0" w:line="14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7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with respect to the Administrative Agent, any Lender, any Issuing Bank or any other recipient of any payment to be made by or on account of any obligation of the Borrower hereunder, (a) Taxes imposed on (or measured by) its net income (however denominated) or franchise Taxes by the United States of America, or by the jurisdiction (or any political subdivision or taxing authority thereof or therein) under the laws of which such recipient is organized (or in which such recipient is resident for income tax purposes) or in which its principal office is located or, in the case of any Lender, in which its applicable lending office is located, (b) any branch profits Taxes or backup withholding Taxes imposed by the United States of America or any similar Tax imposed by any other jurisdiction in which the Borrower is located, (c) in the case of a Lender (other than an assignee pursuant to a request by the Borrower under Section 2.19(b)), any withholding Tax that is (i) imposed on amounts payable to such Lender at the time such Lender becomes a party to this Agreement (or designates a new lending office), except to the extent that such Lender (or its assignor, if any) was entitled, immediately prior to the designation of a new lending office (or such assignment), to receive additional amounts from the Borrower with respect to such withholding Tax pursuant to Section 2.17(a), or (ii) is attributable to such Lender’s failure to comply with Sections 2.17(e) or 2.17(f) and (d) any U.S. federal withholding Taxes imposed under FATCA.</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assigned to such term in the recitals hereto.</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Letter of Credit</w:t>
      </w:r>
      <w:r>
        <w:rPr>
          <w:rFonts w:ascii="Times New Roman" w:cs="Times New Roman" w:eastAsia="Times New Roman" w:hAnsi="Times New Roman"/>
          <w:sz w:val="20"/>
          <w:szCs w:val="20"/>
          <w:color w:val="auto"/>
        </w:rPr>
        <w:t>” has the meaning assigned to such term in Section 2.06(c).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Liens</w:t>
      </w:r>
      <w:r>
        <w:rPr>
          <w:rFonts w:ascii="Times New Roman" w:cs="Times New Roman" w:eastAsia="Times New Roman" w:hAnsi="Times New Roman"/>
          <w:sz w:val="20"/>
          <w:szCs w:val="20"/>
          <w:color w:val="auto"/>
        </w:rPr>
        <w:t>” has the meaning assigned to it in Section 9.02(b).</w:t>
      </w:r>
    </w:p>
    <w:p>
      <w:pPr>
        <w:spacing w:after="0" w:line="21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administrative guidance thereunder or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purposes of this Agreement.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Finance Lease Obligations</w:t>
      </w:r>
      <w:r>
        <w:rPr>
          <w:rFonts w:ascii="Times New Roman" w:cs="Times New Roman" w:eastAsia="Times New Roman" w:hAnsi="Times New Roman"/>
          <w:sz w:val="20"/>
          <w:szCs w:val="20"/>
          <w:color w:val="auto"/>
        </w:rPr>
        <w:t>” of any Person as of the date of determination, means the obligations of such Person to pay rent or other amounts under any lease of (or other arrangement conveying the right to use) real or personal property, or a combination thereof, which obligations are required to be classified and accounted for as financing leases on a balance sheet of such Person under GAAP, and the amount of such obligations shall be the capitalized amount thereof determined in accordance with GAAP.</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Borrower.</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Tier Foreign Subsidiary</w:t>
      </w:r>
      <w:r>
        <w:rPr>
          <w:rFonts w:ascii="Times New Roman" w:cs="Times New Roman" w:eastAsia="Times New Roman" w:hAnsi="Times New Roman"/>
          <w:sz w:val="20"/>
          <w:szCs w:val="20"/>
          <w:color w:val="auto"/>
        </w:rPr>
        <w:t>” means each Foreign Subsidiary with respect to which any one or more of the Borrower and its Domestic Subsidiaries (other than Domestic Subsidiaries that are Foreign Subsidiary Holdcos) directly owns or controls more than 50% of such Foreign Subsidiary’s issued and outstanding Equity Interests.</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Tier Foreign Subsidiary Holdco</w:t>
      </w:r>
      <w:r>
        <w:rPr>
          <w:rFonts w:ascii="Times New Roman" w:cs="Times New Roman" w:eastAsia="Times New Roman" w:hAnsi="Times New Roman"/>
          <w:sz w:val="20"/>
          <w:szCs w:val="20"/>
          <w:color w:val="auto"/>
        </w:rPr>
        <w:t>” means each Foreign Subsidiary Holdco with respect to which any one or more of the Borrower and its Domestic Subsidiaries (other than Domestic Subsidiaries that are Foreign Subsidiary Holdcos) directly owns or controls more than 50% of such Foreign Subsidiary Holdco’s issued and outstanding Equity Interests.</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xml:space="preserve">” means the benchmark rate floor, if any, provided in this Agreement initially (as of the execution of this Agreement, the modification, amendment or renewal of this Agreement or otherwise) with respect to the Adjusted Term SOFR Rate, Adjusted EURIBOR Rate, Adjusted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Rate, each Adjusted Daily Simple RFR, </w:t>
      </w:r>
      <w:r>
        <w:rPr>
          <w:rFonts w:ascii="Times New Roman" w:cs="Times New Roman" w:eastAsia="Times New Roman" w:hAnsi="Times New Roman"/>
          <w:sz w:val="20"/>
          <w:szCs w:val="20"/>
          <w:u w:val="single" w:color="auto"/>
          <w:color w:val="0000FF"/>
        </w:rPr>
        <w:t>the Canadian Prime Rate</w:t>
      </w:r>
      <w:r>
        <w:rPr>
          <w:rFonts w:ascii="Times New Roman" w:cs="Times New Roman" w:eastAsia="Times New Roman" w:hAnsi="Times New Roman"/>
          <w:sz w:val="20"/>
          <w:szCs w:val="20"/>
          <w:color w:val="auto"/>
        </w:rPr>
        <w:t xml:space="preserve"> or the Central Bank Rate, as applicable. For the avoidance of doubt the initial Floor for each of Adjusted Term SOFR Rate, Adjusted EURIBOR Rate, Adjusted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each Adjusted Daily Simple RFR</w:t>
      </w:r>
      <w:r>
        <w:rPr>
          <w:rFonts w:ascii="Times New Roman" w:cs="Times New Roman" w:eastAsia="Times New Roman" w:hAnsi="Times New Roman"/>
          <w:sz w:val="20"/>
          <w:szCs w:val="20"/>
          <w:u w:val="single" w:color="auto"/>
          <w:color w:val="0000FF"/>
        </w:rPr>
        <w:t>, the Canadian Prime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the Central Bank Rate shall be 0.0%.</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Currencies</w:t>
      </w:r>
      <w:r>
        <w:rPr>
          <w:rFonts w:ascii="Times New Roman" w:cs="Times New Roman" w:eastAsia="Times New Roman" w:hAnsi="Times New Roman"/>
          <w:sz w:val="20"/>
          <w:szCs w:val="20"/>
          <w:color w:val="auto"/>
        </w:rPr>
        <w:t>” means Agreed Currencies other than Dollars.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Exposure</w:t>
      </w:r>
      <w:r>
        <w:rPr>
          <w:rFonts w:ascii="Times New Roman" w:cs="Times New Roman" w:eastAsia="Times New Roman" w:hAnsi="Times New Roman"/>
          <w:sz w:val="20"/>
          <w:szCs w:val="20"/>
          <w:color w:val="auto"/>
        </w:rPr>
        <w:t>” has the meaning assigned to such term in Section 2.11(c).</w:t>
      </w:r>
    </w:p>
    <w:p>
      <w:pPr>
        <w:spacing w:after="0" w:line="229"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LC Exposure</w:t>
      </w:r>
      <w:r>
        <w:rPr>
          <w:rFonts w:ascii="Times New Roman" w:cs="Times New Roman" w:eastAsia="Times New Roman" w:hAnsi="Times New Roman"/>
          <w:sz w:val="20"/>
          <w:szCs w:val="20"/>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Letter of Credit</w:t>
      </w:r>
      <w:r>
        <w:rPr>
          <w:rFonts w:ascii="Times New Roman" w:cs="Times New Roman" w:eastAsia="Times New Roman" w:hAnsi="Times New Roman"/>
          <w:sz w:val="20"/>
          <w:szCs w:val="20"/>
          <w:color w:val="auto"/>
        </w:rPr>
        <w:t>” means a Letter of Credit denominated in a Foreign Currency.</w:t>
      </w:r>
    </w:p>
    <w:p>
      <w:pPr>
        <w:spacing w:after="0" w:line="22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Sublimit</w:t>
      </w:r>
      <w:r>
        <w:rPr>
          <w:rFonts w:ascii="Times New Roman" w:cs="Times New Roman" w:eastAsia="Times New Roman" w:hAnsi="Times New Roman"/>
          <w:sz w:val="20"/>
          <w:szCs w:val="20"/>
          <w:color w:val="auto"/>
        </w:rPr>
        <w:t>” means an amount equal to the lesser of (a) $150,000,000 and (b) the total amount of the Commitments. The Foreign Currency Sublimit is part of, and not in addition to, the Commitments hereunder.</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Payment Office</w:t>
      </w:r>
      <w:r>
        <w:rPr>
          <w:rFonts w:ascii="Times New Roman" w:cs="Times New Roman" w:eastAsia="Times New Roman" w:hAnsi="Times New Roman"/>
          <w:sz w:val="20"/>
          <w:szCs w:val="20"/>
          <w:color w:val="auto"/>
        </w:rPr>
        <w:t>” of the Administrative Agent means, for each Foreign Currency, the office, branch, affiliate or correspondent bank of the Administrative Agent for such currency as specified from time to time by the Administrative Agent to the Borrower and each Lender.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Holdco</w:t>
      </w:r>
      <w:r>
        <w:rPr>
          <w:rFonts w:ascii="Times New Roman" w:cs="Times New Roman" w:eastAsia="Times New Roman" w:hAnsi="Times New Roman"/>
          <w:sz w:val="20"/>
          <w:szCs w:val="20"/>
          <w:color w:val="auto"/>
        </w:rPr>
        <w:t>” shall mean any Subsidiary of which all or substantially all of the assets consist of Equity Interests of one or more Foreign Subsidiaries and/or other Foreign Subsidiary Holdcos.</w:t>
      </w:r>
    </w:p>
    <w:p>
      <w:pPr>
        <w:spacing w:after="0" w:line="16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means the deposit account of the Borrower to which the Administrative Agent is authorized by the Borrower to transfer the proceeds of any Borrowings requested or authorized pursuant to this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1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6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term Guarantee shall not include endorsements for collection or deposit in the ordinary course of business.</w:t>
      </w:r>
    </w:p>
    <w:p>
      <w:pPr>
        <w:spacing w:after="0" w:line="17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as hazardous or toxic or as a pollutant or contaminant pursuant to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Holders of Secured Obligations</w:t>
      </w:r>
      <w:r>
        <w:rPr>
          <w:rFonts w:ascii="Times New Roman" w:cs="Times New Roman" w:eastAsia="Times New Roman" w:hAnsi="Times New Roman"/>
          <w:sz w:val="20"/>
          <w:szCs w:val="20"/>
          <w:color w:val="auto"/>
        </w:rPr>
        <w:t>” means the holders of the Secured Obligations from time to time and includes (i) each Lender and each Issuing Bank in respect of its Loans and LC Exposure respectively, (ii) the Administrative Agent, the Issuing Banks and the Lenders in respect of all other present and future obligations and liabilities of the Borrower, each Subsidiary and each other Loan Party of every type and description arising under or in connection with the Credit Agreement or any other Loan Document, (iii) each Lender and Affiliate of such Lender in respect of Swap Agreements and Banking Services Agreements entered into with such Person by the Borrower or any other Loan Party, (iv) each indemnified party under Section 9.03 (including, for the avoidance of doubt, each Indemnitee and Lender-Related Person) in respect of the obligations and liabilities of the Borrower to such Person hereunder and under the other Loan Documents, and (v) their respective successors and (in the case of a Lender, permitted) transferees and assigns.</w:t>
      </w:r>
    </w:p>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Hostile Acquisition</w:t>
      </w:r>
      <w:r>
        <w:rPr>
          <w:rFonts w:ascii="Times New Roman" w:cs="Times New Roman" w:eastAsia="Times New Roman" w:hAnsi="Times New Roman"/>
          <w:sz w:val="20"/>
          <w:szCs w:val="20"/>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has the meaning assigned to such term in Section 2.04.</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has the meaning assigned to such term in Section 2.04.</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Amendment</w:t>
      </w:r>
      <w:r>
        <w:rPr>
          <w:rFonts w:ascii="Times New Roman" w:cs="Times New Roman" w:eastAsia="Times New Roman" w:hAnsi="Times New Roman"/>
          <w:sz w:val="20"/>
          <w:szCs w:val="20"/>
          <w:color w:val="auto"/>
        </w:rPr>
        <w:t>” has the meaning assigned to such term in Section 2.04.</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 (a) all obligations of such Person for borrowed money or with respect to deposits or advances of any kind, (b) all obligations of such Person evidenced by bonds, debentures, notes or similar instruments,</w:t>
      </w:r>
    </w:p>
    <w:p>
      <w:pPr>
        <w:jc w:val="both"/>
        <w:ind w:firstLine="8"/>
        <w:spacing w:after="0" w:line="248" w:lineRule="auto"/>
        <w:tabs>
          <w:tab w:leader="none" w:pos="27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Finance Lease Obligations of such Person, (i) all obligations, contingent or otherwise, of such Person as an account party in respect of letters of credit, letters of guaranty and similar independent undertakings, (j) all obligations, contingent or otherwise, of such Person in respect of bankers’ acceptances, (k) the Net Mark-to-Market Exposure of such Person under each Swap Agreement to the extent entered into for investment or speculative purposes, (l) obligations under any liquidated Earn-Out and (m) all Attributable Receivables Indebtedness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6"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Taxes, other than Excluded Taxes, imposed on or with respect to any payment made by or on account of any obligation of the Borrower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has the meaning assigned to it in Section 9.03(c).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has the meaning assigned to such term in Section 9.04(b).</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Memorandum</w:t>
      </w:r>
      <w:r>
        <w:rPr>
          <w:rFonts w:ascii="Times New Roman" w:cs="Times New Roman" w:eastAsia="Times New Roman" w:hAnsi="Times New Roman"/>
          <w:sz w:val="20"/>
          <w:szCs w:val="20"/>
          <w:color w:val="auto"/>
        </w:rPr>
        <w:t>” means the Confidential Information Memorandum dated May 2023 relating to the Borrower and the Transactions.</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for any period, the ratio of (a) Consolidated EBITDA for such period to (b) Interest Expense for such period.</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means a request by the Borrower to convert or continue a Borrowing in accordance with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2.08.</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Expense</w:t>
      </w:r>
      <w:r>
        <w:rPr>
          <w:rFonts w:ascii="Times New Roman" w:cs="Times New Roman" w:eastAsia="Times New Roman" w:hAnsi="Times New Roman"/>
          <w:sz w:val="19"/>
          <w:szCs w:val="19"/>
          <w:color w:val="auto"/>
        </w:rPr>
        <w:t>” means, with reference to any period, total interest expense (including that attributable to Finance Lease Obligations but excluding, for so long as such items are reported as interest expense in the Borrower’s and its Subsidiaries’ financial statements, amortized costs, fees and expenses incurred in connection with the Loan Documents, including, without limitation, Letter of Credit fees)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the Borrower and its Subsidiaries for such period in accordance with GAAP.</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(other than a Swingline Loan), the day that is fifteen (15) calendar days following the last day of each March, June, September and December and the Maturity Date, (b)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(c)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and (d) with respect to any Swingline Loan, the day that such Loan is required to be repaid (including pursuant to the terms and requirements of any Loan Sweep Agreement) and the Maturity Date.</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0000FF"/>
        </w:rPr>
        <w:t>(x)</w:t>
      </w:r>
      <w:r>
        <w:rPr>
          <w:rFonts w:ascii="Times New Roman" w:cs="Times New Roman" w:eastAsia="Times New Roman" w:hAnsi="Times New Roman"/>
          <w:sz w:val="20"/>
          <w:szCs w:val="20"/>
          <w:color w:val="auto"/>
        </w:rPr>
        <w:t xml:space="preserve"> with respect to any Term Benchmark Borrowing </w:t>
      </w:r>
      <w:r>
        <w:rPr>
          <w:rFonts w:ascii="Times New Roman" w:cs="Times New Roman" w:eastAsia="Times New Roman" w:hAnsi="Times New Roman"/>
          <w:sz w:val="20"/>
          <w:szCs w:val="20"/>
          <w:u w:val="single" w:color="auto"/>
          <w:color w:val="0000FF"/>
        </w:rPr>
        <w:t>denominated in Dollars or euro</w:t>
      </w:r>
      <w:r>
        <w:rPr>
          <w:rFonts w:ascii="Times New Roman" w:cs="Times New Roman" w:eastAsia="Times New Roman" w:hAnsi="Times New Roman"/>
          <w:sz w:val="20"/>
          <w:szCs w:val="20"/>
          <w:color w:val="auto"/>
        </w:rPr>
        <w:t xml:space="preserve">, the period commencing on the date of such Borrowing and ending on the numerically corresponding day in the calendar month that is one, </w:t>
      </w:r>
      <w:r>
        <w:rPr>
          <w:rFonts w:ascii="Times New Roman" w:cs="Times New Roman" w:eastAsia="Times New Roman" w:hAnsi="Times New Roman"/>
          <w:sz w:val="20"/>
          <w:szCs w:val="20"/>
          <w:color w:val="FF0000"/>
          <w:strike w:val="1"/>
        </w:rPr>
        <w:t>two (solely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with respect to any Term Benchmark Borrowing denominated in Canadian Dollars),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three or six</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(solely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8000"/>
          <w:strike w:val="1"/>
        </w:rPr>
        <w:t>with respect to any Term Benchmark</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8000"/>
          <w:strike w:val="1"/>
        </w:rPr>
        <w:t>Borrowing denominated in</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FF0000"/>
          <w:strike w:val="1"/>
        </w:rPr>
        <w:t>an Agreed Currency other than</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8000"/>
          <w:strike w:val="1"/>
        </w:rPr>
        <w:t>Canadian Dollars)</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0000"/>
        </w:rPr>
        <w:t>months thereafter (in each case, subject to the availability for</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0000"/>
        </w:rPr>
        <w:t xml:space="preserve">the Benchmark applicable to the relevant Loan or Commitment for any Agreed Currency) </w:t>
      </w:r>
      <w:r>
        <w:rPr>
          <w:rFonts w:ascii="Times New Roman" w:cs="Times New Roman" w:eastAsia="Times New Roman" w:hAnsi="Times New Roman"/>
          <w:sz w:val="20"/>
          <w:szCs w:val="20"/>
          <w:u w:val="single" w:color="auto"/>
          <w:color w:val="0000FF"/>
        </w:rPr>
        <w:t>as the Borrower may elect and (y)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8000"/>
        </w:rPr>
        <w:t>with respect to</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8000"/>
        </w:rPr>
        <w:t xml:space="preserve">any Term Benchmark Borrowing denominated in </w:t>
      </w:r>
      <w:r>
        <w:rPr>
          <w:rFonts w:ascii="Times New Roman" w:cs="Times New Roman" w:eastAsia="Times New Roman" w:hAnsi="Times New Roman"/>
          <w:sz w:val="20"/>
          <w:szCs w:val="20"/>
          <w:u w:val="single" w:color="auto"/>
          <w:color w:val="0000FF"/>
        </w:rPr>
        <w:t>Canadian Dollars, the period commencing on the date of such Borrowing and ending on the</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numerically corresponding day in the calendar month that is one or three months thereafter (subject to the availability for the Benchmark applicable to the relevant Loan or Commitment denominated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8000"/>
        </w:rPr>
        <w:t>Canadian Dollars)</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as the Borrower may elect;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that (i) if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Interest Period would end on a day other than a Business Day, such Interest Period shall be extended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7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each of (i) JPMorgan Chase Bank, N.A., (ii) Bank of America, N.A., (iii) Bank of Montreal,</w:t>
      </w:r>
    </w:p>
    <w:p>
      <w:pPr>
        <w:spacing w:after="0" w:line="28" w:lineRule="exact"/>
        <w:rPr>
          <w:sz w:val="20"/>
          <w:szCs w:val="20"/>
          <w:color w:val="auto"/>
        </w:rPr>
      </w:pPr>
    </w:p>
    <w:p>
      <w:pPr>
        <w:jc w:val="both"/>
        <w:ind w:firstLine="8"/>
        <w:spacing w:after="0" w:line="249" w:lineRule="auto"/>
        <w:tabs>
          <w:tab w:leader="none" w:pos="34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CIBC Bank USA, and (v) any other Lender that becomes an Issuing Bank pursuant to Sections 2.06(m), each in its capacity as an issuer of Letters of Credit hereunder, and its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has the meaning assigned to such term in Section 2.06(j).</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an Issuing Bank pursuant to a Letter of Credit.</w:t>
      </w:r>
    </w:p>
    <w:p>
      <w:pPr>
        <w:spacing w:after="0" w:line="21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Exposure</w:t>
      </w:r>
      <w:r>
        <w:rPr>
          <w:rFonts w:ascii="Times New Roman" w:cs="Times New Roman" w:eastAsia="Times New Roman" w:hAnsi="Times New Roman"/>
          <w:sz w:val="19"/>
          <w:szCs w:val="19"/>
          <w:color w:val="auto"/>
        </w:rPr>
        <w:t>” means, at any time, the sum of (a) the aggregate undrawn Dollar Amount of all outstanding Letters of Credit at such time plus (b) the aggregate Dollar Amount of all LC Disbursements that have not yet been reimbursed by or on behalf of the Borrower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has the meaning assigned to it in Section 9.03(b).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and any other Person that shall have become a party hereto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the Issuing Banks.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pursuant to this Agreement.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has the meaning assigned to such term in Section 2.06(b).</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xml:space="preserve">” means, with respect to each Issuing Bank, the commitment of such Issuing Bank to issue Letters of Credit hereunder. The initial amount of each initial Issuing Bank’s Letter of Credit Commitment is set forth on the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or if an Issuing Bank has entered into an Assignment and Assumption,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 Schedule</w:t>
      </w:r>
      <w:r>
        <w:rPr>
          <w:rFonts w:ascii="Times New Roman" w:cs="Times New Roman" w:eastAsia="Times New Roman" w:hAnsi="Times New Roman"/>
          <w:sz w:val="20"/>
          <w:szCs w:val="20"/>
          <w:color w:val="auto"/>
        </w:rPr>
        <w:t>” means the Schedule attached hereto identified as such.</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any losses, claims (including intraparty claims), demands, damages or liabilities of any kind.</w:t>
      </w:r>
    </w:p>
    <w:p>
      <w:pPr>
        <w:spacing w:after="0" w:line="216" w:lineRule="exact"/>
        <w:rPr>
          <w:sz w:val="20"/>
          <w:szCs w:val="20"/>
          <w:color w:val="auto"/>
        </w:rPr>
      </w:pPr>
    </w:p>
    <w:p>
      <w:pPr>
        <w:jc w:val="both"/>
        <w:ind w:right="20"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w:t>
      </w:r>
    </w:p>
    <w:p>
      <w:pPr>
        <w:spacing w:after="0"/>
        <w:rPr>
          <w:sz w:val="20"/>
          <w:szCs w:val="20"/>
          <w:color w:val="auto"/>
        </w:rPr>
      </w:pPr>
      <w:r>
        <w:rPr>
          <w:rFonts w:ascii="Times New Roman" w:cs="Times New Roman" w:eastAsia="Times New Roman" w:hAnsi="Times New Roman"/>
          <w:sz w:val="20"/>
          <w:szCs w:val="20"/>
          <w:color w:val="auto"/>
        </w:rPr>
        <w:t>(c) in the case of securities, any purchase option, call or similar right of a third party with respect to such securities.</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means, as of the date of any determination thereof, the sum of (a) that portion of the aggregate Available Revolving Commitment which may be drawn or otherwise used on such date while remaining in pro forma compliance with the financial covenants set forth in Section 6.12 and (b) unencumbered and unrestricted cash of the Borrower and its Subsidiaries maintained with a Lender in the United States of America.</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any promissory notes issued pursuant to this Agreement, any Letter of Credit applications, the Collateral Documents, the Subsidiary Guaranty, any Loan Sweep Agreement, and all other agreements, instruments, documents and certificates identified in Section 4.01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and delivered to the Administrative Agent or any Lender in connection with the Agreement or the transactions contemplated thereby. Any reference in the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Borrower and the Subsidiary Guarantors.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Sweep Agreement</w:t>
      </w:r>
      <w:r>
        <w:rPr>
          <w:rFonts w:ascii="Times New Roman" w:cs="Times New Roman" w:eastAsia="Times New Roman" w:hAnsi="Times New Roman"/>
          <w:sz w:val="20"/>
          <w:szCs w:val="20"/>
          <w:color w:val="auto"/>
        </w:rPr>
        <w:t>” means any agreement entered into by the Borrower with JPMorgan Chase Bank, N.A. relating to end of day investments and Swingline Loan sweeps, as the same may be amended, restated, supplemented, extended, replaced (in whole or in part), renewed or otherwise modified from time to time.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and advances made by the Lenders pursuant to this Agreement.</w:t>
      </w:r>
    </w:p>
    <w:p>
      <w:pPr>
        <w:spacing w:after="0" w:line="22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Local Time</w:t>
      </w:r>
      <w:r>
        <w:rPr>
          <w:rFonts w:ascii="Times New Roman" w:cs="Times New Roman" w:eastAsia="Times New Roman" w:hAnsi="Times New Roman"/>
          <w:sz w:val="20"/>
          <w:szCs w:val="20"/>
          <w:color w:val="auto"/>
        </w:rPr>
        <w:t>” means (i) Chicago time in the case of a Loan, Borrowing or LC Disbursement denominated in Dollars and (ii) local time in the case of a Loan, Borrowing or LC Disbursement denominated in any Foreign Currency.</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assets, property or financial condition of the Borrower and the Subsidiaries taken as a whole or (b) the validity or enforceability of any of the Loan Documents or the rights of or benefits available to the Administrative Agent, an Issuing Bank or the Lenders under the Loan Documents.</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Foreign Subsidiary</w:t>
      </w:r>
      <w:r>
        <w:rPr>
          <w:rFonts w:ascii="Times New Roman" w:cs="Times New Roman" w:eastAsia="Times New Roman" w:hAnsi="Times New Roman"/>
          <w:sz w:val="20"/>
          <w:szCs w:val="20"/>
          <w:color w:val="auto"/>
        </w:rPr>
        <w:t xml:space="preserve">” means (a) as of the Effective Date, MYR Group Construction Canada, Ltd. and (b) after the Effective Date, (i) any First Tier Foreign Subsidiary designated in writing by the Borrower to the Administrative Agent as a “Material Foreign Subsidiary” and (ii) each First Tier Foreign Subsidiary (A) which, as of the most recent fiscal quarter of the Borrower, for the period of four consecutive fiscal quarters then ended, for which financial statements have been delivered pursuant to Section 5.01(a) or 5.01(b) (or, if prior to the date of the delivery of the first financial statements to be delivered pursuant to Section 5.01(a) or 5.01(b), the most recent financial statements referred to in Section 3.04(a)), contributed greater than ten percent (10%) of the Borrower’s Consolidated EBITDA for such period or (B) which contributed greater than ten percent (10%) of the Borrower’s Consolidated Total Assets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the aggregate amount of Consolidated EBITDA or Consolidated Total Assets attributable to all First Tier Foreign Subsidiaries that are not Material Foreign Subsidiaries exceeds twenty percent (20%) of Consolidated EBITDA for any such period or twenty percent (20%) of Consolidated Total Assets as of the end of any such fiscal quarter, the Borrower (or, in the event the Borrower has failed to do so within ten (10) days, the Administrative Agent) shall designate sufficient First Tier Foreign Subsidiaries as “Material Foreign Subsidiaries” to eliminate such excess, and such designated First Tier Foreign Subsidiaries shall for all purposes of this Agreement constitute Material Foreign Subsidiaries.</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or any Letters of Credit), or obligations in respect of one or more Swap Agreements, of any one or more of the Borrower and its Subsidiaries in an aggregate principal amount exceeding $10,000,000. For purposes of determining Material Indebtedness,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means (a) as of the Effective Date, Harlan Electric Company, The L. E. Myers Co., Sturgeon Electric Company, Inc., Great Southwestern Construction, Inc., MYR Energy Services, Inc., E.S. Boulos Company, MYR Real Estate Holdings, LLC, MYR Equipment, LLC, High Country Line Construction, Inc., GSW Integrated Services, LLC, Sturgeon Electric California, LLC, Huen Electric, Inc. and CSI Electrical Contractors, Inc. and (b) after the Effective Date, (i)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designated in writing by the Borrower to the Administrative Agent as a “Material Subsidiary” and (ii) each Subsidiary (A) which, as of the most recent fiscal quarter of the Borrower, for the period of four consecutive fiscal quarters then ended, for which financial statements have been delivered pursuant to Section 5.01(a) or 5.01(b) (or, if prior to the date of the delivery of the first financial statements to be delivered pursuant to Section 5.01(a) or 5.01(b), the most recent financial statements referred to in Section 3.04(a)), contributed greater than ten percent (10%) of the Borrower’s Consolidated EBITDA for such period or (B) which contributed greater than ten percent (10%) of the Borrower’s Consolidated Total Assets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the aggregate amount of Consolidated EBITDA or Consolidated Total Assets attributable to all Subsidiaries that are not Material Subsidiaries exceeds twenty percent (20%) of Consolidated EBITDA for any such period or twenty percent (20%) of Consolidated Total Assets as of the end of any such fiscal quarter, the Borrower (or, in the event the Borrower has failed to do so within ten (10) days, the Administrative Agent) shall designate sufficient Subsidiaries as “Material Subsidiaries” to eliminate such excess, and such designated Subsidiaries shall for all purposes of this Agreement constitute Material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no Foreign Subsidiary, Foreign Subsidiary Holdco or Permitted Joint Venture shall be designated as a Material Subsidiary.</w:t>
      </w:r>
    </w:p>
    <w:p>
      <w:pPr>
        <w:spacing w:after="0" w:line="178"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May 31, 2028 or any earlier date on which the Commitments are reduced to zero or otherwise terminated pursuant to the terms hereof in accordance with Article VII.</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has the meaning assigned to it in Section 9.18.</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Income</w:t>
      </w:r>
      <w:r>
        <w:rPr>
          <w:rFonts w:ascii="Times New Roman" w:cs="Times New Roman" w:eastAsia="Times New Roman" w:hAnsi="Times New Roman"/>
          <w:sz w:val="20"/>
          <w:szCs w:val="20"/>
          <w:color w:val="auto"/>
        </w:rPr>
        <w:t xml:space="preserve">” means, for any period, the consolidated net income (or loss) of the Borrower and its Subsidiaries,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(a) the income (or deficit) of any Person accrued prior to the date it becomes a Subsidiary of the Borrower or is merged into or consolidated with the Borrower or any of its Subsidiaries,</w:t>
      </w:r>
    </w:p>
    <w:p>
      <w:pPr>
        <w:spacing w:after="0" w:line="1" w:lineRule="exact"/>
        <w:rPr>
          <w:sz w:val="20"/>
          <w:szCs w:val="20"/>
          <w:color w:val="auto"/>
        </w:rPr>
      </w:pPr>
    </w:p>
    <w:p>
      <w:pPr>
        <w:jc w:val="both"/>
        <w:ind w:firstLine="8"/>
        <w:spacing w:after="0" w:line="249" w:lineRule="auto"/>
        <w:tabs>
          <w:tab w:leader="none" w:pos="29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9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Leverage Ratio</w:t>
      </w:r>
      <w:r>
        <w:rPr>
          <w:rFonts w:ascii="Times New Roman" w:cs="Times New Roman" w:eastAsia="Times New Roman" w:hAnsi="Times New Roman"/>
          <w:sz w:val="20"/>
          <w:szCs w:val="20"/>
          <w:color w:val="auto"/>
        </w:rPr>
        <w:t>” means, on any date, the ratio of (a) Total Net Indebtedness on such date to (b) Consolidated EBITDA for the period of four consecutive fiscal quarters ended on such date (or, if such date is not the last day of a fiscal quarter, ended on the last day of the fiscal quarter most recently ended prior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Mark-to-Market Exposure</w:t>
      </w:r>
      <w:r>
        <w:rPr>
          <w:rFonts w:ascii="Times New Roman" w:cs="Times New Roman" w:eastAsia="Times New Roman" w:hAnsi="Times New Roman"/>
          <w:sz w:val="20"/>
          <w:szCs w:val="20"/>
          <w:color w:val="auto"/>
        </w:rPr>
        <w:t>” of a Person means, as of any date of determination, the excess (if any) of all unrealized losses over all unrealized profits of such Person arising from Swap Agreements. “Unrealized losses” means the fair market value of the cost to such Person of replacing such Swap Agreements as of the date of determination (assuming the Swap Agreements were to be terminated as of that date), and “unrealized profits” means the fair market value of the gain to such Person of replacing such Swap Agreement as of the date of determination (assuming such Swap Agreement were to be terminated as of that date).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has the meaning assigned to such term in Section 9.02(e).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rates are published for any day that is a Business Day, the term “</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if any of the aforesaid rates as so determined would be less than zero, such rate shall be deemed to be zero for purposes of this Agreement.</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advances to, and debts, liabilities, obligations, covenants and duties of, the Borrower and its Subsidiaries arising under any Loan Document, or to the Lenders or any of their Affiliates under any Swap Agreement or any Banking Services Agreement,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Letter of Credit commissions,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 except any such Taxes with respect to the Administrative Agent, any Lender, any Issuing Bank or any other recipient of any payment to be made by or on account of any obligation of the Borrower hereunder imposed as a result of a present or former connection between such Administrative Agent, Lender, Issuing Bank or such other recipient and the jurisdiction imposing such Tax (other than connections arising from such Administrative Agent, Lender, Issuing Bank or such other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that are Taxes imposed with respect to an assignment (other than an assignment made pursuant to Section 2.19(b)).</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means, with respect to any Lender, any Person as to which such Lender is, directly or indirectly, a subsidiary.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9.04(c).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9.04(c).</w:t>
      </w:r>
    </w:p>
    <w:p>
      <w:pPr>
        <w:spacing w:after="0" w:line="216"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means the USA PATRIOT Act (Title III of Pub. L. 107-56 (signed into law October 26, 2001)).</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has the meaning assigned to it in Section 8.05(c).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has the meaning assigned to it in Section 8.05(c).</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“Periodic Term CORRA Determination Day” has the meaning assigned to such term in the definition of “Term CORRA”.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89"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19"/>
          <w:szCs w:val="19"/>
          <w:color w:val="auto"/>
        </w:rPr>
        <w:t>” means any acquisition (whether by purchase, merger, consolidation or otherwise but excluding in any event a Hostile Acquisition) or series of related acquisitions by the Borrower or any Subsidiary of all or substantially all the assets of, or more than fifty percent (50%) of the Equity Interests in, a Person or division or line of business of a Person if, at the time of and immediately after giving effect thereto, (a) no Default has occurred and is continuing or would arise after giving effect thereto, (b) such Person or division or line of business is engaged in the same or a similar line of business as the Borrower and the Subsidiaries or business reasonably related thereto, (c) all actions required to be taken with respect to such acquired or newly formed Subsidiary under Section 5.11 shall have been taken, (d) the Borrower and the Subsidiaries are in compliance, on a pro forma basis reasonably acceptable to the Administrative Agent after giving effect to such acquisition (without giving effect to any cost savings), with the covenants contained in Section 6.12 recomputed as of the last day of the most recently ended fiscal quarter of the Borrower for which financial statements are available, as if such acquisition (and any related incurrence or repayment of Indebtedness, with any new Indebtedness being deemed to be amortized over the applicable testing period in accordance with its terms) had occurred on the first day of each relevant period for testing such compliance and the Borrower shall have delivered to the Administrative Agent a certificate of a Financial Officer of the Borrower to such effect, together with all relevant financial information, statements and projections requested by the Administrative Agent, and (e) in the case of an acquisition or merger involving the Borrower or a Subsidiary, the Borrower or such Subsidiary is the surviving entity of such merger and/or consolidation.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left="660" w:firstLine="644"/>
        <w:spacing w:after="0" w:line="283" w:lineRule="auto"/>
        <w:tabs>
          <w:tab w:leader="none" w:pos="1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that are not more than 60 days past due or which can thereafter be paid without penalty or which are being contested in compliance with Section 5.04;</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8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and other similar Liens imposed by law or arising in the ordinary course of business and securing obligations that are not overdue by more than 60 days or are being contested in compliance with Section 5.04;</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9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and deposits arising in the ordinary course of business in compliance with workers’ compensation, unemployment insurance and other social security laws and regulations;</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and deposits in connection with Bonding Obligations;</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liens in respect of judgments that do not constitute an Event of Default under Section 7.01(k);</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1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and other governmental restrictions on use, rights of way, permits, conditions, servitudes, exceptions, covenants, restrictions and all other encumbrances on or in respect of real property or any interest therein that do not materially interfere with the ordinary conduct of business of the Borrower or any Subsidiary;</w:t>
      </w:r>
    </w:p>
    <w:p>
      <w:pPr>
        <w:spacing w:after="0" w:line="181" w:lineRule="exact"/>
        <w:rPr>
          <w:rFonts w:ascii="Times New Roman" w:cs="Times New Roman" w:eastAsia="Times New Roman" w:hAnsi="Times New Roman"/>
          <w:sz w:val="20"/>
          <w:szCs w:val="20"/>
          <w:color w:val="auto"/>
        </w:rPr>
      </w:pPr>
    </w:p>
    <w:p>
      <w:pPr>
        <w:ind w:left="660" w:firstLine="644"/>
        <w:spacing w:after="0" w:line="283" w:lineRule="auto"/>
        <w:tabs>
          <w:tab w:leader="none" w:pos="185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the obligations of the Borrower or any of its Subsidiaries under any leases, right-of-use or similar agreement (but only with respect to the property so leased or used) that do not constitute Finance Lease Obligations;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89" w:lineRule="exact"/>
        <w:rPr>
          <w:sz w:val="20"/>
          <w:szCs w:val="20"/>
          <w:color w:val="auto"/>
        </w:rPr>
      </w:pPr>
    </w:p>
    <w:p>
      <w:pPr>
        <w:jc w:val="both"/>
        <w:ind w:left="660" w:firstLine="644"/>
        <w:spacing w:after="0" w:line="258" w:lineRule="auto"/>
        <w:tabs>
          <w:tab w:leader="none" w:pos="175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Encumbrances” shall not include any Lien securing Indebtedness.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left="660" w:right="20" w:firstLine="644"/>
        <w:spacing w:after="0" w:line="269" w:lineRule="auto"/>
        <w:tabs>
          <w:tab w:leader="none" w:pos="174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0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permitted by the Borrower’s investment policy as such policy is in effect, and as disclosed to the Administrative Agent and the Lenders, prior to the Effective Date (as such policy may be amended, restated, supplemented or otherwise modified from time to time with the consent of the Required Lenders, not to be unreasonably withheld, conditioned or delayed) including, without limitation, investments in U.S. treasury bills and notes, U.S. federal agency securities, collateralized repurchase agreements, domestic certificates of deposit, banker’s acceptances, eurodollar time deposits, Canadian Dollar deposits held by a Canadian Subsidiary, domestic commercial paper, corporate notes and bonds, municipal securities and certain mutual funds, in each case, as permitted thereunder.</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Joint Venture</w:t>
      </w:r>
      <w:r>
        <w:rPr>
          <w:rFonts w:ascii="Times New Roman" w:cs="Times New Roman" w:eastAsia="Times New Roman" w:hAnsi="Times New Roman"/>
          <w:sz w:val="20"/>
          <w:szCs w:val="20"/>
          <w:color w:val="auto"/>
        </w:rPr>
        <w:t>” means any Person (i) that is formed by or consists of, or the Equity Interests of which are directly owned by, a Loan Party, on one hand, and a third party, on the other hand, and (ii) that is formed for the purpose of entering into and performing under one or more contracts, with respect to a single project or series of related projects, pursuant to which such Person agrees to deliver goods and services substantially similar to the goods and services the Borrower and its Subsidiaries agree to deliver in the ordinary course of business.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w:t>
      </w:r>
      <w:r>
        <w:rPr>
          <w:rFonts w:ascii="Times New Roman" w:cs="Times New Roman" w:eastAsia="Times New Roman" w:hAnsi="Times New Roman"/>
          <w:sz w:val="20"/>
          <w:szCs w:val="20"/>
          <w:color w:val="auto"/>
        </w:rPr>
        <w:t xml:space="preserve">” means a Receivables Facility created under the Permitted Receivables Facility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Attributable Receivables Indebtedness for all such Receivables Facilities shall not exceed an aggregate amount of $50,000,000 at any time outstanding.</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Documents</w:t>
      </w:r>
      <w:r>
        <w:rPr>
          <w:rFonts w:ascii="Times New Roman" w:cs="Times New Roman" w:eastAsia="Times New Roman" w:hAnsi="Times New Roman"/>
          <w:sz w:val="20"/>
          <w:szCs w:val="20"/>
          <w:color w:val="auto"/>
        </w:rPr>
        <w:t>” means the Receivables Facility Documents entered into in connection with any Permitted Receivables Facility, all of which documents and agreements shall be in form and substance reasonably satisfactory to the Administrative Agent (such consent not to be unreasonably withheld, conditioned or delayed), in each case as such documents and agreements may be amended, modified, supplemented, refinanced or replaced from time to time so long as (i) any such amendments, modifications, supplements, refinancings or replacements do not impose any conditions or requirements on the Borrower or any of its Subsidiaries that are more restrictive in any material respect than those in existence immediately prior to any such amendment, modification, supplement, refinancing or replacement unless otherwise consented to by the Administrative Agent, (ii) any such amendments, modifications, supplements, refinancings or replacements are not adverse in any material respect to the interests of the Lenders unless otherwise consented to by the Administrative Agent and (iii) any such amendments, modifications, supplements, refinancings or replacements are otherwise in form and substance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Intercreditor Agreement</w:t>
      </w:r>
      <w:r>
        <w:rPr>
          <w:rFonts w:ascii="Times New Roman" w:cs="Times New Roman" w:eastAsia="Times New Roman" w:hAnsi="Times New Roman"/>
          <w:sz w:val="20"/>
          <w:szCs w:val="20"/>
          <w:color w:val="auto"/>
        </w:rPr>
        <w:t>” means an Intercreditor Agreement in form and substance reasonably satisfactory to the Administrative Agent relating to (a) the release by the Administrative Agent of the Liens of the Holders of Secured Obligations on Receivables Facility Assets and (b) the pledge of Equity Interests of the Receivables Entity, among, amongst others, the Administrative Agent, and the program administrator, purchaser agents, purchasers party, lenders, or investors (or other similar party), as applicable, under the Permitted Receivables Facility.</w:t>
      </w:r>
    </w:p>
    <w:p>
      <w:pPr>
        <w:spacing w:after="0" w:line="19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4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as defined in Section 3(2) of ERISA (other than a Multiemployer Plan) subject to the provisions of Title IV of ERISA or Section 412 of the Code or Section 302 of ERISA, and in respect of which the Borrower or any ERISA Affiliate is an “employer” as defined in Section 3(5) of ERISA or may have any liability, including liability under Section 4063, 4064 or 4069 of ERISA by reason of being, having been or being deemed to be a substantial employer or a contributing sponsor within the meanings thereunder.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w:t>
      </w:r>
      <w:r>
        <w:rPr>
          <w:rFonts w:ascii="Times New Roman" w:cs="Times New Roman" w:eastAsia="Times New Roman" w:hAnsi="Times New Roman"/>
          <w:sz w:val="20"/>
          <w:szCs w:val="20"/>
          <w:color w:val="auto"/>
        </w:rPr>
        <w:t>” means 29 CFR § 2510.3-101, as modified by Section 3(42) of ERISA, as amended from time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Subsidiary</w:t>
      </w:r>
      <w:r>
        <w:rPr>
          <w:rFonts w:ascii="Times New Roman" w:cs="Times New Roman" w:eastAsia="Times New Roman" w:hAnsi="Times New Roman"/>
          <w:sz w:val="20"/>
          <w:szCs w:val="20"/>
          <w:color w:val="auto"/>
        </w:rPr>
        <w:t>” means each Domestic Subsidiary (other than any Foreign Subsidiary Holdco that is not a First Tier Foreign Subsidiary Holdco), First Tier Foreign Subsidiary and First Tier Foreign Subsidiary Holdco which is, in each case, a direct Subsidiary of the Borrower or a direct Subsidiary of a Material Subsidiary.</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Portfolio Interest Exemption</w:t>
      </w:r>
      <w:r>
        <w:rPr>
          <w:rFonts w:ascii="Times New Roman" w:cs="Times New Roman" w:eastAsia="Times New Roman" w:hAnsi="Times New Roman"/>
          <w:sz w:val="20"/>
          <w:szCs w:val="20"/>
          <w:color w:val="auto"/>
        </w:rPr>
        <w:t>” has the meaning assigned to such term in Section 2.17(e).</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means any claim, litigation, investigation, action, suit, arbitration or administrative, judicial or regulatory action or proceeding in any jurisdiction.</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60"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such term in Section 9.21.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Cash Amount</w:t>
      </w:r>
      <w:r>
        <w:rPr>
          <w:rFonts w:ascii="Times New Roman" w:cs="Times New Roman" w:eastAsia="Times New Roman" w:hAnsi="Times New Roman"/>
          <w:sz w:val="20"/>
          <w:szCs w:val="20"/>
          <w:color w:val="auto"/>
        </w:rPr>
        <w:t xml:space="preserve">” means, as of any date of determination, the aggregate amount of the Loan Parties’ aggregate cash and Permitted Investments that is (i) on deposit with one or more financial institutions in the United States of America and (ii) not encumbered by or subject to any Lien, setoff, counterclaim, recoupment, defense or other right in favor of any Person other than (x) Liens in favor of the Administrative Agent under the Loan Documents and (y) Liens of the type described in clause (h) of the definition of Permitted Encumbrances;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Qualified Cash Amount exceed $25,000,000.</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w:t>
      </w:r>
      <w:r>
        <w:rPr>
          <w:rFonts w:ascii="Times New Roman" w:cs="Times New Roman" w:eastAsia="Times New Roman" w:hAnsi="Times New Roman"/>
          <w:sz w:val="20"/>
          <w:szCs w:val="20"/>
          <w:color w:val="auto"/>
        </w:rPr>
        <w:t>” means any right to payment created by or arising from sales of goods, leases of goods or the rendition of services rendered no matter how evidenced whether or not earned by performance (whether constituting accounts, general intangibles, chattel paper or otherwise).</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Entity</w:t>
      </w:r>
      <w:r>
        <w:rPr>
          <w:rFonts w:ascii="Times New Roman" w:cs="Times New Roman" w:eastAsia="Times New Roman" w:hAnsi="Times New Roman"/>
          <w:sz w:val="20"/>
          <w:szCs w:val="20"/>
          <w:color w:val="auto"/>
        </w:rPr>
        <w:t>” means a wholly-owned Subsidiary of the Borrower which engages in no activities other than in connection with the financing of accounts receivable of the Receivables Sellers and which is designated (as provided below) as a “Receivables Entity” (a) no portion of the Indebtedness or any other obligations (contingent or otherwise) of which (i) is guaranteed by the Borrower or any other Subsidiary of the Borrower, (ii) is recourse to or obligates the Borrower or any other Subsidiary of the Borrower in any way (other than pursuant to Standard Securitization Undertakings) or (iii) subjects any property or asset of the Borrower or any other Subsidiary of the Borrower, directly or indirectly, contingently or otherwise, to the satisfaction thereof, other than pursuant to Standard Securitization Undertakings, (b) with which neither the Borrower nor any of its Subsidiaries has any contract, agreement, arrangement or understanding (other than pursuant to the Receivables Facility Documents (including with respect to fees payable in the ordinary course of business in connection with the servicing of accounts receivable and related assets)) on terms less favorable to the Borrower or such Subsidiary than those that might be obtained at the time from persons that are not Affiliates of the Borrower, and (c) to which neither the Borrower nor any other Subsidiary of the Borrower has any obligation to maintain or preserve such entity’s financial condition or cause such entity to achieve certain levels of operating results (other than pursuant to Standard Securitization Undertakings). Any such designation shall be evidenced, solely upon the request of the Administrative Agent, to the Administrative Agent by delivering to the Administrative Agent an officer’s certificate of the Borrower certifying that, to the best of such officer’s knowledge and belief after consultation with counsel, such designation complied with the foregoing conditions.</w:t>
      </w:r>
    </w:p>
    <w:p>
      <w:pPr>
        <w:spacing w:after="0" w:line="20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Facility</w:t>
      </w:r>
      <w:r>
        <w:rPr>
          <w:rFonts w:ascii="Times New Roman" w:cs="Times New Roman" w:eastAsia="Times New Roman" w:hAnsi="Times New Roman"/>
          <w:sz w:val="20"/>
          <w:szCs w:val="20"/>
          <w:color w:val="auto"/>
        </w:rPr>
        <w:t>” means a receivables facility or facilities created under any Receivables Facility Documents, providing for the sale, transfer and/or pledge by the Borrower and/or one or more other Receivables Sellers of Receivables Facility Assets (thereby providing financing to the Borrower and the Receivables Sellers) to a Receivables Entity (either directly or through another Receivables Seller), which in turn shall sell, transfer and/or pledge interests in the respective Receivables Facility Assets to third-party lenders or investors pursuant to the Receivables Facility Documents (with the Receivables Entity permitted to issue or convey purchaser interests, investor certificates, purchased interest certificates or other similar documentation evidencing interests in the Receivables Facility Assets) in return for the cash used by such Receivables Entity to acquire the Receivables Facility Assets from the Borrower and/or the respective Receivables Sellers, in each case as more fully set forth in the applicable Receivables Facility Documents.</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Facility Assets</w:t>
      </w:r>
      <w:r>
        <w:rPr>
          <w:rFonts w:ascii="Times New Roman" w:cs="Times New Roman" w:eastAsia="Times New Roman" w:hAnsi="Times New Roman"/>
          <w:sz w:val="20"/>
          <w:szCs w:val="20"/>
          <w:color w:val="auto"/>
        </w:rPr>
        <w:t>” means Receivables (whether now existing or arising in the future) of the Receivables Sellers which are transferred, sold and/or pledged to a Receivables Entity pursuant to a Receivables Facility and any related Receivables Related Assets which are also so transferred, sold and/or pledged to a Receivables Entity and all proceeds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Facility Documents</w:t>
      </w:r>
      <w:r>
        <w:rPr>
          <w:rFonts w:ascii="Times New Roman" w:cs="Times New Roman" w:eastAsia="Times New Roman" w:hAnsi="Times New Roman"/>
          <w:sz w:val="20"/>
          <w:szCs w:val="20"/>
          <w:color w:val="auto"/>
        </w:rPr>
        <w:t>” means each of the documents and agreements entered into in connection with any Receivables Facility, including all documents and agreements relating to the issuance, funding and/or purchase of certificates and purchased interests or the incurrence of loans, as applicable.</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Related Assets</w:t>
      </w:r>
      <w:r>
        <w:rPr>
          <w:rFonts w:ascii="Times New Roman" w:cs="Times New Roman" w:eastAsia="Times New Roman" w:hAnsi="Times New Roman"/>
          <w:sz w:val="20"/>
          <w:szCs w:val="20"/>
          <w:color w:val="auto"/>
        </w:rPr>
        <w:t>” means any assets that are customarily sold, transferred and/or pledged or in respect of which security interests are customarily granted in connection with asset securitization transactions involving receivables similar to Receivables and any collections or proceeds of any of the foregoing (including, without limitation, lock-boxes, deposit accounts, records in respect of Receivables and collections in respect of Receivables).</w:t>
      </w:r>
    </w:p>
    <w:p>
      <w:pPr>
        <w:spacing w:after="0" w:line="17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Sellers</w:t>
      </w:r>
      <w:r>
        <w:rPr>
          <w:rFonts w:ascii="Times New Roman" w:cs="Times New Roman" w:eastAsia="Times New Roman" w:hAnsi="Times New Roman"/>
          <w:sz w:val="20"/>
          <w:szCs w:val="20"/>
          <w:color w:val="auto"/>
        </w:rPr>
        <w:t>” means the Borrower and those Subsidiaries that are from time to time party to Receivables Facility Documents (other than any Receivables Entity).</w:t>
      </w:r>
    </w:p>
    <w:p>
      <w:pPr>
        <w:spacing w:after="0" w:line="14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following a Benchmark Transition Event and Benchmark Replacement Date with respect to the Term SOFR Rate, the RFR for such Benchmark is Daily Simple SOFR, then four RFR Business Days prior to such setting, (4) if</w:t>
      </w:r>
      <w:r>
        <w:rPr>
          <w:rFonts w:ascii="Times New Roman" w:cs="Times New Roman" w:eastAsia="Times New Roman" w:hAnsi="Times New Roman"/>
          <w:sz w:val="20"/>
          <w:szCs w:val="20"/>
          <w:u w:val="single" w:color="auto"/>
          <w:color w:val="0000FF"/>
        </w:rPr>
        <w:t>, following a Benchmark Transition Event and Benchmark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Replacement Date with respect to Term CORRA, the RFR for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such Benchmark is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CDOR Rate, 11:00 a.m</w:t>
      </w:r>
      <w:r>
        <w:rPr>
          <w:rFonts w:ascii="Times New Roman" w:cs="Times New Roman" w:eastAsia="Times New Roman" w:hAnsi="Times New Roman"/>
          <w:sz w:val="20"/>
          <w:szCs w:val="20"/>
          <w:u w:val="single" w:color="auto"/>
          <w:color w:val="0000FF"/>
        </w:rPr>
        <w:t>Daily Simple CORRA, then four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RFR Business Days prior to such setting, (5) if such Benchmark is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8000"/>
        </w:rPr>
        <w:t>the Adjusted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Term CORRA Rate, 1:00 p.m</w:t>
      </w:r>
      <w:r>
        <w:rPr>
          <w:rFonts w:ascii="Times New Roman" w:cs="Times New Roman" w:eastAsia="Times New Roman" w:hAnsi="Times New Roman"/>
          <w:sz w:val="20"/>
          <w:szCs w:val="20"/>
          <w:color w:val="000000"/>
        </w:rPr>
        <w:t>. Toronto local time on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same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that is two Business Day preceding the date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of such setting or (</w:t>
      </w:r>
      <w:r>
        <w:rPr>
          <w:rFonts w:ascii="Times New Roman" w:cs="Times New Roman" w:eastAsia="Times New Roman" w:hAnsi="Times New Roman"/>
          <w:sz w:val="20"/>
          <w:szCs w:val="20"/>
          <w:color w:val="FF0000"/>
          <w:strike w:val="1"/>
        </w:rPr>
        <w:t>5</w:t>
      </w:r>
      <w:r>
        <w:rPr>
          <w:rFonts w:ascii="Times New Roman" w:cs="Times New Roman" w:eastAsia="Times New Roman" w:hAnsi="Times New Roman"/>
          <w:sz w:val="20"/>
          <w:szCs w:val="20"/>
          <w:u w:val="single" w:color="auto"/>
          <w:color w:val="0000FF"/>
        </w:rPr>
        <w:t>6</w:t>
      </w:r>
      <w:r>
        <w:rPr>
          <w:rFonts w:ascii="Times New Roman" w:cs="Times New Roman" w:eastAsia="Times New Roman" w:hAnsi="Times New Roman"/>
          <w:sz w:val="20"/>
          <w:szCs w:val="20"/>
          <w:color w:val="000000"/>
        </w:rPr>
        <w:t>) if such Benchmark is none of the Term SOFR Rate,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EURIBOR Rate, </w:t>
      </w:r>
      <w:r>
        <w:rPr>
          <w:rFonts w:ascii="Times New Roman" w:cs="Times New Roman" w:eastAsia="Times New Roman" w:hAnsi="Times New Roman"/>
          <w:sz w:val="20"/>
          <w:szCs w:val="20"/>
          <w:color w:val="FF0000"/>
          <w:strike w:val="1"/>
        </w:rPr>
        <w:t>the CDOR Rate or</w:t>
      </w:r>
      <w:r>
        <w:rPr>
          <w:rFonts w:ascii="Times New Roman" w:cs="Times New Roman" w:eastAsia="Times New Roman" w:hAnsi="Times New Roman"/>
          <w:sz w:val="20"/>
          <w:szCs w:val="20"/>
          <w:color w:val="000000"/>
        </w:rPr>
        <w:t xml:space="preserve"> Daily Simple SOFR, </w:t>
      </w:r>
      <w:r>
        <w:rPr>
          <w:rFonts w:ascii="Times New Roman" w:cs="Times New Roman" w:eastAsia="Times New Roman" w:hAnsi="Times New Roman"/>
          <w:sz w:val="20"/>
          <w:szCs w:val="20"/>
          <w:u w:val="single" w:color="auto"/>
          <w:color w:val="0000FF"/>
        </w:rPr>
        <w:t>Daily Simple CORRA</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8000"/>
        </w:rPr>
        <w:t>or 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Adjusted Term CORRA Rate,</w:t>
      </w:r>
      <w:r>
        <w:rPr>
          <w:rFonts w:ascii="Times New Roman" w:cs="Times New Roman" w:eastAsia="Times New Roman" w:hAnsi="Times New Roman"/>
          <w:sz w:val="20"/>
          <w:szCs w:val="20"/>
          <w:color w:val="000000"/>
        </w:rPr>
        <w:t xml:space="preserve"> the time determined by the Administrative Agent in its reasonable discretion.</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assigned to such term in Section 9.04(b).</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highlight w:val="white"/>
        </w:rPr>
        <w:t>” means Regulation D of the Federal Reserve Board, as in effect from time to time and all official rulings and</w:t>
      </w:r>
      <w:r>
        <w:rPr>
          <w:rFonts w:ascii="Times New Roman" w:cs="Times New Roman" w:eastAsia="Times New Roman" w:hAnsi="Times New Roman"/>
          <w:sz w:val="20"/>
          <w:szCs w:val="20"/>
          <w:color w:val="auto"/>
        </w:rPr>
        <w:t xml:space="preserve"> interpretations thereunder or thereof.</w:t>
      </w:r>
    </w:p>
    <w:p>
      <w:pPr>
        <w:spacing w:after="0" w:line="173"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trustees, administrators, managers, advisors and representatives of such Person and such Person’s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Canadian Dollars, the Bank of Canada, or a committee officially endorsed or convened by the Bank of Canada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7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xml:space="preserve">” means (i) with respect to any Term Benchmark Borrowing denominated in Dollars,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Term SOFR Rate, (ii) with respect to any Term Benchmark Borrowing denominated in Euros,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color w:val="auto"/>
        </w:rPr>
        <w:t xml:space="preserve"> EURIBOR Rate, (iii) with respect to any Term Benchmark Borrowing denominated in Canadian Dollars, </w:t>
      </w:r>
      <w:r>
        <w:rPr>
          <w:rFonts w:ascii="Times New Roman" w:cs="Times New Roman" w:eastAsia="Times New Roman" w:hAnsi="Times New Roman"/>
          <w:sz w:val="20"/>
          <w:szCs w:val="20"/>
          <w:color w:val="FF0000"/>
          <w:strike w:val="1"/>
        </w:rPr>
        <w:t>the Adjusted 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or (iv) with respect to any RFR Borrowing denominated in Dollars </w:t>
      </w:r>
      <w:r>
        <w:rPr>
          <w:rFonts w:ascii="Times New Roman" w:cs="Times New Roman" w:eastAsia="Times New Roman" w:hAnsi="Times New Roman"/>
          <w:sz w:val="20"/>
          <w:szCs w:val="20"/>
          <w:color w:val="0000FF"/>
        </w:rPr>
        <w:t>or Canadian Dollars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color w:val="FF0000"/>
          <w:strike w:val="1"/>
        </w:rPr>
        <w:t>Adjusted</w:t>
      </w:r>
      <w:r>
        <w:rPr>
          <w:rFonts w:ascii="Times New Roman" w:cs="Times New Roman" w:eastAsia="Times New Roman" w:hAnsi="Times New Roman"/>
          <w:sz w:val="20"/>
          <w:szCs w:val="20"/>
          <w:u w:val="single" w:color="auto"/>
          <w:color w:val="0000FF"/>
        </w:rPr>
        <w:t>applicable</w:t>
      </w:r>
      <w:r>
        <w:rPr>
          <w:rFonts w:ascii="Times New Roman" w:cs="Times New Roman" w:eastAsia="Times New Roman" w:hAnsi="Times New Roman"/>
          <w:sz w:val="20"/>
          <w:szCs w:val="20"/>
          <w:color w:val="auto"/>
        </w:rPr>
        <w:t xml:space="preserve"> Daily Simple RFR, </w:t>
      </w:r>
      <w:r>
        <w:rPr>
          <w:rFonts w:ascii="Times New Roman" w:cs="Times New Roman" w:eastAsia="Times New Roman" w:hAnsi="Times New Roman"/>
          <w:sz w:val="20"/>
          <w:szCs w:val="20"/>
          <w:u w:val="single" w:color="auto"/>
          <w:color w:val="0000FF"/>
        </w:rPr>
        <w:t>in each case,</w:t>
      </w:r>
      <w:r>
        <w:rPr>
          <w:rFonts w:ascii="Times New Roman" w:cs="Times New Roman" w:eastAsia="Times New Roman" w:hAnsi="Times New Roman"/>
          <w:sz w:val="20"/>
          <w:szCs w:val="20"/>
          <w:color w:val="auto"/>
        </w:rPr>
        <w:t xml:space="preserv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-38735</wp:posOffset>
            </wp:positionV>
            <wp:extent cx="10433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6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Screen Rate</w:t>
      </w:r>
      <w:r>
        <w:rPr>
          <w:rFonts w:ascii="Times New Roman" w:cs="Times New Roman" w:eastAsia="Times New Roman" w:hAnsi="Times New Roman"/>
          <w:sz w:val="20"/>
          <w:szCs w:val="20"/>
          <w:color w:val="auto"/>
        </w:rPr>
        <w:t xml:space="preserve">” means (i) with respect to any Term Benchmark Borrowing denominated in Dollars, the Term SOFR Reference Rate, (ii) with respect to any Term Benchmark Borrowing denominated in Euros, the EURIBOR Screen Rate or (iii) with respect to any Term Benchmark Borrowing denominated in Canadian Dollars, </w:t>
      </w:r>
      <w:r>
        <w:rPr>
          <w:rFonts w:ascii="Times New Roman" w:cs="Times New Roman" w:eastAsia="Times New Roman" w:hAnsi="Times New Roman"/>
          <w:sz w:val="20"/>
          <w:szCs w:val="20"/>
          <w:color w:val="FF0000"/>
          <w:strike w:val="1"/>
        </w:rPr>
        <w:t>the CDOR Screen Rate</w:t>
      </w:r>
      <w:r>
        <w:rPr>
          <w:rFonts w:ascii="Times New Roman" w:cs="Times New Roman" w:eastAsia="Times New Roman" w:hAnsi="Times New Roman"/>
          <w:sz w:val="20"/>
          <w:szCs w:val="20"/>
          <w:u w:val="single" w:color="auto"/>
          <w:color w:val="0000FF"/>
        </w:rPr>
        <w:t>Term CORRA, as applicable</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xml:space="preserve">” means (a) at any time prior to the earlier of the Loans becoming due and payable pursuant to Section 7.01 or the Commitments terminating or expiring, Lenders having Revolving Exposures and Unfunded Commitments representing more than 50% of the sum of the total Revolving Exposures and Unfunded Commitments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solely for purposes of declaring the Loans to be due and payable pursuant to Section 7.01, the Unfunded Commitment of each Lender shall be deemed to be zero; and (b) for all purposes after the Loans become due and payable pursuant to Section 7.01 or the Commitments expire or terminate, Lenders having Credit Exposures representing more than 50% of the total Revolving Exposures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clauses (a) and (b) above, the Revolving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Commitment of such Lender shall be determined on the basis of its Revolving Exposure excluding such excess amount. Notwithstanding the foregoing, at any time there is more than one (1) Lender, at least two (2) Lenders must approve any amendment or modification requiring the consent of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as to any Person, the Certificate of Incorporation and By 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6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(i) any dividend or other distribution (whether in cash, securities or other property) with respect to any Equity Interests in the Borrower or any Subsidiary, or (ii) any payment (whether in cash, securities or other property), including any sinking fund or similar deposit, on account of the purchase, redemption, retirement, acquisition, cancellation or termination of any such Equity Interests in the Borrower or any Subsidiary or any option, warrant or other right to acquire any such Equity Interests in the Borrower or Subsidiary.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shall mean (a) with respect to any Loan denominated in any Foreign Currency, each of the following:</w:t>
      </w:r>
    </w:p>
    <w:p>
      <w:pPr>
        <w:spacing w:after="0" w:line="22" w:lineRule="exact"/>
        <w:rPr>
          <w:sz w:val="20"/>
          <w:szCs w:val="20"/>
          <w:color w:val="auto"/>
        </w:rPr>
      </w:pPr>
    </w:p>
    <w:p>
      <w:pPr>
        <w:jc w:val="both"/>
        <w:ind w:firstLine="8"/>
        <w:spacing w:after="0" w:line="249" w:lineRule="auto"/>
        <w:tabs>
          <w:tab w:leader="none" w:pos="26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 Foreign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8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Borrowing</w:t>
      </w:r>
      <w:r>
        <w:rPr>
          <w:rFonts w:ascii="Times New Roman" w:cs="Times New Roman" w:eastAsia="Times New Roman" w:hAnsi="Times New Roman"/>
          <w:sz w:val="20"/>
          <w:szCs w:val="20"/>
          <w:color w:val="auto"/>
        </w:rPr>
        <w:t>” means a Borrowing of Revolving Loans of the same Type and Agreed Currency, made, converted or continued on the same date and, in the case of Term Benchmark Loans, as to which a single Interest Period is in effect, in each case in accordance with Section 2.02.</w:t>
      </w:r>
    </w:p>
    <w:p>
      <w:pPr>
        <w:spacing w:after="0" w:line="181"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means, with respect to any Lender at any time, the sum of the outstanding principal amount of such Lender’s Revolving Loans, its LC Exposure and its Swingline Exposure at such time.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Loan made pursuant to Section 2.01(a).</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w:t>
      </w:r>
      <w:r>
        <w:rPr>
          <w:rFonts w:ascii="Times New Roman" w:cs="Times New Roman" w:eastAsia="Times New Roman" w:hAnsi="Times New Roman"/>
          <w:sz w:val="20"/>
          <w:szCs w:val="20"/>
          <w:color w:val="auto"/>
        </w:rPr>
        <w:t xml:space="preserve">” means, for any RFR Loan denominated in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xml:space="preserve"> Dollars (solely following a Benchmark Transition Event and Benchmark Replacement Date with respect to the Term SOFR Rate), Daily Simple SOFR </w:t>
      </w:r>
      <w:r>
        <w:rPr>
          <w:rFonts w:ascii="Times New Roman" w:cs="Times New Roman" w:eastAsia="Times New Roman" w:hAnsi="Times New Roman"/>
          <w:sz w:val="20"/>
          <w:szCs w:val="20"/>
          <w:color w:val="0000FF"/>
        </w:rPr>
        <w:t>and (b) Canadian Dollars (solely following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Benchmark Transition Event and Benchmark Replacement Date with respect to Term CORRA), Daily Simple CORRA</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-195580</wp:posOffset>
            </wp:positionV>
            <wp:extent cx="2406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406650" cy="8890"/>
                    </a:xfrm>
                    <a:prstGeom prst="rect">
                      <a:avLst/>
                    </a:prstGeom>
                    <a:noFill/>
                  </pic:spPr>
                </pic:pic>
              </a:graphicData>
            </a:graphic>
          </wp:anchor>
        </w:drawing>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Business Day</w:t>
      </w:r>
      <w:r>
        <w:rPr>
          <w:rFonts w:ascii="Times New Roman" w:cs="Times New Roman" w:eastAsia="Times New Roman" w:hAnsi="Times New Roman"/>
          <w:sz w:val="19"/>
          <w:szCs w:val="19"/>
          <w:color w:val="auto"/>
        </w:rPr>
        <w:t xml:space="preserve">” means, for any RFR Loan denominated in </w:t>
      </w: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color w:val="auto"/>
        </w:rPr>
        <w:t xml:space="preserve"> Dollars, a U.S. Government Securities Business Day </w:t>
      </w:r>
      <w:r>
        <w:rPr>
          <w:rFonts w:ascii="Times New Roman" w:cs="Times New Roman" w:eastAsia="Times New Roman" w:hAnsi="Times New Roman"/>
          <w:sz w:val="19"/>
          <w:szCs w:val="19"/>
          <w:color w:val="008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-3810</wp:posOffset>
            </wp:positionV>
            <wp:extent cx="220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20980" cy="8890"/>
                    </a:xfrm>
                    <a:prstGeom prst="rect">
                      <a:avLst/>
                    </a:prstGeom>
                    <a:noFill/>
                  </pic:spPr>
                </pic:pic>
              </a:graphicData>
            </a:graphic>
          </wp:anchor>
        </w:drawing>
      </w:r>
    </w:p>
    <w:p>
      <w:pPr>
        <w:spacing w:after="0" w:line="20" w:lineRule="exact"/>
        <w:rPr>
          <w:sz w:val="20"/>
          <w:szCs w:val="20"/>
          <w:color w:val="auto"/>
        </w:rPr>
      </w:pPr>
    </w:p>
    <w:p>
      <w:pPr>
        <w:ind w:firstLine="8"/>
        <w:spacing w:after="0" w:line="253" w:lineRule="auto"/>
        <w:tabs>
          <w:tab w:leader="none" w:pos="294" w:val="left"/>
        </w:tabs>
        <w:numPr>
          <w:ilvl w:val="0"/>
          <w:numId w:val="36"/>
        </w:numPr>
        <w:rPr>
          <w:rFonts w:ascii="Times New Roman" w:cs="Times New Roman" w:eastAsia="Times New Roman" w:hAnsi="Times New Roman"/>
          <w:sz w:val="20"/>
          <w:szCs w:val="20"/>
          <w:u w:val="single" w:color="auto"/>
          <w:color w:val="008000"/>
        </w:rPr>
      </w:pPr>
      <w:r>
        <w:rPr>
          <w:rFonts w:ascii="Times New Roman" w:cs="Times New Roman" w:eastAsia="Times New Roman" w:hAnsi="Times New Roman"/>
          <w:sz w:val="20"/>
          <w:szCs w:val="20"/>
          <w:u w:val="single" w:color="auto"/>
          <w:color w:val="0000FF"/>
        </w:rPr>
        <w:t>Canadian Dollars, any day except for (i) a Saturday, (ii) a Sunday or (iii) a day on which commercial banks in Toronto, Ontario are authorized or required by law to remain closed</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“RFR Interest Day” has the meaning specified in the definition of “Daily Simple RFR”.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the Adjusted Daily Simple RFR.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Ratings Services, a Standard &amp; Poor’s Financial Services LLC business.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has the meaning assigned to such term in Section 3.18(b).</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of the United States of America.</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xml:space="preserve">” means all Obligations, together with all Swap Obligations and Banking Services Obligations owing to one or more Lenders or their respective Affiliates, in each case whether now existing or hereafter arising, whether all such obligations arise or accrue before or after the commencement of any bankruptcy, insolvency or receivership proceedings, including, without limitation, interest and fees accruing pre-petition or post-petition and costs, expenses, and attorneys’ and paralegals’ fees, whenever incurred (and whether or not such claims, interest, costs, expenses or fees are allowed or allowable in any such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that certain Amended and Restated Pledge and Security Agreement (including any and all supplements thereto), dated as of the Effective Date, between the Loan Parties and the Administrative Agent, for the benefit of the Administrative Agent and the other Holders of Secured Obligations, and any other pledge or security agreement entered into, after the date of this Agreement by any other Loan Party (as required by this Agreement or any other Loan Document), or any other Person, as the same may be amended, restated or otherwise modified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Indebtedness</w:t>
      </w:r>
      <w:r>
        <w:rPr>
          <w:rFonts w:ascii="Times New Roman" w:cs="Times New Roman" w:eastAsia="Times New Roman" w:hAnsi="Times New Roman"/>
          <w:sz w:val="20"/>
          <w:szCs w:val="20"/>
          <w:color w:val="auto"/>
        </w:rPr>
        <w:t>” has the meaning assigned to it in Section 9.02(b).</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“SOFR Determination Date” has the meaning specified in the definition of “Daily Simple SOFR”.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specified in the definition of “Daily Simple SOFR”.</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Ancillary Obligations</w:t>
      </w:r>
      <w:r>
        <w:rPr>
          <w:rFonts w:ascii="Times New Roman" w:cs="Times New Roman" w:eastAsia="Times New Roman" w:hAnsi="Times New Roman"/>
          <w:sz w:val="20"/>
          <w:szCs w:val="20"/>
          <w:color w:val="auto"/>
        </w:rPr>
        <w:t>” means all obligations and liabilities (including interest and fees accruing during the pendency of any bankruptcy, insolvency, receivership or other similar proceeding, regardless of whether allowed or allowable in such proceeding) of any of the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Securitization Undertakings</w:t>
      </w:r>
      <w:r>
        <w:rPr>
          <w:rFonts w:ascii="Times New Roman" w:cs="Times New Roman" w:eastAsia="Times New Roman" w:hAnsi="Times New Roman"/>
          <w:sz w:val="20"/>
          <w:szCs w:val="20"/>
          <w:color w:val="auto"/>
        </w:rPr>
        <w:t>” means representations, warranties, covenants and indemnities entered into by the Borrower or any Subsidiary thereof in connection with the Receivables Facility which are reasonably customary in an accounts receivable financing transaction.</w:t>
      </w:r>
    </w:p>
    <w:p>
      <w:pPr>
        <w:spacing w:after="0" w:line="16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u w:val="single" w:color="auto"/>
          <w:color w:val="auto"/>
        </w:rPr>
        <w:t>tatutory Reserve Rate</w:t>
      </w:r>
      <w:r>
        <w:rPr>
          <w:rFonts w:ascii="Times New Roman" w:cs="Times New Roman" w:eastAsia="Times New Roman" w:hAnsi="Times New Roman"/>
          <w:sz w:val="20"/>
          <w:szCs w:val="20"/>
          <w:color w:val="auto"/>
        </w:rPr>
        <w:t>” means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Federal Reserve Board, the Financial Conduct Authority, the Prudential Regulation Authority, the European Central Bank or other Governmental Authority for any category of deposits or liabilities customarily used to fund loans in the applicable currency, expressed in the case of each such requirement as a decimal. Such reserve, liquid asset, fees or similar requirements shall include those imposed pursuant to Regulation D of the Federal Reserve Board. Term Benchmark Loans for which the associated Benchmark is adjusted by reference to the Statutory Reserve Rate (per the related definition of such Benchmark) shall be deemed to constitute eurocurrency funding and to be subject to such reserve, liquid asset, fee or similar requirements without benefit of or credit for proration, exemptions or offsets that may be available from time to time to any Lender under any applicable law, rule or regulation, including Regulation D of the Federal Reserve Board. The Statutory Reserve Rate shall be adjusted automatically on and as of the effective date of any change in any reserve, liquid asset or similar requirement.</w:t>
      </w:r>
    </w:p>
    <w:p>
      <w:pPr>
        <w:spacing w:after="0" w:line="17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“parent”) at any date, any other Person (other than a natural person) the accounts of which would be consolidated with those of the parent in the parent’s consolidated financial statements if such financial statements were prepared in accordance with GAAP as of such date, as well as any other Person (a) of which securities or other ownership interests representing more than 50% of the Equity Interests or more than 50% of the ordinary voting power or, in the case of a partnership, more than 50% of the general partnership interests are, as of such date, owned, Controlled or held, or (b) that is, as of such date, otherwise greater than 50% Controlled, by the parent and/or one or more subsidiaries of the parent.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subsidiary of the Borrower.</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means each Material Subsidiary that becomes a party to a Subsidiary Guaranty (including pursuant to a joinder or supplement thereto).</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Guaranty</w:t>
      </w:r>
      <w:r>
        <w:rPr>
          <w:rFonts w:ascii="Times New Roman" w:cs="Times New Roman" w:eastAsia="Times New Roman" w:hAnsi="Times New Roman"/>
          <w:sz w:val="20"/>
          <w:szCs w:val="20"/>
          <w:color w:val="auto"/>
        </w:rPr>
        <w:t>” means that certain Amended and Restated Guaranty dated as of the Effective Date (including any and all supplements thereto) and executed by each Subsidiary Guarantor, and any other guaranty agreements as are requested by the Administrative Agent and its counsel, in each case as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of the Borrower or any Subsidiary means any Indebtedness of such Person the payment of which is subordinated to payment of the Secured Obligations to the written satisfaction of, and the terms and conditions of which are otherwise satisfactory to, the Administrative Agent.</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 Documents</w:t>
      </w:r>
      <w:r>
        <w:rPr>
          <w:rFonts w:ascii="Times New Roman" w:cs="Times New Roman" w:eastAsia="Times New Roman" w:hAnsi="Times New Roman"/>
          <w:sz w:val="20"/>
          <w:szCs w:val="20"/>
          <w:color w:val="auto"/>
        </w:rPr>
        <w:t>” means any document, agreement or instrument evidencing any Subordinated Indebtedness or entered into in connection with any Subordinated Indebtedness.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such term in Section 9.21.</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any and all obligations of the Borrower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Sweep Depositary</w:t>
      </w:r>
      <w:r>
        <w:rPr>
          <w:rFonts w:ascii="Times New Roman" w:cs="Times New Roman" w:eastAsia="Times New Roman" w:hAnsi="Times New Roman"/>
          <w:sz w:val="20"/>
          <w:szCs w:val="20"/>
          <w:color w:val="auto"/>
        </w:rPr>
        <w:t>” shall have the meaning set forth in the definition of Sweep to Loan Arrangement.</w:t>
      </w:r>
    </w:p>
    <w:p>
      <w:pPr>
        <w:spacing w:after="0" w:line="22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Sweep to Loan Arrangement</w:t>
      </w:r>
      <w:r>
        <w:rPr>
          <w:rFonts w:ascii="Times New Roman" w:cs="Times New Roman" w:eastAsia="Times New Roman" w:hAnsi="Times New Roman"/>
          <w:sz w:val="20"/>
          <w:szCs w:val="20"/>
          <w:color w:val="auto"/>
        </w:rPr>
        <w:t>” means a cash management arrangement established by the Borrower with the Swingline Lender or an Affiliate of the Swingline Lender, as depositary (in such capacity, the “</w:t>
      </w:r>
      <w:r>
        <w:rPr>
          <w:rFonts w:ascii="Times New Roman" w:cs="Times New Roman" w:eastAsia="Times New Roman" w:hAnsi="Times New Roman"/>
          <w:sz w:val="20"/>
          <w:szCs w:val="20"/>
          <w:u w:val="single" w:color="auto"/>
          <w:color w:val="auto"/>
        </w:rPr>
        <w:t>Sweep Depositary</w:t>
      </w:r>
      <w:r>
        <w:rPr>
          <w:rFonts w:ascii="Times New Roman" w:cs="Times New Roman" w:eastAsia="Times New Roman" w:hAnsi="Times New Roman"/>
          <w:sz w:val="20"/>
          <w:szCs w:val="20"/>
          <w:color w:val="auto"/>
        </w:rPr>
        <w:t>”), pursuant to which the Swingline Lender is authorized (a) to make advances of Swingline Loans hereunder, the proceeds of which are deposited by the Swingline Lender into a designated account of the Borrower maintained at the Sweep Depositary, and (b) to accept as prepayments of the Swingline Loans hereunder proceeds of excess targeted balances held in such designated account at the Sweep Depositary, which cash management arrangement is subject to such agreement(s) and on such terms acceptable to the Sweep Depositary and the Swingline Lender.</w:t>
      </w:r>
    </w:p>
    <w:p>
      <w:pPr>
        <w:spacing w:after="0" w:line="19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such Lender in its capacity as a Swingline Lender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Lender that is a Swingline Lender, the aggregate principal amount of all Swingline Loans made by such Lender as a Swingline Lender outstanding at such time, less the amount of participations funded by the other Lenders in such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JPMorgan Chase Bank, N.A. (or any of its designated branch offices or affiliates), in its capacity as a lender of Swingline Loans hereunder.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means a Loan made pursuant to Section 2.05.</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w:t>
      </w:r>
      <w:r>
        <w:rPr>
          <w:rFonts w:ascii="Times New Roman" w:cs="Times New Roman" w:eastAsia="Times New Roman" w:hAnsi="Times New Roman"/>
          <w:sz w:val="20"/>
          <w:szCs w:val="20"/>
          <w:color w:val="auto"/>
        </w:rPr>
        <w:t>” means Bank of America, N.A.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22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Status Certificate</w:t>
      </w:r>
      <w:r>
        <w:rPr>
          <w:rFonts w:ascii="Times New Roman" w:cs="Times New Roman" w:eastAsia="Times New Roman" w:hAnsi="Times New Roman"/>
          <w:sz w:val="20"/>
          <w:szCs w:val="20"/>
          <w:color w:val="auto"/>
        </w:rPr>
        <w:t>” has the meaning assigned to such term in Section 2.17(e).</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and all present or future taxes, levies, imposts, duties, deductions, assessments, fees, charges or withholdings imposed by any Governmental Authority, including any interest, additions to tax or penalties applicable thereto.</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xml:space="preserve">” when used in reference to any Loan or Borrowing, refers to whether such Loan, or the Loans comprising such Borrowing, are bearing interest at a rate determined by reference to the Adjusted Term SOFR Rate, the Adjusted EURIBOR Rate or the Adjusted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Rate.</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u w:val="single" w:color="auto"/>
          <w:color w:val="008000"/>
        </w:rPr>
        <w:t>” means, with respect to any Term Benchmark Borrowing denominated in Canadian dollars</w:t>
      </w:r>
      <w:r>
        <w:rPr>
          <w:rFonts w:ascii="Times New Roman" w:cs="Times New Roman" w:eastAsia="Times New Roman" w:hAnsi="Times New Roman"/>
          <w:sz w:val="20"/>
          <w:szCs w:val="20"/>
          <w:u w:val="single" w:color="auto"/>
          <w:color w:val="0000FF"/>
        </w:rPr>
        <w:t xml:space="preserve">, the Term CORRA Reference Rate for a tenor comparable to the applicable </w:t>
      </w:r>
      <w:r>
        <w:rPr>
          <w:rFonts w:ascii="Times New Roman" w:cs="Times New Roman" w:eastAsia="Times New Roman" w:hAnsi="Times New Roman"/>
          <w:sz w:val="20"/>
          <w:szCs w:val="20"/>
          <w:u w:val="single" w:color="auto"/>
          <w:color w:val="008000"/>
        </w:rPr>
        <w:t>Interest Period</w:t>
      </w:r>
      <w:r>
        <w:rPr>
          <w:rFonts w:ascii="Times New Roman" w:cs="Times New Roman" w:eastAsia="Times New Roman" w:hAnsi="Times New Roman"/>
          <w:sz w:val="20"/>
          <w:szCs w:val="20"/>
          <w:u w:val="single" w:color="auto"/>
          <w:color w:val="0000FF"/>
        </w:rPr>
        <w:t xml:space="preserve"> on the day (such day, the “Periodic Term CORRA Determination Day”) that is two (2) Business Days prior to </w:t>
      </w:r>
      <w:r>
        <w:rPr>
          <w:rFonts w:ascii="Times New Roman" w:cs="Times New Roman" w:eastAsia="Times New Roman" w:hAnsi="Times New Roman"/>
          <w:sz w:val="20"/>
          <w:szCs w:val="20"/>
          <w:u w:val="single" w:color="auto"/>
          <w:color w:val="008000"/>
        </w:rPr>
        <w:t>the first day of such Interest Period</w:t>
      </w:r>
      <w:r>
        <w:rPr>
          <w:rFonts w:ascii="Times New Roman" w:cs="Times New Roman" w:eastAsia="Times New Roman" w:hAnsi="Times New Roman"/>
          <w:sz w:val="20"/>
          <w:szCs w:val="20"/>
          <w:u w:val="single" w:color="auto"/>
          <w:color w:val="0000FF"/>
        </w:rPr>
        <w:t xml:space="preserve">,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w:t>
      </w:r>
      <w:r>
        <w:rPr>
          <w:rFonts w:ascii="Times New Roman" w:cs="Times New Roman" w:eastAsia="Times New Roman" w:hAnsi="Times New Roman"/>
          <w:sz w:val="20"/>
          <w:szCs w:val="20"/>
          <w:u w:val="single" w:color="auto"/>
          <w:color w:val="008000"/>
        </w:rPr>
        <w:t>preceding Business Day</w:t>
      </w:r>
      <w:r>
        <w:rPr>
          <w:rFonts w:ascii="Times New Roman" w:cs="Times New Roman" w:eastAsia="Times New Roman" w:hAnsi="Times New Roman"/>
          <w:sz w:val="20"/>
          <w:szCs w:val="20"/>
          <w:u w:val="single" w:color="auto"/>
          <w:color w:val="0000FF"/>
        </w:rPr>
        <w:t xml:space="preserve"> for which such Term CORRA Reference Rate for such tenor was published by the Term CORRA Administrator so long as such first preceding Business Day is not more than five (5) Business Days prior to such Periodic Term CORRA Determination Day.</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“Term CORRA Administrator” means Candeal Benchmark Administration Services Inc., TSX Inc., or any successor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administrator.</w:t>
      </w:r>
    </w:p>
    <w:p>
      <w:pPr>
        <w:spacing w:after="0" w:line="200"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u w:val="single" w:color="auto"/>
          <w:color w:val="0000FF"/>
        </w:rPr>
        <w:t>“Term CORRA Notice” means a notification by the Administrative Agent to the Lenders and the Borrower of the occurrence of a Term CORRA Reelection Event.</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u w:val="single" w:color="auto"/>
          <w:color w:val="0000FF"/>
        </w:rPr>
        <w:t xml:space="preserve">“Term CORRA Reelection Event” means the determination by the Administrative Agent that (a) Term CORRA has been recommended for use by the Relevant Governmental Body, </w:t>
      </w:r>
      <w:r>
        <w:rPr>
          <w:rFonts w:ascii="Times New Roman" w:cs="Times New Roman" w:eastAsia="Times New Roman" w:hAnsi="Times New Roman"/>
          <w:sz w:val="20"/>
          <w:szCs w:val="20"/>
          <w:u w:val="single" w:color="auto"/>
          <w:color w:val="008000"/>
        </w:rPr>
        <w:t>(b) the</w:t>
      </w:r>
      <w:r>
        <w:rPr>
          <w:rFonts w:ascii="Times New Roman" w:cs="Times New Roman" w:eastAsia="Times New Roman" w:hAnsi="Times New Roman"/>
          <w:sz w:val="20"/>
          <w:szCs w:val="20"/>
          <w:u w:val="single" w:color="auto"/>
          <w:color w:val="0000FF"/>
        </w:rPr>
        <w:t xml:space="preserve"> administration of Term CORRA is administratively feasible for the Administrative Agent and (c) a Benchmark Transition Event, has previously occurred resulting in a Benchmark Replacement in accordance with Section 2.14(a) that is not Term CORRA.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“Term CORRA Reference Rate” means the forward-looking term rate based on CORRA.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9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Indebtedness</w:t>
      </w:r>
      <w:r>
        <w:rPr>
          <w:rFonts w:ascii="Times New Roman" w:cs="Times New Roman" w:eastAsia="Times New Roman" w:hAnsi="Times New Roman"/>
          <w:sz w:val="20"/>
          <w:szCs w:val="20"/>
          <w:color w:val="auto"/>
        </w:rPr>
        <w:t xml:space="preserve">” means, on any date, with respect to the Borrower and its Subsidiaries, Consolidated Total Indebtedness on such date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the Qualified Cash Amount on such date.</w:t>
      </w:r>
    </w:p>
    <w:p>
      <w:pPr>
        <w:spacing w:after="0" w:line="173"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6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xml:space="preserve">” when used in reference to any Loan or Borrowing, refers to whether the rate of interest on such Loan, or on the Loans comprising such Borrowing, is determined by reference to the Adjusted Term SOFR Rate, the Adjusted EURIBOR Rate, the Adjusted Daily Simple RFR, the Adjusted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Rate, the Canadian Prime Rate or the Alternate Base Rate.</w:t>
      </w:r>
    </w:p>
    <w:p>
      <w:pPr>
        <w:spacing w:after="0" w:line="16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Institutions</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Unfunded Commitment</w:t>
      </w:r>
      <w:r>
        <w:rPr>
          <w:rFonts w:ascii="Times New Roman" w:cs="Times New Roman" w:eastAsia="Times New Roman" w:hAnsi="Times New Roman"/>
          <w:sz w:val="19"/>
          <w:szCs w:val="19"/>
          <w:color w:val="auto"/>
        </w:rPr>
        <w:t>” means, with respect to each Lender, the Commitment of such Lender less its Revolving Exposure.</w:t>
      </w:r>
    </w:p>
    <w:p>
      <w:pPr>
        <w:spacing w:after="0" w:line="24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7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has the meaning assigned to such term in Section 9.21.</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1 of Subtitle E of Title IV of ERISA.</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and Borrowings may be classified and referred to by Type (e.g., a “Term Benchmark Loan” or a “Term Benchmark Borrowing”).</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Accounting Terms; GAAP; Pro Forma Calculations</w:t>
      </w:r>
      <w:r>
        <w:rPr>
          <w:rFonts w:ascii="Times New Roman" w:cs="Times New Roman" w:eastAsia="Times New Roman" w:hAnsi="Times New Roman"/>
          <w:sz w:val="19"/>
          <w:szCs w:val="19"/>
          <w:color w:val="auto"/>
        </w:rPr>
        <w:t xml:space="preserve">. (a)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72" w:lineRule="exact"/>
        <w:rPr>
          <w:sz w:val="20"/>
          <w:szCs w:val="20"/>
          <w:color w:val="auto"/>
        </w:rPr>
      </w:pPr>
    </w:p>
    <w:p>
      <w:pPr>
        <w:jc w:val="both"/>
        <w:ind w:firstLine="8"/>
        <w:spacing w:after="0" w:line="250" w:lineRule="auto"/>
        <w:tabs>
          <w:tab w:leader="none" w:pos="48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 forma computations required to be made hereunder giving effect to any acquisition or disposition, or issuance, incurrence or assumption of Indebtedness, or other transaction for which a pro forma computation is expressly required under this Agreement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81" w:lineRule="exact"/>
        <w:rPr>
          <w:sz w:val="20"/>
          <w:szCs w:val="20"/>
          <w:color w:val="auto"/>
        </w:rPr>
      </w:pPr>
    </w:p>
    <w:p>
      <w:pPr>
        <w:jc w:val="both"/>
        <w:ind w:firstLine="8"/>
        <w:spacing w:after="0" w:line="251" w:lineRule="auto"/>
        <w:tabs>
          <w:tab w:leader="none" w:pos="45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Section 1.04(a) or in the definition of “Finance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finance lease where such lease (or similar arrangement) would not have been required to be so treated under GAAP as in effect on December 31, 2015, such lease shall not be considered a finance lease, and all calculations (including with respect to assets and liabilities associated with such lease) and deliverables under this Agreement or any other Loan Document shall be made or delivered, as applicable, in accordance therewith.</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Status of Obligations</w:t>
      </w:r>
      <w:r>
        <w:rPr>
          <w:rFonts w:ascii="Times New Roman" w:cs="Times New Roman" w:eastAsia="Times New Roman" w:hAnsi="Times New Roman"/>
          <w:sz w:val="20"/>
          <w:szCs w:val="20"/>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SECTION 1.06. </w:t>
      </w:r>
      <w:r>
        <w:rPr>
          <w:rFonts w:ascii="Times New Roman" w:cs="Times New Roman" w:eastAsia="Times New Roman" w:hAnsi="Times New Roman"/>
          <w:sz w:val="19"/>
          <w:szCs w:val="19"/>
          <w:u w:val="single" w:color="auto"/>
          <w:color w:val="auto"/>
        </w:rPr>
        <w:t>Amendment and Restatement of Existing Credit Agreement</w:t>
      </w:r>
      <w:r>
        <w:rPr>
          <w:rFonts w:ascii="Times New Roman" w:cs="Times New Roman" w:eastAsia="Times New Roman" w:hAnsi="Times New Roman"/>
          <w:sz w:val="19"/>
          <w:szCs w:val="19"/>
          <w:color w:val="auto"/>
        </w:rPr>
        <w:t>. The parties to this Agreement agree that, upon (i) the execution and delivery by each of the parties hereto of this Agreement and (ii) satisfaction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 All Loans made and Obligations incurred under the Existing Credit Agreement which are outstanding on the Effective Date shall continue as Loans and Obligations under (and shall be governed by the terms of) this Agreement and the other Loan Documents.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(b) all obligations constituting “Obligations” with any Lender or any Affiliate of any Lender which are outstanding on the Effective Date shall continue as Obligations under this Agreement and the other Loan Documents, (c) the Administrative Agent shall make such reallocations, sales, assignments, conversions or other relevant actions in respect of each Lender’s credit exposure under the Existing Credit Agreement as are necessary in order that each such Lender’s Revolving Exposures and outstanding Loans hereunder reflects such Lender’s Applicable Percentage of the outstanding aggregate Revolving Exposures on the Effective Date and (d) the Borrower hereby agrees to compensate each Lender for any and all losses, costs and expenses incurred by such Lender in connection with the sale and assignment of any “Eurocurrency Loans” under the Existing Credit Agreement and such reallocation described above or conversion to Term Benchmark Loans in accordance with Section 2.08(f) hereof, in each case on the terms and in the manner set forth in Section 2.16 hereof.</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Interest Rates; Benchmark Notification</w:t>
      </w:r>
      <w:r>
        <w:rPr>
          <w:rFonts w:ascii="Times New Roman" w:cs="Times New Roman" w:eastAsia="Times New Roman" w:hAnsi="Times New Roman"/>
          <w:sz w:val="20"/>
          <w:szCs w:val="20"/>
          <w:color w:val="auto"/>
        </w:rPr>
        <w:t xml:space="preserve">. The interest rate on a Loan denominated in Dollars or a Foreign Currency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20"/>
          <w:szCs w:val="20"/>
          <w:color w:val="0000FF"/>
        </w:rPr>
        <w:t>or a Term CORRA Reelection Event</w:t>
      </w:r>
      <w:r>
        <w:rPr>
          <w:rFonts w:ascii="Times New Roman" w:cs="Times New Roman" w:eastAsia="Times New Roman" w:hAnsi="Times New Roman"/>
          <w:sz w:val="20"/>
          <w:szCs w:val="20"/>
          <w:color w:val="auto"/>
        </w:rPr>
        <w: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-1979295</wp:posOffset>
            </wp:positionV>
            <wp:extent cx="18751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xml:space="preserve">. Unless otherwise specified herein, the amount of a Letter of Credit at any time shall be deemed to be the amount of such Letter of Credit available to be drawn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SECTION 1.10. </w:t>
      </w:r>
      <w:r>
        <w:rPr>
          <w:rFonts w:ascii="Times New Roman" w:cs="Times New Roman" w:eastAsia="Times New Roman" w:hAnsi="Times New Roman"/>
          <w:sz w:val="19"/>
          <w:szCs w:val="19"/>
          <w:u w:val="single" w:color="auto"/>
          <w:color w:val="auto"/>
        </w:rPr>
        <w:t>Exchange Rates; Currency Equivalents</w:t>
      </w:r>
      <w:r>
        <w:rPr>
          <w:rFonts w:ascii="Times New Roman" w:cs="Times New Roman" w:eastAsia="Times New Roman" w:hAnsi="Times New Roman"/>
          <w:sz w:val="19"/>
          <w:szCs w:val="19"/>
          <w:color w:val="auto"/>
        </w:rPr>
        <w:t>. (a) The Administrative Agent or the Issuing Bank, as applicable, shall determine the Dollar Amount of Term Benchmark Borrowings or RFR Borrowing or Letter of Credit extensions denominated in Foreign Currencies. Such Dollar Amount shall become effective as of such Revaluation Date and shall be the Dollar Amount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Amount as so determined by the Administrative Agent or the Issuing Bank, as applicable.</w:t>
      </w:r>
    </w:p>
    <w:p>
      <w:pPr>
        <w:spacing w:after="0" w:line="178" w:lineRule="exact"/>
        <w:rPr>
          <w:sz w:val="20"/>
          <w:szCs w:val="20"/>
          <w:color w:val="auto"/>
        </w:rPr>
      </w:pPr>
    </w:p>
    <w:p>
      <w:pPr>
        <w:jc w:val="both"/>
        <w:ind w:firstLine="8"/>
        <w:spacing w:after="0" w:line="253" w:lineRule="auto"/>
        <w:tabs>
          <w:tab w:leader="none" w:pos="43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Issuing Bank, as the case may be.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Credits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Subject to the terms and conditions set forth herein, each Lender (severally and not jointly) agrees to make Revolving Loans to the Borrower in Agreed Currencies from time to time during the Availability Period in an aggregate principal amount that will not result (after giving effect to any application of proceeds of such Borrowing pursuant to Section 2.10) in (a) the Dollar Amount of such Lender’s Revolving Exposure exceeding such Lender’s Commitment, (b) subject to Section 1.10, the Dollar Amount of the total Revolving Exposures exceeding the Aggregate Commitment or (c) subject to Section 1.10, the Dollar Amount of the total outstanding Revolving Loans and LC Exposure, in each case denominated in Foreign Currencies, exceeding the Foreign Currency Sublimit. Within the foregoing limits and subject to the terms and conditions set forth herein, the Borrower may borrow, prepay and reborrow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Loans and Borrowings</w:t>
      </w:r>
      <w:r>
        <w:rPr>
          <w:rFonts w:ascii="Times New Roman" w:cs="Times New Roman" w:eastAsia="Times New Roman" w:hAnsi="Times New Roman"/>
          <w:sz w:val="20"/>
          <w:szCs w:val="20"/>
          <w:color w:val="auto"/>
        </w:rPr>
        <w:t xml:space="preserve">. (a) 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192" w:lineRule="exact"/>
        <w:rPr>
          <w:sz w:val="20"/>
          <w:szCs w:val="20"/>
          <w:color w:val="auto"/>
        </w:rPr>
      </w:pPr>
    </w:p>
    <w:p>
      <w:pPr>
        <w:jc w:val="both"/>
        <w:ind w:firstLine="8"/>
        <w:spacing w:after="0" w:line="269" w:lineRule="auto"/>
        <w:tabs>
          <w:tab w:leader="none" w:pos="445"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Section 2.14, each Revolving Borrowing shall be comprised entirely of ABR Loans, Term Benchmark Loans or RFR Loans, as applicable, in each case of the same Agreed Currency, as the Borrower may request in accordance herewith,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ABR Loan shall only be made in Dollars or Canadian Dollars. Each Swingline Loan shall be an ABR Loan or a Canadian Prime Rate Loan. Each Lender and each Issuing Bank, at its option, may make any Loan and/or issue any Letter of Credit by causing any domestic or foreign branch or Affiliate of such Lender or Issuing Bank to make such Loan or issue such Letter of Credit (and in the case of an Affiliate, the provisions of Sections 2.14, 2.15, 2.16 and 2.17 shall apply to such Affiliate to the same extent as to such Lender or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 of the Borrower to repay such Loan in accordance with the terms of this Agreement.</w:t>
      </w:r>
    </w:p>
    <w:p>
      <w:pPr>
        <w:spacing w:after="0" w:line="162" w:lineRule="exact"/>
        <w:rPr>
          <w:rFonts w:ascii="Times New Roman" w:cs="Times New Roman" w:eastAsia="Times New Roman" w:hAnsi="Times New Roman"/>
          <w:sz w:val="19"/>
          <w:szCs w:val="19"/>
          <w:color w:val="auto"/>
        </w:rPr>
      </w:pPr>
    </w:p>
    <w:p>
      <w:pPr>
        <w:jc w:val="both"/>
        <w:ind w:firstLine="8"/>
        <w:spacing w:after="0" w:line="251" w:lineRule="auto"/>
        <w:tabs>
          <w:tab w:leader="none" w:pos="46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commencement of each Interest Period for any Term Benchmark Borrowing, such Borrowing shall be in an aggregate amount that is an integral multiple of $100,000 (or, if such Borrowing is denominated in a Foreign Currency, 100,000 units of such currency) and not less than $1,000,000 (or if such Borrowing is denominated in a Foreign Currency, 1,000,000 units of such currency). At the time that each ABR Borrowing or RFR Borrowing is made, such Borrowing shall be in an aggregate amount that is an integral multiple of $50,000 (or, if such Borrowing is denominated in Canadian Dollars, 50,000 units of such currency) and not less than $500,000 (or, if such Borrowing is denominated in Canadian Dollars, 500,000 units of such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Revolving Borrowing may be in an aggregate amount that is equal to the entire unused balance of the Aggregate Commitment or that is required to finance the reimbursement of an LC Disbursement as contemplated by Section 2.06(e). Each Swingline Loan shall be in an amount that is an integral multiple of $50,000 (or, if such Swingline Loan is denominated in Canadian Dollars, 50,000 units of such currency) and not less than $100,000 (or, if such Swingline Loan is denominated in Canadian Dollars, 100,000 units of such currency). Borrowings of more than one Type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there shall not at any time be more than a total of ten (10) Term Benchmark Borrowings or RFR Borrowings outstanding.</w:t>
      </w:r>
    </w:p>
    <w:p>
      <w:pPr>
        <w:spacing w:after="0" w:line="178" w:lineRule="exact"/>
        <w:rPr>
          <w:rFonts w:ascii="Times New Roman" w:cs="Times New Roman" w:eastAsia="Times New Roman" w:hAnsi="Times New Roman"/>
          <w:sz w:val="20"/>
          <w:szCs w:val="20"/>
          <w:color w:val="auto"/>
        </w:rPr>
      </w:pPr>
    </w:p>
    <w:p>
      <w:pPr>
        <w:ind w:firstLine="8"/>
        <w:spacing w:after="0" w:line="283" w:lineRule="auto"/>
        <w:tabs>
          <w:tab w:leader="none" w:pos="44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Requests for Revolving Borrowings</w:t>
      </w:r>
      <w:r>
        <w:rPr>
          <w:rFonts w:ascii="Times New Roman" w:cs="Times New Roman" w:eastAsia="Times New Roman" w:hAnsi="Times New Roman"/>
          <w:sz w:val="20"/>
          <w:szCs w:val="20"/>
          <w:color w:val="auto"/>
        </w:rPr>
        <w:t xml:space="preserve">. To request a Revolving Borrowing, the Borrower shall notify the Administrative Agent of such request by submitting a Borrowing Request (a)(i)(x) in the case of a Term Benchmark Borrowing denominated in Dollars, not later than 2:00 p.m. Chicago time, three U.S. Government Securities Business Days (or, solely with respect to any Borrowing to be made on the Effective Date, one U.S. Government Securities Business Day) before the date of the proposed Borrowing or (y) in the case of an RFR Borrowing denominated in Dollars, not later than 11:00 a.m. New York City time, five U.S. Government Securities Business Days before the date of the proposed Borrowing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(ii) in the case of a Term Benchmark Borrowing denominated in Euros or Canadian Dollars, not later than 12:00 p.m., New York City time, three Business Days before the date of the proposed </w:t>
      </w:r>
      <w:r>
        <w:rPr>
          <w:rFonts w:ascii="Times New Roman" w:cs="Times New Roman" w:eastAsia="Times New Roman" w:hAnsi="Times New Roman"/>
          <w:sz w:val="20"/>
          <w:szCs w:val="20"/>
          <w:u w:val="single" w:color="auto"/>
          <w:color w:val="0000FF"/>
        </w:rPr>
        <w:t>Borrowing and (iii) in the case of an RFR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Borrowing denominated in Canadian dollars, not later than 12:00 p.m., New York City time, five (5) RFR Business Days before the date of the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-541655</wp:posOffset>
            </wp:positionV>
            <wp:extent cx="2209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Borrowing, or (b) in the case of an ABR Borrowing, not later than 10:00 a.m. Local Time, on the date of the proposed Borrowing (in the case of an ABR Borrowing denominated in Dollars), or not later than 10:00 a.m. Local Time, one Business Day before the date of the proposed Borrowing (in the case of an ABR Borrowing denominated in Canadian Dollars);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of an ABR Revolving Borrowing to finance the reimbursement of an LC Disbursement as contemplated by Section 2.06(e) may be given not later than 9:00 a.m., Local Time, on the date of the proposed Borrowing. Each such Borrowing Request shall be irrevocable and shall be signed by the Borrower. Each such Borrowing Request shall specify the following information in compliance with Section 2.02:</w:t>
      </w:r>
    </w:p>
    <w:p>
      <w:pPr>
        <w:spacing w:after="0" w:line="192" w:lineRule="exact"/>
        <w:rPr>
          <w:sz w:val="20"/>
          <w:szCs w:val="20"/>
          <w:color w:val="auto"/>
        </w:rPr>
      </w:pPr>
    </w:p>
    <w:p>
      <w:pPr>
        <w:ind w:left="1680" w:hanging="376"/>
        <w:spacing w:after="0"/>
        <w:tabs>
          <w:tab w:leader="none" w:pos="16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the requested Borrowing;</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29"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an ABR Borrowing, a Term Benchmark Borrowing or an RFR Borrowing;</w:t>
      </w:r>
    </w:p>
    <w:p>
      <w:pPr>
        <w:spacing w:after="0" w:line="215" w:lineRule="exact"/>
        <w:rPr>
          <w:rFonts w:ascii="Times New Roman" w:cs="Times New Roman" w:eastAsia="Times New Roman" w:hAnsi="Times New Roman"/>
          <w:sz w:val="20"/>
          <w:szCs w:val="20"/>
          <w:color w:val="auto"/>
        </w:rPr>
      </w:pPr>
    </w:p>
    <w:p>
      <w:pPr>
        <w:ind w:left="1300" w:firstLine="4"/>
        <w:spacing w:after="0" w:line="283" w:lineRule="auto"/>
        <w:tabs>
          <w:tab w:leader="none" w:pos="186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Agreed Currency and, in the case of a Term Benchmark Borrowing, the initial Interest Period to be applicable thereto, which shall be a period contemplated by the definition of the term “Interest Period”; and</w:t>
      </w:r>
    </w:p>
    <w:p>
      <w:pPr>
        <w:spacing w:after="0" w:line="159" w:lineRule="exact"/>
        <w:rPr>
          <w:rFonts w:ascii="Times New Roman" w:cs="Times New Roman" w:eastAsia="Times New Roman" w:hAnsi="Times New Roman"/>
          <w:sz w:val="20"/>
          <w:szCs w:val="20"/>
          <w:color w:val="auto"/>
        </w:rPr>
      </w:pPr>
    </w:p>
    <w:p>
      <w:pPr>
        <w:ind w:left="1300" w:firstLine="4"/>
        <w:spacing w:after="0" w:line="269" w:lineRule="auto"/>
        <w:tabs>
          <w:tab w:leader="none" w:pos="179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location and number of the Borrower’s account to which funds are to be disbursed, which shall comply with the requirements of Section 2.07.</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If no election as to the currency of a Borrowing is specified, then the requested Borrowing shall be made in Dollars. If no election as to the Type of Revolving Borrowing is specified, then, in the case of a Borrowing denominated in Dollars or Canadian Dollars, the requested Revolving Borrowing shall be an ABR Borrowing. If no Interest Period is specified with respect to any requested Term Benchmark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Notwithstanding the foregoing, in no event shall the Borrower be permitted to request pursuant to this Section 2.03, a CBR Loan or, prior to a Benchmark Transition Event and Benchmark Replacement Date with respect to </w:t>
      </w:r>
      <w:r>
        <w:rPr>
          <w:rFonts w:ascii="Times New Roman" w:cs="Times New Roman" w:eastAsia="Times New Roman" w:hAnsi="Times New Roman"/>
          <w:sz w:val="20"/>
          <w:szCs w:val="20"/>
          <w:u w:val="single" w:color="auto"/>
          <w:color w:val="0000FF"/>
        </w:rPr>
        <w:t>(x)</w:t>
      </w:r>
      <w:r>
        <w:rPr>
          <w:rFonts w:ascii="Times New Roman" w:cs="Times New Roman" w:eastAsia="Times New Roman" w:hAnsi="Times New Roman"/>
          <w:sz w:val="20"/>
          <w:szCs w:val="20"/>
          <w:color w:val="auto"/>
        </w:rPr>
        <w:t xml:space="preserve"> the Term SOFR Rate, an RFR Loan bearing interest based on Daily Simple SOFR </w:t>
      </w:r>
      <w:r>
        <w:rPr>
          <w:rFonts w:ascii="Times New Roman" w:cs="Times New Roman" w:eastAsia="Times New Roman" w:hAnsi="Times New Roman"/>
          <w:sz w:val="20"/>
          <w:szCs w:val="20"/>
          <w:u w:val="single" w:color="auto"/>
          <w:color w:val="0000FF"/>
        </w:rPr>
        <w:t>or (y) Term CORRA,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 RFR Loan bearing interest based on Daily Simple CORRA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(it being understood and agreed that a Central Bank Rate and Daily Simple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SOFR shall apply only to the extent provided in Sections 2.08(e) (solely with respect to the Central Bank Rate), 2.14(a) and 2.14(f)).</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2.04. </w:t>
      </w:r>
      <w:r>
        <w:rPr>
          <w:rFonts w:ascii="Times New Roman" w:cs="Times New Roman" w:eastAsia="Times New Roman" w:hAnsi="Times New Roman"/>
          <w:sz w:val="20"/>
          <w:szCs w:val="20"/>
          <w:u w:val="single" w:color="auto"/>
          <w:color w:val="auto"/>
        </w:rPr>
        <w:t>Expansion Options</w:t>
      </w:r>
      <w:r>
        <w:rPr>
          <w:rFonts w:ascii="Times New Roman" w:cs="Times New Roman" w:eastAsia="Times New Roman" w:hAnsi="Times New Roman"/>
          <w:sz w:val="20"/>
          <w:szCs w:val="20"/>
          <w:color w:val="auto"/>
        </w:rPr>
        <w:t>. The Borrower may from time to time elect to increase the Commitments or enter into one or more tranches of term loans (each, an “</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in each case in minimum increments of $5,000,000 so long as, after giving effect thereto, the aggregate amount of such increases and all such Incremental Term Loans does not exceed $200,000,000. The Borrower may arrange for any such increase or tranche to be provided by one or more Lenders (each Lender so agreeing to an increase in its Commitment, or to participate in such Incremental Term Loans, an “</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or by one or more new banks, financial institutions or other entities (each such new bank, financial institution or other entity, an “</w:t>
      </w:r>
      <w:r>
        <w:rPr>
          <w:rFonts w:ascii="Times New Roman" w:cs="Times New Roman" w:eastAsia="Times New Roman" w:hAnsi="Times New Roman"/>
          <w:sz w:val="20"/>
          <w:szCs w:val="20"/>
          <w:u w:val="single" w:color="auto"/>
          <w:color w:val="auto"/>
        </w:rPr>
        <w:t>Augmenting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Ineligible Institution may be an Augmenting Lender), to increase their existing Commitments, or to participate in such Incremental Term Loans, or extend Commitments,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Augmenting Lender, shall be subject to the approval of the Borrower, the Issuing Bank (to the extent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consent of the Issuing Bank would be required to effect an assignment under Section 9.04(b)) and the Administrative Agent (such approval by the Administrative Agent not to be unreasonably withheld) and (ii) (x) in the case of an Increasing Lender, the Borrower and such Increasing Lender execute an agreement substantially in the form of </w:t>
      </w:r>
      <w:r>
        <w:rPr>
          <w:rFonts w:ascii="Times New Roman" w:cs="Times New Roman" w:eastAsia="Times New Roman" w:hAnsi="Times New Roman"/>
          <w:sz w:val="19"/>
          <w:szCs w:val="19"/>
          <w:u w:val="single" w:color="auto"/>
          <w:color w:val="auto"/>
        </w:rPr>
        <w:t>Exhibit C-1</w:t>
      </w:r>
      <w:r>
        <w:rPr>
          <w:rFonts w:ascii="Times New Roman" w:cs="Times New Roman" w:eastAsia="Times New Roman" w:hAnsi="Times New Roman"/>
          <w:sz w:val="19"/>
          <w:szCs w:val="19"/>
          <w:color w:val="auto"/>
        </w:rPr>
        <w:t xml:space="preserve"> hereto, and (y) in the case of an Augmenting Lender, the Borrower and such Augmenting Lender execute an agreement substantially in the form of </w:t>
      </w:r>
      <w:r>
        <w:rPr>
          <w:rFonts w:ascii="Times New Roman" w:cs="Times New Roman" w:eastAsia="Times New Roman" w:hAnsi="Times New Roman"/>
          <w:sz w:val="19"/>
          <w:szCs w:val="19"/>
          <w:u w:val="single" w:color="auto"/>
          <w:color w:val="auto"/>
        </w:rPr>
        <w:t>Exhibit C-2</w:t>
      </w:r>
      <w:r>
        <w:rPr>
          <w:rFonts w:ascii="Times New Roman" w:cs="Times New Roman" w:eastAsia="Times New Roman" w:hAnsi="Times New Roman"/>
          <w:sz w:val="19"/>
          <w:szCs w:val="19"/>
          <w:color w:val="auto"/>
        </w:rPr>
        <w:t xml:space="preserve"> hereto. No consent of any Lender (other than the Lenders participating in the increase or any Incremental Term Loan) shall be required for any increase in Commitments or Incremental Term Loan pursuant to this Section 2.04. Increases and new Commitments and Incremental Term Loans created pursuant to this Section 2.04 shall become effective on the date agreed by the Borrower, the Administrative Agent and the relevant Increasing Lenders or Augmenting Lenders, and the Administrative Agent shall notify each Lender thereof. Notwithstanding the foregoing, no increase in the Commitments (or in the Commitment of any Lender) or tranche of Incremental Term Loans shall become effective under this paragraph unless, (i) on the proposed date of the effectiveness of such increase or Incremental Term Loans, (A) the conditions set forth in paragraphs (a) and (b) of Section 4.02 shall be satisfied or waived by the Required Lenders and the Administrative Agent shall have received a certificate to that effect dated such date and executed by a Financial Officer of the Borrower and (B) the Borrower shall be in compliance (on a pro forma basis) with the covenants contained in Section 6.12 and (ii) the Administrative Agent shall have received certificates, resolutions and opinions consistent with those delivered on the Effective Date as to the corporate power and authority of the Borrower to borrow hereunder after giving effect to such increase. On the effective date of any increase in the Commitments or any Incremental Term Loans being made,</w:t>
      </w:r>
    </w:p>
    <w:p>
      <w:pPr>
        <w:spacing w:after="0" w:line="2" w:lineRule="exact"/>
        <w:rPr>
          <w:sz w:val="20"/>
          <w:szCs w:val="20"/>
          <w:color w:val="auto"/>
        </w:rPr>
      </w:pPr>
    </w:p>
    <w:p>
      <w:pPr>
        <w:jc w:val="both"/>
        <w:ind w:firstLine="8"/>
        <w:spacing w:after="0" w:line="248" w:lineRule="auto"/>
        <w:tabs>
          <w:tab w:leader="none" w:pos="24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except in the case of any Incremental Term Loans, the Borrower shall be deemed to have repaid and reborrowed all outstanding Revolving Loans as of the date of any increase in the 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 pursuant to the provisions of Section 2.16 if the deemed payment occurs other than on the last day of the related Interest Periods. The Incremental Term Loans (a)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the Revolving Loans, (b) shall not mature earlier than the Maturity Date (but may have amortization prior to such date) and (c) shall be treated substantially the same as (and in any event no more favorably than) the Revolving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Incremental Term Loans may be made hereunder pursuant to an amendment or restatement (an “</w:t>
      </w:r>
      <w:r>
        <w:rPr>
          <w:rFonts w:ascii="Times New Roman" w:cs="Times New Roman" w:eastAsia="Times New Roman" w:hAnsi="Times New Roman"/>
          <w:sz w:val="20"/>
          <w:szCs w:val="20"/>
          <w:u w:val="single" w:color="auto"/>
          <w:color w:val="auto"/>
        </w:rPr>
        <w:t>Incremental Term Loan Amendment</w:t>
      </w:r>
      <w:r>
        <w:rPr>
          <w:rFonts w:ascii="Times New Roman" w:cs="Times New Roman" w:eastAsia="Times New Roman" w:hAnsi="Times New Roman"/>
          <w:sz w:val="20"/>
          <w:szCs w:val="20"/>
          <w:color w:val="auto"/>
        </w:rPr>
        <w:t>”) of this Agreement and, as appropriate, the other Loan Documents, executed by the Borrower,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2.04. Nothing contained in this Section 2.04 shall constitute, or otherwise be deemed to be, a commitment on the part of any Lender to increase its Commitment hereunder, or provide Incremental Term Loans, at any time. In connection with any increase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Commitments or Incremental Term Loans pursuant to this Section 2.04, any Augmenting Lender becoming a party hereto shall (1) 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xml:space="preserve">. (a) Subject to the terms and conditions set forth herein and in any Loan Sweep Agreement, from time to time during the Availability Period, the Swingline Lender may, but shall have no obligation to, make Swingline Loans in Dollars or Canadian Dollars to the Borrower in an aggregate principal amount at any time outstanding that will not result in (i) the aggregate Dollar Amount of outstanding Swingline Loans exceeding $15,000,000 or (ii) the Dollar Amount of the Swingline Lender’s Revolving Exposure exceeding its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79" w:lineRule="exact"/>
        <w:rPr>
          <w:sz w:val="20"/>
          <w:szCs w:val="20"/>
          <w:color w:val="auto"/>
        </w:rPr>
      </w:pPr>
    </w:p>
    <w:p>
      <w:pPr>
        <w:jc w:val="both"/>
        <w:ind w:firstLine="8"/>
        <w:spacing w:after="0" w:line="250" w:lineRule="auto"/>
        <w:tabs>
          <w:tab w:leader="none" w:pos="44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a Swingline Loan, the Borrower shall submit a written notice to the Administrative Agent by telecopy or electronic mail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by means of a credit to an account of the Borrower with the Administrative Agent designated for such purpose (or, in the case of a Swingline Loan made to finance the reimbursement of an LC Disbursement as provided in Section 2.06(e), by remittance to the Issuing Bank) by 3:00 p.m., New York City time, on the requested date of such Swingline Loan. In addition, any Swingline Loans made pursuant to any Loan Sweep Agreement will be made in accordance with any “draw” or “advance” procedures specified in such Loan Sweep Agreement, without the need for the Borrower to submit borrowing requests to the Swingline Lender, unless the Swingline Lender otherwise requires in its sole and absolute discretion.</w:t>
      </w:r>
    </w:p>
    <w:p>
      <w:pPr>
        <w:spacing w:after="0" w:line="196" w:lineRule="exact"/>
        <w:rPr>
          <w:rFonts w:ascii="Times New Roman" w:cs="Times New Roman" w:eastAsia="Times New Roman" w:hAnsi="Times New Roman"/>
          <w:sz w:val="20"/>
          <w:szCs w:val="20"/>
          <w:color w:val="auto"/>
        </w:rPr>
      </w:pPr>
    </w:p>
    <w:p>
      <w:pPr>
        <w:jc w:val="both"/>
        <w:ind w:firstLine="8"/>
        <w:spacing w:after="0" w:line="251" w:lineRule="auto"/>
        <w:tabs>
          <w:tab w:leader="none" w:pos="4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to pay to the Administrative Agent, for the account of the Swingline Lender, such Lender’s Applicable Percentage of 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immediately available funds, in the same manner as provided in Section 2.07 with respect to Loans made by such Lender (and Section 2.07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78" w:lineRule="exact"/>
        <w:rPr>
          <w:sz w:val="20"/>
          <w:szCs w:val="20"/>
          <w:color w:val="auto"/>
        </w:rPr>
      </w:pPr>
    </w:p>
    <w:p>
      <w:pPr>
        <w:jc w:val="both"/>
        <w:ind w:firstLine="8"/>
        <w:spacing w:after="0" w:line="250" w:lineRule="auto"/>
        <w:tabs>
          <w:tab w:leader="none" w:pos="45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96" w:lineRule="exact"/>
        <w:rPr>
          <w:rFonts w:ascii="Times New Roman" w:cs="Times New Roman" w:eastAsia="Times New Roman" w:hAnsi="Times New Roman"/>
          <w:sz w:val="20"/>
          <w:szCs w:val="20"/>
          <w:color w:val="auto"/>
        </w:rPr>
      </w:pPr>
    </w:p>
    <w:p>
      <w:pPr>
        <w:jc w:val="both"/>
        <w:ind w:firstLine="8"/>
        <w:spacing w:after="0" w:line="261" w:lineRule="auto"/>
        <w:tabs>
          <w:tab w:leader="none" w:pos="45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appointment and acceptance of a successor Swingline Lender, the Swingline Lender may resign as Swingline Lender at any time upon thirty days’ prior written notice to the Administrative Agent, the Borrower and the Lenders, in which case, the Swingline Lender shall be replaced in accordance with Section 2.05(d)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9" w:lineRule="exact"/>
        <w:rPr>
          <w:sz w:val="20"/>
          <w:szCs w:val="20"/>
          <w:color w:val="auto"/>
        </w:rPr>
      </w:pPr>
    </w:p>
    <w:p>
      <w:pPr>
        <w:jc w:val="both"/>
        <w:ind w:firstLine="8"/>
        <w:spacing w:after="0" w:line="251" w:lineRule="auto"/>
        <w:tabs>
          <w:tab w:leader="none" w:pos="3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 Sweep to Loan Arrangement is in effect, and subject to the terms and conditions thereof, Swingline Loans may be advanced and prepaid hereunder notwithstanding any notice, minimum amount, or funding and payment location requirements hereunder for any advance of Swingline Loans or for any prepayment of any Swingline Loans. The making of any such Swingline Loans shall otherwise be subject to the other terms and conditions of this Section 2.05 and this Agreement. All Swingline Loans advanced or prepaid pursuant to such Sweep to Loan Arrangement shall be ABR Loans; and, so long as a Sweep to Loan Arrangement is in effect, all Swingline Loans (whether or not advanced pursuant to the Sweep to Loan Arrangement) shall be ABR Loans. The Swingline Lender shall have the right in its sole discretion to suspend or terminate the making and/or prepayment of Swingline Loans pursuant to such Sweep to Loan Arrangement with notice to the Sweep Depositary and the Borrower (which may be provided on a same-day basis), whether or not any Default or Event of Default exists. The Swingline Lender shall not be liable to the Borrower or any other Person for any losses directly or indirectly resulting from events beyond the Swingline Lender’s reasonable control, including without limitation any interruption of communications or data processing services or legal restriction or for any special, indirect, consequential or punitive damages in connection with any Sweep to Loan Arrangement.</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SECTION 2.06. </w:t>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Subject to the terms and conditions set forth herein, each Issuing Bank agrees to issue, amend, extend and renew, at any time and from time to time during the Availability Period, at the request of the Borrower, in a form reasonably acceptable to the Administrative Agent and the applicable Issuing Bank, one or more Letters of Credit denominated in Agreed Currencies for the account of the Borrower or its Subsidiaries having an amount available for draw that will not result in the total Revolving Exposures exceeding the Aggregate Commitment. In the event of any inconsistency between the terms and conditions of this Agreement and the terms and conditions of any Letter of Credit Agreement, the terms and conditions of this Agreement shall control. Notwithstanding anything herein to the contrary, no Issuing Bank shall have any obligation hereunder to issue, and shall not issue, any Letter of Credit, the proceeds of which would be made available to any Person (i) to fund any activity or business of or with any Person that is the subject of Sanctions, or in any country or territory that, at the time of such funding, is the subject of any comprehensive Sanctions, in each case, except to the extent permitted for a Person required to comply with Sanctions, (ii) in any manner that would result in a violation of any Sanctions by any party to this Agreement, or (iii) in any manner that would result in a violation of one or more policies of such Issuing Bank applicable to letters of credit generally. In addition, no Issuing Bank shall be under any obligation to issue, amend or extend any Letter of Credit if any order, judgment or decree of any Governmental Authority or arbitrator shall by its terms purport to enjoin or restrain such Issuing Bank from issuing, amending or extending such Letter of Credit, or any law applicable to such Issuing Bank shall prohibit, or require that such Issuing Bank refrain from, the issuance, amendment or extension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w:t>
      </w:r>
    </w:p>
    <w:p>
      <w:pPr>
        <w:spacing w:after="0" w:line="200" w:lineRule="exact"/>
        <w:rPr>
          <w:sz w:val="20"/>
          <w:szCs w:val="20"/>
          <w:color w:val="auto"/>
        </w:rPr>
      </w:pPr>
    </w:p>
    <w:p>
      <w:pPr>
        <w:spacing w:after="0" w:line="225" w:lineRule="exact"/>
        <w:rPr>
          <w:sz w:val="20"/>
          <w:szCs w:val="20"/>
          <w:color w:val="auto"/>
        </w:rPr>
      </w:pPr>
    </w:p>
    <w:p>
      <w:pPr>
        <w:jc w:val="both"/>
        <w:ind w:firstLine="8"/>
        <w:spacing w:after="0" w:line="253" w:lineRule="auto"/>
        <w:tabs>
          <w:tab w:leader="none" w:pos="57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Renewal, Extension; Certain Conditions</w:t>
      </w:r>
      <w:r>
        <w:rPr>
          <w:rFonts w:ascii="Times New Roman" w:cs="Times New Roman" w:eastAsia="Times New Roman" w:hAnsi="Times New Roman"/>
          <w:sz w:val="20"/>
          <w:szCs w:val="20"/>
          <w:color w:val="auto"/>
        </w:rPr>
        <w:t>. To request the issuance of a Letter of Credit (or the amendment, renewal or extension of an outstanding Letter of Credit), the Borrower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 extension, but in any event no less than three (3) Business Days) a notice requesting the issuance of a Letter of Credit, or identifying the Letter of Credit to be amended, renewed or extended, and specifying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Issuing Bank and using such Issuing Bank’s standard form (each, a “</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subject to Section 1.10, (x) the aggregate undrawn Dollar Amount of all outstanding Letters of Credit issued by the applicable Issuing Bank at such time, plus (y) the aggregate Dollar Amount of all LC Disbursements made by such Issuing Bank that have not yet been reimbursed by or on behalf of the Borrower at such time shall not exceed its Letter of Credit Commitment (unless, subject to the next clause (ii), such Issuing Bank shall agree to issue a Letter of Credit that results in such sum exceeding its Letter of Credit Commitment, in its sole discretion), (ii) subject to Section 1.10, the aggregate undrawn Dollar Amount of all outstanding Letters of Credit issued by the Issuing Banks shall not exceed $150,000,000, (iii) no Lender’s Dollar Amount of Revolving Exposure shall exceed its Commitment, (iv) subject to Section 1.10, the Dollar Amount of the Revolving Exposure shall not exceed the Aggregate Commitment, and (v) subject to Section 1.10, the Dollar Amount of the total outstanding Revolving Loans and LC Exposure, in each case denominated in Foreign Currencies, shall not exceed the Foreign Currency Sublimit. The Borrower may, at any time and from time to time, reduce the Letter of Credit Commitment of any Issuing Bank with the consent of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reduce the Letter of Credit Commitment of any Issuing Bank if, after giving effect of such reduction, the conditions set forth in clauses (i) through (iv) above shall not be satisfied.</w:t>
      </w:r>
    </w:p>
    <w:p>
      <w:pPr>
        <w:spacing w:after="0" w:line="192" w:lineRule="exact"/>
        <w:rPr>
          <w:sz w:val="20"/>
          <w:szCs w:val="20"/>
          <w:color w:val="auto"/>
        </w:rPr>
      </w:pPr>
    </w:p>
    <w:p>
      <w:pPr>
        <w:jc w:val="both"/>
        <w:ind w:firstLine="8"/>
        <w:spacing w:after="0" w:line="271" w:lineRule="auto"/>
        <w:tabs>
          <w:tab w:leader="none" w:pos="41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Each Letter of Credit shall expire at or prior to the close of business on the earlier of (i) the date one year after the date of the issuance of such Letter of Credit (or, in the case of any renewal or extension thereof, one year after such renewal or extension) and</w:t>
      </w:r>
    </w:p>
    <w:p>
      <w:pPr>
        <w:spacing w:after="0" w:line="1" w:lineRule="exact"/>
        <w:rPr>
          <w:rFonts w:ascii="Times New Roman" w:cs="Times New Roman" w:eastAsia="Times New Roman" w:hAnsi="Times New Roman"/>
          <w:sz w:val="19"/>
          <w:szCs w:val="19"/>
          <w:color w:val="auto"/>
        </w:rPr>
      </w:pPr>
    </w:p>
    <w:p>
      <w:pPr>
        <w:jc w:val="both"/>
        <w:ind w:firstLine="8"/>
        <w:spacing w:after="0" w:line="249" w:lineRule="auto"/>
        <w:tabs>
          <w:tab w:leader="none" w:pos="30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that is five (5) Business Days prior to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Borrower’s request, any such Letter of Credit which expires in the final year prior to the Maturity Date may have a later expiry date if cash collateralized or covered by standby letter(s) of credit in compliance with Section 2.06(j) below by no later than five (5) Business Days prior to the Maturity Date (each such Letter of Credit, an “</w:t>
      </w:r>
      <w:r>
        <w:rPr>
          <w:rFonts w:ascii="Times New Roman" w:cs="Times New Roman" w:eastAsia="Times New Roman" w:hAnsi="Times New Roman"/>
          <w:sz w:val="20"/>
          <w:szCs w:val="20"/>
          <w:u w:val="single" w:color="auto"/>
          <w:color w:val="auto"/>
        </w:rPr>
        <w:t>Extended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Letter of Credit with a one-year tenor may provide for automatic or “evergreen” renewal thereof for additional 1 year periods (which shall in no event extend beyond the date referred to in clause (ii) above unless cash collateralized or covered by standby letter(s) of credit in accordance with the requirements for an Extended Letter of Credit). Notwithstanding the foregoing, any such automatic or “evergreen” Letter of Credit shall permit the applicable Issuing Bank to prevent any such one-year extension at least once in each twelve-month period (commencing with the date of issuance of such Letter of Credit) by giving prior notice to the beneficiary thereof not later than that certain date in each such twelve-month period to be agreed upon at the time such Letter of Credit is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9" w:lineRule="exact"/>
        <w:rPr>
          <w:sz w:val="20"/>
          <w:szCs w:val="20"/>
          <w:color w:val="auto"/>
        </w:rPr>
      </w:pPr>
    </w:p>
    <w:p>
      <w:pPr>
        <w:jc w:val="both"/>
        <w:ind w:firstLine="8"/>
        <w:spacing w:after="0" w:line="251" w:lineRule="auto"/>
        <w:tabs>
          <w:tab w:leader="none" w:pos="44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such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Letters of Credit and to make payments in respect of such acquired participations are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78" w:lineRule="exact"/>
        <w:rPr>
          <w:rFonts w:ascii="Times New Roman" w:cs="Times New Roman" w:eastAsia="Times New Roman" w:hAnsi="Times New Roman"/>
          <w:sz w:val="20"/>
          <w:szCs w:val="20"/>
          <w:color w:val="auto"/>
        </w:rPr>
      </w:pPr>
    </w:p>
    <w:p>
      <w:pPr>
        <w:jc w:val="both"/>
        <w:ind w:firstLine="8"/>
        <w:spacing w:after="0" w:line="248" w:lineRule="auto"/>
        <w:tabs>
          <w:tab w:leader="none" w:pos="43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If any Issuing Bank shall make any LC Disbursement in respect of a Letter of Credit issued by such Issuing Bank, the Borrower shall reimburse such LC Disbursement by paying to the Administrative Agent an amount in the currency of such LC Disbursement equal to such LC Disbursement, calculated as of the date such Issuing Bank made such LC Disbursement (or if the applicable Issuing Bank shall so elect in its sole discretion by notice to the Borrower, in such other Agreed Currency which was paid by such Issuing Bank pursuant to such LC Disbursement) not later than 11:00 a.m., Local Time, on the date that such LC Disbursement is made, if the Borrower shall have received notice of such LC Disbursement prior to 9:00 a.m., Local Time, on such date, or, if such notice has not been received by the Borrower prior to such time on such date, then not later than 11:00 a.m., Local Time, on the Business Day immediately following the day that the Borrower receives such notice, if such notice is not received prior to such time on the day of receipt;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subject to the conditions to borrowing set forth herein, request in accordance with Section 2.03 that such payment be financed with (i) to the extent such LC Disbursement was made in Dollars or Canadian Dollars, an ABR Revolving Borrowing or Term Benchmark Revolving Borrowing in Dollars or Canadian Dollars in an amount equal to such LC Disbursement or (ii) to the extent that such LC Disbursement was made in a Foreign Currency (other than Canadian Dollars), a Term Benchmark Revolving Borrowing in such Foreign Currency (other than Canadian Dollars) in an amount equal to such LC Disbursement and, in each case, to the extent so financed, the Borrower’s obligation to make such payment shall be discharged and replaced by the resulting Revolving Borrowing.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the payment obligations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payment shall be payable by no later than 12:00 noon Local Time), and the Administrative Agent shall promptly pay to such Issuing Bank the amounts so received by it from the Lenders. Promptly following receipt by the Administrative Agent of any payment from the Borrower pursuant to this paragraph, the Administrative Agent shall distribute such payment to such Issuing Bank or, to the extent that Lenders have made payments pursuant to this paragraph to reimburse such Issuing Bank, then to such Lenders and such Issuing Bank as their interests may appear. Any payment made by a Lender pursuant to this paragraph to reimburse such Issuing Bank for any LC Disbursement (other than the funding of Revolving Loans as contemplated above) shall not constitute a Loan and shall not relieve the Borrower of its obligation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reimburse such LC Disbursement. If the Borrower’s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such Issuing Bank or the relevant Lender or (y) reimburse each LC Disbursement made in such Foreign Currency in Dollars, in an amount equal to the Equivalent Amount, calculated using the applicable Exchange Rates, on the date such LC Disbursement is made, of such LC Disbursement.</w:t>
      </w:r>
    </w:p>
    <w:p>
      <w:pPr>
        <w:spacing w:after="0" w:line="192" w:lineRule="exact"/>
        <w:rPr>
          <w:sz w:val="20"/>
          <w:szCs w:val="20"/>
          <w:color w:val="auto"/>
        </w:rPr>
      </w:pPr>
    </w:p>
    <w:p>
      <w:pPr>
        <w:jc w:val="both"/>
        <w:ind w:firstLine="8"/>
        <w:spacing w:after="0" w:line="248" w:lineRule="auto"/>
        <w:tabs>
          <w:tab w:leader="none" w:pos="43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Foreign Currency to the Borrower or any Subsidiary or in the relevant currency markets generally.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such Issuing Bank from liability to the Borrower to the extent of any direct damages (as opposed to consequential, special, indirect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9" w:lineRule="exact"/>
        <w:rPr>
          <w:sz w:val="20"/>
          <w:szCs w:val="20"/>
          <w:color w:val="auto"/>
        </w:rPr>
      </w:pPr>
    </w:p>
    <w:p>
      <w:pPr>
        <w:jc w:val="both"/>
        <w:ind w:left="-8" w:firstLine="8"/>
        <w:spacing w:after="0" w:line="253" w:lineRule="auto"/>
        <w:tabs>
          <w:tab w:leader="none" w:pos="43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telecopy or electronic mail) of such demand for payment and whether such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 of its obligation to reimburse such Issuing Bank and the Lenders with respect to any such LC Disbursement.</w:t>
      </w:r>
    </w:p>
    <w:p>
      <w:pPr>
        <w:spacing w:after="0" w:line="191" w:lineRule="exact"/>
        <w:rPr>
          <w:rFonts w:ascii="Times New Roman" w:cs="Times New Roman" w:eastAsia="Times New Roman" w:hAnsi="Times New Roman"/>
          <w:sz w:val="20"/>
          <w:szCs w:val="20"/>
          <w:color w:val="auto"/>
        </w:rPr>
      </w:pPr>
    </w:p>
    <w:p>
      <w:pPr>
        <w:jc w:val="both"/>
        <w:ind w:left="-8" w:firstLine="8"/>
        <w:spacing w:after="0" w:line="250" w:lineRule="auto"/>
        <w:tabs>
          <w:tab w:leader="none" w:pos="43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in the case such LC Disbursement is denominated in a Foreign Currency (other than Canadian Dollars), at the Overnight Rate for such Foreign Currency plus the then effective Applicable Rate with respect to Term Benchmark Revolving Loans) and such interest shall be due and payable on the date when such reimbursement is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paragraph (e) of this Section, then Section 2.13(c) shall apply. Interest accrued pursuant to this paragraph shall be for the account of such Issuing Bank, except that interest accrued on and after the date of payment by any Lender pursuant to paragraph (e) of this Section to reimburse such Issuing Bank shall be for the account of such Lender to the extent of such payment.</w:t>
      </w:r>
    </w:p>
    <w:p>
      <w:pPr>
        <w:spacing w:after="0" w:line="196" w:lineRule="exact"/>
        <w:rPr>
          <w:rFonts w:ascii="Times New Roman" w:cs="Times New Roman" w:eastAsia="Times New Roman" w:hAnsi="Times New Roman"/>
          <w:sz w:val="20"/>
          <w:szCs w:val="20"/>
          <w:color w:val="auto"/>
        </w:rPr>
      </w:pPr>
    </w:p>
    <w:p>
      <w:pPr>
        <w:ind w:left="392" w:hanging="392"/>
        <w:spacing w:after="0"/>
        <w:tabs>
          <w:tab w:leader="none" w:pos="39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and Resignation of Issuing Bank</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52" w:firstLine="644"/>
        <w:spacing w:after="0" w:line="249" w:lineRule="auto"/>
        <w:tabs>
          <w:tab w:leader="none" w:pos="172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any other existing Issuing Bank, or to any previous Issuing Bank, or to such successor, any other existing Issuing Bank,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96" w:lineRule="exact"/>
        <w:rPr>
          <w:rFonts w:ascii="Times New Roman" w:cs="Times New Roman" w:eastAsia="Times New Roman" w:hAnsi="Times New Roman"/>
          <w:sz w:val="20"/>
          <w:szCs w:val="20"/>
          <w:color w:val="auto"/>
        </w:rPr>
      </w:pPr>
    </w:p>
    <w:p>
      <w:pPr>
        <w:jc w:val="both"/>
        <w:ind w:left="652" w:right="20" w:firstLine="644"/>
        <w:spacing w:after="0" w:line="261" w:lineRule="auto"/>
        <w:tabs>
          <w:tab w:leader="none" w:pos="1811"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Section 2.06(i)(i)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32"/>
          </w:cols>
          <w:pgMar w:left="328" w:top="1440" w:right="339" w:bottom="1440" w:gutter="0" w:footer="0" w:header="0"/>
        </w:sectPr>
      </w:pPr>
    </w:p>
    <w:bookmarkStart w:id="117" w:name="page118"/>
    <w:bookmarkEnd w:id="117"/>
    <w:p>
      <w:pPr>
        <w:spacing w:after="0" w:line="189" w:lineRule="exact"/>
        <w:rPr>
          <w:sz w:val="20"/>
          <w:szCs w:val="20"/>
          <w:color w:val="auto"/>
        </w:rPr>
      </w:pPr>
    </w:p>
    <w:p>
      <w:pPr>
        <w:jc w:val="both"/>
        <w:ind w:firstLine="8"/>
        <w:spacing w:after="0" w:line="251" w:lineRule="auto"/>
        <w:tabs>
          <w:tab w:leader="none" w:pos="38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Cover; Cash Collateralization</w:t>
      </w:r>
      <w:r>
        <w:rPr>
          <w:rFonts w:ascii="Times New Roman" w:cs="Times New Roman" w:eastAsia="Times New Roman" w:hAnsi="Times New Roman"/>
          <w:sz w:val="20"/>
          <w:szCs w:val="20"/>
          <w:color w:val="auto"/>
        </w:rPr>
        <w:t>. If (x) any Event of Default shall occur and be continuing, on the Business Day that the Borrower receives notice from the Administrative Agent or the Required Lenders (or, if the maturity of the Loans has been accelerated, Lenders with LC Exposure representing at least 50% of the total LC Exposure) demanding the deposit of cash collateral pursuant to this paragraph or (y) the Borrower requests the issuance of an Extended Letter of Credit, the Borrower shall either (A) cover by arranging for the issuance of one or more standby letters of credit issued by an issuer, and otherwise on terms and conditions, satisfactory to the Administrative Agent or</w:t>
      </w:r>
    </w:p>
    <w:p>
      <w:pPr>
        <w:jc w:val="both"/>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deposit in an account with the Administrative Agent, in the name of the Administrative Agent and for the benefit of the Lenders (the “</w:t>
      </w:r>
      <w:r>
        <w:rPr>
          <w:rFonts w:ascii="Times New Roman" w:cs="Times New Roman" w:eastAsia="Times New Roman" w:hAnsi="Times New Roman"/>
          <w:sz w:val="20"/>
          <w:szCs w:val="20"/>
          <w:u w:val="single" w:color="auto"/>
          <w:color w:val="auto"/>
        </w:rPr>
        <w:t>LC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Collateral Account</w:t>
      </w:r>
      <w:r>
        <w:rPr>
          <w:rFonts w:ascii="Times New Roman" w:cs="Times New Roman" w:eastAsia="Times New Roman" w:hAnsi="Times New Roman"/>
          <w:sz w:val="20"/>
          <w:szCs w:val="20"/>
          <w:color w:val="auto"/>
        </w:rPr>
        <w:t xml:space="preserve">”), an amount in cash equal to 105% of the Dollar Amount of the LC Exposure in respect of such Extended Letter of Credit (in the case of the foregoing clause (y)) or in the aggregate (in the case of the foregoing clause (x)) as of such date, plus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portions of such amount attributable to undrawn Foreign Currency Letters of Credit or LC Disbursements in a Foreign Currency that the Borrower is not late in reimbursing shall be deposited in the applicable Foreign Currencies in the actual amounts of such undrawn Letters of Credit and LC Disbursements and (ii) the obligation to provide such letter of credit cover or deposit such cover or cash collateral shall (1) be required by no later than five (5) Business Days prior to the Maturity Date in the case of an Extended Letter of Credit and (2) become effective immediately, and such cover or deposit shall become immediately due and payable, without demand or other notice of any kind, upon the occurrence of any Event of Default with respect to the Borrower described in Section 7.01(h) or 7.01(i). For the purposes of this paragraph, the Foreign Currency LC Exposure shall be calculated using the applicable Exchange Rate on the date notice demanding cash collateralization is delivered to the Borrower. Such cover and deposit shall be held by the Administrative Agent as collateral for the payment and performance of the Secured Obligations. The Administrative Agent shall have exclusive dominion and control, including the exclusive right of withdrawal, over such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any applicable Issuing Bank (ratably in the case of more than one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at least 50% of the total LC Exposure), be applied to satisfy other Secured Obligations. If the Borrower is required to provide an amount of letter of credit cover or cash collateral hereunder as a result of the occurrence of an Event of Default, such amount (to the extent not applied as aforesaid) shall be returned to the Borrower within three Business Days after all such Defaults have been cured or waived.</w:t>
      </w:r>
    </w:p>
    <w:p>
      <w:pPr>
        <w:spacing w:after="0" w:line="202" w:lineRule="exact"/>
        <w:rPr>
          <w:rFonts w:ascii="Times New Roman" w:cs="Times New Roman" w:eastAsia="Times New Roman" w:hAnsi="Times New Roman"/>
          <w:sz w:val="20"/>
          <w:szCs w:val="20"/>
          <w:color w:val="auto"/>
        </w:rPr>
      </w:pPr>
    </w:p>
    <w:p>
      <w:pPr>
        <w:jc w:val="both"/>
        <w:ind w:firstLine="8"/>
        <w:spacing w:after="0" w:line="250" w:lineRule="auto"/>
        <w:tabs>
          <w:tab w:leader="none" w:pos="4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Bank Agreements</w:t>
      </w:r>
      <w:r>
        <w:rPr>
          <w:rFonts w:ascii="Times New Roman" w:cs="Times New Roman" w:eastAsia="Times New Roman" w:hAnsi="Times New Roman"/>
          <w:sz w:val="20"/>
          <w:szCs w:val="20"/>
          <w:color w:val="auto"/>
        </w:rPr>
        <w:t>. Unless otherwise requested by the Administrative Agent, each Issuing Bank shall report in writing to the Administrative Agent (i) promptly following the end of each calendar month, the aggregate amount of Letters of Credit issued by it and outstanding at the end of such month, (ii) on or prior to each Business Day on which such Issuing Bank expects to issue, amend, renew or extend any Letter of Credit, the date of such issuance, amendment, renewal or extension, and the aggregate face amount of the Letter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payment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Letter of Credit, the date of such payment under such Letter of Credit and the amount of such payment, (iv) on any Business Day on which the Borrower fails to reimburse any payment under any Letter of Credit required to be reimbursed to such Issuing Bank on such day, the date of such failure and the amount of such payment and (v) on any other Business Day, such other information as the Administrative Agent shall reasonably request.</w:t>
      </w:r>
    </w:p>
    <w:p>
      <w:pPr>
        <w:spacing w:after="0" w:line="172" w:lineRule="exact"/>
        <w:rPr>
          <w:sz w:val="20"/>
          <w:szCs w:val="20"/>
          <w:color w:val="auto"/>
        </w:rPr>
      </w:pPr>
    </w:p>
    <w:p>
      <w:pPr>
        <w:jc w:val="both"/>
        <w:ind w:firstLine="8"/>
        <w:spacing w:after="0" w:line="258" w:lineRule="auto"/>
        <w:tabs>
          <w:tab w:leader="none" w:pos="43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and UCP</w:t>
      </w:r>
      <w:r>
        <w:rPr>
          <w:rFonts w:ascii="Times New Roman" w:cs="Times New Roman" w:eastAsia="Times New Roman" w:hAnsi="Times New Roman"/>
          <w:sz w:val="20"/>
          <w:szCs w:val="20"/>
          <w:color w:val="auto"/>
        </w:rPr>
        <w:t>. Unless otherwise expressly agreed by the applicable Issuing Bank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85" w:lineRule="exact"/>
        <w:rPr>
          <w:rFonts w:ascii="Times New Roman" w:cs="Times New Roman" w:eastAsia="Times New Roman" w:hAnsi="Times New Roman"/>
          <w:sz w:val="20"/>
          <w:szCs w:val="20"/>
          <w:color w:val="auto"/>
        </w:rPr>
      </w:pPr>
    </w:p>
    <w:p>
      <w:pPr>
        <w:jc w:val="both"/>
        <w:ind w:firstLine="8"/>
        <w:spacing w:after="0" w:line="253" w:lineRule="auto"/>
        <w:tabs>
          <w:tab w:leader="none" w:pos="53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 of Issuing Banks</w:t>
      </w:r>
      <w:r>
        <w:rPr>
          <w:rFonts w:ascii="Times New Roman" w:cs="Times New Roman" w:eastAsia="Times New Roman" w:hAnsi="Times New Roman"/>
          <w:sz w:val="20"/>
          <w:szCs w:val="20"/>
          <w:color w:val="auto"/>
        </w:rPr>
        <w:t xml:space="preserve">. The Borrower may, at any time and from time to time with the consent of the Administrative Agent and such Lender, designate one or more additional Lenders to act as an issuing bank under the terms of this Agreement. The Letter of Credit Commitment with respect to such additional Lender shall be subject to the consent of the Administrative Agent, the Borrower and such Lender. The Administrative Agent may update the </w:t>
      </w:r>
      <w:r>
        <w:rPr>
          <w:rFonts w:ascii="Times New Roman" w:cs="Times New Roman" w:eastAsia="Times New Roman" w:hAnsi="Times New Roman"/>
          <w:sz w:val="20"/>
          <w:szCs w:val="20"/>
          <w:u w:val="single" w:color="auto"/>
          <w:color w:val="auto"/>
        </w:rPr>
        <w:t>Letter of Credit Commitment Schedule</w:t>
      </w:r>
      <w:r>
        <w:rPr>
          <w:rFonts w:ascii="Times New Roman" w:cs="Times New Roman" w:eastAsia="Times New Roman" w:hAnsi="Times New Roman"/>
          <w:sz w:val="20"/>
          <w:szCs w:val="20"/>
          <w:color w:val="auto"/>
        </w:rPr>
        <w:t xml:space="preserve"> from time to time to reflect the addition of any Issuing Bank. Any Lender designated as an Issuing Bank pursuant to this paragraph (m) shall be deemed to be an “Issuing Bank” for the purposes of this Agreement (in addition to being a Lender) with respect to Letters of Credit issued by such Lender.</w:t>
      </w:r>
    </w:p>
    <w:p>
      <w:pPr>
        <w:spacing w:after="0" w:line="178" w:lineRule="exact"/>
        <w:rPr>
          <w:rFonts w:ascii="Times New Roman" w:cs="Times New Roman" w:eastAsia="Times New Roman" w:hAnsi="Times New Roman"/>
          <w:sz w:val="20"/>
          <w:szCs w:val="20"/>
          <w:color w:val="auto"/>
        </w:rPr>
      </w:pPr>
    </w:p>
    <w:p>
      <w:pPr>
        <w:jc w:val="both"/>
        <w:ind w:firstLine="8"/>
        <w:spacing w:after="0" w:line="252" w:lineRule="auto"/>
        <w:tabs>
          <w:tab w:leader="none" w:pos="46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Account of Subsidiaries</w:t>
      </w:r>
      <w:r>
        <w:rPr>
          <w:rFonts w:ascii="Times New Roman" w:cs="Times New Roman" w:eastAsia="Times New Roman" w:hAnsi="Times New Roman"/>
          <w:sz w:val="20"/>
          <w:szCs w:val="20"/>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2.07. </w:t>
      </w:r>
      <w:r>
        <w:rPr>
          <w:rFonts w:ascii="Times New Roman" w:cs="Times New Roman" w:eastAsia="Times New Roman" w:hAnsi="Times New Roman"/>
          <w:sz w:val="20"/>
          <w:szCs w:val="20"/>
          <w:u w:val="single" w:color="auto"/>
          <w:color w:val="auto"/>
        </w:rPr>
        <w:t>Funding of Borrowings</w:t>
      </w:r>
      <w:r>
        <w:rPr>
          <w:rFonts w:ascii="Times New Roman" w:cs="Times New Roman" w:eastAsia="Times New Roman" w:hAnsi="Times New Roman"/>
          <w:sz w:val="20"/>
          <w:szCs w:val="20"/>
          <w:color w:val="auto"/>
        </w:rPr>
        <w:t xml:space="preserve">. (a) Each Lender shall make each Loan to be made by it hereunder on the proposed date thereof by wire transfer of immediately available funds (i) in the case of Loans denominated in Dollars, by 11:00 a.m., Chicago time, to the account of the Administrative Agent most recently designated by it for such purpose by notice to the Lenders in an amount equal to such Lender’s Applicable Percentage, and (ii) in the case of each Loan denominated in a Foreign Currency, by 12:00 noon, Local Time, in the city of the Administrative Agent’s Foreign Payment Office for such currency and at such Foreign Payment Office for such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Swingline Loans shall be made as provided in Section 2.05. Except in respect of the provisions of this Agreement covering the reimbursement of Letters of Credit, the Administrative Agent will make such Loans available in immediately available funds to the Borrower by promptly crediting the amounts so received, in like funds, to the Funding Account;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Revolving Loans made to finance the reimbursement of an LC Disbursement as provided in Section 2.06(e) shall be remitted by the Administrative Agent to the applicable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9" w:lineRule="exact"/>
        <w:rPr>
          <w:sz w:val="20"/>
          <w:szCs w:val="20"/>
          <w:color w:val="auto"/>
        </w:rPr>
      </w:pPr>
    </w:p>
    <w:p>
      <w:pPr>
        <w:jc w:val="both"/>
        <w:ind w:firstLine="8"/>
        <w:spacing w:after="0" w:line="250" w:lineRule="auto"/>
        <w:tabs>
          <w:tab w:leader="none" w:pos="45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a Lender prior to the proposed date of any Borrowing (or, in the case of ABR Revolving Loans, no later than 11:00 a.m., Local Time, on the date of the proposed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 Nothing in this paragraph (b) shall be deemed to relieve any Lender from any obligation to fund any Loans in accordance with the terms and conditions hereunder or to prejudice any rights which the Borrower may have against any Lender as a result of any default by such Lender hereunder.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Interest Elections</w:t>
      </w:r>
      <w:r>
        <w:rPr>
          <w:rFonts w:ascii="Times New Roman" w:cs="Times New Roman" w:eastAsia="Times New Roman" w:hAnsi="Times New Roman"/>
          <w:sz w:val="20"/>
          <w:szCs w:val="20"/>
          <w:color w:val="auto"/>
        </w:rPr>
        <w:t>. (a) Each Borrowing initially shall be of the Type and Agreed Currency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79" w:lineRule="exact"/>
        <w:rPr>
          <w:sz w:val="20"/>
          <w:szCs w:val="20"/>
          <w:color w:val="auto"/>
        </w:rPr>
      </w:pPr>
    </w:p>
    <w:p>
      <w:pPr>
        <w:jc w:val="both"/>
        <w:ind w:firstLine="8"/>
        <w:spacing w:after="0" w:line="253" w:lineRule="auto"/>
        <w:tabs>
          <w:tab w:leader="none" w:pos="48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 election pursuant to this Section, the Borrower shall notify the Administrative Agent of such election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the Borrower. Notwithstanding any contrary provision herein, this Section shall not be construed to permit the Borrower to (i) change the currency of any Borrowing, (ii) elect an Interest Period for Term Benchmark Loans that does not comply with Section 2.02(d) or (iii) convert any Borrowing to a Borrowing of a Type not available under such Borrowing.</w:t>
      </w:r>
    </w:p>
    <w:p>
      <w:pPr>
        <w:spacing w:after="0" w:line="192"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Interest Election Request shall specify the following information in compliance with Section 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9" w:lineRule="exact"/>
        <w:rPr>
          <w:sz w:val="20"/>
          <w:szCs w:val="20"/>
          <w:color w:val="auto"/>
        </w:rPr>
      </w:pPr>
    </w:p>
    <w:p>
      <w:pPr>
        <w:jc w:val="both"/>
        <w:ind w:left="660" w:firstLine="644"/>
        <w:spacing w:after="0" w:line="261" w:lineRule="auto"/>
        <w:tabs>
          <w:tab w:leader="none" w:pos="170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election made pursuant to such Interest Election Request, which shall be a Business Day;</w:t>
      </w:r>
    </w:p>
    <w:p>
      <w:pPr>
        <w:spacing w:after="0" w:line="215" w:lineRule="exact"/>
        <w:rPr>
          <w:rFonts w:ascii="Times New Roman" w:cs="Times New Roman" w:eastAsia="Times New Roman" w:hAnsi="Times New Roman"/>
          <w:sz w:val="20"/>
          <w:szCs w:val="20"/>
          <w:color w:val="auto"/>
        </w:rPr>
      </w:pPr>
    </w:p>
    <w:p>
      <w:pPr>
        <w:ind w:left="1860" w:hanging="556"/>
        <w:spacing w:after="0"/>
        <w:tabs>
          <w:tab w:leader="none" w:pos="18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resulting Borrowing is to be an ABR Borrowing, a Term Benchmark Borrowing or an RFR Borrowing;</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213"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1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Agreed Currency and, if the resulting Borrowing is a Term Benchmark Borrowing, the Interest Period to be applicable thereto after giving effect to such election, which Interest Period shall be a period contemplated by the definition of the term “Interest Period”.</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If any such Interest Election Request requests a Term Benchmark Borrowing but does not specify an Interest Period, then the Borrower shall be deemed to have selected an Interest Period of one month’s duration. Notwithstanding the foregoing, in no event shall the Borrower be permitted to request pursuant to this Section 2.08(c) a CBR Loan or, prior to a Benchmark Transition Event and Benchmark Replacement Date with respect to </w:t>
      </w:r>
      <w:r>
        <w:rPr>
          <w:rFonts w:ascii="Times New Roman" w:cs="Times New Roman" w:eastAsia="Times New Roman" w:hAnsi="Times New Roman"/>
          <w:sz w:val="20"/>
          <w:szCs w:val="20"/>
          <w:u w:val="single" w:color="auto"/>
          <w:color w:val="0000FF"/>
        </w:rPr>
        <w:t>(x)</w:t>
      </w:r>
      <w:r>
        <w:rPr>
          <w:rFonts w:ascii="Times New Roman" w:cs="Times New Roman" w:eastAsia="Times New Roman" w:hAnsi="Times New Roman"/>
          <w:sz w:val="20"/>
          <w:szCs w:val="20"/>
          <w:color w:val="auto"/>
        </w:rPr>
        <w:t xml:space="preserve"> the Term SOFR Rate, an RFR Loan bearing interest based on Daily Simple SOFR </w:t>
      </w:r>
      <w:r>
        <w:rPr>
          <w:rFonts w:ascii="Times New Roman" w:cs="Times New Roman" w:eastAsia="Times New Roman" w:hAnsi="Times New Roman"/>
          <w:sz w:val="20"/>
          <w:szCs w:val="20"/>
          <w:u w:val="single" w:color="auto"/>
          <w:color w:val="0000FF"/>
        </w:rPr>
        <w:t>or (y) Term CORRA, an RFR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Loan bearing interest based on Daily Simple CORRA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(it being understood and agreed that a Central Bank Rate and Daily Simple SOFR shall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apply only to the extent provided in Sections 2.08(e) (solely with respect to the Central Bank Rate), 2.14(a) and 2.14(f)).</w:t>
      </w:r>
    </w:p>
    <w:p>
      <w:pPr>
        <w:spacing w:after="0" w:line="192" w:lineRule="exact"/>
        <w:rPr>
          <w:sz w:val="20"/>
          <w:szCs w:val="20"/>
          <w:color w:val="auto"/>
        </w:rPr>
      </w:pPr>
    </w:p>
    <w:p>
      <w:pPr>
        <w:ind w:firstLine="8"/>
        <w:spacing w:after="0" w:line="283" w:lineRule="auto"/>
        <w:tabs>
          <w:tab w:leader="none" w:pos="43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46" w:lineRule="exact"/>
        <w:rPr>
          <w:rFonts w:ascii="Times New Roman" w:cs="Times New Roman" w:eastAsia="Times New Roman" w:hAnsi="Times New Roman"/>
          <w:sz w:val="20"/>
          <w:szCs w:val="20"/>
          <w:color w:val="auto"/>
        </w:rPr>
      </w:pPr>
    </w:p>
    <w:p>
      <w:pPr>
        <w:jc w:val="both"/>
        <w:ind w:firstLine="8"/>
        <w:spacing w:after="0" w:line="250" w:lineRule="auto"/>
        <w:tabs>
          <w:tab w:leader="none" w:pos="4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fails to deliver a timely Interest Election Request with respect to a Term Benchmark Revolving Borrowing in Dollars prior to the end of the Interest Period applicable thereto, then, unless such Borrowing is repaid as provided herein, at the end of such Interest Period such Borrowing shall be deemed to have an Interest Period that is one month. If the Borrower fails to deliver a timely and complete Interest Election Request with respect to a Term Benchmark Borrowing in a Foreign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or an RFR Borrowing and (ii) unless repaid, (x) (A) each Term Benchmark Borrowing denominated in Dollars shall be converted to an ABR Borrowing at the end of the Interest Period applicable thereto and (B) each RFR Borrowing denominated in Dollars shall be converted to an ABR Borrowing on the last day of the calendar month and (y) each Term Benchmark Borrowing and each RFR Borrowing, in each case denominated in a Foreign Currency shall bear interest at the Central Bank Rate (or, in the case of Canadian Dollars, the Canadian Prime Rate) for the applicable Agreed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 error) that the Central Bank Rate (or in the case of Canadian Dollars, the Canadian Prime Rate) for the applicable Agreed Currency cannot be determined, any outstanding affected Term Benchmark Loans or RFR Loans denominated in any Agreed Currency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than Dollars shall either be (1) converted to an ABR Borrowing denominated in Dollars (in an amount equal to the Dollar Amount of such Foreign Currency) at the end of the Interest Period applicable thereto, in the case of any Term Benchmark Loans, or on the Interest Payment Date applicable thereto, in the case of any RFR Loans, or (2) prepaid at the end of the applicable Interest Period, in the case of any Term Benchmark Loans, or on the Interest Payment Date, in the case of any RFR Loans, as applicable,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election is made by the Borrower by the earlier of (A) the date that is three Business Days after receipt by the Borrower of such notice or (B) the last day of the current Interest Period for the applicable Term Benchmark Loan, the Borrower shall be deemed to have elected clause (1) above.</w:t>
      </w:r>
    </w:p>
    <w:p>
      <w:pPr>
        <w:spacing w:after="0" w:line="192" w:lineRule="exact"/>
        <w:rPr>
          <w:sz w:val="20"/>
          <w:szCs w:val="20"/>
          <w:color w:val="auto"/>
        </w:rPr>
      </w:pPr>
    </w:p>
    <w:p>
      <w:pPr>
        <w:jc w:val="both"/>
        <w:ind w:firstLine="8"/>
        <w:spacing w:after="0" w:line="254" w:lineRule="auto"/>
        <w:tabs>
          <w:tab w:leader="none" w:pos="57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any other Loan Document to the contrary, and subject to the requirements of Section 2.16 of the Existing Credit Agreement, all “Eurocurrency Loans” denominated in Dollars or Canadian Dollars and outstanding under the Existing Credit Agreement immediately preceding the Effective Date, if any, shall automatically be converted to Term Benchmark Loans with a one-month Interest Period as of the Effective Date.</w:t>
      </w:r>
    </w:p>
    <w:p>
      <w:pPr>
        <w:spacing w:after="0" w:line="187" w:lineRule="exact"/>
        <w:rPr>
          <w:rFonts w:ascii="Times New Roman" w:cs="Times New Roman" w:eastAsia="Times New Roman" w:hAnsi="Times New Roman"/>
          <w:sz w:val="20"/>
          <w:szCs w:val="20"/>
          <w:color w:val="auto"/>
        </w:rPr>
      </w:pPr>
    </w:p>
    <w:p>
      <w:pPr>
        <w:jc w:val="both"/>
        <w:ind w:firstLine="8"/>
        <w:spacing w:after="0" w:line="251" w:lineRule="auto"/>
        <w:tabs>
          <w:tab w:leader="none" w:pos="540" w:val="left"/>
        </w:tabs>
        <w:numPr>
          <w:ilvl w:val="0"/>
          <w:numId w:val="5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Notwithstanding anything in this Agreement or any other Loan Document </w:t>
      </w:r>
      <w:r>
        <w:rPr>
          <w:rFonts w:ascii="Times New Roman" w:cs="Times New Roman" w:eastAsia="Times New Roman" w:hAnsi="Times New Roman"/>
          <w:sz w:val="20"/>
          <w:szCs w:val="20"/>
          <w:u w:val="single" w:color="auto"/>
          <w:color w:val="008000"/>
        </w:rPr>
        <w:t>to the</w:t>
      </w:r>
      <w:r>
        <w:rPr>
          <w:rFonts w:ascii="Times New Roman" w:cs="Times New Roman" w:eastAsia="Times New Roman" w:hAnsi="Times New Roman"/>
          <w:sz w:val="20"/>
          <w:szCs w:val="20"/>
          <w:u w:val="single" w:color="auto"/>
          <w:color w:val="0000FF"/>
        </w:rPr>
        <w:t xml:space="preserve"> contrary, interest on all Term Benchmark Loans denominated in Canadian Dollars and bearing interest based </w:t>
      </w:r>
      <w:r>
        <w:rPr>
          <w:rFonts w:ascii="Times New Roman" w:cs="Times New Roman" w:eastAsia="Times New Roman" w:hAnsi="Times New Roman"/>
          <w:sz w:val="20"/>
          <w:szCs w:val="20"/>
          <w:u w:val="single" w:color="auto"/>
          <w:color w:val="008000"/>
        </w:rPr>
        <w:t>on the</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Adjusted CDOR Rate</w:t>
      </w:r>
      <w:r>
        <w:rPr>
          <w:rFonts w:ascii="Times New Roman" w:cs="Times New Roman" w:eastAsia="Times New Roman" w:hAnsi="Times New Roman"/>
          <w:sz w:val="20"/>
          <w:szCs w:val="20"/>
          <w:u w:val="single" w:color="auto"/>
          <w:color w:val="0000FF"/>
        </w:rPr>
        <w:t>” (</w:t>
      </w:r>
      <w:r>
        <w:rPr>
          <w:rFonts w:ascii="Times New Roman" w:cs="Times New Roman" w:eastAsia="Times New Roman" w:hAnsi="Times New Roman"/>
          <w:sz w:val="20"/>
          <w:szCs w:val="20"/>
          <w:u w:val="single" w:color="auto"/>
          <w:color w:val="008000"/>
        </w:rPr>
        <w:t>as defined in the</w:t>
      </w:r>
      <w:r>
        <w:rPr>
          <w:rFonts w:ascii="Times New Roman" w:cs="Times New Roman" w:eastAsia="Times New Roman" w:hAnsi="Times New Roman"/>
          <w:sz w:val="20"/>
          <w:szCs w:val="20"/>
          <w:u w:val="single" w:color="auto"/>
          <w:color w:val="0000FF"/>
        </w:rPr>
        <w:t xml:space="preserve"> Credit Agreement as in effect immediately prior </w:t>
      </w:r>
      <w:r>
        <w:rPr>
          <w:rFonts w:ascii="Times New Roman" w:cs="Times New Roman" w:eastAsia="Times New Roman" w:hAnsi="Times New Roman"/>
          <w:sz w:val="20"/>
          <w:szCs w:val="20"/>
          <w:u w:val="single" w:color="auto"/>
          <w:color w:val="008000"/>
        </w:rPr>
        <w:t>to the</w:t>
      </w:r>
      <w:r>
        <w:rPr>
          <w:rFonts w:ascii="Times New Roman" w:cs="Times New Roman" w:eastAsia="Times New Roman" w:hAnsi="Times New Roman"/>
          <w:sz w:val="20"/>
          <w:szCs w:val="20"/>
          <w:u w:val="single" w:color="auto"/>
          <w:color w:val="0000FF"/>
        </w:rPr>
        <w:t xml:space="preserve"> Amendment No. 1 Effective Date (the “Prior Credit Agreement”)), and outstanding immediately prior to the Amendment No 1 Effective Date, if any, shall continue to accrue and be paid based upon the “Adjusted CDOR Rate” applicable pursuant to the terms of the Prior Credit Agreement solely until the expiration of the current “Interest Period” (as defined in the Prior Credit Agreement and taking into account any grace periods or extensions of such “Interest Period” approved prior to the Amendment No. 1 Effective Date) applicable thereto (at which time such Term Benchmark Loans may be reborrowed as or converted to ABR Borrowings or Term Benchmark Borrowings in accordance with this Section 2.08).</w:t>
      </w:r>
    </w:p>
    <w:p>
      <w:pPr>
        <w:spacing w:after="0" w:line="19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Termination and Reduction of Commitments</w:t>
      </w:r>
      <w:r>
        <w:rPr>
          <w:rFonts w:ascii="Times New Roman" w:cs="Times New Roman" w:eastAsia="Times New Roman" w:hAnsi="Times New Roman"/>
          <w:sz w:val="20"/>
          <w:szCs w:val="20"/>
          <w:color w:val="auto"/>
        </w:rPr>
        <w:t>. (a) Unless previously terminated, the Commitments shall terminate on the Maturity Date.</w:t>
      </w:r>
    </w:p>
    <w:p>
      <w:pPr>
        <w:spacing w:after="0" w:line="173" w:lineRule="exact"/>
        <w:rPr>
          <w:sz w:val="20"/>
          <w:szCs w:val="20"/>
          <w:color w:val="auto"/>
        </w:rPr>
      </w:pPr>
    </w:p>
    <w:p>
      <w:pPr>
        <w:jc w:val="both"/>
        <w:ind w:firstLine="8"/>
        <w:spacing w:after="0" w:line="258" w:lineRule="auto"/>
        <w:tabs>
          <w:tab w:leader="none" w:pos="54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terminate or from time to time reduce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Commitments shall be in an amount that is an integral multiple of $100,000 and not less than $1,000,000 and (ii) the Borrower shall not terminate or reduce the Commitments if, after giving effect to any concurrent prepayment of the Loans in accordance with Section 2.11, the Dollar Amount of any Lender’s Revolving Exposure would exceed such Lender’s Commitment.</w:t>
      </w:r>
    </w:p>
    <w:p>
      <w:pPr>
        <w:spacing w:after="0" w:line="172" w:lineRule="exact"/>
        <w:rPr>
          <w:rFonts w:ascii="Times New Roman" w:cs="Times New Roman" w:eastAsia="Times New Roman" w:hAnsi="Times New Roman"/>
          <w:sz w:val="20"/>
          <w:szCs w:val="20"/>
          <w:color w:val="auto"/>
        </w:rPr>
      </w:pPr>
    </w:p>
    <w:p>
      <w:pPr>
        <w:jc w:val="both"/>
        <w:ind w:firstLine="8"/>
        <w:spacing w:after="0" w:line="251" w:lineRule="auto"/>
        <w:tabs>
          <w:tab w:leader="none" w:pos="42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Repayment of Loans; Evidence of Debt</w:t>
      </w:r>
      <w:r>
        <w:rPr>
          <w:rFonts w:ascii="Times New Roman" w:cs="Times New Roman" w:eastAsia="Times New Roman" w:hAnsi="Times New Roman"/>
          <w:sz w:val="20"/>
          <w:szCs w:val="20"/>
          <w:color w:val="auto"/>
        </w:rPr>
        <w:t xml:space="preserve">. (a) The Borrower hereby unconditionally promises to pay (i) to the Administrative Agent for the account of each Lender the then unpaid principal amount of each Revolving Loan on the Maturity Date in the currency of such Revolving Loan and (ii) to the Administrative Agent for the account of the Swingline Lender the then unpaid principal amount of each Swingline Loan on the earlier of the Maturity Date and the fifth Business Day after such Swingline Loan is made, or in the case of any Swingline Loan made pursuant to any Loan Sweep Agreement, pursuant to the Sweep to Loan Arrangement;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date that a Revolving Borrowing is made, the Borrower shall repay all Swingline Loans then outstanding and the proceeds of any such Borrowing shall be applied by the Administrative Agent to repay any Swingline Loans outstanding.</w:t>
      </w:r>
    </w:p>
    <w:p>
      <w:pPr>
        <w:spacing w:after="0" w:line="179" w:lineRule="exact"/>
        <w:rPr>
          <w:sz w:val="20"/>
          <w:szCs w:val="20"/>
          <w:color w:val="auto"/>
        </w:rPr>
      </w:pPr>
    </w:p>
    <w:p>
      <w:pPr>
        <w:jc w:val="both"/>
        <w:ind w:firstLine="8"/>
        <w:spacing w:after="0" w:line="261" w:lineRule="auto"/>
        <w:tabs>
          <w:tab w:leader="none" w:pos="43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1" w:lineRule="exact"/>
        <w:rPr>
          <w:rFonts w:ascii="Times New Roman" w:cs="Times New Roman" w:eastAsia="Times New Roman" w:hAnsi="Times New Roman"/>
          <w:sz w:val="20"/>
          <w:szCs w:val="20"/>
          <w:color w:val="auto"/>
        </w:rPr>
      </w:pPr>
    </w:p>
    <w:p>
      <w:pPr>
        <w:jc w:val="both"/>
        <w:ind w:firstLine="8"/>
        <w:spacing w:after="0" w:line="258" w:lineRule="auto"/>
        <w:tabs>
          <w:tab w:leader="none" w:pos="48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Agreed Currency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68" w:lineRule="exact"/>
        <w:rPr>
          <w:rFonts w:ascii="Times New Roman" w:cs="Times New Roman" w:eastAsia="Times New Roman" w:hAnsi="Times New Roman"/>
          <w:sz w:val="20"/>
          <w:szCs w:val="20"/>
          <w:color w:val="auto"/>
        </w:rPr>
      </w:pPr>
    </w:p>
    <w:p>
      <w:pPr>
        <w:jc w:val="both"/>
        <w:ind w:firstLine="8"/>
        <w:spacing w:after="0" w:line="260" w:lineRule="auto"/>
        <w:tabs>
          <w:tab w:leader="none" w:pos="52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paragraph (b) or (c) of this Section shall be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81" w:lineRule="exact"/>
        <w:rPr>
          <w:rFonts w:ascii="Times New Roman" w:cs="Times New Roman" w:eastAsia="Times New Roman" w:hAnsi="Times New Roman"/>
          <w:sz w:val="20"/>
          <w:szCs w:val="20"/>
          <w:color w:val="auto"/>
        </w:rPr>
      </w:pPr>
    </w:p>
    <w:p>
      <w:pPr>
        <w:jc w:val="both"/>
        <w:ind w:firstLine="8"/>
        <w:spacing w:after="0" w:line="254" w:lineRule="auto"/>
        <w:tabs>
          <w:tab w:leader="none" w:pos="44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Prepayment of Loans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8"/>
        <w:spacing w:after="0" w:line="261" w:lineRule="auto"/>
        <w:tabs>
          <w:tab w:leader="none" w:pos="43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the right at any time and from time to time to prepay any Borrowing, in whole or in part, without premium or penalty (except for break funding payments in accordance with Section 2.16), subject to prior notice in accordance with paragraph (b) of this Section.</w:t>
      </w:r>
    </w:p>
    <w:p>
      <w:pPr>
        <w:spacing w:after="0" w:line="167" w:lineRule="exact"/>
        <w:rPr>
          <w:rFonts w:ascii="Times New Roman" w:cs="Times New Roman" w:eastAsia="Times New Roman" w:hAnsi="Times New Roman"/>
          <w:sz w:val="20"/>
          <w:szCs w:val="20"/>
          <w:color w:val="auto"/>
        </w:rPr>
      </w:pPr>
    </w:p>
    <w:p>
      <w:pPr>
        <w:jc w:val="both"/>
        <w:ind w:firstLine="8"/>
        <w:spacing w:after="0" w:line="270" w:lineRule="auto"/>
        <w:tabs>
          <w:tab w:leader="none" w:pos="50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notify the Administrative Agent (and, in the case of prepayment of Swingline Loans, the Swingline Lender) by telephone (confirmed by telecopy or electronic mail) of any prepayment hereunder (i) (x) in the case of prepayment of (1) a Term Benchmark Borrowing denominated in Dollars, not later than 11:00 a.m., New York City time, three Business Days before the date of prepayment or</w:t>
      </w:r>
    </w:p>
    <w:p>
      <w:pPr>
        <w:jc w:val="both"/>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(2) an RFR Borrowing denominated in Dollars, not later than 11:00 a.m. New York City time, five Business Days before the date of prepayment,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color w:val="auto"/>
        </w:rPr>
        <w:t xml:space="preserve"> (y) in the case of prepayment of a Term Benchmark Borrowing denominated in a Foreign Currency, not later than 12:00 p.m., New York City time, three Business Days before the date of prepayment, </w:t>
      </w:r>
      <w:r>
        <w:rPr>
          <w:rFonts w:ascii="Times New Roman" w:cs="Times New Roman" w:eastAsia="Times New Roman" w:hAnsi="Times New Roman"/>
          <w:sz w:val="20"/>
          <w:szCs w:val="20"/>
          <w:u w:val="single" w:color="auto"/>
          <w:color w:val="0000FF"/>
        </w:rPr>
        <w:t>and (z) in the case of prepayment of an RFR 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Borrowing denominated in Canadian dollars, five RFR Business Days before the date of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9" w:lineRule="exact"/>
        <w:rPr>
          <w:sz w:val="20"/>
          <w:szCs w:val="20"/>
          <w:color w:val="auto"/>
        </w:rPr>
      </w:pPr>
    </w:p>
    <w:p>
      <w:pPr>
        <w:jc w:val="both"/>
        <w:ind w:firstLine="8"/>
        <w:spacing w:after="0" w:line="250" w:lineRule="auto"/>
        <w:tabs>
          <w:tab w:leader="none" w:pos="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prepayment of an ABR Revolving Borrowing, not later than 11:00 a.m. Local Time, one (1)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 Prepayments shall be accompanied by (i) accrued interest to the extent required by Section 2.13 and (ii) break funding payments pursuant to Section 2.16.</w:t>
      </w:r>
    </w:p>
    <w:p>
      <w:pPr>
        <w:spacing w:after="0" w:line="196" w:lineRule="exact"/>
        <w:rPr>
          <w:sz w:val="20"/>
          <w:szCs w:val="20"/>
          <w:color w:val="auto"/>
        </w:rPr>
      </w:pPr>
    </w:p>
    <w:p>
      <w:pPr>
        <w:jc w:val="both"/>
        <w:ind w:firstLine="8"/>
        <w:spacing w:after="0" w:line="264" w:lineRule="auto"/>
        <w:tabs>
          <w:tab w:leader="none" w:pos="423"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(i) other than as a result of fluctuations in currency exchange rates, (A) the sum of the aggregate principal Dollar Amount of all of the Revolving Exposures (calculated, with respect to those Credit Events denominated in Foreign Currencies, as of the most recent Revaluation Date with respect to each such Credit Event) exceeds the Aggregate Commitment or (B) the sum of the aggregate principal Dollar Amount of all of the outstanding Revolving Exposures denominated in Foreign Currencies (the “</w:t>
      </w:r>
      <w:r>
        <w:rPr>
          <w:rFonts w:ascii="Times New Roman" w:cs="Times New Roman" w:eastAsia="Times New Roman" w:hAnsi="Times New Roman"/>
          <w:sz w:val="19"/>
          <w:szCs w:val="19"/>
          <w:u w:val="single" w:color="auto"/>
          <w:color w:val="auto"/>
        </w:rPr>
        <w:t>Foreign Currency Exposure</w:t>
      </w:r>
      <w:r>
        <w:rPr>
          <w:rFonts w:ascii="Times New Roman" w:cs="Times New Roman" w:eastAsia="Times New Roman" w:hAnsi="Times New Roman"/>
          <w:sz w:val="19"/>
          <w:szCs w:val="19"/>
          <w:color w:val="auto"/>
        </w:rPr>
        <w:t>”) (so calculated), as of the most recent Revaluation Date with respect to each such Credit Event, exceeds the Foreign Currency Sublimit or</w:t>
      </w:r>
    </w:p>
    <w:p>
      <w:pPr>
        <w:spacing w:after="0" w:line="1" w:lineRule="exact"/>
        <w:rPr>
          <w:rFonts w:ascii="Times New Roman" w:cs="Times New Roman" w:eastAsia="Times New Roman" w:hAnsi="Times New Roman"/>
          <w:sz w:val="19"/>
          <w:szCs w:val="19"/>
          <w:color w:val="auto"/>
        </w:rPr>
      </w:pPr>
    </w:p>
    <w:p>
      <w:pPr>
        <w:jc w:val="both"/>
        <w:ind w:firstLine="8"/>
        <w:spacing w:after="0" w:line="248" w:lineRule="auto"/>
        <w:tabs>
          <w:tab w:leader="none" w:pos="2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as a result of fluctuations in currency exchange rates, (A) the sum of the aggregate principal Dollar Amount of all of the Revolving Exposures (so calculated) exceeds 105% of the Aggregate Commitment or (B) the Foreign Currency Exposure, as of the most recent Revaluation Date with respect to each such Credit Event, exceeds 105% of the Foreign Currency Sublimit, the Borrower shall in each case immediately repay Borrowings or cash collateralize LC Exposure in an account with the Administrative Agent pursuant to Section 2.06(j), as applicable, in an aggregate principal amount sufficient to cause (x) the aggregate Dollar Amount of all Revolving Exposures (so calculated) to be less than or equal to the Aggregate Commitment and (y) the Foreign Currency Exposure to be less than or equal to the Foreign Currency Sublimit, as applicable.</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SECTION 2.12. </w:t>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(a) The Borrower agrees to pay to the Administrative Agent for the account of each Lender a commitment fee, which shall accrue at the Applicable Rate on the average daily amount of the Available Revolving Commitment of such Lender during the period from and including the Effective Date to but excluding the date on which such Commitment terminates. Accrued commitment fees shall be payable on the fifteenth day following the last day of March, June, September and December of each year and on the date on which the Commitments terminate, commencing on the first such date to occur after the Effective Date. All commitment fees shall be computed on the basis of a year of 360 days and shall be payable for the actual number of days elapsed (including the first day but excluding the last day).</w:t>
      </w:r>
    </w:p>
    <w:p>
      <w:pPr>
        <w:spacing w:after="0" w:line="178" w:lineRule="exact"/>
        <w:rPr>
          <w:sz w:val="20"/>
          <w:szCs w:val="20"/>
          <w:color w:val="auto"/>
        </w:rPr>
      </w:pPr>
    </w:p>
    <w:p>
      <w:pPr>
        <w:jc w:val="both"/>
        <w:ind w:firstLine="8"/>
        <w:spacing w:after="0" w:line="251" w:lineRule="auto"/>
        <w:tabs>
          <w:tab w:leader="none" w:pos="53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(i) to the Administrative Agent for the account of each Lender a participation fee with respect to its participations in Letters of Credit, which shall accrue at the Applicable Rate for performance Letters of Credit or non-performance Letters of Credit, as applicable,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each Issuing Bank for its own account a fronting fee, which shall accrue at the rate of 0.125% per annum on the average daily Dollar Amount of the LC Exposure (excluding any portion thereof attributable to unreimbursed LC Disbursements)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fifteenth day following such last day, commencing on the first such date to occur after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96" w:lineRule="exact"/>
        <w:rPr>
          <w:sz w:val="20"/>
          <w:szCs w:val="20"/>
          <w:color w:val="auto"/>
        </w:rPr>
      </w:pPr>
    </w:p>
    <w:p>
      <w:pPr>
        <w:ind w:firstLine="8"/>
        <w:spacing w:after="0" w:line="283" w:lineRule="auto"/>
        <w:tabs>
          <w:tab w:leader="none" w:pos="45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for its own account, fees payable in the amounts and at the times separately agreed upon between the Borrower and the Administrative Agent.</w:t>
      </w:r>
    </w:p>
    <w:p>
      <w:pPr>
        <w:spacing w:after="0" w:line="146" w:lineRule="exact"/>
        <w:rPr>
          <w:rFonts w:ascii="Times New Roman" w:cs="Times New Roman" w:eastAsia="Times New Roman" w:hAnsi="Times New Roman"/>
          <w:sz w:val="20"/>
          <w:szCs w:val="20"/>
          <w:color w:val="auto"/>
        </w:rPr>
      </w:pPr>
    </w:p>
    <w:p>
      <w:pPr>
        <w:jc w:val="both"/>
        <w:ind w:firstLine="8"/>
        <w:spacing w:after="0" w:line="261" w:lineRule="auto"/>
        <w:tabs>
          <w:tab w:leader="none" w:pos="41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on the dates due, in Dollars and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8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(a) The Loans comprising each ABR Borrowing (including each Swingline Loan) shall bear interest at the Alternate Base Rate plus the Applicable Rate.</w:t>
      </w:r>
    </w:p>
    <w:p>
      <w:pPr>
        <w:spacing w:after="0" w:line="146" w:lineRule="exact"/>
        <w:rPr>
          <w:sz w:val="20"/>
          <w:szCs w:val="20"/>
          <w:color w:val="auto"/>
        </w:rPr>
      </w:pPr>
    </w:p>
    <w:p>
      <w:pPr>
        <w:jc w:val="both"/>
        <w:ind w:firstLine="8"/>
        <w:spacing w:after="0" w:line="258" w:lineRule="auto"/>
        <w:tabs>
          <w:tab w:leader="none" w:pos="45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each Term Benchmark Borrowing shall bear interest at the Adjusted Term SOFR Rate, the Adjusted EURIBOR Rate or the Adjusted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Rate, as applicable, for the Interest Period in effect for such Borrowing plus the Applicable Rate, and each RFR Loan shall bear interest at a rate per annum equal to the Adjusted Daily Simple RFR plus, in any such case, the Applicable Rate.</w:t>
      </w:r>
    </w:p>
    <w:p>
      <w:pPr>
        <w:spacing w:after="0" w:line="172" w:lineRule="exact"/>
        <w:rPr>
          <w:rFonts w:ascii="Times New Roman" w:cs="Times New Roman" w:eastAsia="Times New Roman" w:hAnsi="Times New Roman"/>
          <w:sz w:val="20"/>
          <w:szCs w:val="20"/>
          <w:color w:val="auto"/>
        </w:rPr>
      </w:pPr>
    </w:p>
    <w:p>
      <w:pPr>
        <w:jc w:val="both"/>
        <w:ind w:firstLine="8"/>
        <w:spacing w:after="0" w:line="257" w:lineRule="auto"/>
        <w:tabs>
          <w:tab w:leader="none" w:pos="54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72" w:lineRule="exact"/>
        <w:rPr>
          <w:rFonts w:ascii="Times New Roman" w:cs="Times New Roman" w:eastAsia="Times New Roman" w:hAnsi="Times New Roman"/>
          <w:sz w:val="20"/>
          <w:szCs w:val="20"/>
          <w:color w:val="auto"/>
        </w:rPr>
      </w:pPr>
    </w:p>
    <w:p>
      <w:pPr>
        <w:jc w:val="both"/>
        <w:ind w:firstLine="8"/>
        <w:spacing w:after="0" w:line="253" w:lineRule="auto"/>
        <w:tabs>
          <w:tab w:leader="none" w:pos="53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interest on each Loan shall be payable in arrears in the same Agreed Currency as the applicable Loan, on each Interest Payment Date for such Loan and, in the case of Revolving Loans, upon termination of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92" w:lineRule="exact"/>
        <w:rPr>
          <w:rFonts w:ascii="Times New Roman" w:cs="Times New Roman" w:eastAsia="Times New Roman" w:hAnsi="Times New Roman"/>
          <w:sz w:val="20"/>
          <w:szCs w:val="20"/>
          <w:color w:val="auto"/>
        </w:rPr>
      </w:pPr>
    </w:p>
    <w:p>
      <w:pPr>
        <w:ind w:firstLine="8"/>
        <w:spacing w:after="0" w:line="283" w:lineRule="auto"/>
        <w:tabs>
          <w:tab w:leader="none" w:pos="4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computed by reference to the Alternate Base Rate (except when based on the Prime Rate or the Canadian Prime Rate), the Term SOFR Rate, the EURIBOR Rate or Daily Simple RFR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respect to Dollars hereunder shall be computed on the basis of a year of 360 days. Interest computed by reference to </w:t>
      </w:r>
      <w:r>
        <w:rPr>
          <w:rFonts w:ascii="Times New Roman" w:cs="Times New Roman" w:eastAsia="Times New Roman" w:hAnsi="Times New Roman"/>
          <w:sz w:val="20"/>
          <w:szCs w:val="20"/>
          <w:u w:val="single" w:color="auto"/>
          <w:color w:val="0000FF"/>
        </w:rPr>
        <w:t>Term CORRA, Daily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Simple CORRA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Alternate Base Rate at times when the Alternate Base Rate is based on the Prime Rate or the Canadian Prime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shall be computed on the basis of a year of 365 days (or 366 days in a leap year) </w:t>
      </w:r>
      <w:r>
        <w:rPr>
          <w:rFonts w:ascii="Times New Roman" w:cs="Times New Roman" w:eastAsia="Times New Roman" w:hAnsi="Times New Roman"/>
          <w:sz w:val="20"/>
          <w:szCs w:val="20"/>
          <w:color w:val="FF0000"/>
        </w:rPr>
        <w:t>and interest computed by reference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8000"/>
          <w:strike w:val="1"/>
        </w:rPr>
        <w:t>to the Adjusted CDOR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8000"/>
          <w:strike w:val="1"/>
        </w:rPr>
        <w:t>Rate</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FF0000"/>
          <w:strike w:val="1"/>
        </w:rPr>
        <w:t>shall be computed on the basis of a year of 365 days</w:t>
      </w:r>
      <w:r>
        <w:rPr>
          <w:rFonts w:ascii="Times New Roman" w:cs="Times New Roman" w:eastAsia="Times New Roman" w:hAnsi="Times New Roman"/>
          <w:sz w:val="20"/>
          <w:szCs w:val="20"/>
          <w:color w:val="000000"/>
        </w:rPr>
        <w:t>. In each case, interest shall be payable for the actual number of days elapsed</w:t>
      </w:r>
      <w:r>
        <w:rPr>
          <w:rFonts w:ascii="Times New Roman" w:cs="Times New Roman" w:eastAsia="Times New Roman" w:hAnsi="Times New Roman"/>
          <w:sz w:val="20"/>
          <w:szCs w:val="20"/>
          <w:color w:val="008000"/>
        </w:rPr>
        <w:t xml:space="preserve"> </w:t>
      </w:r>
      <w:r>
        <w:rPr>
          <w:rFonts w:ascii="Times New Roman" w:cs="Times New Roman" w:eastAsia="Times New Roman" w:hAnsi="Times New Roman"/>
          <w:sz w:val="20"/>
          <w:szCs w:val="20"/>
          <w:color w:val="000000"/>
        </w:rPr>
        <w:t xml:space="preserve">(including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Term SOFR Rate, Adjusted EURIBOR Rate, EURIBOR Rate, Canadian Prime Rate, Adjusted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CORRA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Adjusted Daily Simple RFR or Daily Simple RFR shall be determined by the Administrative Agent, and such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-996315</wp:posOffset>
            </wp:positionV>
            <wp:extent cx="18535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85356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2.14. </w:t>
      </w:r>
      <w:r>
        <w:rPr>
          <w:rFonts w:ascii="Times New Roman" w:cs="Times New Roman" w:eastAsia="Times New Roman" w:hAnsi="Times New Roman"/>
          <w:sz w:val="20"/>
          <w:szCs w:val="20"/>
          <w:u w:val="single" w:color="auto"/>
          <w:color w:val="auto"/>
        </w:rPr>
        <w:t>Alternate Rate of Interest</w:t>
      </w:r>
      <w:r>
        <w:rPr>
          <w:rFonts w:ascii="Times New Roman" w:cs="Times New Roman" w:eastAsia="Times New Roman" w:hAnsi="Times New Roman"/>
          <w:sz w:val="20"/>
          <w:szCs w:val="20"/>
          <w:color w:val="auto"/>
        </w:rPr>
        <w:t>. (a) Subject to clauses (b), (c), (d), (e) and (f) of this Section 2.14, if:</w:t>
      </w:r>
    </w:p>
    <w:p>
      <w:pPr>
        <w:spacing w:after="0" w:line="229" w:lineRule="exact"/>
        <w:rPr>
          <w:sz w:val="20"/>
          <w:szCs w:val="20"/>
          <w:color w:val="auto"/>
        </w:rPr>
      </w:pPr>
    </w:p>
    <w:p>
      <w:pPr>
        <w:jc w:val="both"/>
        <w:ind w:left="1300" w:firstLine="4"/>
        <w:spacing w:after="0" w:line="253" w:lineRule="auto"/>
        <w:tabs>
          <w:tab w:leader="none" w:pos="174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determines (which determination shall be conclusive absent manifest error) (A) prior to the commencement of any Interest Period for a Term Benchmark Borrowing, that adequate and reasonable means do not exist for ascertaining the Adjusted Term SOFR Rate, the Adjusted EURIBOR Rate or the Adjusted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xml:space="preserve">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for the applicable Agreed Currency; or</w:t>
      </w:r>
    </w:p>
    <w:p>
      <w:pPr>
        <w:spacing w:after="0" w:line="192" w:lineRule="exact"/>
        <w:rPr>
          <w:rFonts w:ascii="Times New Roman" w:cs="Times New Roman" w:eastAsia="Times New Roman" w:hAnsi="Times New Roman"/>
          <w:sz w:val="20"/>
          <w:szCs w:val="20"/>
          <w:color w:val="auto"/>
        </w:rPr>
      </w:pPr>
    </w:p>
    <w:p>
      <w:pPr>
        <w:jc w:val="both"/>
        <w:ind w:left="1300" w:firstLine="4"/>
        <w:spacing w:after="0" w:line="251" w:lineRule="auto"/>
        <w:tabs>
          <w:tab w:leader="none" w:pos="184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is advised by the Required Lenders that (A) prior to the commencement of any Interest Period for a Term Benchmark Borrowing, the Adjusted Term SOFR Rate, the Adjusted EURIBOR Rate or the Adjusted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for the applicable Agreed Currency and such Interest Period will not adequately and fairly reflect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cost to such Lenders of making or maintaining their Loans included in such Borrowing for the applicable Agreed Currency and such Interest Period or (B) at any time, the applicable Adjusted Daily Simple RFR or RFR for the applicable Agreed Currency will not adequately and fairly reflect the cost to such Lenders of making or maintaining their Loans included in such Borrowing for the applicable Agreed Currency;</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denominated in Dollars so long as the Adjusted Daily Simple RFR for Dollar Borrowings is not also the subject of Section 2.14(a)(i) or 2.14(a)(ii) above or (y) an ABR Borrowing if the Adjusted Daily Simple RFR for Dollar Borrowings also is the subject of Section 2.14(a)(i) or 2.14(a)(ii) above and (2) any Borrowing Request that requests an RFR Borrowing shall instead be deemed to be a Borrowing Request,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applicable, for an ABR Borrowing and (B) for Loans denominated in a Foreign Currency, any Interest Election Request that requests the conversion of any Borrowing to, or continuation of any Borrowing as, a Term Benchmark Borrowing and any Borrowing Request that requests a Term Benchmark Borrowing or an RFR Borrowing, in each case, for the relevant Benchmark shall be ineffective;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also the subject of Section 2.14(a)(i) or 2.14(a)(ii) above or (y) an ABR Loan if the Adjusted Daily Simple RFR for Dollar Borrowings also is the subject of Section 2.14(a)(i) or 2.14(a)(ii) above, on such day, and (2) any RFR Loan shall on and from such day be converted by the Administrative Agent to, and shall constitute an ABR Loan and (B) for Loans denominated in a Foreign Currency,</w:t>
      </w:r>
    </w:p>
    <w:p>
      <w:pPr>
        <w:spacing w:after="0" w:line="4" w:lineRule="exact"/>
        <w:rPr>
          <w:sz w:val="20"/>
          <w:szCs w:val="20"/>
          <w:color w:val="auto"/>
        </w:rPr>
      </w:pPr>
    </w:p>
    <w:p>
      <w:pPr>
        <w:jc w:val="both"/>
        <w:ind w:firstLine="8"/>
        <w:spacing w:after="0" w:line="260" w:lineRule="auto"/>
        <w:tabs>
          <w:tab w:leader="none" w:pos="287"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Term Benchmark Loan shall, on the last day of the Interest Period applicable to such Loan bear interest at the Central Bank Rate (or in the case of Canadian Dollars, the Canadian Prime Rate) for the applicable Foreign Currency plus the CBR Spread;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Canadian Dollars, the Canadian Prime Rate) for the applicable Foreign Currency plus the CBR Spread;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RFR Loans denominated in any Foreign Currency, at the Borrower’s election, shall either</w:t>
      </w:r>
    </w:p>
    <w:p>
      <w:pPr>
        <w:spacing w:after="0" w:line="8" w:lineRule="exact"/>
        <w:rPr>
          <w:rFonts w:ascii="Times New Roman" w:cs="Times New Roman" w:eastAsia="Times New Roman" w:hAnsi="Times New Roman"/>
          <w:sz w:val="19"/>
          <w:szCs w:val="19"/>
          <w:color w:val="auto"/>
        </w:rPr>
      </w:pPr>
    </w:p>
    <w:p>
      <w:pPr>
        <w:spacing w:after="0" w:line="2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be converted into ABR Loans denominated in Dollars (in an amount equal to the Dollar Amount of such Foreign Currency) immediately or (B) be prepaid in full immediately.</w:t>
      </w:r>
    </w:p>
    <w:p>
      <w:pPr>
        <w:spacing w:after="0" w:line="182" w:lineRule="exact"/>
        <w:rPr>
          <w:sz w:val="20"/>
          <w:szCs w:val="20"/>
          <w:color w:val="auto"/>
        </w:rPr>
      </w:pPr>
    </w:p>
    <w:p>
      <w:pPr>
        <w:jc w:val="both"/>
        <w:ind w:firstLine="8"/>
        <w:spacing w:after="0" w:line="250" w:lineRule="auto"/>
        <w:tabs>
          <w:tab w:leader="none" w:pos="53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w:t>
      </w:r>
      <w:r>
        <w:rPr>
          <w:rFonts w:ascii="Times New Roman" w:cs="Times New Roman" w:eastAsia="Times New Roman" w:hAnsi="Times New Roman"/>
          <w:sz w:val="20"/>
          <w:szCs w:val="20"/>
          <w:u w:val="single" w:color="auto"/>
          <w:color w:val="0000FF"/>
        </w:rPr>
        <w:t>and/or Canadian Dollars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for such Benchmark Replacement Date, such Benchmark Replacement will replace such Benchmark</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(including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related adjustments)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for all purposes hereunder and under any Loan Document in respect of such Benchmark setting and subsequent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72" w:lineRule="exact"/>
        <w:rPr>
          <w:sz w:val="20"/>
          <w:szCs w:val="20"/>
          <w:color w:val="auto"/>
        </w:rPr>
      </w:pPr>
    </w:p>
    <w:p>
      <w:pPr>
        <w:ind w:left="660" w:hanging="652"/>
        <w:spacing w:after="0" w:line="258" w:lineRule="auto"/>
        <w:tabs>
          <w:tab w:leader="none" w:pos="45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Notwithstanding anything to the contrary herein or in any other Loan Document, the Administrative Agent will have the right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make Benchmark Replacement Conforming Changes from time to time and any amendments implementing such Benchmark Replacement Conforming Changes will become effective without any further action or consent of any other party to this Agreement or any other Loan Document.</w:t>
      </w:r>
    </w:p>
    <w:p>
      <w:pPr>
        <w:spacing w:after="0" w:line="185" w:lineRule="exact"/>
        <w:rPr>
          <w:rFonts w:ascii="Times New Roman" w:cs="Times New Roman" w:eastAsia="Times New Roman" w:hAnsi="Times New Roman"/>
          <w:sz w:val="20"/>
          <w:szCs w:val="20"/>
          <w:color w:val="auto"/>
        </w:rPr>
      </w:pPr>
    </w:p>
    <w:p>
      <w:pPr>
        <w:jc w:val="both"/>
        <w:ind w:left="660" w:hanging="4"/>
        <w:spacing w:after="0" w:line="252" w:lineRule="auto"/>
        <w:tabs>
          <w:tab w:leader="none" w:pos="990" w:val="left"/>
        </w:tabs>
        <w:numPr>
          <w:ilvl w:val="1"/>
          <w:numId w:val="7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Notwithstanding anything to the contrary herein or in any other Loan Document and subject to the proviso below in this paragraph, with respect to a Loan denominated in Canadian Dollars, if a Term CORRA Reelection Event and its </w:t>
      </w:r>
      <w:r>
        <w:rPr>
          <w:rFonts w:ascii="Times New Roman" w:cs="Times New Roman" w:eastAsia="Times New Roman" w:hAnsi="Times New Roman"/>
          <w:sz w:val="20"/>
          <w:szCs w:val="20"/>
          <w:u w:val="single" w:color="auto"/>
          <w:color w:val="008000"/>
        </w:rPr>
        <w:t>related Benchmark</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8000"/>
        </w:rPr>
        <w:t xml:space="preserve">Replacement </w:t>
      </w:r>
      <w:r>
        <w:rPr>
          <w:rFonts w:ascii="Times New Roman" w:cs="Times New Roman" w:eastAsia="Times New Roman" w:hAnsi="Times New Roman"/>
          <w:sz w:val="20"/>
          <w:szCs w:val="20"/>
          <w:u w:val="single" w:color="auto"/>
          <w:color w:val="0000FF"/>
        </w:rPr>
        <w:t>Date have occurred prior to the Reference Time in respect of any setting of the then-current Benchmark, then the</w:t>
      </w:r>
      <w:r>
        <w:rPr>
          <w:rFonts w:ascii="Times New Roman" w:cs="Times New Roman" w:eastAsia="Times New Roman" w:hAnsi="Times New Roman"/>
          <w:sz w:val="20"/>
          <w:szCs w:val="20"/>
          <w:u w:val="single" w:color="auto"/>
          <w:color w:val="008000"/>
        </w:rPr>
        <w:t xml:space="preserve"> </w:t>
      </w:r>
      <w:r>
        <w:rPr>
          <w:rFonts w:ascii="Times New Roman" w:cs="Times New Roman" w:eastAsia="Times New Roman" w:hAnsi="Times New Roman"/>
          <w:sz w:val="20"/>
          <w:szCs w:val="20"/>
          <w:u w:val="single" w:color="auto"/>
          <w:color w:val="0000FF"/>
        </w:rPr>
        <w:t>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(c)(ii)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spacing w:after="0" w:line="175" w:lineRule="exact"/>
        <w:rPr>
          <w:rFonts w:ascii="Times New Roman" w:cs="Times New Roman" w:eastAsia="Times New Roman" w:hAnsi="Times New Roman"/>
          <w:sz w:val="20"/>
          <w:szCs w:val="20"/>
          <w:u w:val="single" w:color="auto"/>
          <w:color w:val="0000FF"/>
        </w:rPr>
      </w:pPr>
    </w:p>
    <w:p>
      <w:pPr>
        <w:ind w:left="480" w:hanging="472"/>
        <w:spacing w:after="0"/>
        <w:tabs>
          <w:tab w:leader="none" w:pos="4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notify the Borrower and the Lenders of (i) any occurrence of a Benchmark Transition Event,</w:t>
      </w:r>
    </w:p>
    <w:p>
      <w:pPr>
        <w:spacing w:after="0" w:line="28" w:lineRule="exact"/>
        <w:rPr>
          <w:rFonts w:ascii="Times New Roman" w:cs="Times New Roman" w:eastAsia="Times New Roman" w:hAnsi="Times New Roman"/>
          <w:sz w:val="20"/>
          <w:szCs w:val="20"/>
          <w:color w:val="auto"/>
        </w:rPr>
      </w:pPr>
    </w:p>
    <w:p>
      <w:pPr>
        <w:jc w:val="both"/>
        <w:ind w:firstLine="8"/>
        <w:spacing w:after="0" w:line="248" w:lineRule="auto"/>
        <w:tabs>
          <w:tab w:leader="none" w:pos="2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9" w:lineRule="exact"/>
        <w:rPr>
          <w:sz w:val="20"/>
          <w:szCs w:val="20"/>
          <w:color w:val="auto"/>
        </w:rPr>
      </w:pPr>
    </w:p>
    <w:p>
      <w:pPr>
        <w:jc w:val="both"/>
        <w:ind w:firstLine="8"/>
        <w:spacing w:after="0" w:line="250" w:lineRule="auto"/>
        <w:tabs>
          <w:tab w:leader="none" w:pos="55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or in any other Loan Document, at any time (including in connection with the implementation of a Benchmark Replacement), (i) if the then-current Benchmark is a term rate (including the Term SOFR Rate, EURIBOR Rate or </w:t>
      </w:r>
      <w:r>
        <w:rPr>
          <w:rFonts w:ascii="Times New Roman" w:cs="Times New Roman" w:eastAsia="Times New Roman" w:hAnsi="Times New Roman"/>
          <w:sz w:val="20"/>
          <w:szCs w:val="20"/>
          <w:color w:val="FF0000"/>
          <w:strike w:val="1"/>
        </w:rPr>
        <w:t>CDOR Rate</w:t>
      </w:r>
      <w:r>
        <w:rPr>
          <w:rFonts w:ascii="Times New Roman" w:cs="Times New Roman" w:eastAsia="Times New Roman" w:hAnsi="Times New Roman"/>
          <w:sz w:val="20"/>
          <w:szCs w:val="20"/>
          <w:u w:val="single" w:color="auto"/>
          <w:color w:val="0000FF"/>
        </w:rPr>
        <w:t>Term CORRA</w:t>
      </w:r>
      <w:r>
        <w:rPr>
          <w:rFonts w:ascii="Times New Roman" w:cs="Times New Roman" w:eastAsia="Times New Roman" w:hAnsi="Times New Roman"/>
          <w:sz w:val="20"/>
          <w:szCs w:val="20"/>
          <w:color w:val="auto"/>
        </w:rPr>
        <w:t>)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9" w:lineRule="exact"/>
        <w:rPr>
          <w:rFonts w:ascii="Times New Roman" w:cs="Times New Roman" w:eastAsia="Times New Roman" w:hAnsi="Times New Roman"/>
          <w:sz w:val="20"/>
          <w:szCs w:val="20"/>
          <w:color w:val="auto"/>
        </w:rPr>
      </w:pPr>
    </w:p>
    <w:p>
      <w:pPr>
        <w:jc w:val="both"/>
        <w:ind w:firstLine="8"/>
        <w:spacing w:after="0" w:line="267" w:lineRule="auto"/>
        <w:tabs>
          <w:tab w:leader="none" w:pos="48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Borrower’s receipt of notice of the commencement of a Benchmark Unavailability Period, the Borrower may revoke any request for (i) a Term Benchmark Borrowing, conversion to or continuation of Term Benchmark Loans to be made, converted or continued or</w:t>
      </w:r>
    </w:p>
    <w:p>
      <w:pPr>
        <w:spacing w:after="0" w:line="1" w:lineRule="exact"/>
        <w:rPr>
          <w:rFonts w:ascii="Times New Roman" w:cs="Times New Roman" w:eastAsia="Times New Roman" w:hAnsi="Times New Roman"/>
          <w:sz w:val="19"/>
          <w:szCs w:val="19"/>
          <w:color w:val="auto"/>
        </w:rPr>
      </w:pPr>
    </w:p>
    <w:p>
      <w:pPr>
        <w:jc w:val="both"/>
        <w:ind w:firstLine="8"/>
        <w:spacing w:after="0" w:line="248" w:lineRule="auto"/>
        <w:tabs>
          <w:tab w:leader="none" w:pos="30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RFR Borrowing or conversion to RFR Loans, during any Benchmark Unavailability Period and, failing that, either (x) the Borrower will be deemed to have converted any such request for (1) a Term Benchmark Borrowing or RFR Borrowing, as applicable,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2.14, (1) for Loans denominated in Dollars, (A) any Term Benchmark Loan shall on the last day of the Interest Period applicable to such Loan, be converted by the Administrative Agent to, and shall constitute, (i) an RFR Borrowing denominated in Dollars so long as the Adjusted Daily Simple RFR for Dollar Borrowings is not the subject of a Benchmark Transition Event, or (ii) an ABR Loan if the Adjusted Daily Simple RFR for Dollar Borrowings is the subject of a Benchmark Transition Event, on such day and (B) any RFR Loan shall on and from such day, be converted by the Administrative Agent to, and shall constitute an ABR Loan and (2) for Loans denominated in any Foreign Currency, (A) any Term Benchmark Loan shall, on the last day of the Interest Period applicable to such Loan bear interest at the Central Bank Rate (or in the case of Canadian Dollars, the Canadian Prime Rate) for the applicable Foreign Currency plus the CBR Spread;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Term Benchmark Loans denominated in any Foreign Currency shall, at the Borrower’s election prior to such day: (i) be prepaid by the Borrower on such day or (ii)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Benchmark Loans denominated in Dollars at such time and (B) any RFR Loan shall bear interest at the Central Bank Rate (or in the case of Canadian Dollars, the Canadian Prime Rate) for the applicable Foreign Currency, plus the CBR Spread;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RFR Loans denominated in any Foreign Currency, at the Borrower’s election, shall either (i) be converted into ABR Loans denominated in Dollars (in an amount equal to the Dollar Amount of such Foreign Currency) immediately or (ii) be prepaid in full immediately.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2.15. </w:t>
      </w:r>
      <w:r>
        <w:rPr>
          <w:rFonts w:ascii="Times New Roman" w:cs="Times New Roman" w:eastAsia="Times New Roman" w:hAnsi="Times New Roman"/>
          <w:sz w:val="20"/>
          <w:szCs w:val="20"/>
          <w:u w:val="single" w:color="auto"/>
          <w:color w:val="auto"/>
        </w:rPr>
        <w:t>Increased Costs</w:t>
      </w:r>
      <w:r>
        <w:rPr>
          <w:rFonts w:ascii="Times New Roman" w:cs="Times New Roman" w:eastAsia="Times New Roman" w:hAnsi="Times New Roman"/>
          <w:sz w:val="20"/>
          <w:szCs w:val="20"/>
          <w:color w:val="auto"/>
        </w:rPr>
        <w:t>. (a) If any Change in Law shall:</w:t>
      </w:r>
    </w:p>
    <w:p>
      <w:pPr>
        <w:spacing w:after="0" w:line="216" w:lineRule="exact"/>
        <w:rPr>
          <w:sz w:val="20"/>
          <w:szCs w:val="20"/>
          <w:color w:val="auto"/>
        </w:rPr>
      </w:pPr>
    </w:p>
    <w:p>
      <w:pPr>
        <w:jc w:val="both"/>
        <w:ind w:left="660" w:firstLine="644"/>
        <w:spacing w:after="0" w:line="258" w:lineRule="auto"/>
        <w:tabs>
          <w:tab w:leader="none" w:pos="185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EURIBOR Rate or Adjusted </w:t>
      </w:r>
      <w:r>
        <w:rPr>
          <w:rFonts w:ascii="Times New Roman" w:cs="Times New Roman" w:eastAsia="Times New Roman" w:hAnsi="Times New Roman"/>
          <w:sz w:val="20"/>
          <w:szCs w:val="20"/>
          <w:color w:val="FF0000"/>
          <w:strike w:val="1"/>
        </w:rPr>
        <w:t>CDOR</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CORRA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 as applicable) or any Issuing Bank;</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5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Issuing Bank or the applicable offshore interbank market for the applicable Agreed Currency any other condition, cost or expense (other than Taxes) affecting this Agreement or Loans made by such Lender or any Letter of Credit or participation therein; or</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7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the Administrative Agent, any Lender, any Issuing Bank or any other recipient of any payment to be made hereunder or under the other Loan Documents to any Taxes (other than (A) Indemnified Taxes, (B) Excluded Taxes or (C) Other Taxes) on its loans, loan principal, letters of credit, commitments, or other obligations, or its deposits, reserves, other liabilities or capital attributable thereto;</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Person of making, continuing, converting into or maintaining any Loan (or of maintaining its obligation to make any such Loan) or to increase the cost to such Person of participating in, issuing or maintaining any Letter of Credit or to reduce the amount of any sum received or receivable by such Person hereunder (whether of principal, interest or otherwise), then the Borrower will pay to such Person such additional amount or amounts as will compensate such Person for such additional costs incurred or reduction suffered.</w:t>
      </w:r>
    </w:p>
    <w:p>
      <w:pPr>
        <w:spacing w:after="0" w:line="192" w:lineRule="exact"/>
        <w:rPr>
          <w:sz w:val="20"/>
          <w:szCs w:val="20"/>
          <w:color w:val="auto"/>
        </w:rPr>
      </w:pPr>
    </w:p>
    <w:p>
      <w:pPr>
        <w:jc w:val="both"/>
        <w:ind w:firstLine="8"/>
        <w:spacing w:after="0" w:line="250" w:lineRule="auto"/>
        <w:tabs>
          <w:tab w:leader="none" w:pos="43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their respective holding company, as applicable,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9" w:lineRule="exact"/>
        <w:rPr>
          <w:sz w:val="20"/>
          <w:szCs w:val="20"/>
          <w:color w:val="auto"/>
        </w:rPr>
      </w:pPr>
    </w:p>
    <w:p>
      <w:pPr>
        <w:jc w:val="both"/>
        <w:ind w:firstLine="8"/>
        <w:spacing w:after="0" w:line="253" w:lineRule="auto"/>
        <w:tabs>
          <w:tab w:leader="none" w:pos="4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Lender or an Issuing Bank setting forth the amount or amounts necessary to compensate such Lender or such Issuing Bank or its holding company, as the case may be, as specified in paragraph (a) or (b) of this Section and describing in reasonable detail the basis of such compensation and method of calculation shall be delivered to the Borrower and shall be conclusive absent manifest error. The Borrower shall pay such Lender or such Issuing Bank, as the case may be, the amount shown as due on any such certificate within 10 days after receipt thereof.</w:t>
      </w:r>
    </w:p>
    <w:p>
      <w:pPr>
        <w:spacing w:after="0" w:line="191" w:lineRule="exact"/>
        <w:rPr>
          <w:rFonts w:ascii="Times New Roman" w:cs="Times New Roman" w:eastAsia="Times New Roman" w:hAnsi="Times New Roman"/>
          <w:sz w:val="20"/>
          <w:szCs w:val="20"/>
          <w:color w:val="auto"/>
        </w:rPr>
      </w:pPr>
    </w:p>
    <w:p>
      <w:pPr>
        <w:jc w:val="both"/>
        <w:ind w:firstLine="8"/>
        <w:spacing w:after="0" w:line="253" w:lineRule="auto"/>
        <w:tabs>
          <w:tab w:leader="none" w:pos="46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an Issuing Bank pursuant to this Section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SECTION 2.16. </w:t>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 (a) 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2.09(c) and is revoked in accordance therewith), (iv) the assignment of any Term Benchmark Loan other than on the last day of the Interest Period applicable thereto as a result of a request by the Borrower pursuant to Section 2.19 or (v) the failure by the Borrower to make any payment of any Loan or drawing under any Letter of Credit (or interest due thereon)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(and the computation of any such loss, cost or expense in reasonable detail)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70" w:lineRule="exact"/>
        <w:rPr>
          <w:sz w:val="20"/>
          <w:szCs w:val="20"/>
          <w:color w:val="auto"/>
        </w:rPr>
      </w:pPr>
    </w:p>
    <w:p>
      <w:pPr>
        <w:jc w:val="both"/>
        <w:ind w:firstLine="8"/>
        <w:spacing w:after="0" w:line="257" w:lineRule="auto"/>
        <w:tabs>
          <w:tab w:leader="none" w:pos="44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RFR Loans, in the event of the failure by the Borrower to make any payment of any Loan or drawing under any Letter of Credit (or interest due thereof) denominated in a Foreign Currency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2.17.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(a) Any and all payments by or on account of any obligation of the Borrower hereunder shall (except to the extent required by applicable law) be made free and clear of and without deduction for any Indemnified Taxes or Other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shall be required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any Lender or any Issuing Bank (as the case may be) receives an amount equal to the sum it would have received had no such deductions been made, (ii) the Borrower shall be entitled to make such deductions or withholdings and (iii) the Borrower shall pay the full amount deducted or withheld to the relevant Governmental Authority in accordance with applicable law.</w:t>
      </w:r>
    </w:p>
    <w:p>
      <w:pPr>
        <w:spacing w:after="0" w:line="179" w:lineRule="exact"/>
        <w:rPr>
          <w:sz w:val="20"/>
          <w:szCs w:val="20"/>
          <w:color w:val="auto"/>
        </w:rPr>
      </w:pPr>
    </w:p>
    <w:p>
      <w:pPr>
        <w:ind w:left="440" w:hanging="432"/>
        <w:spacing w:after="0"/>
        <w:tabs>
          <w:tab w:leader="none" w:pos="4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Borrower shall pay any Other Taxes to the relevant Governmental Authority in accordance with applicable law.</w:t>
      </w:r>
    </w:p>
    <w:p>
      <w:pPr>
        <w:spacing w:after="0" w:line="229" w:lineRule="exact"/>
        <w:rPr>
          <w:rFonts w:ascii="Times New Roman" w:cs="Times New Roman" w:eastAsia="Times New Roman" w:hAnsi="Times New Roman"/>
          <w:sz w:val="20"/>
          <w:szCs w:val="20"/>
          <w:color w:val="auto"/>
        </w:rPr>
      </w:pPr>
    </w:p>
    <w:p>
      <w:pPr>
        <w:jc w:val="both"/>
        <w:ind w:firstLine="8"/>
        <w:spacing w:after="0" w:line="251" w:lineRule="auto"/>
        <w:tabs>
          <w:tab w:leader="none" w:pos="50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indemnify the Administrative Agent, each Lender and each Issuing Bank, within 10 days after written demand therefor, for the full amount of any Indemnified Taxes or Other Taxes paid by the Administrative Agent, such Lender or such Issuing Bank, as the case may be,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195" w:lineRule="exact"/>
        <w:rPr>
          <w:rFonts w:ascii="Times New Roman" w:cs="Times New Roman" w:eastAsia="Times New Roman" w:hAnsi="Times New Roman"/>
          <w:sz w:val="20"/>
          <w:szCs w:val="20"/>
          <w:color w:val="auto"/>
        </w:rPr>
      </w:pPr>
    </w:p>
    <w:p>
      <w:pPr>
        <w:jc w:val="both"/>
        <w:ind w:firstLine="8"/>
        <w:spacing w:after="0" w:line="254" w:lineRule="auto"/>
        <w:tabs>
          <w:tab w:leader="none" w:pos="44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after any payment of Indemnified Taxes or Other Taxes by the Borrower to a Governmental Authority pursuant to this Section 2.17,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7" w:lineRule="exact"/>
        <w:rPr>
          <w:rFonts w:ascii="Times New Roman" w:cs="Times New Roman" w:eastAsia="Times New Roman" w:hAnsi="Times New Roman"/>
          <w:sz w:val="20"/>
          <w:szCs w:val="20"/>
          <w:color w:val="auto"/>
        </w:rPr>
      </w:pPr>
    </w:p>
    <w:p>
      <w:pPr>
        <w:jc w:val="both"/>
        <w:ind w:firstLine="8"/>
        <w:spacing w:after="0" w:line="250" w:lineRule="auto"/>
        <w:tabs>
          <w:tab w:leader="none" w:pos="49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deliver to the Borrower and to the Administrative Agent, whenever reasonably requested by the Borrower or the Administrative Agent, such properly completed and executed documentation prescribed by applicable laws and such other reasonably requested information as will permit the Borrower or the Administrative Agent, as the case may be, (A) to determine whether or not payments made hereunder or under any other Loan Document are subject to Taxes, (B) to determine, if applicable, the required rate of withholding or deduction and (C) to establish such Lender’s entitlement to any available exemption from, or reduction of, applicable Taxes in respect of any payments to be made to such Lender pursuant to any Loan Document or otherwise to establish such Lender’s status for withholding Tax purposes in an applicable jurisdiction.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If any form, certification or other documentation provided by a Lender pursuant to this Section 2.17(e) (including any of the specific documentation described below) expires or becomes obsolete or inaccurate in any respect, such Lender shall promptly notify the Borrower and the Administrative Agent in writing and shall promptly update or otherwise correct the affected documentation or promptly notify the Borrower and the Administrative Agent in writing that such Lender is not legally eligible to do so. Without limiting the generality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9" w:lineRule="exact"/>
        <w:rPr>
          <w:sz w:val="20"/>
          <w:szCs w:val="20"/>
          <w:color w:val="auto"/>
        </w:rPr>
      </w:pPr>
    </w:p>
    <w:p>
      <w:pPr>
        <w:jc w:val="both"/>
        <w:ind w:left="-460" w:firstLine="644"/>
        <w:spacing w:after="0" w:line="253" w:lineRule="auto"/>
        <w:tabs>
          <w:tab w:leader="none" w:pos="60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“United States person” within the meaning of Section 7701(a)(30) of the Code shall deliver to the Borrower and the Administrative Agent duly completed and executed originals of IRS Form W-9 or such other documentation or information prescribed by applicable laws or reasonably requested by the Borrower or the Administrative Agent (in such number of signed originals as shall be requested by the recipient) on or prior to the date on which such Lender becomes a Lender under this Agreement (and from time to time thereafter upon request of the Borrower or the Administrative Agent) as will enable the Borrower or the Administrative Agent, as the case may be, to determine whether or not such Lender is subject to U.S. federal backup withholding Tax or information reporting requirements; and</w:t>
      </w:r>
    </w:p>
    <w:p>
      <w:pPr>
        <w:spacing w:after="0" w:line="179" w:lineRule="exact"/>
        <w:rPr>
          <w:rFonts w:ascii="Times New Roman" w:cs="Times New Roman" w:eastAsia="Times New Roman" w:hAnsi="Times New Roman"/>
          <w:sz w:val="20"/>
          <w:szCs w:val="20"/>
          <w:color w:val="auto"/>
        </w:rPr>
      </w:pPr>
    </w:p>
    <w:p>
      <w:pPr>
        <w:jc w:val="both"/>
        <w:ind w:left="-460" w:firstLine="644"/>
        <w:spacing w:after="0" w:line="257" w:lineRule="auto"/>
        <w:tabs>
          <w:tab w:leader="none" w:pos="64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Lender that is entitled under the Code or any applicable treaty to an exemption from or reduction of U.S. federal withholding Tax with respect to any payments hereunder or under any other Loan Document shall deliver to the Borrower and the Administrative Agent (in such number of signed originals as shall be requested by the recipient) on or prior to the date on which such Foreign Lender becomes a Lender under this Agreement (and from time to time thereafter upon the request of the Borrower or the Administrative Agent), duly completed and executed copies of whichever of the following is applicable:</w:t>
      </w:r>
    </w:p>
    <w:p>
      <w:pPr>
        <w:spacing w:after="0" w:line="172" w:lineRule="exact"/>
        <w:rPr>
          <w:rFonts w:ascii="Times New Roman" w:cs="Times New Roman" w:eastAsia="Times New Roman" w:hAnsi="Times New Roman"/>
          <w:sz w:val="20"/>
          <w:szCs w:val="20"/>
          <w:color w:val="auto"/>
        </w:rPr>
      </w:pPr>
    </w:p>
    <w:p>
      <w:pPr>
        <w:ind w:left="-460" w:firstLine="1292"/>
        <w:spacing w:after="0" w:line="283" w:lineRule="auto"/>
        <w:tabs>
          <w:tab w:leader="none" w:pos="1331"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Form W-8BEN or IRS Form W-8BEN-E, as applicable, (or any successor thereto) claiming eligibility for benefits of an income tax treaty to which the United States is a party,</w:t>
      </w:r>
    </w:p>
    <w:p>
      <w:pPr>
        <w:spacing w:after="0" w:line="146" w:lineRule="exact"/>
        <w:rPr>
          <w:rFonts w:ascii="Times New Roman" w:cs="Times New Roman" w:eastAsia="Times New Roman" w:hAnsi="Times New Roman"/>
          <w:sz w:val="20"/>
          <w:szCs w:val="20"/>
          <w:color w:val="auto"/>
        </w:rPr>
      </w:pPr>
    </w:p>
    <w:p>
      <w:pPr>
        <w:jc w:val="both"/>
        <w:ind w:left="-460" w:firstLine="1292"/>
        <w:spacing w:after="0" w:line="268" w:lineRule="auto"/>
        <w:tabs>
          <w:tab w:leader="none" w:pos="1418"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Form W-8ECI (or any successor thereto) claiming that specified payments (as applicable) under this Agreement or any other Loan Documents (as applicable) constitute income that is effectively connected with such Foreign Lender’s conduct of a trade or business in the United States,</w:t>
      </w:r>
    </w:p>
    <w:p>
      <w:pPr>
        <w:spacing w:after="0" w:line="161" w:lineRule="exact"/>
        <w:rPr>
          <w:rFonts w:ascii="Times New Roman" w:cs="Times New Roman" w:eastAsia="Times New Roman" w:hAnsi="Times New Roman"/>
          <w:sz w:val="20"/>
          <w:szCs w:val="20"/>
          <w:color w:val="auto"/>
        </w:rPr>
      </w:pPr>
    </w:p>
    <w:p>
      <w:pPr>
        <w:jc w:val="both"/>
        <w:ind w:left="-460" w:firstLine="1292"/>
        <w:spacing w:after="0" w:line="253" w:lineRule="auto"/>
        <w:tabs>
          <w:tab w:leader="none" w:pos="1519"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Sections 881(c) or 871(h) of the Code (the “</w:t>
      </w:r>
      <w:r>
        <w:rPr>
          <w:rFonts w:ascii="Times New Roman" w:cs="Times New Roman" w:eastAsia="Times New Roman" w:hAnsi="Times New Roman"/>
          <w:sz w:val="20"/>
          <w:szCs w:val="20"/>
          <w:u w:val="single" w:color="auto"/>
          <w:color w:val="auto"/>
        </w:rPr>
        <w:t>Portfolio Interest Exemption</w:t>
      </w:r>
      <w:r>
        <w:rPr>
          <w:rFonts w:ascii="Times New Roman" w:cs="Times New Roman" w:eastAsia="Times New Roman" w:hAnsi="Times New Roman"/>
          <w:sz w:val="20"/>
          <w:szCs w:val="20"/>
          <w:color w:val="auto"/>
        </w:rPr>
        <w:t>”), (x) a certificate (a “</w:t>
      </w:r>
      <w:r>
        <w:rPr>
          <w:rFonts w:ascii="Times New Roman" w:cs="Times New Roman" w:eastAsia="Times New Roman" w:hAnsi="Times New Roman"/>
          <w:sz w:val="20"/>
          <w:szCs w:val="20"/>
          <w:u w:val="single" w:color="auto"/>
          <w:color w:val="auto"/>
        </w:rPr>
        <w:t>Tax Status Certificate</w:t>
      </w:r>
      <w:r>
        <w:rPr>
          <w:rFonts w:ascii="Times New Roman" w:cs="Times New Roman" w:eastAsia="Times New Roman" w:hAnsi="Times New Roman"/>
          <w:sz w:val="20"/>
          <w:szCs w:val="20"/>
          <w:color w:val="auto"/>
        </w:rPr>
        <w:t>”) in form and substance reasonably satisfactory to the Administrative Agent and the Borrower to the effect that such Foreign Lender (I) is not a “bank” for purposes of Section 881(c)(3)(A) of the Code, (II) is not a 10-percent shareholder of the Borrower for purpose of Section 881(c)(3)(B) of the Code and (III) is not a controlled foreign corporation related to the Borrower for the purposes of Section 881(c)(3)(C) of the Code and (y) IRS Form W-8BEN or IRS Form W-8BEN-E, as applicable, (or any successor thereto),</w:t>
      </w:r>
    </w:p>
    <w:p>
      <w:pPr>
        <w:spacing w:after="0" w:line="192" w:lineRule="exact"/>
        <w:rPr>
          <w:rFonts w:ascii="Times New Roman" w:cs="Times New Roman" w:eastAsia="Times New Roman" w:hAnsi="Times New Roman"/>
          <w:sz w:val="20"/>
          <w:szCs w:val="20"/>
          <w:color w:val="auto"/>
        </w:rPr>
      </w:pPr>
    </w:p>
    <w:p>
      <w:pPr>
        <w:jc w:val="both"/>
        <w:ind w:left="-460" w:firstLine="1292"/>
        <w:spacing w:after="0" w:line="251" w:lineRule="auto"/>
        <w:tabs>
          <w:tab w:leader="none" w:pos="1329"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where such Lender is a partnership (for U.S. federal income tax purposes) or otherwise not a beneficial owner (e.g., where such Lender has sold a participation), IRS Form W-8IMY accompanied by IRS Form W-8ECI, IRS Form W-8BEN, IRS Form W-8BEN-E, IRS Form W-9 (or, in each case, any successor thereto) and all required supporting documentation from each beneficial owner, as applicable (including, where one or more of the underlying beneficial owner(s) is claiming the benefits of the Portfolio Interest Exemption, a Tax Status Certificate of such beneficial owner(s)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not a participating Lender, the Tax Status Certificate from the beneficial owner(s) may be provided by the Foreign Lender on behalf of the beneficial owner(s)),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0120"/>
          </w:cols>
          <w:pgMar w:left="1440" w:top="1440" w:right="339" w:bottom="1440" w:gutter="0" w:footer="0" w:header="0"/>
        </w:sectPr>
      </w:pPr>
    </w:p>
    <w:bookmarkStart w:id="133" w:name="page134"/>
    <w:bookmarkEnd w:id="133"/>
    <w:p>
      <w:pPr>
        <w:spacing w:after="0" w:line="189" w:lineRule="exact"/>
        <w:rPr>
          <w:sz w:val="20"/>
          <w:szCs w:val="20"/>
          <w:color w:val="auto"/>
        </w:rPr>
      </w:pPr>
    </w:p>
    <w:p>
      <w:pPr>
        <w:jc w:val="both"/>
        <w:ind w:left="660" w:firstLine="1292"/>
        <w:spacing w:after="0" w:line="261" w:lineRule="auto"/>
        <w:tabs>
          <w:tab w:leader="none" w:pos="2441"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81" w:lineRule="exact"/>
        <w:rPr>
          <w:rFonts w:ascii="Times New Roman" w:cs="Times New Roman" w:eastAsia="Times New Roman" w:hAnsi="Times New Roman"/>
          <w:sz w:val="20"/>
          <w:szCs w:val="20"/>
          <w:color w:val="auto"/>
        </w:rPr>
      </w:pPr>
    </w:p>
    <w:p>
      <w:pPr>
        <w:jc w:val="both"/>
        <w:ind w:firstLine="8"/>
        <w:spacing w:after="0" w:line="252" w:lineRule="auto"/>
        <w:tabs>
          <w:tab w:leader="none" w:pos="40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Section 2.17(f), “FATCA” shall include any amendments made to FATCA after the date of this Agreement.</w:t>
      </w:r>
    </w:p>
    <w:p>
      <w:pPr>
        <w:spacing w:after="0" w:line="175" w:lineRule="exact"/>
        <w:rPr>
          <w:rFonts w:ascii="Times New Roman" w:cs="Times New Roman" w:eastAsia="Times New Roman" w:hAnsi="Times New Roman"/>
          <w:sz w:val="20"/>
          <w:szCs w:val="20"/>
          <w:color w:val="auto"/>
        </w:rPr>
      </w:pPr>
    </w:p>
    <w:p>
      <w:pPr>
        <w:jc w:val="both"/>
        <w:ind w:firstLine="8"/>
        <w:spacing w:after="0" w:line="250" w:lineRule="auto"/>
        <w:tabs>
          <w:tab w:leader="none" w:pos="43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severally indemnify the Administrative Agent, within 10 days after demand therefor, for (i) any Indemnified Taxes or Other Taxes attributable to such Lender (but only to the extent that the Borrower has not already indemnified the Administrative Agent for such Indemnified Taxes and Other Taxes and without limiting the obligation of the Borrower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2.17(g).</w:t>
      </w:r>
    </w:p>
    <w:p>
      <w:pPr>
        <w:spacing w:after="0" w:line="196" w:lineRule="exact"/>
        <w:rPr>
          <w:rFonts w:ascii="Times New Roman" w:cs="Times New Roman" w:eastAsia="Times New Roman" w:hAnsi="Times New Roman"/>
          <w:sz w:val="20"/>
          <w:szCs w:val="20"/>
          <w:color w:val="auto"/>
        </w:rPr>
      </w:pPr>
    </w:p>
    <w:p>
      <w:pPr>
        <w:jc w:val="both"/>
        <w:ind w:firstLine="8"/>
        <w:spacing w:after="0" w:line="250" w:lineRule="auto"/>
        <w:tabs>
          <w:tab w:leader="none" w:pos="47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or a Lender determines, in its sole discretion, exercised in good faith, that it has received a refund of any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Taxes or Other Taxes giving rise to such refund), net of all out-of-pocket expenses of the Administrative Agent or such Lender and without interest (other than any interest paid by the relevant Governmental Authority with respect to such refund); provided, that the Borrower, upon the request of the Administrative Agent or such Lender, agrees to repay the amount paid over to the Borrower (plus any penalties, interest or other charges imposed by the relevant Governmental Authority) pursuant to this Section 2.17(h)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Borrower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SECTION 2.18. </w:t>
      </w:r>
      <w:r>
        <w:rPr>
          <w:rFonts w:ascii="Times New Roman" w:cs="Times New Roman" w:eastAsia="Times New Roman" w:hAnsi="Times New Roman"/>
          <w:sz w:val="19"/>
          <w:szCs w:val="19"/>
          <w:u w:val="single" w:color="auto"/>
          <w:color w:val="auto"/>
        </w:rPr>
        <w:t>Payments Generally; Allocation of Proceeds; Sharing of Set-offs</w:t>
      </w:r>
      <w:r>
        <w:rPr>
          <w:rFonts w:ascii="Times New Roman" w:cs="Times New Roman" w:eastAsia="Times New Roman" w:hAnsi="Times New Roman"/>
          <w:sz w:val="19"/>
          <w:szCs w:val="19"/>
          <w:color w:val="auto"/>
        </w:rPr>
        <w:t>. (a) The Borrower shall make each payment required to be made by it hereunder (whether of principal, interest, fees or reimbursement of LC Disbursements, or of amounts payable under Section 2.15, 2.16 or 2.17, or otherwise) prior to (i) in the case of payments denominated in Dollars, 11:00 a.m., Chicago time and (ii) in the case of payments denominated in a Foreign Currency, 12:00 noon, Local Time, in the city of the Administrative Agent’s Foreign Payment Office for such currency, in each case,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(A) in the same currency in which the applicable Credit Event was made, and (B) to the Administrative Agent at its offices at 10 South Dearborn Street,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 Chicago, Illinois 60603 or, in the case of a Credit Event denominated in a Foreign Currency, the Administrative Agent’s Foreign Payment Office for such currency, except payments to be made directly to an Issuing Bank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19"/>
          <w:szCs w:val="19"/>
          <w:u w:val="single" w:color="auto"/>
          <w:color w:val="auto"/>
        </w:rPr>
        <w:t>Original Currency</w:t>
      </w:r>
      <w:r>
        <w:rPr>
          <w:rFonts w:ascii="Times New Roman" w:cs="Times New Roman" w:eastAsia="Times New Roman" w:hAnsi="Times New Roman"/>
          <w:sz w:val="19"/>
          <w:szCs w:val="19"/>
          <w:color w:val="auto"/>
        </w:rPr>
        <w:t>”) no longer exists or the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 take all risks of the imposition of any such currency control or exchange regulations.</w:t>
      </w:r>
    </w:p>
    <w:p>
      <w:pPr>
        <w:spacing w:after="0" w:line="191" w:lineRule="exact"/>
        <w:rPr>
          <w:sz w:val="20"/>
          <w:szCs w:val="20"/>
          <w:color w:val="auto"/>
        </w:rPr>
      </w:pPr>
    </w:p>
    <w:p>
      <w:pPr>
        <w:jc w:val="both"/>
        <w:ind w:firstLine="8"/>
        <w:spacing w:after="0" w:line="249" w:lineRule="auto"/>
        <w:tabs>
          <w:tab w:leader="none" w:pos="43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that payments are not required to be applied in the manner required by Section 7.03 (in which case any such proceeds shall be applied in accordance therewith), if at any time (x) insufficient funds are received by and available to the Administrative Agent to pay fully all amounts of principal, unreimbursed LC Disbursements, interest and fees then due hereunder not constituting a specific payment of principal, interest, fees or other sum payable under the Loan Documents (which shall be applied as specified by the Borrower) or (y) any funds are received by the Administrative Agent as proceeds of Collateral, such funds shall be applied ratably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 any fees, indemnities, or expense reimbursements (other than those described in the next clause second), including amounts then due to the Administrative Agent and any Issuing Bank from the Borrower,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 any fees or expense reimbursements then due to the Lenders from the Borrower,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 interest then due and payable on the Loans ratably,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prepay principal on the Loans and unreimbursed LC Disbursements and any other amounts owing with respect to Banking Services Obligations and Swap Obligations ratably,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pay an amount to the Administrative Agent equal to one hundred five percent (105%) of the aggregate undrawn face amount of all outstanding Letters of Credit and the aggregate amount of any unpaid LC Disbursements, to be held as cash collateral for such Obligations and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Benchmark Loan, except (i) on the expiration date of the Interest Period applicable to any such Term Benchmark Loan or (ii)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and only to the extent, that there are no outstanding ABR Loans and, in any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81" w:lineRule="exact"/>
        <w:rPr>
          <w:sz w:val="20"/>
          <w:szCs w:val="20"/>
          <w:color w:val="auto"/>
        </w:rPr>
      </w:pPr>
    </w:p>
    <w:p>
      <w:pPr>
        <w:jc w:val="both"/>
        <w:ind w:firstLine="8"/>
        <w:spacing w:after="0" w:line="250" w:lineRule="auto"/>
        <w:tabs>
          <w:tab w:leader="none" w:pos="52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2.04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96" w:lineRule="exact"/>
        <w:rPr>
          <w:rFonts w:ascii="Times New Roman" w:cs="Times New Roman" w:eastAsia="Times New Roman" w:hAnsi="Times New Roman"/>
          <w:sz w:val="20"/>
          <w:szCs w:val="20"/>
          <w:color w:val="auto"/>
        </w:rPr>
      </w:pPr>
    </w:p>
    <w:p>
      <w:pPr>
        <w:jc w:val="both"/>
        <w:ind w:firstLine="8"/>
        <w:spacing w:after="0" w:line="262" w:lineRule="auto"/>
        <w:tabs>
          <w:tab w:leader="none" w:pos="49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shall, by exercising any right of set 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6" w:lineRule="exact"/>
        <w:rPr>
          <w:rFonts w:ascii="Times New Roman" w:cs="Times New Roman" w:eastAsia="Times New Roman" w:hAnsi="Times New Roman"/>
          <w:sz w:val="19"/>
          <w:szCs w:val="19"/>
          <w:color w:val="auto"/>
        </w:rPr>
      </w:pPr>
    </w:p>
    <w:p>
      <w:pPr>
        <w:jc w:val="both"/>
        <w:ind w:firstLine="8"/>
        <w:spacing w:after="0" w:line="250" w:lineRule="auto"/>
        <w:tabs>
          <w:tab w:leader="none" w:pos="24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9" w:lineRule="exact"/>
        <w:rPr>
          <w:sz w:val="20"/>
          <w:szCs w:val="20"/>
          <w:color w:val="auto"/>
        </w:rPr>
      </w:pPr>
    </w:p>
    <w:p>
      <w:pPr>
        <w:jc w:val="both"/>
        <w:ind w:firstLine="8"/>
        <w:spacing w:after="0" w:line="251" w:lineRule="auto"/>
        <w:tabs>
          <w:tab w:leader="none" w:pos="48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spacing w:after="0" w:line="195" w:lineRule="exact"/>
        <w:rPr>
          <w:rFonts w:ascii="Times New Roman" w:cs="Times New Roman" w:eastAsia="Times New Roman" w:hAnsi="Times New Roman"/>
          <w:sz w:val="20"/>
          <w:szCs w:val="20"/>
          <w:color w:val="auto"/>
        </w:rPr>
      </w:pPr>
    </w:p>
    <w:p>
      <w:pPr>
        <w:jc w:val="both"/>
        <w:ind w:firstLine="8"/>
        <w:spacing w:after="0" w:line="253" w:lineRule="auto"/>
        <w:tabs>
          <w:tab w:leader="none" w:pos="42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fail to make any payment required to be made by it pursuant to Section 2.05, 2.06(d) or 2.06(e), 2.07(b), 2.18(e) or 9.03(c), then the Administrative Agent may, in its discretion (notwithstanding any contrary provision hereof), (i) apply any amounts thereafter received by the Administrative Agent for the account of such Lender and for the benefit of the Administrative Agent or an Issuing Bank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2.19. </w:t>
      </w:r>
      <w:r>
        <w:rPr>
          <w:rFonts w:ascii="Times New Roman" w:cs="Times New Roman" w:eastAsia="Times New Roman" w:hAnsi="Times New Roman"/>
          <w:sz w:val="20"/>
          <w:szCs w:val="20"/>
          <w:u w:val="single" w:color="auto"/>
          <w:color w:val="auto"/>
        </w:rPr>
        <w:t>Mitigation Obligations; Replacement of Lenders</w:t>
      </w:r>
      <w:r>
        <w:rPr>
          <w:rFonts w:ascii="Times New Roman" w:cs="Times New Roman" w:eastAsia="Times New Roman" w:hAnsi="Times New Roman"/>
          <w:sz w:val="20"/>
          <w:szCs w:val="20"/>
          <w:color w:val="auto"/>
        </w:rPr>
        <w:t>. (a) If any Lender requests compensation under Section 2.15, or the Borrower is required to pay any additional amount to any Lender or any Governmental Authority for the account of any Lender pursuant to Section 2.17,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5" w:lineRule="exact"/>
        <w:rPr>
          <w:sz w:val="20"/>
          <w:szCs w:val="20"/>
          <w:color w:val="auto"/>
        </w:rPr>
      </w:pPr>
    </w:p>
    <w:p>
      <w:pPr>
        <w:jc w:val="both"/>
        <w:ind w:firstLine="8"/>
        <w:spacing w:after="0" w:line="250" w:lineRule="auto"/>
        <w:tabs>
          <w:tab w:leader="none" w:pos="45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any Lender requests compensation under Section 2.15, (B) the Borrower is required to pay any additional amount to any Lender or any Governmental Authority for the account of any Lender pursuant to Section 2.17 or (C)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have received the prior written consent of the Administrative Agent (and if a Commitment is being assigned, the Issuing Banks and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party hereto agrees that (a) an assignment required pursuant to this paragraph or in connection with the replacement of a Non-Consenting Lender under Section 9.02(e)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2.20.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xml:space="preserve"> Notwithstanding any provision of this Agreement to the contrary, if any Lender becomes a Defaulting Lender, then the following provisions shall apply for so long as such Lender is a Defaulting Lender:</w:t>
      </w:r>
    </w:p>
    <w:p>
      <w:pPr>
        <w:spacing w:after="0" w:line="173" w:lineRule="exact"/>
        <w:rPr>
          <w:sz w:val="20"/>
          <w:szCs w:val="20"/>
          <w:color w:val="auto"/>
        </w:rPr>
      </w:pPr>
    </w:p>
    <w:p>
      <w:pPr>
        <w:ind w:left="420" w:hanging="412"/>
        <w:spacing w:after="0"/>
        <w:tabs>
          <w:tab w:leader="none" w:pos="4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shall cease to accrue on the unfunded portion of the Commitment of such Defaulting Lender pursuant to Section 2.12(a);</w:t>
      </w:r>
    </w:p>
    <w:p>
      <w:pPr>
        <w:spacing w:after="0" w:line="229" w:lineRule="exact"/>
        <w:rPr>
          <w:rFonts w:ascii="Times New Roman" w:cs="Times New Roman" w:eastAsia="Times New Roman" w:hAnsi="Times New Roman"/>
          <w:sz w:val="20"/>
          <w:szCs w:val="20"/>
          <w:color w:val="auto"/>
        </w:rPr>
      </w:pPr>
    </w:p>
    <w:p>
      <w:pPr>
        <w:jc w:val="both"/>
        <w:ind w:firstLine="8"/>
        <w:spacing w:after="0" w:line="261" w:lineRule="auto"/>
        <w:tabs>
          <w:tab w:leader="none" w:pos="522"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any Issuing Bank or Swingline Lender hereunder;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cash collateralize LC Exposure with respect to such Defaulting Lender in accordance with this Section;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xml:space="preserve">,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19"/>
          <w:szCs w:val="19"/>
          <w:u w:val="single" w:color="auto"/>
          <w:color w:val="auto"/>
        </w:rPr>
        <w:t>seventh</w:t>
      </w:r>
      <w:r>
        <w:rPr>
          <w:rFonts w:ascii="Times New Roman" w:cs="Times New Roman" w:eastAsia="Times New Roman" w:hAnsi="Times New Roman"/>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9"/>
          <w:szCs w:val="19"/>
          <w:u w:val="single" w:color="auto"/>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w:t>
      </w:r>
    </w:p>
    <w:p>
      <w:pPr>
        <w:spacing w:after="0" w:line="12" w:lineRule="exact"/>
        <w:rPr>
          <w:rFonts w:ascii="Times New Roman" w:cs="Times New Roman" w:eastAsia="Times New Roman" w:hAnsi="Times New Roman"/>
          <w:sz w:val="19"/>
          <w:szCs w:val="19"/>
          <w:color w:val="auto"/>
        </w:rPr>
      </w:pPr>
    </w:p>
    <w:p>
      <w:pPr>
        <w:jc w:val="both"/>
        <w:ind w:firstLine="8"/>
        <w:spacing w:after="0" w:line="250" w:lineRule="auto"/>
        <w:tabs>
          <w:tab w:leader="none" w:pos="29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72" w:lineRule="exact"/>
        <w:rPr>
          <w:sz w:val="20"/>
          <w:szCs w:val="20"/>
          <w:color w:val="auto"/>
        </w:rPr>
      </w:pPr>
    </w:p>
    <w:p>
      <w:pPr>
        <w:jc w:val="both"/>
        <w:ind w:firstLine="8"/>
        <w:spacing w:after="0" w:line="258" w:lineRule="auto"/>
        <w:tabs>
          <w:tab w:leader="none" w:pos="41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Commitment and Revolving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(c) shall not apply to the vote of a Defaulting Lender in the case of an amendment, waiver or other modification requiring the consent of such Lender or each Lender affected thereby;</w:t>
      </w:r>
    </w:p>
    <w:p>
      <w:pPr>
        <w:spacing w:after="0" w:line="18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Swingline Exposure or LC Exposure exists at the time such Lender becomes a Defaulting Lender then:</w:t>
      </w:r>
    </w:p>
    <w:p>
      <w:pPr>
        <w:spacing w:after="0" w:line="215" w:lineRule="exact"/>
        <w:rPr>
          <w:rFonts w:ascii="Times New Roman" w:cs="Times New Roman" w:eastAsia="Times New Roman" w:hAnsi="Times New Roman"/>
          <w:sz w:val="20"/>
          <w:szCs w:val="20"/>
          <w:color w:val="auto"/>
        </w:rPr>
      </w:pPr>
    </w:p>
    <w:p>
      <w:pPr>
        <w:jc w:val="both"/>
        <w:ind w:left="1300" w:firstLine="4"/>
        <w:spacing w:after="0" w:line="257" w:lineRule="auto"/>
        <w:tabs>
          <w:tab w:leader="none" w:pos="178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the Dollar Amount of such non-Defaulting Lender’s Revolving Exposure to exceed its Commitment;</w:t>
      </w:r>
    </w:p>
    <w:p>
      <w:pPr>
        <w:spacing w:after="0" w:line="172"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reallocation described in clause (i) above cannot, or can only partially, be effected, the Borrower shall within two</w:t>
      </w:r>
    </w:p>
    <w:p>
      <w:pPr>
        <w:spacing w:after="0" w:line="39" w:lineRule="exact"/>
        <w:rPr>
          <w:rFonts w:ascii="Times New Roman" w:cs="Times New Roman" w:eastAsia="Times New Roman" w:hAnsi="Times New Roman"/>
          <w:sz w:val="19"/>
          <w:szCs w:val="19"/>
          <w:color w:val="auto"/>
        </w:rPr>
      </w:pPr>
    </w:p>
    <w:p>
      <w:pPr>
        <w:jc w:val="both"/>
        <w:ind w:left="130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(2) Business Days following notice by the Administrative Agent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such Swingline Exposure (without penalty or premium)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cash collateralize for the benefit of the applicable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95" w:lineRule="exact"/>
        <w:rPr>
          <w:rFonts w:ascii="Times New Roman" w:cs="Times New Roman" w:eastAsia="Times New Roman" w:hAnsi="Times New Roman"/>
          <w:sz w:val="19"/>
          <w:szCs w:val="19"/>
          <w:color w:val="auto"/>
        </w:rPr>
      </w:pPr>
    </w:p>
    <w:p>
      <w:pPr>
        <w:jc w:val="both"/>
        <w:ind w:left="1300" w:firstLine="4"/>
        <w:spacing w:after="0" w:line="281" w:lineRule="auto"/>
        <w:tabs>
          <w:tab w:leader="none" w:pos="1805"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164" w:lineRule="exact"/>
        <w:rPr>
          <w:rFonts w:ascii="Times New Roman" w:cs="Times New Roman" w:eastAsia="Times New Roman" w:hAnsi="Times New Roman"/>
          <w:sz w:val="19"/>
          <w:szCs w:val="19"/>
          <w:color w:val="auto"/>
        </w:rPr>
      </w:pPr>
    </w:p>
    <w:p>
      <w:pPr>
        <w:jc w:val="both"/>
        <w:ind w:left="1300" w:firstLine="4"/>
        <w:spacing w:after="0" w:line="261" w:lineRule="auto"/>
        <w:tabs>
          <w:tab w:leader="none" w:pos="1816"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167" w:lineRule="exact"/>
        <w:rPr>
          <w:rFonts w:ascii="Times New Roman" w:cs="Times New Roman" w:eastAsia="Times New Roman" w:hAnsi="Times New Roman"/>
          <w:sz w:val="20"/>
          <w:szCs w:val="20"/>
          <w:color w:val="auto"/>
        </w:rPr>
      </w:pPr>
    </w:p>
    <w:p>
      <w:pPr>
        <w:jc w:val="both"/>
        <w:ind w:left="1300" w:firstLine="4"/>
        <w:spacing w:after="0" w:line="257" w:lineRule="auto"/>
        <w:tabs>
          <w:tab w:leader="none" w:pos="1753"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any portion of such Defaulting Lender’s LC Exposure is neither reallocated nor cash collateralized pursuant to clause (i) or (ii) above, then, without prejudice to any rights or remedies of any Issuing Bank or any other Lender hereunder, all letter of credit fees payable under Section 2.12(b) with respect to such Defaulting Lender’s LC Exposure shall be payable ratably to the applicable Issuing Banks until and to the extent that such LC Exposure is reallocated and/or cash collateralized;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9" w:lineRule="exact"/>
        <w:rPr>
          <w:sz w:val="20"/>
          <w:szCs w:val="20"/>
          <w:color w:val="auto"/>
        </w:rPr>
      </w:pPr>
    </w:p>
    <w:p>
      <w:pPr>
        <w:jc w:val="both"/>
        <w:ind w:firstLine="8"/>
        <w:spacing w:after="0" w:line="253" w:lineRule="auto"/>
        <w:tabs>
          <w:tab w:leader="none" w:pos="43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such Lender is a Defaulting Lender, no Swingline Lender shall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2.20(d), and Swingline Exposure related to any newly made Swingline Loan or LC Exposure related to any newly issued or increased Letter of Credit shall be allocated among non-Defaulting Lenders in a manner consistent with Section 2.20(d)(i) (and such Defaulting Lender shall not participate therein).</w:t>
      </w:r>
    </w:p>
    <w:p>
      <w:pPr>
        <w:spacing w:after="0" w:line="192" w:lineRule="exact"/>
        <w:rPr>
          <w:rFonts w:ascii="Times New Roman" w:cs="Times New Roman" w:eastAsia="Times New Roman" w:hAnsi="Times New Roman"/>
          <w:sz w:val="20"/>
          <w:szCs w:val="20"/>
          <w:color w:val="auto"/>
        </w:rPr>
      </w:pPr>
    </w:p>
    <w:p>
      <w:pPr>
        <w:jc w:val="both"/>
        <w:ind w:firstLine="8"/>
        <w:spacing w:after="0" w:line="253" w:lineRule="auto"/>
        <w:tabs>
          <w:tab w:leader="none" w:pos="39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a Bankruptcy Event or a Bail-In Action with respect to a Parent of any Lender shall occur following the date hereof and for so long as such event shall continue or (ii) any Swingline Lender or the Issuing Banks have a good-faith belief that any Lender has defaulted in fulfilling its obligations under one or more other agreements in which such Lender commits to extend credit, the Swingline Lender shall not be required to fund any Swingline Loan and the Issuing Banks shall not be required to issue, amend or increase any Letter of Credit, unless the Swingline Lender or the Issuing Banks, as the case may be, shall have entered into arrangements with the Borrower or such Lender, satisfactory to the Swingline Lender and the Issuing Banks, as the case may be, to defease any risk to it in respect of such Lender hereunder.</w:t>
      </w:r>
    </w:p>
    <w:p>
      <w:pPr>
        <w:spacing w:after="0" w:line="178" w:lineRule="exact"/>
        <w:rPr>
          <w:rFonts w:ascii="Times New Roman" w:cs="Times New Roman" w:eastAsia="Times New Roman" w:hAnsi="Times New Roman"/>
          <w:sz w:val="20"/>
          <w:szCs w:val="20"/>
          <w:color w:val="auto"/>
        </w:rPr>
      </w:pPr>
    </w:p>
    <w:p>
      <w:pPr>
        <w:jc w:val="both"/>
        <w:ind w:firstLine="8"/>
        <w:spacing w:after="0" w:line="257" w:lineRule="auto"/>
        <w:tabs>
          <w:tab w:leader="none" w:pos="49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Administrative Agent, the Borrower, the Swingline Lender and the Issuing Banks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2.21.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If for the purposes of obtaining judgment in any court it is necessary to convert a sum due from the Borrower hereunder in the currency expressed to be payable herein (the “</w:t>
      </w:r>
      <w:r>
        <w:rPr>
          <w:rFonts w:ascii="Times New Roman" w:cs="Times New Roman" w:eastAsia="Times New Roman" w:hAnsi="Times New Roman"/>
          <w:sz w:val="20"/>
          <w:szCs w:val="20"/>
          <w:u w:val="single" w:color="auto"/>
          <w:color w:val="auto"/>
        </w:rPr>
        <w:t>specified currency</w:t>
      </w:r>
      <w:r>
        <w:rPr>
          <w:rFonts w:ascii="Times New Roman" w:cs="Times New Roman" w:eastAsia="Times New Roman" w:hAnsi="Times New Roman"/>
          <w:sz w:val="20"/>
          <w:szCs w:val="20"/>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4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Borrower represents and warrants to the Lenders that: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Organization; Powers</w:t>
      </w:r>
      <w:r>
        <w:rPr>
          <w:rFonts w:ascii="Times New Roman" w:cs="Times New Roman" w:eastAsia="Times New Roman" w:hAnsi="Times New Roman"/>
          <w:sz w:val="20"/>
          <w:szCs w:val="20"/>
          <w:color w:val="auto"/>
        </w:rPr>
        <w:t>. Each Loan Party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Transactions are within each Loan Party’s corporate powers and have been duly authorized by all necessary corporate and, if required, stockholder action.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Governmental Approvals; No Conflicts</w:t>
      </w:r>
      <w:r>
        <w:rPr>
          <w:rFonts w:ascii="Times New Roman" w:cs="Times New Roman" w:eastAsia="Times New Roman" w:hAnsi="Times New Roman"/>
          <w:sz w:val="20"/>
          <w:szCs w:val="20"/>
          <w:color w:val="auto"/>
        </w:rPr>
        <w:t>.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the Borrower or any of its Subsidiaries, (c) will not violate or result in a default under any indenture, agreement or other instrument binding upon the Borrower or any of its Subsidiaries or its assets, or give rise to a right thereunder to require any payment to be made by the Borrower or any of its Subsidiaries, and (d) will not result in the creation or imposition of any Lien on any asset of the Borrower or any of its Subsidiaries, except Liens created pursuant to the Loan Documents.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Financial Condition; No Material Adverse Change</w:t>
      </w:r>
      <w:r>
        <w:rPr>
          <w:rFonts w:ascii="Times New Roman" w:cs="Times New Roman" w:eastAsia="Times New Roman" w:hAnsi="Times New Roman"/>
          <w:sz w:val="20"/>
          <w:szCs w:val="20"/>
          <w:color w:val="auto"/>
        </w:rPr>
        <w:t>. (a) The Borrower has heretofore furnished to the Lenders its consolidated balance sheet and statements of income, stockholders equity and cash flows (i) as of and for the fiscal years ended December 31, 2021 and December 31, 2022 reported on by Crowe LLP, independent public accountants, and (ii) as of and for the fiscal quarter and the portion of the fiscal year ended March 31, 2023, certified as to the matters set forth in the immediately following sentence by a Financial Officer on behalf of the Borrower. Such financial statements present fairly, in all material respects, the financial position and results of operations and cash flows of the Borrower and its consolidated Subsidiaries as of such dates and for such periods in accordance with GAAP, subject to year end audit adjustments and the absence of footnotes in the case of the statements referred to in clause (ii) above.</w:t>
      </w:r>
    </w:p>
    <w:p>
      <w:pPr>
        <w:spacing w:after="0" w:line="179" w:lineRule="exact"/>
        <w:rPr>
          <w:sz w:val="20"/>
          <w:szCs w:val="20"/>
          <w:color w:val="auto"/>
        </w:rPr>
      </w:pPr>
    </w:p>
    <w:p>
      <w:pPr>
        <w:ind w:firstLine="8"/>
        <w:spacing w:after="0" w:line="283" w:lineRule="auto"/>
        <w:tabs>
          <w:tab w:leader="none" w:pos="51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2022, there has been no material adverse change in the business, assets, property or financial condition of the Borrower and its Subsidiaries, taken as a whole.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(a) Each of the Loan Parties has good title to, or valid leasehold interests in, all its real and personal property (except for defects in title that do not materially interfere with its ability to conduct its business or to utilize such properties for their intended purposes), free of all Liens other than those permitted by Section 6.02.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9" w:lineRule="exact"/>
        <w:rPr>
          <w:sz w:val="20"/>
          <w:szCs w:val="20"/>
          <w:color w:val="auto"/>
        </w:rPr>
      </w:pPr>
    </w:p>
    <w:p>
      <w:pPr>
        <w:jc w:val="both"/>
        <w:ind w:firstLine="8"/>
        <w:spacing w:after="0" w:line="261" w:lineRule="auto"/>
        <w:tabs>
          <w:tab w:leader="none" w:pos="42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own, or are licensed to use, all trademarks, tradenames, copyrights, patents and other intellectual property necessary to their business as currently conducted, and the use thereof by the Loan Parties does not infringe in any material respect upon the rights of any other Person.</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u w:val="single" w:color="auto"/>
          <w:color w:val="auto"/>
        </w:rPr>
        <w:t>Litigation and Environmental Matters</w:t>
      </w:r>
      <w:r>
        <w:rPr>
          <w:rFonts w:ascii="Times New Roman" w:cs="Times New Roman" w:eastAsia="Times New Roman" w:hAnsi="Times New Roman"/>
          <w:sz w:val="20"/>
          <w:szCs w:val="20"/>
          <w:color w:val="auto"/>
        </w:rPr>
        <w:t>. (a) There are no actions, suits or proceedings by or before any arbitrator or Governmental Authority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(other than the Disclosed Matters) or (ii) that involve this Agreement or the Transactions.</w:t>
      </w:r>
    </w:p>
    <w:p>
      <w:pPr>
        <w:spacing w:after="0" w:line="192" w:lineRule="exact"/>
        <w:rPr>
          <w:sz w:val="20"/>
          <w:szCs w:val="20"/>
          <w:color w:val="auto"/>
        </w:rPr>
      </w:pPr>
    </w:p>
    <w:p>
      <w:pPr>
        <w:jc w:val="both"/>
        <w:ind w:firstLine="8"/>
        <w:spacing w:after="0" w:line="276" w:lineRule="auto"/>
        <w:tabs>
          <w:tab w:leader="none" w:pos="577"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the Disclosed Matters and except with respect to any other matters that, individually or in the aggregate, could not reasonably be expected to result in a Material Adverse Effect, none of the Borrower or any of its Subsidiaries (i) has received notice of any claim with respect to any Environmental Liability, (ii) has failed to comply with any Environmental Law or to obtain, maintain or comply with any permit, license or other approval required under any Environmental Law, or (iii) has become subject to any Environmental Liability.</w:t>
      </w:r>
    </w:p>
    <w:p>
      <w:pPr>
        <w:spacing w:after="0" w:line="156" w:lineRule="exact"/>
        <w:rPr>
          <w:rFonts w:ascii="Times New Roman" w:cs="Times New Roman" w:eastAsia="Times New Roman" w:hAnsi="Times New Roman"/>
          <w:sz w:val="19"/>
          <w:szCs w:val="19"/>
          <w:color w:val="auto"/>
        </w:rPr>
      </w:pPr>
    </w:p>
    <w:p>
      <w:pPr>
        <w:ind w:firstLine="8"/>
        <w:spacing w:after="0" w:line="283" w:lineRule="auto"/>
        <w:tabs>
          <w:tab w:leader="none" w:pos="44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Compliance with Laws and Agreements</w:t>
      </w:r>
      <w:r>
        <w:rPr>
          <w:rFonts w:ascii="Times New Roman" w:cs="Times New Roman" w:eastAsia="Times New Roman" w:hAnsi="Times New Roman"/>
          <w:sz w:val="20"/>
          <w:szCs w:val="20"/>
          <w:color w:val="auto"/>
        </w:rPr>
        <w:t>. Each of the Borrower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6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Neither the Borrower nor any of its Subsidiaries is an “investment company” as defined in, or subject to regulation under, the Investment Company Act of 1940.</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SECTION 3.09.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Each of the Borrower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to the extent that the failure to do so could not be expected to result in a Material Adverse Effect.</w:t>
      </w:r>
    </w:p>
    <w:p>
      <w:pPr>
        <w:spacing w:after="0" w:line="21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No ERISA Event has occurred or is reasonably expected to occur that, when taken together with all other such ERISA Events for which liability is reasonably expected to occur, would reasonably be expected to result in a Material Adverse Effect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(a)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the Borrower to the Administrative Agent or any Lender in connection with the negotiation of this Agreement or any other Loan Document (as modified or supplemented by other information so furnished) or delivered hereunder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Borrower represents only that such information was prepared in good faith based upon assumptions believed to be reasonable at the time delivered.</w:t>
      </w:r>
    </w:p>
    <w:p>
      <w:pPr>
        <w:spacing w:after="0" w:line="176" w:lineRule="exact"/>
        <w:rPr>
          <w:sz w:val="20"/>
          <w:szCs w:val="20"/>
          <w:color w:val="auto"/>
        </w:rPr>
      </w:pPr>
    </w:p>
    <w:p>
      <w:pPr>
        <w:ind w:firstLine="8"/>
        <w:spacing w:after="0" w:line="283" w:lineRule="auto"/>
        <w:tabs>
          <w:tab w:leader="none" w:pos="48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 Immediately after the consummation of the Transactions to occur on the Effective Date, (i) the fair value of the assets of the Borrower, at a fair valuation, will exceed its debts and liabilities, subordinated, contingent or otherwise; (ii) the present fair saleable value of the property of the Borrower will be greater than the amount that will be required to pay the probable liability of its debts and other liabilities, subordinated, contingent or otherwise, as such debts and other liabilities become absolute and matured; (iii) the Borrower will be able to pay its debts and liabilities, subordinated, contingent or otherwise, as such debts and liabilities become absolute and matured; and (iv) the Borrower will not have unreasonably small capital with which to conduct the business in which it is engaged as such business is now conducted and is proposed to be conducted after the Effective Date.</w:t>
      </w:r>
    </w:p>
    <w:p>
      <w:pPr>
        <w:spacing w:after="0" w:line="193" w:lineRule="exact"/>
        <w:rPr>
          <w:sz w:val="20"/>
          <w:szCs w:val="20"/>
          <w:color w:val="auto"/>
        </w:rPr>
      </w:pPr>
    </w:p>
    <w:p>
      <w:pPr>
        <w:jc w:val="both"/>
        <w:ind w:firstLine="8"/>
        <w:spacing w:after="0" w:line="254" w:lineRule="auto"/>
        <w:tabs>
          <w:tab w:leader="none" w:pos="4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does not intend to, nor will it permit any of its Subsidiaries to, and the Borrower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3.13.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3.14. </w:t>
      </w:r>
      <w:r>
        <w:rPr>
          <w:rFonts w:ascii="Times New Roman" w:cs="Times New Roman" w:eastAsia="Times New Roman" w:hAnsi="Times New Roman"/>
          <w:sz w:val="20"/>
          <w:szCs w:val="20"/>
          <w:u w:val="single" w:color="auto"/>
          <w:color w:val="auto"/>
        </w:rPr>
        <w:t>Capitalization and 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3.14</w:t>
      </w:r>
      <w:r>
        <w:rPr>
          <w:rFonts w:ascii="Times New Roman" w:cs="Times New Roman" w:eastAsia="Times New Roman" w:hAnsi="Times New Roman"/>
          <w:sz w:val="20"/>
          <w:szCs w:val="20"/>
          <w:color w:val="auto"/>
        </w:rPr>
        <w:t xml:space="preserve"> sets forth (a) a correct and complete list of the name and relationship to the Borrower of each and all of the Borrower’s Subsidiaries and (b) the type of entity of the Borrower and each of its Subsidiaries. All of the issued and outstanding Equity Interests owned by any Loan Party has been (to the extent such concepts are relevant with respect to such ownership interests) duly authorized and issued and is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3.15. </w:t>
      </w:r>
      <w:r>
        <w:rPr>
          <w:rFonts w:ascii="Times New Roman" w:cs="Times New Roman" w:eastAsia="Times New Roman" w:hAnsi="Times New Roman"/>
          <w:sz w:val="20"/>
          <w:szCs w:val="20"/>
          <w:u w:val="single" w:color="auto"/>
          <w:color w:val="auto"/>
        </w:rPr>
        <w:t>Security Interest in Collateral</w:t>
      </w:r>
      <w:r>
        <w:rPr>
          <w:rFonts w:ascii="Times New Roman" w:cs="Times New Roman" w:eastAsia="Times New Roman" w:hAnsi="Times New Roman"/>
          <w:sz w:val="20"/>
          <w:szCs w:val="20"/>
          <w:color w:val="auto"/>
        </w:rPr>
        <w:t xml:space="preserve">. The provisions of this Agreement and the other Loan Documents create legal and valid Liens on all the Collateral in favor of the Administrative Agent, for the benefit of the Holders of Secured Obligations, and, in the case of Liens which can be perfected by the filing of UCC financing statements, upon the filing of the financing statements identified in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such Liens constitute perfected and continuing Liens on the Collateral, securing the Secured Obligations, enforceable against the applicable Loan Party and all third parties, and having priority over all other Liens on the Collateral except in the case of (a) any Liens permitted under Section 6.02 and (b) Liens perfected only by possession or control to the extent the Administrative Agent has not obtained or does not maintain possession or control of such Collateral in accordance with applicable law.</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3.16. </w:t>
      </w:r>
      <w:r>
        <w:rPr>
          <w:rFonts w:ascii="Times New Roman" w:cs="Times New Roman" w:eastAsia="Times New Roman" w:hAnsi="Times New Roman"/>
          <w:sz w:val="20"/>
          <w:szCs w:val="20"/>
          <w:u w:val="single" w:color="auto"/>
          <w:color w:val="auto"/>
        </w:rPr>
        <w:t>Labor Disputes</w:t>
      </w:r>
      <w:r>
        <w:rPr>
          <w:rFonts w:ascii="Times New Roman" w:cs="Times New Roman" w:eastAsia="Times New Roman" w:hAnsi="Times New Roman"/>
          <w:sz w:val="20"/>
          <w:szCs w:val="20"/>
          <w:color w:val="auto"/>
        </w:rPr>
        <w:t>. As of the Effective Date, there are no strikes, lockouts or slowdowns against the Borrower or any Subsidiary pending or, to the knowledge of the Borrower, threatened. There are no labor controversies pending against or, to the knowledge of the Borrower, threatened against or affecting the Borrower or any of its Subsidiaries (i) which could reasonably be expected, individually or in the aggregate, to result in a Material Adverse Effect, or (ii) that involve this Agreement or the Transactions.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has occurred and is continuing.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3.18. </w:t>
      </w:r>
      <w:r>
        <w:rPr>
          <w:rFonts w:ascii="Times New Roman" w:cs="Times New Roman" w:eastAsia="Times New Roman" w:hAnsi="Times New Roman"/>
          <w:sz w:val="20"/>
          <w:szCs w:val="20"/>
          <w:u w:val="single" w:color="auto"/>
          <w:color w:val="auto"/>
        </w:rPr>
        <w:t>Anti-Corruption Laws and Sanctions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8"/>
        <w:spacing w:after="0" w:line="261" w:lineRule="auto"/>
        <w:tabs>
          <w:tab w:leader="none" w:pos="43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its Subsidiaries, and their respective directors, officers and, to the knowledge of Borrower, employees are in compliance with all applicable Sanctions in all material respects. The Borrower and its Subsidiaries have instituted and maintain policies and procedures reasonably designed to ensure compliance with applicable Sanctions.</w:t>
      </w:r>
    </w:p>
    <w:p>
      <w:pPr>
        <w:spacing w:after="0" w:line="181" w:lineRule="exact"/>
        <w:rPr>
          <w:rFonts w:ascii="Times New Roman" w:cs="Times New Roman" w:eastAsia="Times New Roman" w:hAnsi="Times New Roman"/>
          <w:sz w:val="20"/>
          <w:szCs w:val="20"/>
          <w:color w:val="auto"/>
        </w:rPr>
      </w:pPr>
    </w:p>
    <w:p>
      <w:pPr>
        <w:jc w:val="both"/>
        <w:ind w:firstLine="8"/>
        <w:spacing w:after="0" w:line="251" w:lineRule="auto"/>
        <w:tabs>
          <w:tab w:leader="none" w:pos="45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Borrower, any Subsidiary, or, to the knowledge of Borrower, any of their respective directors, officers or employees, is an individual or entity that is, or is owned fifty percent or more or controlled by persons that are: (i) the subject of any sanctions or similar restrictions administered or enforced by OFAC, the U.S. Department of State, the United Nations Security Council, or, as applicable, the European Union, any European Union member state, His Majesty’s Treasury of the United Kingdom or other relevant sanctions authority (collectively, “Sanctions”) or (ii) located, organized or resident in a country or territory that is subject of comprehensive Sanctions (as of the date of this Agreement, the so-called Donetsk People’s Republic, the so-called Luhansk People’s Republic, the Crimea, Zaporizhzhia and Kherson Regions of Ukraine, Cuba, Iran, North Korea and Syria).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3.19. </w:t>
      </w:r>
      <w:r>
        <w:rPr>
          <w:rFonts w:ascii="Times New Roman" w:cs="Times New Roman" w:eastAsia="Times New Roman" w:hAnsi="Times New Roman"/>
          <w:sz w:val="20"/>
          <w:szCs w:val="20"/>
          <w:u w:val="single" w:color="auto"/>
          <w:color w:val="auto"/>
        </w:rPr>
        <w:t>Affected Financial Institutions</w:t>
      </w:r>
      <w:r>
        <w:rPr>
          <w:rFonts w:ascii="Times New Roman" w:cs="Times New Roman" w:eastAsia="Times New Roman" w:hAnsi="Times New Roman"/>
          <w:sz w:val="20"/>
          <w:szCs w:val="20"/>
          <w:color w:val="auto"/>
        </w:rPr>
        <w:t>. No Loan Party is an Affected Financial Institution.</w:t>
      </w:r>
    </w:p>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SECTION 3.20. </w:t>
      </w:r>
      <w:r>
        <w:rPr>
          <w:rFonts w:ascii="Times New Roman" w:cs="Times New Roman" w:eastAsia="Times New Roman" w:hAnsi="Times New Roman"/>
          <w:sz w:val="19"/>
          <w:szCs w:val="19"/>
          <w:u w:val="single" w:color="auto"/>
          <w:color w:val="auto"/>
        </w:rPr>
        <w:t>Plan Assets; Prohibited Transactions</w:t>
      </w:r>
      <w:r>
        <w:rPr>
          <w:rFonts w:ascii="Times New Roman" w:cs="Times New Roman" w:eastAsia="Times New Roman" w:hAnsi="Times New Roman"/>
          <w:sz w:val="19"/>
          <w:szCs w:val="19"/>
          <w:color w:val="auto"/>
        </w:rPr>
        <w:t>. None of the Borrower or any of its Subsidiaries is an entity deemed to hold “plan assets” (within the meaning of the Plan Asset Regulation), and, assuming that no portion of any Loan is funded or held with “plan assets” (within the meaning of the Plan Asset Regulation) neither the execution, delivery nor performance of the Transactions, including the making of any Loan and the issuance of any Letter of Credit hereunder, will give rise to a non-exempt prohibited transaction under (i) Section 406(a) of ERISA or Section 4975(c)(1)(A) - (D) of the Code, or (ii) to the knowledge of the Borrower, Section 4.06(b) of ERISA or Section 4975(c)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 or (F) of the Code.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3.21. </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xml:space="preserve"> . No Loan Party is a Covered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w:t>
      </w:r>
    </w:p>
    <w:p>
      <w:pPr>
        <w:spacing w:after="0" w:line="2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46" w:lineRule="exact"/>
        <w:rPr>
          <w:sz w:val="20"/>
          <w:szCs w:val="20"/>
          <w:color w:val="auto"/>
        </w:rPr>
      </w:pPr>
    </w:p>
    <w:p>
      <w:pPr>
        <w:jc w:val="both"/>
        <w:ind w:firstLine="8"/>
        <w:spacing w:after="0" w:line="256" w:lineRule="auto"/>
        <w:tabs>
          <w:tab w:leader="none" w:pos="485"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The Administrative Agent (or its counsel)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w:t>
      </w:r>
    </w:p>
    <w:p>
      <w:pPr>
        <w:spacing w:after="0" w:line="1" w:lineRule="exact"/>
        <w:rPr>
          <w:rFonts w:ascii="Times New Roman" w:cs="Times New Roman" w:eastAsia="Times New Roman" w:hAnsi="Times New Roman"/>
          <w:sz w:val="20"/>
          <w:szCs w:val="20"/>
          <w:color w:val="auto"/>
        </w:rPr>
      </w:pPr>
    </w:p>
    <w:p>
      <w:pPr>
        <w:jc w:val="both"/>
        <w:ind w:firstLine="8"/>
        <w:spacing w:after="0" w:line="251" w:lineRule="auto"/>
        <w:tabs>
          <w:tab w:leader="none" w:pos="30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duly executed copies of the Loan Documents and such other legal opinions,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all in form and substance satisfactory to the Administrative Agent and its counsel and as further described in the list of closing documents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8"/>
        <w:spacing w:after="0" w:line="252" w:lineRule="auto"/>
        <w:tabs>
          <w:tab w:leader="none" w:pos="44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 and Projections</w:t>
      </w:r>
      <w:r>
        <w:rPr>
          <w:rFonts w:ascii="Times New Roman" w:cs="Times New Roman" w:eastAsia="Times New Roman" w:hAnsi="Times New Roman"/>
          <w:sz w:val="20"/>
          <w:szCs w:val="20"/>
          <w:color w:val="auto"/>
        </w:rPr>
        <w:t>. The Lenders shall have received (i) audited consolidated financial statements of the Borrower for the 2021 and 2022 fiscal years, (ii) unaudited interim consolidated financial statements of the Borrower for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Borrower, as reflected in the financial statements or projections contained in the Information Memorandum and (iii) satisfactory projections through 2027, together with such information as the Administrative Agent and the Lenders shall reasonably request (including, without limitation, a detailed description of the assumptions used in preparing such projections) it being understood, however, that the management reports previously provided by the Borrower to the Administrative Agent are in form and scope acceptable to the Lenders.</w:t>
      </w:r>
    </w:p>
    <w:p>
      <w:pPr>
        <w:spacing w:after="0" w:line="175" w:lineRule="exact"/>
        <w:rPr>
          <w:rFonts w:ascii="Times New Roman" w:cs="Times New Roman" w:eastAsia="Times New Roman" w:hAnsi="Times New Roman"/>
          <w:sz w:val="20"/>
          <w:szCs w:val="20"/>
          <w:color w:val="auto"/>
        </w:rPr>
      </w:pPr>
    </w:p>
    <w:p>
      <w:pPr>
        <w:jc w:val="both"/>
        <w:ind w:firstLine="8"/>
        <w:spacing w:after="0" w:line="258" w:lineRule="auto"/>
        <w:tabs>
          <w:tab w:leader="none" w:pos="41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Certificate</w:t>
      </w:r>
      <w:r>
        <w:rPr>
          <w:rFonts w:ascii="Times New Roman" w:cs="Times New Roman" w:eastAsia="Times New Roman" w:hAnsi="Times New Roman"/>
          <w:sz w:val="20"/>
          <w:szCs w:val="20"/>
          <w:color w:val="auto"/>
        </w:rPr>
        <w:t>. The Administrative Agent shall have received a certificate, signed by the chief financial officer of the Borrower, on the initial Borrowing date (i) stating that no Default has occurred and is continuing, (ii) stating that the representations and warranties contained in Article III are true and correct as of such date, and (iii) certifying any other factual matters as may be reasonably requested by the Administrative Agent.</w:t>
      </w:r>
    </w:p>
    <w:p>
      <w:pPr>
        <w:spacing w:after="0" w:line="185" w:lineRule="exact"/>
        <w:rPr>
          <w:rFonts w:ascii="Times New Roman" w:cs="Times New Roman" w:eastAsia="Times New Roman" w:hAnsi="Times New Roman"/>
          <w:sz w:val="20"/>
          <w:szCs w:val="20"/>
          <w:color w:val="auto"/>
        </w:rPr>
      </w:pPr>
    </w:p>
    <w:p>
      <w:pPr>
        <w:jc w:val="both"/>
        <w:ind w:firstLine="8"/>
        <w:spacing w:after="0" w:line="258" w:lineRule="auto"/>
        <w:tabs>
          <w:tab w:leader="none" w:pos="46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and all expenses for which invoices have been presented (including the reasonable fees and expenses of legal counsel to the Administrative Agent), on or before the Effective Date. All such amounts will be paid with proceeds of Loans made on the Effective Date and will be reflected in the funding instructions given by the Borrower to the Administrative Agent on or before the Effective Date.</w:t>
      </w:r>
    </w:p>
    <w:p>
      <w:pPr>
        <w:spacing w:after="0" w:line="172" w:lineRule="exact"/>
        <w:rPr>
          <w:rFonts w:ascii="Times New Roman" w:cs="Times New Roman" w:eastAsia="Times New Roman" w:hAnsi="Times New Roman"/>
          <w:sz w:val="20"/>
          <w:szCs w:val="20"/>
          <w:color w:val="auto"/>
        </w:rPr>
      </w:pPr>
    </w:p>
    <w:p>
      <w:pPr>
        <w:jc w:val="both"/>
        <w:ind w:firstLine="8"/>
        <w:spacing w:after="0" w:line="258" w:lineRule="auto"/>
        <w:tabs>
          <w:tab w:leader="none" w:pos="51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xml:space="preserve">. The Administrative Agent shall have received the results of a recent lien search of the Uniform Commercial Code records of each jurisdiction and office identified on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and such search shall reveal no liens on any of the assets of the Loan Parties except for liens permitted by Section 6.02 or discharged on or prior to the Effective Date pursuant to a pay-off letter or other documentation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9" w:lineRule="exact"/>
        <w:rPr>
          <w:sz w:val="20"/>
          <w:szCs w:val="20"/>
          <w:color w:val="auto"/>
        </w:rPr>
      </w:pPr>
    </w:p>
    <w:p>
      <w:pPr>
        <w:jc w:val="both"/>
        <w:ind w:firstLine="8"/>
        <w:spacing w:after="0" w:line="251" w:lineRule="auto"/>
        <w:tabs>
          <w:tab w:leader="none" w:pos="571"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Customer Due Diligence</w:t>
      </w:r>
      <w:r>
        <w:rPr>
          <w:rFonts w:ascii="Times New Roman" w:cs="Times New Roman" w:eastAsia="Times New Roman" w:hAnsi="Times New Roman"/>
          <w:sz w:val="20"/>
          <w:szCs w:val="20"/>
          <w:color w:val="auto"/>
        </w:rPr>
        <w:t>. (i)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execution and delivery by such Lender of its signature page to this Agreement, the condition set forth in this clause (ii) shall be deemed to be satisfied).</w:t>
      </w:r>
    </w:p>
    <w:p>
      <w:pPr>
        <w:spacing w:after="0" w:line="19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8"/>
        <w:spacing w:after="0" w:line="283" w:lineRule="auto"/>
        <w:tabs>
          <w:tab w:leader="none" w:pos="44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Notice</w:t>
      </w:r>
      <w:r>
        <w:rPr>
          <w:rFonts w:ascii="Times New Roman" w:cs="Times New Roman" w:eastAsia="Times New Roman" w:hAnsi="Times New Roman"/>
          <w:sz w:val="20"/>
          <w:szCs w:val="20"/>
          <w:color w:val="auto"/>
        </w:rPr>
        <w:t>. The Administrative Agent shall notify the Borrower and the Lenders of the Effective Date, and such notice shall be conclusive and binding.</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Each Credit Event</w:t>
      </w:r>
      <w:r>
        <w:rPr>
          <w:rFonts w:ascii="Times New Roman" w:cs="Times New Roman" w:eastAsia="Times New Roman" w:hAnsi="Times New Roman"/>
          <w:sz w:val="20"/>
          <w:szCs w:val="20"/>
          <w:color w:val="auto"/>
        </w:rPr>
        <w:t>. The obligation of each Lender to make (but not convert, continue or extend) a Loan (other than a Loan which refinances a LC Disbursement in accordance with Section 2.06(e)), and of the Issuing Banks to issue, amend, renew or extend any Letter of Credit, is subject to the satisfaction of the following conditions:</w:t>
      </w:r>
    </w:p>
    <w:p>
      <w:pPr>
        <w:spacing w:after="0" w:line="168" w:lineRule="exact"/>
        <w:rPr>
          <w:sz w:val="20"/>
          <w:szCs w:val="20"/>
          <w:color w:val="auto"/>
        </w:rPr>
      </w:pPr>
    </w:p>
    <w:p>
      <w:pPr>
        <w:jc w:val="both"/>
        <w:ind w:firstLine="8"/>
        <w:spacing w:after="0" w:line="253" w:lineRule="auto"/>
        <w:tabs>
          <w:tab w:leader="none" w:pos="42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Borrower set forth in this Agreement shall be true and correct in all material respects (or in all respects to the extent that any representation or warranty is qualified by materiality or Material Adverse Effect) on and as of the date of such Loan or the date of issuance, amendment, renewal or extension of such Letter of Credit, as applicable, except to the extent that any such representation or warranty relates solely to an earlier date, in which case it shall have been true and correct in all material respects (or in all respects to the extent that any representation or warranty is qualified by materiality or Material Adverse Effect) as of such earlier date, or, after prior notice to the Administrative Agent, is untrue or incorrect as a result of transactions permitted by the Loan Documents.</w:t>
      </w:r>
    </w:p>
    <w:p>
      <w:pPr>
        <w:spacing w:after="0" w:line="192" w:lineRule="exact"/>
        <w:rPr>
          <w:rFonts w:ascii="Times New Roman" w:cs="Times New Roman" w:eastAsia="Times New Roman" w:hAnsi="Times New Roman"/>
          <w:sz w:val="20"/>
          <w:szCs w:val="20"/>
          <w:color w:val="auto"/>
        </w:rPr>
      </w:pPr>
    </w:p>
    <w:p>
      <w:pPr>
        <w:ind w:right="20" w:firstLine="8"/>
        <w:spacing w:after="0" w:line="269" w:lineRule="auto"/>
        <w:tabs>
          <w:tab w:leader="none" w:pos="48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Loan or the issuance, amendment, renewal or extension of such Letter of Credit, as applicable, no Default shall have occurred and be continuing.</w:t>
      </w:r>
    </w:p>
    <w:p>
      <w:pPr>
        <w:spacing w:after="0" w:line="1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Each Loan and each issuance, amendment, renewal or extension of a Letter of Credit shall be deemed to constitute a representation and warranty by the Borrower on the date thereof as to the matters specified in paragraphs (a) and (b) of this Section.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Until the Commitments have expired or been terminated and the principal of and interest on each Loan and all fees payable hereunder shall have been paid in full and all Letters of Credit shall have expired, terminated, been cash collateralized or otherwise covered by letters of credit as permitted herein and all LC Disbursements shall have been reimbursed, the Borrower covenants and agrees with the Lenders that: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5.01. </w:t>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The Borrower will furnish to the Administrative Agent and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9" w:lineRule="exact"/>
        <w:rPr>
          <w:sz w:val="20"/>
          <w:szCs w:val="20"/>
          <w:color w:val="auto"/>
        </w:rPr>
      </w:pPr>
    </w:p>
    <w:p>
      <w:pPr>
        <w:jc w:val="both"/>
        <w:ind w:firstLine="8"/>
        <w:spacing w:after="0" w:line="253" w:lineRule="auto"/>
        <w:tabs>
          <w:tab w:leader="none" w:pos="51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120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 accompanied by any management letter prepared by said accountants;</w:t>
      </w:r>
    </w:p>
    <w:p>
      <w:pPr>
        <w:spacing w:after="0" w:line="179" w:lineRule="exact"/>
        <w:rPr>
          <w:rFonts w:ascii="Times New Roman" w:cs="Times New Roman" w:eastAsia="Times New Roman" w:hAnsi="Times New Roman"/>
          <w:sz w:val="20"/>
          <w:szCs w:val="20"/>
          <w:color w:val="auto"/>
        </w:rPr>
      </w:pPr>
    </w:p>
    <w:p>
      <w:pPr>
        <w:jc w:val="both"/>
        <w:ind w:firstLine="8"/>
        <w:spacing w:after="0" w:line="253" w:lineRule="auto"/>
        <w:tabs>
          <w:tab w:leader="none" w:pos="46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60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92" w:lineRule="exact"/>
        <w:rPr>
          <w:rFonts w:ascii="Times New Roman" w:cs="Times New Roman" w:eastAsia="Times New Roman" w:hAnsi="Times New Roman"/>
          <w:sz w:val="20"/>
          <w:szCs w:val="20"/>
          <w:color w:val="auto"/>
        </w:rPr>
      </w:pPr>
    </w:p>
    <w:p>
      <w:pPr>
        <w:jc w:val="both"/>
        <w:ind w:firstLine="8"/>
        <w:spacing w:after="0" w:line="250" w:lineRule="auto"/>
        <w:tabs>
          <w:tab w:leader="none" w:pos="43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any delivery of financial statements under clause (a) or (b) above, a certificate of the Borrower executed on its behalf of a Financial Officer in substantially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(i) certifying, in the case of the financial statements delivered under clause (b),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92" w:lineRule="exact"/>
        <w:rPr>
          <w:rFonts w:ascii="Times New Roman" w:cs="Times New Roman" w:eastAsia="Times New Roman" w:hAnsi="Times New Roman"/>
          <w:sz w:val="20"/>
          <w:szCs w:val="20"/>
          <w:color w:val="auto"/>
        </w:rPr>
      </w:pPr>
    </w:p>
    <w:p>
      <w:pPr>
        <w:jc w:val="both"/>
        <w:ind w:firstLine="8"/>
        <w:spacing w:after="0" w:line="253" w:lineRule="auto"/>
        <w:tabs>
          <w:tab w:leader="none" w:pos="45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(following approval by the Borrower’s board of directors, if such approval is obtained in the ordinary course), but in any event not more than 120 days after the end of each fiscal year of the Borrower, a copy of the plan and forecast (including a projected consolidated and consolidating balance sheet, income statement and funds flow statement) of the Borrower for the upcoming fiscal year (and, in the case of projected income statements, for each quarter of the upcoming fiscal year) substantially in form of the projections delivered pursuant to Section 4.01(b);</w:t>
      </w:r>
    </w:p>
    <w:p>
      <w:pPr>
        <w:spacing w:after="0" w:line="191" w:lineRule="exact"/>
        <w:rPr>
          <w:rFonts w:ascii="Times New Roman" w:cs="Times New Roman" w:eastAsia="Times New Roman" w:hAnsi="Times New Roman"/>
          <w:sz w:val="20"/>
          <w:szCs w:val="20"/>
          <w:color w:val="auto"/>
        </w:rPr>
      </w:pPr>
    </w:p>
    <w:p>
      <w:pPr>
        <w:ind w:firstLine="8"/>
        <w:spacing w:after="0" w:line="283" w:lineRule="auto"/>
        <w:tabs>
          <w:tab w:leader="none" w:pos="53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distributed by the Borrower to its shareholders generally, as the case may be; and</w:t>
      </w:r>
    </w:p>
    <w:p>
      <w:pPr>
        <w:spacing w:after="0" w:line="146" w:lineRule="exact"/>
        <w:rPr>
          <w:rFonts w:ascii="Times New Roman" w:cs="Times New Roman" w:eastAsia="Times New Roman" w:hAnsi="Times New Roman"/>
          <w:sz w:val="20"/>
          <w:szCs w:val="20"/>
          <w:color w:val="auto"/>
        </w:rPr>
      </w:pPr>
    </w:p>
    <w:p>
      <w:pPr>
        <w:jc w:val="both"/>
        <w:ind w:firstLine="8"/>
        <w:spacing w:after="0" w:line="257" w:lineRule="auto"/>
        <w:tabs>
          <w:tab w:leader="none" w:pos="41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(x) such other information regarding the operations, business affairs and financial condition of the Borrower or any Subsidiary, or compliance with the terms of this Agreement, as the Administrative Agent or any Lender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Section 5.01(a), 5.01(b) or 5.01(e)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 Notwithstanding anything contained herein, in every instance the Borrower shall be required to provide paper copies of the compliance certificates required by clause (c) of this Section 5.01 to the Administrative Agent.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5.02. </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The Borrower will furnish to the Administrative Agent and each Lender prompt written notice of the following:</w:t>
      </w:r>
    </w:p>
    <w:p>
      <w:pPr>
        <w:spacing w:after="0" w:line="173" w:lineRule="exact"/>
        <w:rPr>
          <w:sz w:val="20"/>
          <w:szCs w:val="20"/>
          <w:color w:val="auto"/>
        </w:rPr>
      </w:pPr>
    </w:p>
    <w:p>
      <w:pPr>
        <w:ind w:left="420" w:hanging="412"/>
        <w:spacing w:after="0"/>
        <w:tabs>
          <w:tab w:leader="none" w:pos="4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w:t>
      </w:r>
    </w:p>
    <w:p>
      <w:pPr>
        <w:spacing w:after="0" w:line="229" w:lineRule="exact"/>
        <w:rPr>
          <w:rFonts w:ascii="Times New Roman" w:cs="Times New Roman" w:eastAsia="Times New Roman" w:hAnsi="Times New Roman"/>
          <w:sz w:val="20"/>
          <w:szCs w:val="20"/>
          <w:color w:val="auto"/>
        </w:rPr>
      </w:pPr>
    </w:p>
    <w:p>
      <w:pPr>
        <w:jc w:val="both"/>
        <w:ind w:firstLine="8"/>
        <w:spacing w:after="0" w:line="261" w:lineRule="auto"/>
        <w:tabs>
          <w:tab w:leader="none" w:pos="43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any action, suit or proceeding by or before any arbitrator or Governmental Authority against or affecting the Borrower or any Affiliate thereof that has a reasonable possibility of an adverse determination and that, if adversely determined, could reasonably be expected to result in a Material Adverse Effect;</w:t>
      </w:r>
    </w:p>
    <w:p>
      <w:pPr>
        <w:spacing w:after="0" w:line="167" w:lineRule="exact"/>
        <w:rPr>
          <w:rFonts w:ascii="Times New Roman" w:cs="Times New Roman" w:eastAsia="Times New Roman" w:hAnsi="Times New Roman"/>
          <w:sz w:val="20"/>
          <w:szCs w:val="20"/>
          <w:color w:val="auto"/>
        </w:rPr>
      </w:pPr>
    </w:p>
    <w:p>
      <w:pPr>
        <w:ind w:firstLine="8"/>
        <w:spacing w:after="0" w:line="283" w:lineRule="auto"/>
        <w:tabs>
          <w:tab w:leader="none" w:pos="50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that, alone or together with any other ERISA Events that have occurred, would reasonably be expected to result in a Material Adverse Effect;</w:t>
      </w:r>
    </w:p>
    <w:p>
      <w:pPr>
        <w:spacing w:after="0" w:line="146"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that results in, or could reasonably be expected to result in, a Material Adverse Effect; and</w:t>
      </w:r>
    </w:p>
    <w:p>
      <w:pPr>
        <w:spacing w:after="0" w:line="229" w:lineRule="exact"/>
        <w:rPr>
          <w:rFonts w:ascii="Times New Roman" w:cs="Times New Roman" w:eastAsia="Times New Roman" w:hAnsi="Times New Roman"/>
          <w:sz w:val="20"/>
          <w:szCs w:val="20"/>
          <w:color w:val="auto"/>
        </w:rPr>
      </w:pPr>
    </w:p>
    <w:p>
      <w:pPr>
        <w:ind w:right="20" w:firstLine="8"/>
        <w:spacing w:after="0" w:line="283" w:lineRule="auto"/>
        <w:tabs>
          <w:tab w:leader="none" w:pos="4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information provided in the Beneficial Ownership Certification delivered to such Lender that would result in a change to the list of beneficial owners identified in such certification.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Existence; Conduct of Business</w:t>
      </w:r>
      <w:r>
        <w:rPr>
          <w:rFonts w:ascii="Times New Roman" w:cs="Times New Roman" w:eastAsia="Times New Roman" w:hAnsi="Times New Roman"/>
          <w:sz w:val="20"/>
          <w:szCs w:val="20"/>
          <w:color w:val="auto"/>
        </w:rPr>
        <w:t xml:space="preserve">. The Borrower will, and will cause each of its Material Subsidiaries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The Borrower will, and will cause each of its Subsidiaries to, pay or discharge all Material Indebtedness and all other material liabilities and obligations, including Taxes,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The Borrower will, and will cause each of its Material Subsidiaries to, keep and maintain all property material to the conduct of its business in good working order and condition, ordinary wear and tear excepted.</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Books and Records; Inspection Rights</w:t>
      </w:r>
      <w:r>
        <w:rPr>
          <w:rFonts w:ascii="Times New Roman" w:cs="Times New Roman" w:eastAsia="Times New Roman" w:hAnsi="Times New Roman"/>
          <w:sz w:val="20"/>
          <w:szCs w:val="20"/>
          <w:color w:val="auto"/>
        </w:rPr>
        <w:t>. The Borrower will, and will cause each of its Subsidiaries to, (i) keep proper books of record and account in accordance with prudent practices and (ii)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The Borrower acknowledges that the Administrative Agent, after exercising its rights of inspection, may prepare and distribute to the Lenders certain reports pertaining to the assets for internal use by the Administrative Agent and the Lenders. The Administrative Agent agrees to use reasonable efforts to minimize, to the extent practicable and so long as no Default has occurred and is continuing, the number of separate requests from the Lenders to exercise their rights under this Section 5.06 and to coordinate the exercise by the Lenders of such rights.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The Borrower will, and will cause each of its Subsidiaries to, comply with all Requirements of Law applicable to it or its property, except where the failure to do so, individually or in the aggregate, could not reasonably be expected to result in a Material Adverse Effect. The Borrower will maintain in effect and enforce in all material respects policies and procedures reasonably designed to ensure compliance by the Borrower, its Subsidiaries and their respective directors, officers and employees with Anti-Corruption Laws and applicable Sanctions.</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5.08.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Loans and the Letters of Credit will be used to refinance certain existing Indebtedness, finance Permitted Acquisitions, Permitted Joint Ventures, working capital needs and for other general corporate purposes (including, without limitation, repurchases by the Borrower of its Equity Interests to the extent permitted under this Agreement) of the Borrower and its Subsidiaries. No part of the proceeds of any Loan and no Letter of Credit will be used, whether directly or indirectly, for any purpose that entails a violation of any of the regulations of the Federal Reserve Board, including Regulations T, U and X. The Borrower will not request any Borrowing or Letter of Credit, and Borrower shall not use, and the Borrower shall ensure that its Subsidiaries and its or their respective directors, officers, employees and agents shall not use, the proceeds of any Borrowing or Letter of Credit in furtherance of an offer, payment, promise to pay or authorization of the payment or giving of money, or anything else of value, to any Person in violation of any Anti-Corruption Laws. The Borrower will not, directly or indirectly, use the proceeds of the Loans or Letters of Credit, or lend, contribute or otherwise make available such proceeds to any subsidiary, joint venture partner or other Person, (i) to fund any activities or business of or with any Person or in any country or territory, that, at the time of such funding, is the subject of comprehensive Sanctions, in each case, except to the extent permitted for a Person required to comply with Sanctions, or (ii) in any other manner that would result in a violation of Sanctions by any Person participating in the Loans or Letters of Credit, whether as Administrative Agent, Lender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5.09.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Borrower will, and will cause each of its Subsidiaries to, maintain with financially sound and reputable carriers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 will furnish to the Lenders, upon request of the Administrative Agent, information in reasonable detail as to the insurance so maintained (including, without limitation, certificates of insurance). Within thirty (30) days after the Effective Date (or such later date as may be agreed to by the Administrative Agent in its sole discretion), the Borrower shall deliver to the Administrative Agent endorsements (x) to all “All Risk” physical damage or casualty insurance policies in respect of Collateral naming the Administrative Agent as lender loss payee, and (y) to all general liability and other liability policies naming the Administrative Agent an additional insured. In the event the Borrower or any of its Subsidiaries at any time or times 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deems advisable. All sums so disbursed by the Administrative Agent shall constitute part of the Obligations, payable as provided in this Agreement.</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Casualty and Condemnation</w:t>
      </w:r>
      <w:r>
        <w:rPr>
          <w:rFonts w:ascii="Times New Roman" w:cs="Times New Roman" w:eastAsia="Times New Roman" w:hAnsi="Times New Roman"/>
          <w:sz w:val="20"/>
          <w:szCs w:val="20"/>
          <w:color w:val="auto"/>
        </w:rPr>
        <w:t>. The Borrower will furnish to the Administrative Agent and the Lenders prompt written notice of any casualty or other insured damage (to the extent representing a loss of in excess of $1,000,000 per occurrence to any property) or the commencement of any action or proceeding for the taking of any property of the Loan Parties or interest therein (with a value in excess of $1,000,000 per action or proceeding) under power of eminent domain or by condemnation or similar proceeding.</w:t>
      </w:r>
    </w:p>
    <w:p>
      <w:pPr>
        <w:spacing w:after="0" w:line="172" w:lineRule="exact"/>
        <w:rPr>
          <w:sz w:val="20"/>
          <w:szCs w:val="20"/>
          <w:color w:val="auto"/>
        </w:rPr>
      </w:pPr>
    </w:p>
    <w:p>
      <w:pPr>
        <w:spacing w:after="0"/>
        <w:tabs>
          <w:tab w:leader="none" w:pos="7900" w:val="left"/>
        </w:tabs>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Subsidiary Guarantors; Pledges; Additional Collateral; Further Assurances</w:t>
      </w:r>
      <w:r>
        <w:rPr>
          <w:rFonts w:ascii="Times New Roman" w:cs="Times New Roman" w:eastAsia="Times New Roman" w:hAnsi="Times New Roman"/>
          <w:sz w:val="20"/>
          <w:szCs w:val="20"/>
          <w:color w:val="auto"/>
        </w:rPr>
        <w:t>. (a)</w:t>
        <w:tab/>
        <w:t>As promptly as possible but in any event</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within thirty (30) days (or such later date as may be agreed upon by the Administrative Agent) after any Person becomes a Material Subsidiary, the Borrower shall provide the Administrative Agent with written notice thereof setting forth information in reasonable detail describing the material assets of such Person and shall cause each such Material Subsidiary to deliver to the Administrative Agent the Subsidiary Guaranty and the Security Agreement pursuant to which such Material Subsidiary agrees to be bound by the terms and provisions thereof, such Subsidiary Guaranty and Security Agreement to be accompanied by appropriate corporate resolutions, other corporate documentation and, if requested by the Administrative Agent in its reasonable discretion, legal opinions in form and substance reasonably satisfactory to the Administrative Agent and its counsel.</w:t>
      </w:r>
    </w:p>
    <w:p>
      <w:pPr>
        <w:spacing w:after="0" w:line="198" w:lineRule="exact"/>
        <w:rPr>
          <w:sz w:val="20"/>
          <w:szCs w:val="20"/>
          <w:color w:val="auto"/>
        </w:rPr>
      </w:pPr>
    </w:p>
    <w:p>
      <w:pPr>
        <w:jc w:val="both"/>
        <w:ind w:firstLine="8"/>
        <w:spacing w:after="0" w:line="251" w:lineRule="auto"/>
        <w:tabs>
          <w:tab w:leader="none" w:pos="51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cause, and will cause each other Loan Party to cause, all of its owned property (constituting personal, tangible, intangible, or mixed, but excluding Excluded Assets) to be subject at all times to first priority, perfected Liens in favor of the Administrative Agent for the benefit of the Holders of Secured Obligations to secure the Secured Obligations in accordance with and to the extent required by the terms and conditions of the Collateral Documents, subject in any case to Liens permitted by Section 6.02. Without limiting the generality of the foregoing, the Borrower will cause the Applicable Pledge Percentage of the issued and outstanding Equity Interests of each Pledge Subsidiary directly owned by the Borrower or any other Loan Party to be subject at all times to a first priority, perfected Lien in favor of the Administrative Agent to secure the Secured Obligations in accordance with the terms and conditions of the Collateral Documents or such other security documents 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shall reasonably request. In furtherance of the foregoing, upon the request of the Administrative Agent in its reasonable discretion, the Borrower will, and will cause each Subsidiary Guarantor to, deliver local law governed pledge documentation (x) at any time, in respect of the Applicable Pledge Percentage of the issued and outstanding Equity Interests of any Pledge Subsidiary that is a Material Foreign Subsidiary and (y) upon the occurrence and during the continuance of an Event of Default, in respect of the Applicable Pledge Percentage of the issued and outstanding Equity Interests of any Pledge Subsidiary that is a First Tier Foreign Subsidiary.</w:t>
      </w:r>
    </w:p>
    <w:p>
      <w:pPr>
        <w:spacing w:after="0" w:line="192" w:lineRule="exact"/>
        <w:rPr>
          <w:sz w:val="20"/>
          <w:szCs w:val="20"/>
          <w:color w:val="auto"/>
        </w:rPr>
      </w:pPr>
    </w:p>
    <w:p>
      <w:pPr>
        <w:jc w:val="both"/>
        <w:ind w:firstLine="8"/>
        <w:spacing w:after="0" w:line="253" w:lineRule="auto"/>
        <w:tabs>
          <w:tab w:leader="none" w:pos="44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the Borrower will, and will cause each Loan Party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Borrower.</w:t>
      </w:r>
    </w:p>
    <w:p>
      <w:pPr>
        <w:spacing w:after="0" w:line="192" w:lineRule="exact"/>
        <w:rPr>
          <w:rFonts w:ascii="Times New Roman" w:cs="Times New Roman" w:eastAsia="Times New Roman" w:hAnsi="Times New Roman"/>
          <w:sz w:val="20"/>
          <w:szCs w:val="20"/>
          <w:color w:val="auto"/>
        </w:rPr>
      </w:pPr>
    </w:p>
    <w:p>
      <w:pPr>
        <w:jc w:val="both"/>
        <w:ind w:firstLine="8"/>
        <w:spacing w:after="0" w:line="261" w:lineRule="auto"/>
        <w:tabs>
          <w:tab w:leader="none" w:pos="49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or anything else in this Agreement to the contrary, (i) no Permitted Joint Venture shall be required to become a Subsidiary Guarantor or Pledge Subsidiary, and (ii) no Foreign Subsidiary or Foreign Subsidiary Holdco shall be required to become a Subsidiary Guarantor hereunder.</w:t>
      </w:r>
    </w:p>
    <w:p>
      <w:pPr>
        <w:spacing w:after="0" w:line="167" w:lineRule="exact"/>
        <w:rPr>
          <w:rFonts w:ascii="Times New Roman" w:cs="Times New Roman" w:eastAsia="Times New Roman" w:hAnsi="Times New Roman"/>
          <w:sz w:val="20"/>
          <w:szCs w:val="20"/>
          <w:color w:val="auto"/>
        </w:rPr>
      </w:pPr>
    </w:p>
    <w:p>
      <w:pPr>
        <w:jc w:val="both"/>
        <w:ind w:firstLine="8"/>
        <w:spacing w:after="0" w:line="257" w:lineRule="auto"/>
        <w:tabs>
          <w:tab w:leader="none" w:pos="50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provide to the Administrative Agent, from time to time or concurrently with the delivery of the certificate of a Financial Officer of the Borrower as required by Section 5.01(c), an updated version of </w:t>
      </w:r>
      <w:r>
        <w:rPr>
          <w:rFonts w:ascii="Times New Roman" w:cs="Times New Roman" w:eastAsia="Times New Roman" w:hAnsi="Times New Roman"/>
          <w:sz w:val="20"/>
          <w:szCs w:val="20"/>
          <w:u w:val="single" w:color="auto"/>
          <w:color w:val="auto"/>
        </w:rPr>
        <w:t>Schedule 3.14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there have been no changes to </w:t>
      </w:r>
      <w:r>
        <w:rPr>
          <w:rFonts w:ascii="Times New Roman" w:cs="Times New Roman" w:eastAsia="Times New Roman" w:hAnsi="Times New Roman"/>
          <w:sz w:val="20"/>
          <w:szCs w:val="20"/>
          <w:u w:val="single" w:color="auto"/>
          <w:color w:val="auto"/>
        </w:rPr>
        <w:t>Schedule 3.14</w:t>
      </w:r>
      <w:r>
        <w:rPr>
          <w:rFonts w:ascii="Times New Roman" w:cs="Times New Roman" w:eastAsia="Times New Roman" w:hAnsi="Times New Roman"/>
          <w:sz w:val="20"/>
          <w:szCs w:val="20"/>
          <w:color w:val="auto"/>
        </w:rPr>
        <w:t xml:space="preserve"> since the previous updating thereof required hereby, such updated version shall not be required). For the avoidance of doubt, such updated </w:t>
      </w:r>
      <w:r>
        <w:rPr>
          <w:rFonts w:ascii="Times New Roman" w:cs="Times New Roman" w:eastAsia="Times New Roman" w:hAnsi="Times New Roman"/>
          <w:sz w:val="20"/>
          <w:szCs w:val="20"/>
          <w:u w:val="single" w:color="auto"/>
          <w:color w:val="auto"/>
        </w:rPr>
        <w:t>Schedule 3.14</w:t>
      </w:r>
      <w:r>
        <w:rPr>
          <w:rFonts w:ascii="Times New Roman" w:cs="Times New Roman" w:eastAsia="Times New Roman" w:hAnsi="Times New Roman"/>
          <w:sz w:val="20"/>
          <w:szCs w:val="20"/>
          <w:color w:val="auto"/>
        </w:rPr>
        <w:t xml:space="preserve"> shall not be understood to permit any action prohibited hereunder or constitute a waiver of any provision contained herein.</w:t>
      </w:r>
    </w:p>
    <w:p>
      <w:pPr>
        <w:spacing w:after="0" w:line="172" w:lineRule="exact"/>
        <w:rPr>
          <w:rFonts w:ascii="Times New Roman" w:cs="Times New Roman" w:eastAsia="Times New Roman" w:hAnsi="Times New Roman"/>
          <w:sz w:val="20"/>
          <w:szCs w:val="20"/>
          <w:color w:val="auto"/>
        </w:rPr>
      </w:pPr>
    </w:p>
    <w:p>
      <w:pPr>
        <w:jc w:val="both"/>
        <w:ind w:firstLine="8"/>
        <w:spacing w:after="0" w:line="258" w:lineRule="auto"/>
        <w:tabs>
          <w:tab w:leader="none" w:pos="49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provide to the Administrative Agent, concurrently with the delivery of an executed supplement to the Security Agreement by any new grantor thereunder, a supplement to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xml:space="preserve"> reflecting the financing statement(s) naming such new grantor as debtor prepared for filing in connection therewith. For the avoidance of doubt, such supplement to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xml:space="preserve"> shall not be understood to permit any action prohibited hereunder or constitute a waiver of any provision contained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5.12. </w:t>
      </w:r>
      <w:r>
        <w:rPr>
          <w:rFonts w:ascii="Times New Roman" w:cs="Times New Roman" w:eastAsia="Times New Roman" w:hAnsi="Times New Roman"/>
          <w:sz w:val="20"/>
          <w:szCs w:val="20"/>
          <w:u w:val="single" w:color="auto"/>
          <w:color w:val="auto"/>
        </w:rPr>
        <w:t>Post-Closing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
        <w:spacing w:after="0" w:line="261" w:lineRule="auto"/>
        <w:tabs>
          <w:tab w:leader="none" w:pos="43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(30) days after the Effective Date (or such later date as may be agreed by the Administrative Agent in its sole discretion), deliver to the Administrative Agent evidence satisfactory to the Administrative Agent that the UCC-1 financing statement number 20200806001094-0 on file with the Michigan Department of State naming Harlan Electric Company as debtor has been terminated.</w:t>
      </w:r>
    </w:p>
    <w:p>
      <w:pPr>
        <w:spacing w:after="0" w:line="181" w:lineRule="exact"/>
        <w:rPr>
          <w:rFonts w:ascii="Times New Roman" w:cs="Times New Roman" w:eastAsia="Times New Roman" w:hAnsi="Times New Roman"/>
          <w:sz w:val="20"/>
          <w:szCs w:val="20"/>
          <w:color w:val="auto"/>
        </w:rPr>
      </w:pPr>
    </w:p>
    <w:p>
      <w:pPr>
        <w:jc w:val="both"/>
        <w:ind w:firstLine="8"/>
        <w:spacing w:after="0" w:line="253" w:lineRule="auto"/>
        <w:tabs>
          <w:tab w:leader="none" w:pos="44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thirty (30) days after the Effective Date (or such later date as may be agreed by the Administrative Agent in its sole discretion), deliver to the Administrative Agent certificates of insurance listing the Administrative Agent as (x) lender loss payee for the property and casualty insurance policies of the Loan Parties, together with long-form lender loss payable, as appropriate, and (y) additional insured with respect to the liability insurance of the Loan Parties, together with additional insured endorsements, in each case to the extent required by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Until the Commitments have expired or terminated and the principal of and interest on each Loan and all fees, expenses and other amounts payable under any Loan Document have been paid in full and all Letters of Credit have expired, terminated, been cash collateralized or otherwise covered by letters of credit as permitted herein and all LC Disbursements shall have been reimbursed, the Borrower covenants and agrees with the Lenders that:</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The Borrower will not, and will not permit any Subsidiary to, create, incur or suffer to exist any Indebtedness, except:</w:t>
      </w:r>
    </w:p>
    <w:p>
      <w:pPr>
        <w:spacing w:after="0" w:line="173" w:lineRule="exact"/>
        <w:rPr>
          <w:sz w:val="20"/>
          <w:szCs w:val="20"/>
          <w:color w:val="auto"/>
        </w:rPr>
      </w:pPr>
    </w:p>
    <w:p>
      <w:pPr>
        <w:ind w:left="420" w:hanging="412"/>
        <w:spacing w:after="0"/>
        <w:tabs>
          <w:tab w:leader="none" w:pos="4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Obligations;</w:t>
      </w:r>
    </w:p>
    <w:p>
      <w:pPr>
        <w:spacing w:after="0" w:line="215" w:lineRule="exact"/>
        <w:rPr>
          <w:rFonts w:ascii="Times New Roman" w:cs="Times New Roman" w:eastAsia="Times New Roman" w:hAnsi="Times New Roman"/>
          <w:sz w:val="20"/>
          <w:szCs w:val="20"/>
          <w:color w:val="auto"/>
        </w:rPr>
      </w:pPr>
    </w:p>
    <w:p>
      <w:pPr>
        <w:ind w:firstLine="8"/>
        <w:spacing w:after="0" w:line="283" w:lineRule="auto"/>
        <w:tabs>
          <w:tab w:leader="none" w:pos="56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on the date hereof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extensions, renewals and replacements of any such Indebtedness that do not increase the outstanding principal amount thereof;</w:t>
      </w:r>
    </w:p>
    <w:p>
      <w:pPr>
        <w:spacing w:after="0" w:line="159" w:lineRule="exact"/>
        <w:rPr>
          <w:rFonts w:ascii="Times New Roman" w:cs="Times New Roman" w:eastAsia="Times New Roman" w:hAnsi="Times New Roman"/>
          <w:sz w:val="20"/>
          <w:szCs w:val="20"/>
          <w:color w:val="auto"/>
        </w:rPr>
      </w:pPr>
    </w:p>
    <w:p>
      <w:pPr>
        <w:jc w:val="both"/>
        <w:ind w:firstLine="8"/>
        <w:spacing w:after="0" w:line="261" w:lineRule="auto"/>
        <w:tabs>
          <w:tab w:leader="none" w:pos="57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to any Subsidiary and of any Subsidiary to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of any Subsidiary that is not a Loan Party to the Borrower or any Subsidiary that is a Loan Party shall be subject to Section 6.04;</w:t>
      </w:r>
    </w:p>
    <w:p>
      <w:pPr>
        <w:spacing w:after="0" w:line="167" w:lineRule="exact"/>
        <w:rPr>
          <w:rFonts w:ascii="Times New Roman" w:cs="Times New Roman" w:eastAsia="Times New Roman" w:hAnsi="Times New Roman"/>
          <w:sz w:val="20"/>
          <w:szCs w:val="20"/>
          <w:color w:val="auto"/>
        </w:rPr>
      </w:pPr>
    </w:p>
    <w:p>
      <w:pPr>
        <w:jc w:val="both"/>
        <w:ind w:firstLine="8"/>
        <w:spacing w:after="0" w:line="258" w:lineRule="auto"/>
        <w:tabs>
          <w:tab w:leader="none" w:pos="4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Borrower of Indebtedness of any Subsidiary or Permitted Joint Venture and by any Subsidiary of Indebtedness of the Borrower or any other Subsidiary or Permitted Joint Venture,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Indebtedness so Guaranteed is permitted by this Section 6.01 and (ii) Guarantees by the Borrower or any Subsidiary that is a Loan Party of Indebtedness of any Subsidiary that is not a Loan Party or of any Permitted Joint Venture shall be subject to Section 6.04;</w:t>
      </w:r>
    </w:p>
    <w:p>
      <w:pPr>
        <w:spacing w:after="0" w:line="185" w:lineRule="exact"/>
        <w:rPr>
          <w:rFonts w:ascii="Times New Roman" w:cs="Times New Roman" w:eastAsia="Times New Roman" w:hAnsi="Times New Roman"/>
          <w:sz w:val="20"/>
          <w:szCs w:val="20"/>
          <w:color w:val="auto"/>
        </w:rPr>
      </w:pPr>
    </w:p>
    <w:p>
      <w:pPr>
        <w:jc w:val="both"/>
        <w:ind w:firstLine="8"/>
        <w:spacing w:after="0" w:line="251" w:lineRule="auto"/>
        <w:tabs>
          <w:tab w:leader="none" w:pos="46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or any Subsidiary incurred to finance the acquisition, construction, improvement, alteration or repair of any fixed or capital assets (whether or not constituting purchase money Indebtedness), including Finance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incurred (A) prior to or within 365 days after such acquisition or the completion of such construction, improvement, alteration or repair and (ii) the aggregate principal amount of Indebtedness permitted by this clause (e) shall not exceed $125,000,000 at any time outstanding;</w:t>
      </w:r>
    </w:p>
    <w:p>
      <w:pPr>
        <w:spacing w:after="0" w:line="192" w:lineRule="exact"/>
        <w:rPr>
          <w:rFonts w:ascii="Times New Roman" w:cs="Times New Roman" w:eastAsia="Times New Roman" w:hAnsi="Times New Roman"/>
          <w:sz w:val="20"/>
          <w:szCs w:val="20"/>
          <w:color w:val="auto"/>
        </w:rPr>
      </w:pPr>
    </w:p>
    <w:p>
      <w:pPr>
        <w:jc w:val="both"/>
        <w:ind w:firstLine="8"/>
        <w:spacing w:after="0" w:line="261" w:lineRule="auto"/>
        <w:tabs>
          <w:tab w:leader="none" w:pos="39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8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Subsidiary in respect of Bonding Obligations;</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any Swap Agreement entered into for bona fide hedging purposes and not for speculative or investment purposes;</w:t>
      </w:r>
    </w:p>
    <w:p>
      <w:pPr>
        <w:spacing w:after="0" w:line="22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constituting Subordinated Indebtedness;</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89" w:lineRule="exact"/>
        <w:rPr>
          <w:sz w:val="20"/>
          <w:szCs w:val="20"/>
          <w:color w:val="auto"/>
        </w:rPr>
      </w:pPr>
    </w:p>
    <w:p>
      <w:pPr>
        <w:ind w:left="440" w:hanging="432"/>
        <w:spacing w:after="0"/>
        <w:tabs>
          <w:tab w:leader="none" w:pos="4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Subsidiary incurred pursuant to Permitted Receivables Facilities;</w:t>
      </w:r>
    </w:p>
    <w:p>
      <w:pPr>
        <w:spacing w:after="0" w:line="229" w:lineRule="exact"/>
        <w:rPr>
          <w:rFonts w:ascii="Times New Roman" w:cs="Times New Roman" w:eastAsia="Times New Roman" w:hAnsi="Times New Roman"/>
          <w:sz w:val="20"/>
          <w:szCs w:val="20"/>
          <w:color w:val="auto"/>
        </w:rPr>
      </w:pPr>
    </w:p>
    <w:p>
      <w:pPr>
        <w:jc w:val="both"/>
        <w:ind w:firstLine="8"/>
        <w:spacing w:after="0" w:line="261" w:lineRule="auto"/>
        <w:tabs>
          <w:tab w:leader="none" w:pos="47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owing by any Foreign Subsidiary constituting local loans or other credit extensions from local lenders in jurisdictions outside the United States;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permitted by this clause (l) shall not exceed $50,000,000 at any time outstanding;</w:t>
      </w:r>
    </w:p>
    <w:p>
      <w:pPr>
        <w:spacing w:after="0" w:line="167" w:lineRule="exact"/>
        <w:rPr>
          <w:rFonts w:ascii="Times New Roman" w:cs="Times New Roman" w:eastAsia="Times New Roman" w:hAnsi="Times New Roman"/>
          <w:sz w:val="20"/>
          <w:szCs w:val="20"/>
          <w:color w:val="auto"/>
        </w:rPr>
      </w:pPr>
    </w:p>
    <w:p>
      <w:pPr>
        <w:jc w:val="both"/>
        <w:ind w:firstLine="8"/>
        <w:spacing w:after="0" w:line="258" w:lineRule="auto"/>
        <w:tabs>
          <w:tab w:leader="none" w:pos="58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incurred in connection with a Permitted Acquisition; provided that seller notes or any other Indebtedness issued by any Loan Party to any seller (including current or former officers, directors and employees, their respective estates, spouses or former spouses thereof) in connection with such Permitted Acquisition to finance any Permitted Acquisition shall only be permitted to the extent constituting Subordinated Indebtedness; and</w:t>
      </w:r>
    </w:p>
    <w:p>
      <w:pPr>
        <w:spacing w:after="0" w:line="185" w:lineRule="exact"/>
        <w:rPr>
          <w:rFonts w:ascii="Times New Roman" w:cs="Times New Roman" w:eastAsia="Times New Roman" w:hAnsi="Times New Roman"/>
          <w:sz w:val="20"/>
          <w:szCs w:val="20"/>
          <w:color w:val="auto"/>
        </w:rPr>
      </w:pPr>
    </w:p>
    <w:p>
      <w:pPr>
        <w:jc w:val="both"/>
        <w:ind w:firstLine="8"/>
        <w:spacing w:after="0" w:line="258" w:lineRule="auto"/>
        <w:tabs>
          <w:tab w:leader="none" w:pos="47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unsecured Indebtedness in an aggregate principal amount not exceeding 5% of Consolidated Net Worth (as of the most recently ended fiscal year and determined at the time of incurring such Indebtedness by reference to the Borrower’s financial statements most recently delivered pursuant to Section 5.01(a) or, if prior to the date of the delivery of the first financial statements to be delivered pursuant to Section 5.01(a), the most recent financial statements referred to in Section 3.04(a)) at any time outstanding.</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The Borrower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1" w:lineRule="exact"/>
        <w:rPr>
          <w:sz w:val="20"/>
          <w:szCs w:val="20"/>
          <w:color w:val="auto"/>
        </w:rPr>
      </w:pPr>
    </w:p>
    <w:p>
      <w:pPr>
        <w:ind w:left="420" w:hanging="412"/>
        <w:spacing w:after="0"/>
        <w:tabs>
          <w:tab w:leader="none" w:pos="4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any Loan Document;</w:t>
      </w:r>
    </w:p>
    <w:p>
      <w:pPr>
        <w:spacing w:after="0" w:line="22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15" w:lineRule="exact"/>
        <w:rPr>
          <w:rFonts w:ascii="Times New Roman" w:cs="Times New Roman" w:eastAsia="Times New Roman" w:hAnsi="Times New Roman"/>
          <w:sz w:val="20"/>
          <w:szCs w:val="20"/>
          <w:color w:val="auto"/>
        </w:rPr>
      </w:pPr>
    </w:p>
    <w:p>
      <w:pPr>
        <w:jc w:val="both"/>
        <w:ind w:firstLine="8"/>
        <w:spacing w:after="0" w:line="258" w:lineRule="auto"/>
        <w:tabs>
          <w:tab w:leader="none" w:pos="42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on any property or asset of the Borrower or any Subsidiary existing on the date hereof and set forth in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property or asset of the Borrower or Subsidiary and (ii) such Lien shall secure only those obligations which it secures on the date hereof and extensions, renewals and replacements thereof that do not increase the outstanding principal amount thereof;</w:t>
      </w:r>
    </w:p>
    <w:p>
      <w:pPr>
        <w:spacing w:after="0" w:line="172" w:lineRule="exact"/>
        <w:rPr>
          <w:rFonts w:ascii="Times New Roman" w:cs="Times New Roman" w:eastAsia="Times New Roman" w:hAnsi="Times New Roman"/>
          <w:sz w:val="20"/>
          <w:szCs w:val="20"/>
          <w:color w:val="auto"/>
        </w:rPr>
      </w:pPr>
    </w:p>
    <w:p>
      <w:pPr>
        <w:jc w:val="both"/>
        <w:ind w:firstLine="8"/>
        <w:spacing w:after="0" w:line="253" w:lineRule="auto"/>
        <w:tabs>
          <w:tab w:leader="none" w:pos="4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acquired, constructed, improved, altered or repaired by the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security interests secure Indebtedness permitted by Section 6.01(e), (ii) such security interests and the Indebtedness secured thereby are incurred prior to or within 365 days after such acquisition or the completion of such construction, improvement, alteration or repair, (iii) the principal amount of the Indebtedness secured thereby does not exceed the cost of acquiring, constructing, improving, altering or repairing such assets, and (iv) such security interests shall not apply to any other property or assets of the Borrower or Subsidiary (other than, in respect of any lease, under any one or more master lease agreements with the same lessor or an Affiliate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89" w:lineRule="exact"/>
        <w:rPr>
          <w:sz w:val="20"/>
          <w:szCs w:val="20"/>
          <w:color w:val="auto"/>
        </w:rPr>
      </w:pPr>
    </w:p>
    <w:p>
      <w:pPr>
        <w:jc w:val="both"/>
        <w:ind w:firstLine="8"/>
        <w:spacing w:after="0" w:line="253" w:lineRule="auto"/>
        <w:tabs>
          <w:tab w:leader="none" w:pos="54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any property or asset (other than accounts receivable and inventory) prior to the acquisition thereof by the Borrower or any Subsidiary or existing on any property or asset (other than accounts receivable and inventory) of any Person that becomes a Loan Party after the date hereof prior to the time such Person becomes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w:t>
      </w:r>
    </w:p>
    <w:p>
      <w:pPr>
        <w:spacing w:after="0" w:line="192" w:lineRule="exact"/>
        <w:rPr>
          <w:rFonts w:ascii="Times New Roman" w:cs="Times New Roman" w:eastAsia="Times New Roman" w:hAnsi="Times New Roman"/>
          <w:sz w:val="20"/>
          <w:szCs w:val="20"/>
          <w:color w:val="auto"/>
        </w:rPr>
      </w:pPr>
    </w:p>
    <w:p>
      <w:pPr>
        <w:ind w:firstLine="8"/>
        <w:spacing w:after="0" w:line="269" w:lineRule="auto"/>
        <w:tabs>
          <w:tab w:leader="none" w:pos="42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collecting bank arising in the ordinary course of business under Section 4-208 of the Uniform Commercial Code in effect in the relevant jurisdiction covering only the items being collected upon;</w:t>
      </w:r>
    </w:p>
    <w:p>
      <w:pPr>
        <w:spacing w:after="0" w:line="17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sale and leaseback transactions permitted by Section 6.06;</w:t>
      </w:r>
    </w:p>
    <w:p>
      <w:pPr>
        <w:spacing w:after="0" w:line="215" w:lineRule="exact"/>
        <w:rPr>
          <w:rFonts w:ascii="Times New Roman" w:cs="Times New Roman" w:eastAsia="Times New Roman" w:hAnsi="Times New Roman"/>
          <w:sz w:val="20"/>
          <w:szCs w:val="20"/>
          <w:color w:val="auto"/>
        </w:rPr>
      </w:pPr>
    </w:p>
    <w:p>
      <w:pPr>
        <w:ind w:firstLine="8"/>
        <w:spacing w:after="0" w:line="283" w:lineRule="auto"/>
        <w:tabs>
          <w:tab w:leader="none" w:pos="45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by a Subsidiary that is not a Loan Party in favor of the Borrower or another Loan Party in respect of Indebtedness owed by such Subsidiary;</w:t>
      </w:r>
    </w:p>
    <w:p>
      <w:pPr>
        <w:spacing w:after="0" w:line="15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Receivables Facility Assets arising under Permitted Receivables Facilities;</w:t>
      </w:r>
    </w:p>
    <w:p>
      <w:pPr>
        <w:spacing w:after="0" w:line="21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by a Loan Party in Equity Interests in a Permitted Joint Venture (including associated proceeds thereof); and</w:t>
      </w:r>
    </w:p>
    <w:p>
      <w:pPr>
        <w:spacing w:after="0" w:line="22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assets of Foreign Subsidiaries securing Indebtedness permitted under Section 6.01(l).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the foregoing, none of the Liens permitted pursuant to this Section 6.02 may at any time attach to any Loan Party’s</w:t>
      </w:r>
    </w:p>
    <w:p>
      <w:pPr>
        <w:spacing w:after="0" w:line="28" w:lineRule="exact"/>
        <w:rPr>
          <w:sz w:val="20"/>
          <w:szCs w:val="20"/>
          <w:color w:val="auto"/>
        </w:rPr>
      </w:pPr>
    </w:p>
    <w:p>
      <w:pPr>
        <w:ind w:left="300" w:hanging="292"/>
        <w:spacing w:after="0"/>
        <w:tabs>
          <w:tab w:leader="none" w:pos="30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other than those permitted under clauses (a) and (d) of the definition of Permitted Encumbrance and clauses (a) and</w:t>
      </w:r>
    </w:p>
    <w:p>
      <w:pPr>
        <w:spacing w:after="0" w:line="13" w:lineRule="exact"/>
        <w:rPr>
          <w:rFonts w:ascii="Times New Roman" w:cs="Times New Roman" w:eastAsia="Times New Roman" w:hAnsi="Times New Roman"/>
          <w:sz w:val="20"/>
          <w:szCs w:val="20"/>
          <w:color w:val="auto"/>
        </w:rPr>
      </w:pPr>
    </w:p>
    <w:p>
      <w:pPr>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above and (2) inventory, other than those permitted under clauses (a), (b) and (d) of the definition of Permitted Encumbrance and clause (a) above.</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6.03.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xml:space="preserve">. (a) The Borrower will not, and will not permit any Material Subsidiary to, merge into or consolidate with any other Person, or permit any other Person to merge into or consolidate with it, or liquidate or dissolve, except that, if at the time thereof and immediately after giving effect thereto no Default shall have occurred and be continuing (i) any Subsidiary of the Borrower may merge into the Borrower in a transaction in which the Borrower is the surviving corporation, (ii) any Loan Party (other than the Borrower) may merge into any Loan Party in a transaction in which the surviving entity is a Loan Party, (iii) any Subsidiary that is not a Loan Party may liquidate or dissolve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involving a Person that is not a wholly owned Subsidiary immediately prior to such merger shall not be permitted unless also permitted by Section 6.04 and (iv) the Borrower and its Subsidiaries may consummate Permitted Acquisitions.</w:t>
      </w:r>
    </w:p>
    <w:p>
      <w:pPr>
        <w:spacing w:after="0" w:line="193" w:lineRule="exact"/>
        <w:rPr>
          <w:sz w:val="20"/>
          <w:szCs w:val="20"/>
          <w:color w:val="auto"/>
        </w:rPr>
      </w:pPr>
    </w:p>
    <w:p>
      <w:pPr>
        <w:ind w:right="20" w:firstLine="8"/>
        <w:spacing w:after="0" w:line="283" w:lineRule="auto"/>
        <w:tabs>
          <w:tab w:leader="none" w:pos="44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nor will it permit any of its Subsidiaries to, engage in any business other than businesses of the type conducted by the Borrower and its Subsidiaries on the date of execution of this Agreement and businesses reasonably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6.04. </w:t>
      </w:r>
      <w:r>
        <w:rPr>
          <w:rFonts w:ascii="Times New Roman" w:cs="Times New Roman" w:eastAsia="Times New Roman" w:hAnsi="Times New Roman"/>
          <w:sz w:val="20"/>
          <w:szCs w:val="20"/>
          <w:u w:val="single" w:color="auto"/>
          <w:color w:val="auto"/>
        </w:rPr>
        <w:t>Investments, Loans, Advances, Guarantees and Acquisitions</w:t>
      </w:r>
      <w:r>
        <w:rPr>
          <w:rFonts w:ascii="Times New Roman" w:cs="Times New Roman" w:eastAsia="Times New Roman" w:hAnsi="Times New Roman"/>
          <w:sz w:val="20"/>
          <w:szCs w:val="20"/>
          <w:color w:val="auto"/>
        </w:rPr>
        <w:t>. The Borrower will not, and will not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92" w:lineRule="exact"/>
        <w:rPr>
          <w:sz w:val="20"/>
          <w:szCs w:val="20"/>
          <w:color w:val="auto"/>
        </w:rPr>
      </w:pPr>
    </w:p>
    <w:p>
      <w:pPr>
        <w:ind w:left="420" w:hanging="412"/>
        <w:spacing w:after="0"/>
        <w:tabs>
          <w:tab w:leader="none" w:pos="42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 and Permitted Acquisitions;</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existence on the date of this Agreement and described in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8"/>
        <w:spacing w:after="0" w:line="253" w:lineRule="auto"/>
        <w:tabs>
          <w:tab w:leader="none" w:pos="59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the Borrower and the Subsidiaries (other than Permitted Joint Ventures) in Equity Interests in their respective Subsidiaries (other than Permitted Joint Ventures),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such Equity Interests held by a Loan Party shall be pledged pursuant to the Security Agreement (to the extent of the Applicable Pledge Percentages) and (B) the aggregate amount of investments by Loan Parties in Subsidiaries (other than Permitted Joint Ventures) that are not Loan Parties (together with outstanding intercompany loans permitted under the proviso to Section 6.04(d) and outstanding Guarantees permitted under the proviso to Section 6.04(e)) shall not exceed $1,000,000 at any time outstanding;</w:t>
      </w:r>
    </w:p>
    <w:p>
      <w:pPr>
        <w:spacing w:after="0" w:line="178" w:lineRule="exact"/>
        <w:rPr>
          <w:rFonts w:ascii="Times New Roman" w:cs="Times New Roman" w:eastAsia="Times New Roman" w:hAnsi="Times New Roman"/>
          <w:sz w:val="20"/>
          <w:szCs w:val="20"/>
          <w:color w:val="auto"/>
        </w:rPr>
      </w:pPr>
    </w:p>
    <w:p>
      <w:pPr>
        <w:jc w:val="both"/>
        <w:ind w:firstLine="8"/>
        <w:spacing w:after="0" w:line="251" w:lineRule="auto"/>
        <w:tabs>
          <w:tab w:leader="none" w:pos="48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made by the Borrower to any Subsidiary (other than Permitted Joint Ventures), Guarantees by the Borrower of the obligations (other than Indebtedness) of any Subsidiary (other than Permitted Joint Ventures), loans or advances made by any Subsidiary (other than Permitted Joint Ventures) to the Borrower or to any other Subsidiary (other than Permitted Joint Ventures), or Guarantees by any Subsidiary (other than Permitted Joint Ventures) of the obligations (other than Indebtedness) of the Borrower or of any Subsidiary (other than Permitted Joint Ventures),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loans and advances made by Loan Parties to, or Guarantees made by Loan Parties of the obligations of, Subsidiaries that are not Loan Parties (together with outstanding investments permitted under clause (B) to the proviso to Section 6.04(c) and outstanding Guarantees permitted under the proviso to Section 6.04(e)) shall not exceed $1,000,000 at any time outstanding;</w:t>
      </w:r>
    </w:p>
    <w:p>
      <w:pPr>
        <w:spacing w:after="0" w:line="195" w:lineRule="exact"/>
        <w:rPr>
          <w:rFonts w:ascii="Times New Roman" w:cs="Times New Roman" w:eastAsia="Times New Roman" w:hAnsi="Times New Roman"/>
          <w:sz w:val="20"/>
          <w:szCs w:val="20"/>
          <w:color w:val="auto"/>
        </w:rPr>
      </w:pPr>
    </w:p>
    <w:p>
      <w:pPr>
        <w:jc w:val="both"/>
        <w:ind w:firstLine="8"/>
        <w:spacing w:after="0" w:line="258" w:lineRule="auto"/>
        <w:tabs>
          <w:tab w:leader="none" w:pos="5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constituting Indebtedness permitted by Section 6.01,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of Subsidiaries (other than Permitted Joint Ventures) that are not Loan Parties that is Guaranteed by any Loan Party shall (together with outstanding investments permitted under clause (B) to the proviso to Section 6.04(c) and outstanding intercompany loans permitted under the proviso to Section 6.04(d)) shall not exceed $1,000,000 at any time outstanding;</w:t>
      </w:r>
    </w:p>
    <w:p>
      <w:pPr>
        <w:spacing w:after="0" w:line="172" w:lineRule="exact"/>
        <w:rPr>
          <w:rFonts w:ascii="Times New Roman" w:cs="Times New Roman" w:eastAsia="Times New Roman" w:hAnsi="Times New Roman"/>
          <w:sz w:val="20"/>
          <w:szCs w:val="20"/>
          <w:color w:val="auto"/>
        </w:rPr>
      </w:pPr>
    </w:p>
    <w:p>
      <w:pPr>
        <w:jc w:val="both"/>
        <w:ind w:firstLine="8"/>
        <w:spacing w:after="0" w:line="268" w:lineRule="auto"/>
        <w:tabs>
          <w:tab w:leader="none" w:pos="42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made by the Borrower or any Subsidiary to its employees on an arms-length basis in the ordinary course of business consistent with past practices for travel and entertainment expenses, relocation costs and similar purposes up to a maximum of $500,000 in the aggregate at any one time outstanding;</w:t>
      </w:r>
    </w:p>
    <w:p>
      <w:pPr>
        <w:spacing w:after="0" w:line="161" w:lineRule="exact"/>
        <w:rPr>
          <w:rFonts w:ascii="Times New Roman" w:cs="Times New Roman" w:eastAsia="Times New Roman" w:hAnsi="Times New Roman"/>
          <w:sz w:val="20"/>
          <w:szCs w:val="20"/>
          <w:color w:val="auto"/>
        </w:rPr>
      </w:pPr>
    </w:p>
    <w:p>
      <w:pPr>
        <w:jc w:val="both"/>
        <w:ind w:firstLine="8"/>
        <w:spacing w:after="0" w:line="261" w:lineRule="auto"/>
        <w:tabs>
          <w:tab w:leader="none" w:pos="47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 or of such merger;</w:t>
      </w:r>
    </w:p>
    <w:p>
      <w:pPr>
        <w:spacing w:after="0" w:line="18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connection with the dispositions of assets permitted by Section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89" w:lineRule="exact"/>
        <w:rPr>
          <w:sz w:val="20"/>
          <w:szCs w:val="20"/>
          <w:color w:val="auto"/>
        </w:rPr>
      </w:pPr>
    </w:p>
    <w:p>
      <w:pPr>
        <w:ind w:left="400" w:hanging="392"/>
        <w:spacing w:after="0"/>
        <w:tabs>
          <w:tab w:leader="none" w:pos="4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deposits described in clauses (c) and (d) of the definition of the term “Permitted Encumbrances”;</w:t>
      </w:r>
    </w:p>
    <w:p>
      <w:pPr>
        <w:spacing w:after="0" w:line="229" w:lineRule="exact"/>
        <w:rPr>
          <w:rFonts w:ascii="Times New Roman" w:cs="Times New Roman" w:eastAsia="Times New Roman" w:hAnsi="Times New Roman"/>
          <w:sz w:val="20"/>
          <w:szCs w:val="20"/>
          <w:color w:val="auto"/>
        </w:rPr>
      </w:pPr>
    </w:p>
    <w:p>
      <w:pPr>
        <w:jc w:val="both"/>
        <w:ind w:firstLine="8"/>
        <w:spacing w:after="0" w:line="250" w:lineRule="auto"/>
        <w:tabs>
          <w:tab w:leader="none" w:pos="427"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acquisitions, formation or ownership of Equity Interests in one or more Permitted Joint Ventures, First Tier Foreign Subsidiaries or First Tier Foreign Subsidiary Holdcos, (ii) Guarantees of the obligations of one or more Permitted Joint Ventures, First Tier Foreign Subsidiaries or First Tier Foreign Subsidiary Holdcos or (iii) investments in, or loans or advances to, one or more Permitted Joint Ventures, First Tier Foreign Subsidiaries or First Tier Foreign Subsidiary Holdcos;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making of any such investment, loan or advance, the positive difference, if any, between (x) the aggregate of all cash that has been invested in, or loaned or advanced to, Permitted Joint Ventures, First Tier Foreign Subsidiaries and First Tier Foreign Subsidiary Holdcos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aggregate of all cash payments or repayments of loans or advances that have been received from Permitted Joint Ventures, First Tier Foreign Subsidiaries and First Tier Foreign Subsidiary Holdcos as of such date, shall not in the aggregate exceed 30% of Consolidated Net Worth (calculated as of the most recently ended fiscal quarter and determined at the time of making such investment, loan or advance by reference to the Borrower’s financial statements most recently delivered pursuant to Section 5.01(a) or (b) or, if prior to the date of the delivery of the first financial statements to be delivered pursuant to Section 5.01(a) or (b), the most recent financial statements referred to in Section 3.04(a));</w:t>
      </w:r>
    </w:p>
    <w:p>
      <w:pPr>
        <w:spacing w:after="0" w:line="186" w:lineRule="exact"/>
        <w:rPr>
          <w:rFonts w:ascii="Times New Roman" w:cs="Times New Roman" w:eastAsia="Times New Roman" w:hAnsi="Times New Roman"/>
          <w:sz w:val="20"/>
          <w:szCs w:val="20"/>
          <w:color w:val="auto"/>
        </w:rPr>
      </w:pPr>
    </w:p>
    <w:p>
      <w:pPr>
        <w:jc w:val="both"/>
        <w:ind w:firstLine="8"/>
        <w:spacing w:after="0" w:line="257" w:lineRule="auto"/>
        <w:tabs>
          <w:tab w:leader="none" w:pos="5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contributions of Receivables Facility Assets and cash deemed received from proceeds of Receivables Facility Assets to any Receivables Entity to the extent required or made pursuant to Permitted Receivables Facility Documents or to the extent necessary to keep such Receivables Entity under a Permitted Receivables Facility properly capitalized to avoid insolvency or consolidation with a Loan Party or any of the Subsidiaries and (ii) loans or advances made by the Borrower or any Receivables Seller to the Receivables Entity for the purchase price of the Receivables and the Receivables Facility Assets in connection with any Permitted Receivables Facility;</w:t>
      </w:r>
    </w:p>
    <w:p>
      <w:pPr>
        <w:spacing w:after="0" w:line="172"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Indebtedness permitted under Section 6.01(l); and</w:t>
      </w:r>
    </w:p>
    <w:p>
      <w:pPr>
        <w:spacing w:after="0" w:line="229" w:lineRule="exact"/>
        <w:rPr>
          <w:rFonts w:ascii="Times New Roman" w:cs="Times New Roman" w:eastAsia="Times New Roman" w:hAnsi="Times New Roman"/>
          <w:sz w:val="20"/>
          <w:szCs w:val="20"/>
          <w:color w:val="auto"/>
        </w:rPr>
      </w:pPr>
    </w:p>
    <w:p>
      <w:pPr>
        <w:jc w:val="both"/>
        <w:ind w:firstLine="8"/>
        <w:spacing w:after="0" w:line="251" w:lineRule="auto"/>
        <w:tabs>
          <w:tab w:leader="none" w:pos="57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investment, loan or advance (other than acquisitions) so long as the aggregate amount of all such investments, loans or advances does not exceed 7.5% of Consolidated Net Worth (in each case as of the most recently ended fiscal quarter and determined at the time of making such investment by reference to the Borrower’s financial statements most recently delivered pursuant to Section 5.01(a) or (b) or, if prior to the date of the delivery of the first financial statements to be delivered pursuant to Section 5.01(a) or (b), the most recent financial statements referred to in Section 3.04(a)). For the avoidance of doubt, the investments, loans and advances permitted under this clause (m) are separate from, and in addition to, the other investments, loans, advances, guarantees and acquisitions permitted under the foregoing clauses (a)-(l).</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6.05. </w:t>
      </w: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 The Borrower will not, and will not permit any Subsidiary to, sell, transfer, lease or otherwise dispose of any asset, including any Equity Interest owned by it, nor will the Borrower permit any Subsidiary to issue any additional Equity Interest in such Subsidiary (other than to the Borrower or another Subsidiary in compliance with Section 6.04), except:</w:t>
      </w:r>
    </w:p>
    <w:p>
      <w:pPr>
        <w:spacing w:after="0" w:line="181" w:lineRule="exact"/>
        <w:rPr>
          <w:sz w:val="20"/>
          <w:szCs w:val="20"/>
          <w:color w:val="auto"/>
        </w:rPr>
      </w:pPr>
    </w:p>
    <w:p>
      <w:pPr>
        <w:jc w:val="both"/>
        <w:ind w:firstLine="8"/>
        <w:spacing w:after="0" w:line="261" w:lineRule="auto"/>
        <w:tabs>
          <w:tab w:leader="none" w:pos="521"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leases and dispositions of (i) inventory in the ordinary course of business, (ii) used, obsolete, worn out or surplus equipment or property in the ordinary course of business and (iii) any equipment or property subject to any lease or right-of-use agreement entered into in the ordinary course of business, in accordance with the terms of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89" w:lineRule="exact"/>
        <w:rPr>
          <w:sz w:val="20"/>
          <w:szCs w:val="20"/>
          <w:color w:val="auto"/>
        </w:rPr>
      </w:pPr>
    </w:p>
    <w:p>
      <w:pPr>
        <w:ind w:firstLine="8"/>
        <w:spacing w:after="0" w:line="283" w:lineRule="auto"/>
        <w:tabs>
          <w:tab w:leader="none" w:pos="55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sales, transfers, leases and dispositions to the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sales, transfers or dispositions involving a Subsidiary that is not a Loan Party shall be made in compliance with Section 6.08;</w:t>
      </w:r>
    </w:p>
    <w:p>
      <w:pPr>
        <w:spacing w:after="0" w:line="146"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of accounts receivable in connection with the compromise, settlement or collection thereof;</w:t>
      </w:r>
    </w:p>
    <w:p>
      <w:pPr>
        <w:spacing w:after="0" w:line="22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of investments permitted by clauses (i) and (m) of Section 6.04;</w:t>
      </w:r>
    </w:p>
    <w:p>
      <w:pPr>
        <w:spacing w:after="0" w:line="215"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and leaseback transactions permitted by Section 6.06;</w:t>
      </w:r>
    </w:p>
    <w:p>
      <w:pPr>
        <w:spacing w:after="0" w:line="229" w:lineRule="exact"/>
        <w:rPr>
          <w:rFonts w:ascii="Times New Roman" w:cs="Times New Roman" w:eastAsia="Times New Roman" w:hAnsi="Times New Roman"/>
          <w:sz w:val="20"/>
          <w:szCs w:val="20"/>
          <w:color w:val="auto"/>
        </w:rPr>
      </w:pPr>
    </w:p>
    <w:p>
      <w:pPr>
        <w:ind w:firstLine="8"/>
        <w:spacing w:after="0" w:line="283" w:lineRule="auto"/>
        <w:tabs>
          <w:tab w:leader="none" w:pos="42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property or asset of the Borrower or any Subsidiary;</w:t>
      </w:r>
    </w:p>
    <w:p>
      <w:pPr>
        <w:spacing w:after="0" w:line="146"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sales and/or pledges of Receivables Related Assets under Permitted Receivables Facilities; and</w:t>
      </w:r>
    </w:p>
    <w:p>
      <w:pPr>
        <w:spacing w:after="0" w:line="229" w:lineRule="exact"/>
        <w:rPr>
          <w:rFonts w:ascii="Times New Roman" w:cs="Times New Roman" w:eastAsia="Times New Roman" w:hAnsi="Times New Roman"/>
          <w:sz w:val="20"/>
          <w:szCs w:val="20"/>
          <w:color w:val="auto"/>
        </w:rPr>
      </w:pPr>
    </w:p>
    <w:p>
      <w:pPr>
        <w:jc w:val="both"/>
        <w:ind w:firstLine="8"/>
        <w:spacing w:after="0" w:line="281" w:lineRule="auto"/>
        <w:tabs>
          <w:tab w:leader="none" w:pos="44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sales, transfers and other dispositions of assets (other than Equity Interests in a Subsidiary unless all Equity Interests in such Subsidiary are sold) that are not permitted by any other paragraph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fair market value of all assets sold, transferred or otherwise disposed of in reliance upon this clause (h) shall not exceed $15,000,000 during any fiscal year of the Borrower.</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6.06. </w:t>
      </w:r>
      <w:r>
        <w:rPr>
          <w:rFonts w:ascii="Times New Roman" w:cs="Times New Roman" w:eastAsia="Times New Roman" w:hAnsi="Times New Roman"/>
          <w:sz w:val="20"/>
          <w:szCs w:val="20"/>
          <w:u w:val="single" w:color="auto"/>
          <w:color w:val="auto"/>
        </w:rPr>
        <w:t>Sale and Leaseback Transactions</w:t>
      </w:r>
      <w:r>
        <w:rPr>
          <w:rFonts w:ascii="Times New Roman" w:cs="Times New Roman" w:eastAsia="Times New Roman" w:hAnsi="Times New Roman"/>
          <w:sz w:val="20"/>
          <w:szCs w:val="20"/>
          <w:color w:val="auto"/>
        </w:rPr>
        <w:t xml:space="preserve">. The Borrower will not, and will not permit any Subsidiary to, without the prior written consent of the Administrative Agent,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or equipment by the Borrower or any Subsidiary that is made for cash consideration in an amount not less than the fair value of such fixed or capital asset or equipment;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net book value of the assets that are the subject of any such transaction (excluding any such transaction solely between Loan Parties) shall not, in the aggregate, when taken together with the aggregate net book value (determined at the time of the consummation of the instant transaction) of the assets that are the subject of all other such transactions then outstanding, exceed $50,000,000.</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6.07. </w:t>
      </w:r>
      <w:r>
        <w:rPr>
          <w:rFonts w:ascii="Times New Roman" w:cs="Times New Roman" w:eastAsia="Times New Roman" w:hAnsi="Times New Roman"/>
          <w:sz w:val="20"/>
          <w:szCs w:val="20"/>
          <w:u w:val="single" w:color="auto"/>
          <w:color w:val="auto"/>
        </w:rPr>
        <w:t>Restricted Payments; Certain Payments of Indebtedness</w:t>
      </w:r>
      <w:r>
        <w:rPr>
          <w:rFonts w:ascii="Times New Roman" w:cs="Times New Roman" w:eastAsia="Times New Roman" w:hAnsi="Times New Roman"/>
          <w:sz w:val="20"/>
          <w:szCs w:val="20"/>
          <w:color w:val="auto"/>
        </w:rPr>
        <w:t>. (a) The Borrower will not, and will not permit any Subsidiary to, declare or make, or agree to pay or make, directly or indirectly, any Restricted Payment, or incur any obligation (contingent or otherwise) to do so, except (i) the Borrower may declare and pay dividends with respect to its Equity Interest payable solely in additional units of its Equity Interests, (ii) Subsidiaries of the Borrower may declare and pay dividends ratably with respect to their Equity Interests, and (iii) the Borrower may make any other Restricted Payments so long as (A) no Event of Default has then occurred and is continuing or would arise after giving effect thereto, (B) at the time thereof and after giving pro forma effect thereto, the Net Leverage Ratio (as calculated pursuant to Section 6.12(b)) is, and would be, less than 2.75 to 1.0 and (C) at the time thereof and after giving pro forma effect thereto, the Liquidity of the Borrower and its Subsidiaries is, and would be, equal to or greater than $50,000,000. For the avoidance of doubt, this Section 6.07 shall not limit any issuances of securities or other payments with respect to any Equity Interests in connection with employment agreements, stock options and stock ownership plans entered into by employees, officers and directors of the Borrower or its Subsidiaries and as otherwise permitted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9" w:lineRule="exact"/>
        <w:rPr>
          <w:sz w:val="20"/>
          <w:szCs w:val="20"/>
          <w:color w:val="auto"/>
        </w:rPr>
      </w:pPr>
    </w:p>
    <w:p>
      <w:pPr>
        <w:jc w:val="both"/>
        <w:ind w:firstLine="8"/>
        <w:spacing w:after="0" w:line="258" w:lineRule="auto"/>
        <w:tabs>
          <w:tab w:leader="none" w:pos="42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72" w:lineRule="exact"/>
        <w:rPr>
          <w:sz w:val="20"/>
          <w:szCs w:val="20"/>
          <w:color w:val="auto"/>
        </w:rPr>
      </w:pPr>
    </w:p>
    <w:p>
      <w:pPr>
        <w:ind w:left="400" w:hanging="392"/>
        <w:spacing w:after="0"/>
        <w:tabs>
          <w:tab w:leader="none" w:pos="4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Indebtedness created under the Loan Documents;</w:t>
      </w:r>
    </w:p>
    <w:p>
      <w:pPr>
        <w:spacing w:after="0" w:line="22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in respect of Subordinated Indebtedness made in accordance with the Subordinated Indebtedness Documents and Section</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6.10;</w:t>
      </w:r>
    </w:p>
    <w:p>
      <w:pPr>
        <w:spacing w:after="0" w:line="207" w:lineRule="exact"/>
        <w:rPr>
          <w:rFonts w:ascii="Times New Roman" w:cs="Times New Roman" w:eastAsia="Times New Roman" w:hAnsi="Times New Roman"/>
          <w:sz w:val="19"/>
          <w:szCs w:val="19"/>
          <w:color w:val="auto"/>
        </w:rPr>
      </w:pPr>
    </w:p>
    <w:p>
      <w:pPr>
        <w:ind w:firstLine="8"/>
        <w:spacing w:after="0" w:line="269" w:lineRule="auto"/>
        <w:tabs>
          <w:tab w:leader="none" w:pos="4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regularly scheduled interest and principal payments as and when due in respect of any Indebtedness, other than payments in respect of the Subordinated Indebtedness prohibited by the subordination provisions thereof;</w:t>
      </w:r>
    </w:p>
    <w:p>
      <w:pPr>
        <w:spacing w:after="0" w:line="17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refinancings of Indebtedness to the extent permitted by Section 6.01; and</w:t>
      </w:r>
    </w:p>
    <w:p>
      <w:pPr>
        <w:spacing w:after="0" w:line="229" w:lineRule="exact"/>
        <w:rPr>
          <w:rFonts w:ascii="Times New Roman" w:cs="Times New Roman" w:eastAsia="Times New Roman" w:hAnsi="Times New Roman"/>
          <w:sz w:val="20"/>
          <w:szCs w:val="20"/>
          <w:color w:val="auto"/>
        </w:rPr>
      </w:pPr>
    </w:p>
    <w:p>
      <w:pPr>
        <w:ind w:firstLine="8"/>
        <w:spacing w:after="0" w:line="269" w:lineRule="auto"/>
        <w:tabs>
          <w:tab w:leader="none" w:pos="51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secured Indebtedness that becomes due as a result of the voluntary sale or transfer of the property or assets securing such Indebtedness.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SECTION 6.08.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The Borrower will not, and will not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the Borrower or such Subsidiary than could be obtained on an arm’s-length basis from unrelated third parties,</w:t>
      </w:r>
    </w:p>
    <w:p>
      <w:pPr>
        <w:spacing w:after="0" w:line="2" w:lineRule="exact"/>
        <w:rPr>
          <w:sz w:val="20"/>
          <w:szCs w:val="20"/>
          <w:color w:val="auto"/>
        </w:rPr>
      </w:pPr>
    </w:p>
    <w:p>
      <w:pPr>
        <w:jc w:val="both"/>
        <w:ind w:firstLine="8"/>
        <w:spacing w:after="0" w:line="246" w:lineRule="auto"/>
        <w:tabs>
          <w:tab w:leader="none" w:pos="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any Loan Party and any Pledge Subsidiary not involving any other Affiliate, (c) any investment, loan, advance or Guarantee permitted by Sections 6.04(c), 6.04(d) or 6.04(j), (d) any Indebtedness permitted under Section 6.01(c) or 6.01(i),</w:t>
      </w:r>
    </w:p>
    <w:p>
      <w:pPr>
        <w:spacing w:after="0" w:line="1" w:lineRule="exact"/>
        <w:rPr>
          <w:rFonts w:ascii="Times New Roman" w:cs="Times New Roman" w:eastAsia="Times New Roman" w:hAnsi="Times New Roman"/>
          <w:sz w:val="20"/>
          <w:szCs w:val="20"/>
          <w:color w:val="auto"/>
        </w:rPr>
      </w:pPr>
    </w:p>
    <w:p>
      <w:pPr>
        <w:jc w:val="both"/>
        <w:ind w:firstLine="8"/>
        <w:spacing w:after="0" w:line="249" w:lineRule="auto"/>
        <w:tabs>
          <w:tab w:leader="none" w:pos="27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Payment permitted by Section 6.07, (f) loans or advances to employees permitted under Section 6.04, (g) 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its Subsidiaries in the ordinary course of business, (h) any issuances of securities or other payments, awards or grants in cash, securities or otherwise pursuant to, or the funding of, employment agreements, stock options and stock ownership plans approved by the Borrower’s board of directors and (i) transactions contemplated by any Permitted Receivables Facility Documents.</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6.09.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xml:space="preserve">. The Borrower will not, and will not permit any Subsidiary to, directly or indirectly, enter into, incur or permit to exist any agreement or other arrangement that prohibits, restricts or imposes any condition upon (a) the ability of the Borrower or any of its Subsidiaries to create, incur or permit to exist any Lien upon any of its property or assets or (b) the ability of any Subsidiary to pay dividends or other distributions with respect to any shares of its capital stock or to make or repay loans or advances to the Borrower or any other Subsidiary or to Guarantee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foregoing shall not apply to restrictions and conditions imposed by law or by any Loan Document, (ii) the foregoing shall not apply to customary restrictions and conditions contained in agreements relating to the sale of a Subsidiary pending such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restrictions and conditions apply only to the Subsidiary that is to be sold and such sale is permitted hereunder, (iii) clause (a) of the foregoing shall not apply to restrictions or conditions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by any agreement relating to secured Indebtedness permitted by this Agreement if such restrictions or conditions apply only to the property or assets securing such Indebtedness, (iv) clause (a) of the foregoing shall not apply to customary provisions in leases restricting the assignment thereof and (v) the foregoing shall not apply to customary restrictions and conditions contained in Permitted Receivables Facility Documents.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6.10. </w:t>
      </w:r>
      <w:r>
        <w:rPr>
          <w:rFonts w:ascii="Times New Roman" w:cs="Times New Roman" w:eastAsia="Times New Roman" w:hAnsi="Times New Roman"/>
          <w:sz w:val="20"/>
          <w:szCs w:val="20"/>
          <w:u w:val="single" w:color="auto"/>
          <w:color w:val="auto"/>
        </w:rPr>
        <w:t>Subordinated Indebtedness and Amendments to Subordinated Indebtedness Documents</w:t>
      </w:r>
      <w:r>
        <w:rPr>
          <w:rFonts w:ascii="Times New Roman" w:cs="Times New Roman" w:eastAsia="Times New Roman" w:hAnsi="Times New Roman"/>
          <w:sz w:val="20"/>
          <w:szCs w:val="20"/>
          <w:color w:val="auto"/>
        </w:rPr>
        <w:t>(a) . The Borrower will not, and will not permit any Subsidiary to, directly or indirectly, voluntarily prepay, defease or in substance defease, purchase, redeem, retire or otherwise acquire any Subordinated Indebtedness or any Indebtedness from time to time outstanding under the Subordinated Indebtedness Documents. Furthermore, the Borrower will not, and will not permit any Subsidiary to, amend the Subordinated Indebtedness Documents or any document, agreement or instrument evidencing any Indebtedness incurred pursuant to the Subordinated Indebtedness Documents (or any replacements, substitutions, extensions or renewals thereof) or pursuant to which such Indebtedness is issued where such amendment, modification or supplement provides for the following or which has any of the following effects:</w:t>
      </w:r>
    </w:p>
    <w:p>
      <w:pPr>
        <w:spacing w:after="0" w:line="193" w:lineRule="exact"/>
        <w:rPr>
          <w:sz w:val="20"/>
          <w:szCs w:val="20"/>
          <w:color w:val="auto"/>
        </w:rPr>
      </w:pPr>
    </w:p>
    <w:p>
      <w:pPr>
        <w:ind w:firstLine="8"/>
        <w:spacing w:after="0" w:line="269" w:lineRule="auto"/>
        <w:tabs>
          <w:tab w:leader="none" w:pos="42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the overall principal amount of any such Indebtedness or increases the amount of any single scheduled installment of principal or interest;</w:t>
      </w:r>
    </w:p>
    <w:p>
      <w:pPr>
        <w:spacing w:after="0" w:line="172" w:lineRule="exact"/>
        <w:rPr>
          <w:rFonts w:ascii="Times New Roman" w:cs="Times New Roman" w:eastAsia="Times New Roman" w:hAnsi="Times New Roman"/>
          <w:sz w:val="20"/>
          <w:szCs w:val="20"/>
          <w:color w:val="auto"/>
        </w:rPr>
      </w:pPr>
    </w:p>
    <w:p>
      <w:pPr>
        <w:ind w:right="20" w:firstLine="8"/>
        <w:spacing w:after="0" w:line="269" w:lineRule="auto"/>
        <w:tabs>
          <w:tab w:leader="none" w:pos="51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shortens or accelerates the date upon which any installment of principal or interest becomes due or adds any additional mandatory redemption provisions;</w:t>
      </w:r>
    </w:p>
    <w:p>
      <w:pPr>
        <w:spacing w:after="0" w:line="172" w:lineRule="exact"/>
        <w:rPr>
          <w:rFonts w:ascii="Times New Roman" w:cs="Times New Roman" w:eastAsia="Times New Roman" w:hAnsi="Times New Roman"/>
          <w:sz w:val="20"/>
          <w:szCs w:val="20"/>
          <w:color w:val="auto"/>
        </w:rPr>
      </w:pPr>
    </w:p>
    <w:p>
      <w:pPr>
        <w:ind w:firstLine="8"/>
        <w:spacing w:after="0" w:line="283" w:lineRule="auto"/>
        <w:tabs>
          <w:tab w:leader="none" w:pos="60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shortens the final maturity date of such Indebtedness or otherwise accelerates the amortization schedule with respect to such Indebtedness;</w:t>
      </w:r>
    </w:p>
    <w:p>
      <w:pPr>
        <w:spacing w:after="0" w:line="146"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the rate of interest accruing on such Indebtedness;</w:t>
      </w:r>
    </w:p>
    <w:p>
      <w:pPr>
        <w:spacing w:after="0" w:line="229"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for the payment of additional fees or increases existing fees;</w:t>
      </w:r>
    </w:p>
    <w:p>
      <w:pPr>
        <w:spacing w:after="0" w:line="215" w:lineRule="exact"/>
        <w:rPr>
          <w:rFonts w:ascii="Times New Roman" w:cs="Times New Roman" w:eastAsia="Times New Roman" w:hAnsi="Times New Roman"/>
          <w:sz w:val="20"/>
          <w:szCs w:val="20"/>
          <w:color w:val="auto"/>
        </w:rPr>
      </w:pPr>
    </w:p>
    <w:p>
      <w:pPr>
        <w:jc w:val="both"/>
        <w:ind w:firstLine="8"/>
        <w:spacing w:after="0" w:line="253" w:lineRule="auto"/>
        <w:tabs>
          <w:tab w:leader="none" w:pos="447"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amends or modifies any financial or negative covenant (or covenant which prohibits or restricts the Borrower or any Subsidiary from taking certain actions) in a manner which is more onerous or more restrictive in any material respect to the Borrower or such Subsidiary or which is otherwise materially adverse to the Borrower, any Subsidiary and/or the Lenders or, in the case of any such covenant, which places material additional restrictions on the Borrower or such Subsidiary or which requires the Borrower or such Subsidiary to comply with more restrictive financial ratios or which requires the Borrower to better its financial performance, in each case from that set forth in the existing applicable covenants in the Subordinated Indebtedness Documents or the applicable covenants in this Agreement; or</w:t>
      </w:r>
    </w:p>
    <w:p>
      <w:pPr>
        <w:spacing w:after="0" w:line="192" w:lineRule="exact"/>
        <w:rPr>
          <w:rFonts w:ascii="Times New Roman" w:cs="Times New Roman" w:eastAsia="Times New Roman" w:hAnsi="Times New Roman"/>
          <w:sz w:val="20"/>
          <w:szCs w:val="20"/>
          <w:color w:val="auto"/>
        </w:rPr>
      </w:pPr>
    </w:p>
    <w:p>
      <w:pPr>
        <w:jc w:val="both"/>
        <w:ind w:firstLine="8"/>
        <w:spacing w:after="0" w:line="261" w:lineRule="auto"/>
        <w:tabs>
          <w:tab w:leader="none" w:pos="44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amends, modifies or adds any affirmative covenant in a manner which (i) when taken as a whole, is materially adverse to the Borrower, any Subsidiary and/or the Lenders or (ii) is more onerous than the existing applicable covenant in the Subordinated Indebtedness Documents or the applicable covenant in this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6.11. [Reserved].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6.12. </w:t>
      </w:r>
      <w:r>
        <w:rPr>
          <w:rFonts w:ascii="Times New Roman" w:cs="Times New Roman" w:eastAsia="Times New Roman" w:hAnsi="Times New Roman"/>
          <w:sz w:val="20"/>
          <w:szCs w:val="20"/>
          <w:u w:val="single" w:color="auto"/>
          <w:color w:val="auto"/>
        </w:rPr>
        <w:t>Financial Covenants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89" w:lineRule="exact"/>
        <w:rPr>
          <w:sz w:val="20"/>
          <w:szCs w:val="20"/>
          <w:color w:val="auto"/>
        </w:rPr>
      </w:pPr>
    </w:p>
    <w:p>
      <w:pPr>
        <w:ind w:firstLine="8"/>
        <w:spacing w:after="0" w:line="283" w:lineRule="auto"/>
        <w:tabs>
          <w:tab w:leader="none" w:pos="52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The Borrower will not permit the Interest Coverage Ratio, determined as of the end of each of its fiscal quarters for any period of four consecutive fiscal quarters ending with the end of such fiscal quarter, to be less than 3.0 to 1.0.</w:t>
      </w:r>
    </w:p>
    <w:p>
      <w:pPr>
        <w:spacing w:after="0" w:line="146" w:lineRule="exact"/>
        <w:rPr>
          <w:rFonts w:ascii="Times New Roman" w:cs="Times New Roman" w:eastAsia="Times New Roman" w:hAnsi="Times New Roman"/>
          <w:sz w:val="20"/>
          <w:szCs w:val="20"/>
          <w:color w:val="auto"/>
        </w:rPr>
      </w:pPr>
    </w:p>
    <w:p>
      <w:pPr>
        <w:jc w:val="both"/>
        <w:ind w:firstLine="8"/>
        <w:spacing w:after="0" w:line="257" w:lineRule="auto"/>
        <w:tabs>
          <w:tab w:leader="none" w:pos="42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Net Leverage Ratio</w:t>
      </w:r>
      <w:r>
        <w:rPr>
          <w:rFonts w:ascii="Times New Roman" w:cs="Times New Roman" w:eastAsia="Times New Roman" w:hAnsi="Times New Roman"/>
          <w:sz w:val="20"/>
          <w:szCs w:val="20"/>
          <w:color w:val="auto"/>
        </w:rPr>
        <w:t xml:space="preserve">. The Borrower will not permit the Net Leverage Ratio, determined as of the end of each of its fiscal quarters for any period of four consecutive fiscal quarters ending with the end of such fiscal quarter, to be greater than 3.0 to 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reimbursement obligations of the account party in respect of Letters of Credit with a maturity of one year or less (in an aggregate principal amount not to exceed the amount of Consolidated EBITDA for such period as of the end of such fiscal quarter) shall not be included in determining Consolidated Total Indebtedness for calculating the Leverage Ratio in accordance with this clause (b).</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7.01.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The following events shall each constitute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hereunder:</w:t>
      </w:r>
    </w:p>
    <w:p>
      <w:pPr>
        <w:spacing w:after="0" w:line="229" w:lineRule="exact"/>
        <w:rPr>
          <w:sz w:val="20"/>
          <w:szCs w:val="20"/>
          <w:color w:val="auto"/>
        </w:rPr>
      </w:pPr>
    </w:p>
    <w:p>
      <w:pPr>
        <w:jc w:val="both"/>
        <w:ind w:right="20" w:firstLine="8"/>
        <w:spacing w:after="0" w:line="261" w:lineRule="auto"/>
        <w:tabs>
          <w:tab w:leader="none" w:pos="43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principal of any Loan or any reimbursement obligation in respect of any LC Disbursement when and as the same shall become due and payable and in the Agreed Currency required hereunder, whether at the due date thereof or at a date fixed for prepayment thereof or otherwise;</w:t>
      </w:r>
    </w:p>
    <w:p>
      <w:pPr>
        <w:spacing w:after="0" w:line="181" w:lineRule="exact"/>
        <w:rPr>
          <w:rFonts w:ascii="Times New Roman" w:cs="Times New Roman" w:eastAsia="Times New Roman" w:hAnsi="Times New Roman"/>
          <w:sz w:val="20"/>
          <w:szCs w:val="20"/>
          <w:color w:val="auto"/>
        </w:rPr>
      </w:pPr>
    </w:p>
    <w:p>
      <w:pPr>
        <w:jc w:val="both"/>
        <w:ind w:firstLine="8"/>
        <w:spacing w:after="0" w:line="261" w:lineRule="auto"/>
        <w:tabs>
          <w:tab w:leader="none" w:pos="43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in the Agreed Currency required hereunder, and such failure shall continue unremedied for a period of three Business Days;</w:t>
      </w:r>
    </w:p>
    <w:p>
      <w:pPr>
        <w:spacing w:after="0" w:line="181" w:lineRule="exact"/>
        <w:rPr>
          <w:rFonts w:ascii="Times New Roman" w:cs="Times New Roman" w:eastAsia="Times New Roman" w:hAnsi="Times New Roman"/>
          <w:sz w:val="20"/>
          <w:szCs w:val="20"/>
          <w:color w:val="auto"/>
        </w:rPr>
      </w:pPr>
    </w:p>
    <w:p>
      <w:pPr>
        <w:jc w:val="both"/>
        <w:ind w:firstLine="8"/>
        <w:spacing w:after="0" w:line="253" w:lineRule="auto"/>
        <w:tabs>
          <w:tab w:leader="none" w:pos="43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spacing w:after="0" w:line="178" w:lineRule="exact"/>
        <w:rPr>
          <w:rFonts w:ascii="Times New Roman" w:cs="Times New Roman" w:eastAsia="Times New Roman" w:hAnsi="Times New Roman"/>
          <w:sz w:val="20"/>
          <w:szCs w:val="20"/>
          <w:color w:val="auto"/>
        </w:rPr>
      </w:pPr>
    </w:p>
    <w:p>
      <w:pPr>
        <w:ind w:firstLine="8"/>
        <w:spacing w:after="0" w:line="283" w:lineRule="auto"/>
        <w:tabs>
          <w:tab w:leader="none" w:pos="46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observe or perform any covenant, condition or agreement contained in Section 5.02(a), 5.03 (with respect to the Borrower’s existence), 5.08 or 5.11 or in Article VI or in Article X;</w:t>
      </w:r>
    </w:p>
    <w:p>
      <w:pPr>
        <w:spacing w:after="0" w:line="159" w:lineRule="exact"/>
        <w:rPr>
          <w:rFonts w:ascii="Times New Roman" w:cs="Times New Roman" w:eastAsia="Times New Roman" w:hAnsi="Times New Roman"/>
          <w:sz w:val="20"/>
          <w:szCs w:val="20"/>
          <w:color w:val="auto"/>
        </w:rPr>
      </w:pPr>
    </w:p>
    <w:p>
      <w:pPr>
        <w:jc w:val="both"/>
        <w:ind w:firstLine="8"/>
        <w:spacing w:after="0" w:line="254" w:lineRule="auto"/>
        <w:tabs>
          <w:tab w:leader="none" w:pos="55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Subsidiary Guarantor, as applicable, shall fail to observe or perform any covenant, condition or agreement contained in this Agreement (other than those which constitute a default under another Section of this Article) or any other Loan Document, and such failure shall continue unremedied for a period of 30 days after the earlier of such breach or notice thereof from the Administrative Agent to the Borrower (which notice will be given at the request of any Lender);</w:t>
      </w:r>
    </w:p>
    <w:p>
      <w:pPr>
        <w:spacing w:after="0" w:line="187" w:lineRule="exact"/>
        <w:rPr>
          <w:rFonts w:ascii="Times New Roman" w:cs="Times New Roman" w:eastAsia="Times New Roman" w:hAnsi="Times New Roman"/>
          <w:sz w:val="20"/>
          <w:szCs w:val="20"/>
          <w:color w:val="auto"/>
        </w:rPr>
      </w:pPr>
    </w:p>
    <w:p>
      <w:pPr>
        <w:ind w:firstLine="8"/>
        <w:spacing w:after="0" w:line="283" w:lineRule="auto"/>
        <w:tabs>
          <w:tab w:leader="none" w:pos="41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Subsidiary shall fail to make any payment (whether of principal or interest and regardless of amount) in respect of any Material Indebtedness, when and as the same shall become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89" w:lineRule="exact"/>
        <w:rPr>
          <w:sz w:val="20"/>
          <w:szCs w:val="20"/>
          <w:color w:val="auto"/>
        </w:rPr>
      </w:pPr>
    </w:p>
    <w:p>
      <w:pPr>
        <w:jc w:val="both"/>
        <w:ind w:firstLine="8"/>
        <w:spacing w:after="0" w:line="253" w:lineRule="auto"/>
        <w:tabs>
          <w:tab w:leader="none" w:pos="45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shall not apply to secured Indebtedness that becomes due as a result of the voluntary sale or transfer of the property or assets securing such Indebtedness;</w:t>
      </w:r>
    </w:p>
    <w:p>
      <w:pPr>
        <w:spacing w:after="0" w:line="191" w:lineRule="exact"/>
        <w:rPr>
          <w:rFonts w:ascii="Times New Roman" w:cs="Times New Roman" w:eastAsia="Times New Roman" w:hAnsi="Times New Roman"/>
          <w:sz w:val="20"/>
          <w:szCs w:val="20"/>
          <w:color w:val="auto"/>
        </w:rPr>
      </w:pPr>
    </w:p>
    <w:p>
      <w:pPr>
        <w:jc w:val="both"/>
        <w:ind w:firstLine="8"/>
        <w:spacing w:after="0" w:line="253" w:lineRule="auto"/>
        <w:tabs>
          <w:tab w:leader="none" w:pos="46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the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Subsidiary or for a substantial part of its assets, and, in any such case, such proceeding or petition shall continue undismissed for 60 days or an order or decree approving or ordering any of the foregoing shall be entered;</w:t>
      </w:r>
    </w:p>
    <w:p>
      <w:pPr>
        <w:spacing w:after="0" w:line="192" w:lineRule="exact"/>
        <w:rPr>
          <w:rFonts w:ascii="Times New Roman" w:cs="Times New Roman" w:eastAsia="Times New Roman" w:hAnsi="Times New Roman"/>
          <w:sz w:val="20"/>
          <w:szCs w:val="20"/>
          <w:color w:val="auto"/>
        </w:rPr>
      </w:pPr>
    </w:p>
    <w:p>
      <w:pPr>
        <w:jc w:val="both"/>
        <w:ind w:firstLine="8"/>
        <w:spacing w:after="0" w:line="251" w:lineRule="auto"/>
        <w:tabs>
          <w:tab w:leader="none" w:pos="39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w:t>
      </w:r>
    </w:p>
    <w:p>
      <w:pPr>
        <w:spacing w:after="0" w:line="2" w:lineRule="exact"/>
        <w:rPr>
          <w:rFonts w:ascii="Times New Roman" w:cs="Times New Roman" w:eastAsia="Times New Roman" w:hAnsi="Times New Roman"/>
          <w:sz w:val="20"/>
          <w:szCs w:val="20"/>
          <w:color w:val="auto"/>
        </w:rPr>
      </w:pPr>
    </w:p>
    <w:p>
      <w:pPr>
        <w:jc w:val="both"/>
        <w:ind w:firstLine="8"/>
        <w:spacing w:after="0" w:line="251" w:lineRule="auto"/>
        <w:tabs>
          <w:tab w:leader="none" w:pos="353"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for or consent to the appointment of a receiver, trustee, custodian, sequestrator, conservator or similar official for the Borrower or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90"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Subsidiary shall become unable, admit in writing its inability or fail generally to pay its debts as they become due;</w:t>
      </w:r>
    </w:p>
    <w:p>
      <w:pPr>
        <w:spacing w:after="0" w:line="215" w:lineRule="exact"/>
        <w:rPr>
          <w:rFonts w:ascii="Times New Roman" w:cs="Times New Roman" w:eastAsia="Times New Roman" w:hAnsi="Times New Roman"/>
          <w:sz w:val="20"/>
          <w:szCs w:val="20"/>
          <w:color w:val="auto"/>
        </w:rPr>
      </w:pPr>
    </w:p>
    <w:p>
      <w:pPr>
        <w:jc w:val="both"/>
        <w:ind w:firstLine="8"/>
        <w:spacing w:after="0" w:line="257" w:lineRule="auto"/>
        <w:tabs>
          <w:tab w:leader="none" w:pos="501"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for the payment of money in an aggregate amount in excess of $10,000,000 (to the extent not covered by a creditworthy insurer which has not denied coverage and subject to customary deductibles) shall be rendered against the Borrower or any Subsidiary or any combination thereof and the same shall remain undischarged for a period of 30 consecutive days during which execution shall not be effectively stayed, or any action shall be legally taken by a judgment creditor to attach or levy upon any assets of the Borrower or any Subsidiary to enforce any such judgment;</w:t>
      </w:r>
    </w:p>
    <w:p>
      <w:pPr>
        <w:spacing w:after="0" w:line="172" w:lineRule="exact"/>
        <w:rPr>
          <w:rFonts w:ascii="Times New Roman" w:cs="Times New Roman" w:eastAsia="Times New Roman" w:hAnsi="Times New Roman"/>
          <w:sz w:val="20"/>
          <w:szCs w:val="20"/>
          <w:color w:val="auto"/>
        </w:rPr>
      </w:pPr>
    </w:p>
    <w:p>
      <w:pPr>
        <w:ind w:firstLine="8"/>
        <w:spacing w:after="0" w:line="283" w:lineRule="auto"/>
        <w:tabs>
          <w:tab w:leader="none" w:pos="43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 shall have occurred that, when taken together with all other ERISA Events that have occurred, would reasonably be expected to result in a Material Adverse Effect;</w:t>
      </w:r>
    </w:p>
    <w:p>
      <w:pPr>
        <w:spacing w:after="0" w:line="146" w:lineRule="exact"/>
        <w:rPr>
          <w:rFonts w:ascii="Times New Roman" w:cs="Times New Roman" w:eastAsia="Times New Roman" w:hAnsi="Times New Roman"/>
          <w:sz w:val="20"/>
          <w:szCs w:val="20"/>
          <w:color w:val="auto"/>
        </w:rPr>
      </w:pPr>
    </w:p>
    <w:p>
      <w:pPr>
        <w:ind w:left="500" w:hanging="492"/>
        <w:spacing w:after="0"/>
        <w:tabs>
          <w:tab w:leader="none" w:pos="5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w:t>
      </w:r>
    </w:p>
    <w:p>
      <w:pPr>
        <w:spacing w:after="0" w:line="229" w:lineRule="exact"/>
        <w:rPr>
          <w:rFonts w:ascii="Times New Roman" w:cs="Times New Roman" w:eastAsia="Times New Roman" w:hAnsi="Times New Roman"/>
          <w:sz w:val="20"/>
          <w:szCs w:val="20"/>
          <w:color w:val="auto"/>
        </w:rPr>
      </w:pPr>
    </w:p>
    <w:p>
      <w:pPr>
        <w:jc w:val="both"/>
        <w:ind w:firstLine="8"/>
        <w:spacing w:after="0" w:line="261" w:lineRule="auto"/>
        <w:tabs>
          <w:tab w:leader="none" w:pos="49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181" w:lineRule="exact"/>
        <w:rPr>
          <w:rFonts w:ascii="Times New Roman" w:cs="Times New Roman" w:eastAsia="Times New Roman" w:hAnsi="Times New Roman"/>
          <w:sz w:val="20"/>
          <w:szCs w:val="20"/>
          <w:color w:val="auto"/>
        </w:rPr>
      </w:pPr>
    </w:p>
    <w:p>
      <w:pPr>
        <w:jc w:val="both"/>
        <w:ind w:firstLine="8"/>
        <w:spacing w:after="0" w:line="258" w:lineRule="auto"/>
        <w:tabs>
          <w:tab w:leader="none" w:pos="43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Subsidiary Guaranty shall fail to remain in full force or effect or any action shall be taken to discontinue or to assert the invalidity or unenforceability of the Subsidiary Guaranty, or any Subsidiary Guarantor shall fail to comply with any of the terms or provisions of the relevant Subsidiary Guaranty to which it is a party, or any Subsidiary Guarantor shall deny that it has any further liability under the Subsidiary Guaranty to which it is a party, or shall give notice to such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89" w:lineRule="exact"/>
        <w:rPr>
          <w:sz w:val="20"/>
          <w:szCs w:val="20"/>
          <w:color w:val="auto"/>
        </w:rPr>
      </w:pPr>
    </w:p>
    <w:p>
      <w:pPr>
        <w:jc w:val="both"/>
        <w:ind w:firstLine="8"/>
        <w:spacing w:after="0" w:line="253" w:lineRule="auto"/>
        <w:tabs>
          <w:tab w:leader="none" w:pos="55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Collateral Document shall for any reason fail to create a valid and perfected first priority security interest in any Collateral purported to be covered thereby, except as permitted by the terms of any Collateral Document, or any Collateral Document shall fail to remain in full force or effect or any action shall be taken to discontinue or to assert the invalidity or unenforceability of any Collateral Document, or any Loan Party shall fail to comply with any of the terms or provisions of any Collateral Document, or the Borrower or any Subsidiary shall fail to comply with the terms and conditions required in connection with the subordination of any Subordinated Indebtedness, or any such terms and conditions shall fail to remain in full force or effect or any action shall be taken to discontinue or to assert the invalidity or unenforceability of such terms and conditions; or</w:t>
      </w:r>
    </w:p>
    <w:p>
      <w:pPr>
        <w:spacing w:after="0" w:line="179" w:lineRule="exact"/>
        <w:rPr>
          <w:rFonts w:ascii="Times New Roman" w:cs="Times New Roman" w:eastAsia="Times New Roman" w:hAnsi="Times New Roman"/>
          <w:sz w:val="20"/>
          <w:szCs w:val="20"/>
          <w:color w:val="auto"/>
        </w:rPr>
      </w:pPr>
    </w:p>
    <w:p>
      <w:pPr>
        <w:jc w:val="both"/>
        <w:ind w:firstLine="8"/>
        <w:spacing w:after="0" w:line="258" w:lineRule="auto"/>
        <w:tabs>
          <w:tab w:leader="none" w:pos="46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provision of any Loan Document for any reason ceases to be valid, binding and enforceable in accordance with its terms (or the Borrower or any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SECTION 7.02. </w:t>
      </w:r>
      <w:r>
        <w:rPr>
          <w:rFonts w:ascii="Times New Roman" w:cs="Times New Roman" w:eastAsia="Times New Roman" w:hAnsi="Times New Roman"/>
          <w:sz w:val="20"/>
          <w:szCs w:val="20"/>
          <w:u w:val="single" w:color="auto"/>
          <w:color w:val="auto"/>
        </w:rPr>
        <w:t>Remedies Upon an Event of Default</w:t>
      </w:r>
      <w:r>
        <w:rPr>
          <w:rFonts w:ascii="Times New Roman" w:cs="Times New Roman" w:eastAsia="Times New Roman" w:hAnsi="Times New Roman"/>
          <w:sz w:val="20"/>
          <w:szCs w:val="20"/>
          <w:color w:val="auto"/>
        </w:rPr>
        <w:t>. If an Event of Default occurs (other than an event with respect to the Borrower described in Sections 7.01(h) or 7.01(i)), and at any time thereafter during the continuance of such Event of Default, the Administrative Agent may with the consent of the Required Lenders, and at the request of the Required Lenders shall, by notice to the Borrower, take any or all of the following actions, at the same or different times:</w:t>
      </w:r>
    </w:p>
    <w:p>
      <w:pPr>
        <w:spacing w:after="0" w:line="187" w:lineRule="exact"/>
        <w:rPr>
          <w:sz w:val="20"/>
          <w:szCs w:val="20"/>
          <w:color w:val="auto"/>
        </w:rPr>
      </w:pPr>
    </w:p>
    <w:p>
      <w:pPr>
        <w:ind w:left="420" w:hanging="412"/>
        <w:spacing w:after="0"/>
        <w:tabs>
          <w:tab w:leader="none" w:pos="42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the Commitments, and thereupon the Commitments shall terminate immediately;</w:t>
      </w:r>
    </w:p>
    <w:p>
      <w:pPr>
        <w:spacing w:after="0" w:line="229" w:lineRule="exact"/>
        <w:rPr>
          <w:rFonts w:ascii="Times New Roman" w:cs="Times New Roman" w:eastAsia="Times New Roman" w:hAnsi="Times New Roman"/>
          <w:sz w:val="20"/>
          <w:szCs w:val="20"/>
          <w:color w:val="auto"/>
        </w:rPr>
      </w:pPr>
    </w:p>
    <w:p>
      <w:pPr>
        <w:jc w:val="both"/>
        <w:ind w:firstLine="8"/>
        <w:spacing w:after="0" w:line="253" w:lineRule="auto"/>
        <w:tabs>
          <w:tab w:leader="none" w:pos="43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of the Borrower accrued hereunder and under any other Loan Document, shall become due and payable immediately, without presentment, demand, protest or other notice of any kind, all of which are hereby waived by the Borrower;</w:t>
      </w:r>
    </w:p>
    <w:p>
      <w:pPr>
        <w:spacing w:after="0" w:line="178"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provide cash collateral as required in Section 2.06(j); and</w:t>
      </w:r>
    </w:p>
    <w:p>
      <w:pPr>
        <w:spacing w:after="0" w:line="229" w:lineRule="exact"/>
        <w:rPr>
          <w:rFonts w:ascii="Times New Roman" w:cs="Times New Roman" w:eastAsia="Times New Roman" w:hAnsi="Times New Roman"/>
          <w:sz w:val="20"/>
          <w:szCs w:val="20"/>
          <w:color w:val="auto"/>
        </w:rPr>
      </w:pPr>
    </w:p>
    <w:p>
      <w:pPr>
        <w:ind w:firstLine="8"/>
        <w:spacing w:after="0" w:line="283" w:lineRule="auto"/>
        <w:tabs>
          <w:tab w:leader="none" w:pos="44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Issuing Banks all rights and remedies available to it, the Lenders and the Issuing Banks under the Loan Documents and Applicable Law.</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an Event of Default described in Sections 7.01(h) or 7.01(i) occurs with respect to the Borrower, the Commitments shall automatically terminate and the principal of the Loans then outstanding and cash collateral for the LC Exposure, together with accrued interest thereon and all fees and other Secured Obligations of the Borrower accrued hereunder and under any other Loan Document including any break funding payment or prepayment premium, shall automatically become due and payable, and the obligation of the Borrower to cash collateralize the LC Exposure as provided in clause (c) above shall automatically become effective, in each case, without presentment, demand, protest or other notice of any kind, all of which are hereby waived by the Borrower.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addition to any other rights and remedies granted to the Administrative Agent and the Lenders in the Loan Documents, the Administrative Agent on behalf of the Holders of Secured Obligations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accordance with the provisions of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Borrower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7.03. </w:t>
      </w:r>
      <w:r>
        <w:rPr>
          <w:rFonts w:ascii="Times New Roman" w:cs="Times New Roman" w:eastAsia="Times New Roman" w:hAnsi="Times New Roman"/>
          <w:sz w:val="20"/>
          <w:szCs w:val="20"/>
          <w:u w:val="single" w:color="auto"/>
          <w:color w:val="auto"/>
        </w:rPr>
        <w:t>Application of Payments</w:t>
      </w:r>
      <w:r>
        <w:rPr>
          <w:rFonts w:ascii="Times New Roman" w:cs="Times New Roman" w:eastAsia="Times New Roman" w:hAnsi="Times New Roman"/>
          <w:sz w:val="20"/>
          <w:szCs w:val="20"/>
          <w:color w:val="auto"/>
        </w:rPr>
        <w:t>. Notwithstanding anything herein to the contrary, following the occurrence and during the continuance of an Event of Default, and notice thereof to the Administrative Agent by the Borrower or the Required Lenders:</w:t>
      </w:r>
    </w:p>
    <w:p>
      <w:pPr>
        <w:spacing w:after="0" w:line="173" w:lineRule="exact"/>
        <w:rPr>
          <w:sz w:val="20"/>
          <w:szCs w:val="20"/>
          <w:color w:val="auto"/>
        </w:rPr>
      </w:pPr>
    </w:p>
    <w:p>
      <w:pPr>
        <w:ind w:firstLine="8"/>
        <w:spacing w:after="0" w:line="269" w:lineRule="auto"/>
        <w:tabs>
          <w:tab w:leader="none" w:pos="45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received on account of the Secured Obligations shall, subject to Section 2.20, be applied by the Administrative Agent as follows:</w:t>
      </w:r>
    </w:p>
    <w:p>
      <w:pPr>
        <w:spacing w:after="0" w:line="173" w:lineRule="exact"/>
        <w:rPr>
          <w:sz w:val="20"/>
          <w:szCs w:val="20"/>
          <w:color w:val="auto"/>
        </w:rPr>
      </w:pPr>
    </w:p>
    <w:p>
      <w:pPr>
        <w:jc w:val="both"/>
        <w:ind w:firstLine="8"/>
        <w:spacing w:after="0" w:line="261" w:lineRule="auto"/>
        <w:tabs>
          <w:tab w:leader="none" w:pos="439"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payment of that portion of the Secured Obligations constituting fees, indemnities, expenses and other amounts payable to the Administrative Agent (including fees and disbursements and other charges of counsel to the Administrative Agent payable under Section 9.03 and amounts pursuant to Section 2.12(c) payable to the Administrative Agent in its capacity as such);</w:t>
      </w:r>
    </w:p>
    <w:p>
      <w:pPr>
        <w:spacing w:after="0" w:line="181" w:lineRule="exact"/>
        <w:rPr>
          <w:rFonts w:ascii="Times New Roman" w:cs="Times New Roman" w:eastAsia="Times New Roman" w:hAnsi="Times New Roman"/>
          <w:sz w:val="20"/>
          <w:szCs w:val="20"/>
          <w:color w:val="auto"/>
        </w:rPr>
      </w:pPr>
    </w:p>
    <w:p>
      <w:pPr>
        <w:jc w:val="both"/>
        <w:ind w:firstLine="8"/>
        <w:spacing w:after="0" w:line="253" w:lineRule="auto"/>
        <w:tabs>
          <w:tab w:leader="none" w:pos="49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payment of that portion of the Secured Obligations constituting fees, expenses, indemnities and other amounts (other than principal, reimbursement obligations in respect of LC Disbursements, interest and Letter of Credit fees) payable to the Lenders and the Issuing Banks (including fees and disbursements and other charges of counsel to the Lenders and the Issuing Banks payable under Section 9.03) arising under the Loan Documents, ratably among them in proportion to the respective amounts described in this clause (ii) payable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89" w:lineRule="exact"/>
        <w:rPr>
          <w:sz w:val="20"/>
          <w:szCs w:val="20"/>
          <w:color w:val="auto"/>
        </w:rPr>
      </w:pPr>
    </w:p>
    <w:p>
      <w:pPr>
        <w:jc w:val="both"/>
        <w:ind w:firstLine="8"/>
        <w:spacing w:after="0" w:line="261" w:lineRule="auto"/>
        <w:tabs>
          <w:tab w:leader="none" w:pos="57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payment of that portion of the Secured Obligations constituting accrued and unpaid Letter of Credit fees and charges and interest on the Loans and unreimbursed LC Disbursements, ratably among the Lenders and the Issuing Banks in proportion to the respective amounts described in this clause (iii) payable to them;</w:t>
      </w:r>
    </w:p>
    <w:p>
      <w:pPr>
        <w:spacing w:after="0" w:line="181" w:lineRule="exact"/>
        <w:rPr>
          <w:rFonts w:ascii="Times New Roman" w:cs="Times New Roman" w:eastAsia="Times New Roman" w:hAnsi="Times New Roman"/>
          <w:sz w:val="20"/>
          <w:szCs w:val="20"/>
          <w:color w:val="auto"/>
        </w:rPr>
      </w:pPr>
    </w:p>
    <w:p>
      <w:pPr>
        <w:jc w:val="both"/>
        <w:ind w:firstLine="8"/>
        <w:spacing w:after="0" w:line="250" w:lineRule="auto"/>
        <w:tabs>
          <w:tab w:leader="none" w:pos="56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 to payment of that portion of the Secured Obligations constituting unpaid principal of the Loans and unreimbursed LC Disbursements and any other amounts owing with respect to Banking Services Obligations and Swap Obligations and (B) to cash collateralize that portion of LC Exposure comprising the undrawn amount of Letters of Credit to the extent not otherwise cash collateralized by the Borrower pursuant to Section 2.06 or 2.20, ratably among the Lenders and the Issuing Banks in proportion to the respective amounts described in this clause (iv) payable to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such amounts applied pursuant to subclause (B) above shall be paid to the Administrative Agent for the ratable account of the applicable Issuing Banks to cash collateralize Secured Obligations in respect of Letters of Credit, (y) subject to Section 2.06 or 2.20,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7.03;</w:t>
      </w:r>
    </w:p>
    <w:p>
      <w:pPr>
        <w:spacing w:after="0" w:line="196" w:lineRule="exact"/>
        <w:rPr>
          <w:rFonts w:ascii="Times New Roman" w:cs="Times New Roman" w:eastAsia="Times New Roman" w:hAnsi="Times New Roman"/>
          <w:sz w:val="20"/>
          <w:szCs w:val="20"/>
          <w:color w:val="auto"/>
        </w:rPr>
      </w:pPr>
    </w:p>
    <w:p>
      <w:pPr>
        <w:jc w:val="both"/>
        <w:ind w:firstLine="8"/>
        <w:spacing w:after="0" w:line="261" w:lineRule="auto"/>
        <w:tabs>
          <w:tab w:leader="none" w:pos="44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payment in full of all other Secured Obligations, in each case ratably among the Administrative Agent, the Lenders and the Issuing Banks based upon the respective aggregate amounts of all such Secured Obligations owing to them in accordance with the respective amounts thereof then due and payable; and</w:t>
      </w:r>
    </w:p>
    <w:p>
      <w:pPr>
        <w:spacing w:after="0" w:line="181" w:lineRule="exact"/>
        <w:rPr>
          <w:rFonts w:ascii="Times New Roman" w:cs="Times New Roman" w:eastAsia="Times New Roman" w:hAnsi="Times New Roman"/>
          <w:sz w:val="20"/>
          <w:szCs w:val="20"/>
          <w:color w:val="auto"/>
        </w:rPr>
      </w:pPr>
    </w:p>
    <w:p>
      <w:pPr>
        <w:ind w:right="20" w:firstLine="8"/>
        <w:spacing w:after="0" w:line="269" w:lineRule="auto"/>
        <w:tabs>
          <w:tab w:leader="none" w:pos="51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finally</w:t>
      </w:r>
      <w:r>
        <w:rPr>
          <w:rFonts w:ascii="Times New Roman" w:cs="Times New Roman" w:eastAsia="Times New Roman" w:hAnsi="Times New Roman"/>
          <w:sz w:val="20"/>
          <w:szCs w:val="20"/>
          <w:color w:val="auto"/>
        </w:rPr>
        <w:t>, the balance, if any, after all Secured Obligations have been indefeasibly paid in full, to the Borrower or as otherwise required by law; and</w:t>
      </w:r>
    </w:p>
    <w:p>
      <w:pPr>
        <w:spacing w:after="0" w:line="173" w:lineRule="exact"/>
        <w:rPr>
          <w:sz w:val="20"/>
          <w:szCs w:val="20"/>
          <w:color w:val="auto"/>
        </w:rPr>
      </w:pPr>
    </w:p>
    <w:p>
      <w:pPr>
        <w:ind w:firstLine="8"/>
        <w:spacing w:after="0" w:line="269" w:lineRule="auto"/>
        <w:tabs>
          <w:tab w:leader="none" w:pos="50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remains on deposit as cash collateral after all Letters of Credit have either been fully drawn or expired (without any pending drawings), such remaining amount shall be applied to the other Secured Obligations, if any, in the order set forth above.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Administrative Agent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8.01. </w:t>
      </w:r>
      <w:r>
        <w:rPr>
          <w:rFonts w:ascii="Times New Roman" w:cs="Times New Roman" w:eastAsia="Times New Roman" w:hAnsi="Times New Roman"/>
          <w:sz w:val="20"/>
          <w:szCs w:val="20"/>
          <w:u w:val="single" w:color="auto"/>
          <w:color w:val="auto"/>
        </w:rPr>
        <w:t>Authorization and Action</w:t>
      </w:r>
      <w:r>
        <w:rPr>
          <w:rFonts w:ascii="Times New Roman" w:cs="Times New Roman" w:eastAsia="Times New Roman" w:hAnsi="Times New Roman"/>
          <w:sz w:val="20"/>
          <w:szCs w:val="20"/>
          <w:color w:val="auto"/>
        </w:rPr>
        <w:t>. (a) 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89" w:lineRule="exact"/>
        <w:rPr>
          <w:sz w:val="20"/>
          <w:szCs w:val="20"/>
          <w:color w:val="auto"/>
        </w:rPr>
      </w:pPr>
    </w:p>
    <w:p>
      <w:pPr>
        <w:jc w:val="both"/>
        <w:ind w:firstLine="8"/>
        <w:spacing w:after="0" w:line="249" w:lineRule="auto"/>
        <w:tabs>
          <w:tab w:leader="none" w:pos="5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0" w:lineRule="exact"/>
        <w:rPr>
          <w:rFonts w:ascii="Times New Roman" w:cs="Times New Roman" w:eastAsia="Times New Roman" w:hAnsi="Times New Roman"/>
          <w:sz w:val="20"/>
          <w:szCs w:val="20"/>
          <w:color w:val="auto"/>
        </w:rPr>
      </w:pPr>
    </w:p>
    <w:p>
      <w:pPr>
        <w:jc w:val="both"/>
        <w:ind w:firstLine="8"/>
        <w:spacing w:after="0" w:line="271" w:lineRule="auto"/>
        <w:tabs>
          <w:tab w:leader="none" w:pos="488"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spacing w:after="0" w:line="174" w:lineRule="exact"/>
        <w:rPr>
          <w:sz w:val="20"/>
          <w:szCs w:val="20"/>
          <w:color w:val="auto"/>
        </w:rPr>
      </w:pPr>
    </w:p>
    <w:p>
      <w:pPr>
        <w:jc w:val="both"/>
        <w:ind w:firstLine="8"/>
        <w:spacing w:after="0" w:line="266" w:lineRule="auto"/>
        <w:tabs>
          <w:tab w:leader="none" w:pos="41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82" w:lineRule="exact"/>
        <w:rPr>
          <w:rFonts w:ascii="Times New Roman" w:cs="Times New Roman" w:eastAsia="Times New Roman" w:hAnsi="Times New Roman"/>
          <w:sz w:val="19"/>
          <w:szCs w:val="19"/>
          <w:color w:val="auto"/>
        </w:rPr>
      </w:pPr>
    </w:p>
    <w:p>
      <w:pPr>
        <w:ind w:firstLine="8"/>
        <w:spacing w:after="0" w:line="269" w:lineRule="auto"/>
        <w:tabs>
          <w:tab w:leader="none" w:pos="47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89" w:lineRule="exact"/>
        <w:rPr>
          <w:sz w:val="20"/>
          <w:szCs w:val="20"/>
          <w:color w:val="auto"/>
        </w:rPr>
      </w:pPr>
    </w:p>
    <w:p>
      <w:pPr>
        <w:jc w:val="both"/>
        <w:ind w:firstLine="8"/>
        <w:spacing w:after="0" w:line="253" w:lineRule="auto"/>
        <w:tabs>
          <w:tab w:leader="none" w:pos="5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79" w:lineRule="exact"/>
        <w:rPr>
          <w:rFonts w:ascii="Times New Roman" w:cs="Times New Roman" w:eastAsia="Times New Roman" w:hAnsi="Times New Roman"/>
          <w:sz w:val="20"/>
          <w:szCs w:val="20"/>
          <w:color w:val="auto"/>
        </w:rPr>
      </w:pPr>
    </w:p>
    <w:p>
      <w:pPr>
        <w:jc w:val="both"/>
        <w:ind w:firstLine="8"/>
        <w:spacing w:after="0" w:line="261" w:lineRule="auto"/>
        <w:tabs>
          <w:tab w:leader="none" w:pos="49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any 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81" w:lineRule="exact"/>
        <w:rPr>
          <w:rFonts w:ascii="Times New Roman" w:cs="Times New Roman" w:eastAsia="Times New Roman" w:hAnsi="Times New Roman"/>
          <w:sz w:val="20"/>
          <w:szCs w:val="20"/>
          <w:color w:val="auto"/>
        </w:rPr>
      </w:pPr>
    </w:p>
    <w:p>
      <w:pPr>
        <w:jc w:val="both"/>
        <w:ind w:firstLine="8"/>
        <w:spacing w:after="0" w:line="253" w:lineRule="auto"/>
        <w:tabs>
          <w:tab w:leader="none" w:pos="44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92" w:lineRule="exact"/>
        <w:rPr>
          <w:sz w:val="20"/>
          <w:szCs w:val="20"/>
          <w:color w:val="auto"/>
        </w:rPr>
      </w:pPr>
    </w:p>
    <w:p>
      <w:pPr>
        <w:jc w:val="both"/>
        <w:ind w:firstLine="8"/>
        <w:spacing w:after="0" w:line="258" w:lineRule="auto"/>
        <w:tabs>
          <w:tab w:leader="none" w:pos="39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7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proceeding is hereby authorized by each Lender, each Issuing Bank and each other Holder of Secured Obligations to make such payments to the Administrative Agent and, in the event that the Administrative Agent shall consent to the making of such payments directly to the Lenders, the Issuing Banks or the other Holders of Secured Obligations,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95" w:lineRule="exact"/>
        <w:rPr>
          <w:sz w:val="20"/>
          <w:szCs w:val="20"/>
          <w:color w:val="auto"/>
        </w:rPr>
      </w:pPr>
    </w:p>
    <w:p>
      <w:pPr>
        <w:jc w:val="both"/>
        <w:ind w:firstLine="8"/>
        <w:spacing w:after="0" w:line="254" w:lineRule="auto"/>
        <w:tabs>
          <w:tab w:leader="none" w:pos="48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Holder of Secured Obligations, whether or not a party hereto, will be deemed, by its acceptance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benefits of the Collateral and of the Guarantees of the Secured Obligations provided under the Loan Documents, to have agreed to the provisions of this Article.</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8.02. </w:t>
      </w:r>
      <w:r>
        <w:rPr>
          <w:rFonts w:ascii="Times New Roman" w:cs="Times New Roman" w:eastAsia="Times New Roman" w:hAnsi="Times New Roman"/>
          <w:sz w:val="20"/>
          <w:szCs w:val="20"/>
          <w:u w:val="single" w:color="auto"/>
          <w:color w:val="auto"/>
        </w:rPr>
        <w:t>Administrative Agent’s Reliance, Limitation of Liability, Etc</w:t>
      </w:r>
      <w:r>
        <w:rPr>
          <w:rFonts w:ascii="Times New Roman" w:cs="Times New Roman" w:eastAsia="Times New Roman" w:hAnsi="Times New Roman"/>
          <w:sz w:val="20"/>
          <w:szCs w:val="20"/>
          <w:color w:val="auto"/>
        </w:rPr>
        <w:t>.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93" w:lineRule="exact"/>
        <w:rPr>
          <w:sz w:val="20"/>
          <w:szCs w:val="20"/>
          <w:color w:val="auto"/>
        </w:rPr>
      </w:pPr>
    </w:p>
    <w:p>
      <w:pPr>
        <w:jc w:val="both"/>
        <w:ind w:firstLine="8"/>
        <w:spacing w:after="0" w:line="250" w:lineRule="auto"/>
        <w:tabs>
          <w:tab w:leader="none" w:pos="47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(A) any statement, warranty or representation made in or in connection with any Loan Document,</w:t>
      </w:r>
    </w:p>
    <w:p>
      <w:pPr>
        <w:spacing w:after="0" w:line="2" w:lineRule="exact"/>
        <w:rPr>
          <w:rFonts w:ascii="Times New Roman" w:cs="Times New Roman" w:eastAsia="Times New Roman" w:hAnsi="Times New Roman"/>
          <w:sz w:val="20"/>
          <w:szCs w:val="20"/>
          <w:color w:val="auto"/>
        </w:rPr>
      </w:pPr>
    </w:p>
    <w:p>
      <w:pPr>
        <w:jc w:val="both"/>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(E)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(F) the creation, perfection or priority of Liens on the Collateral. Notwithstanding anything herein to the contrary, the Administrative Agent shall not be liable for or be responsible for any Liabilities, costs or expenses suffered by the Borrower, any Subsidiary, any Lender or any Issuing Bank as a result of, any determination of the Revolving Exposure, any of the component amounts thereof or any portion thereof attributable to each Lender or Issuing Bank, or any Exchange Rate or calculation of any Dollar Amount.</w:t>
      </w:r>
    </w:p>
    <w:p>
      <w:pPr>
        <w:spacing w:after="0" w:line="183" w:lineRule="exact"/>
        <w:rPr>
          <w:rFonts w:ascii="Times New Roman" w:cs="Times New Roman" w:eastAsia="Times New Roman" w:hAnsi="Times New Roman"/>
          <w:sz w:val="20"/>
          <w:szCs w:val="20"/>
          <w:color w:val="auto"/>
        </w:rPr>
      </w:pPr>
    </w:p>
    <w:p>
      <w:pPr>
        <w:jc w:val="both"/>
        <w:ind w:firstLine="8"/>
        <w:spacing w:after="0" w:line="261" w:lineRule="auto"/>
        <w:tabs>
          <w:tab w:leader="none" w:pos="53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w:t>
      </w:r>
    </w:p>
    <w:p>
      <w:pPr>
        <w:spacing w:after="0" w:line="1" w:lineRule="exact"/>
        <w:rPr>
          <w:rFonts w:ascii="Times New Roman" w:cs="Times New Roman" w:eastAsia="Times New Roman" w:hAnsi="Times New Roman"/>
          <w:sz w:val="20"/>
          <w:szCs w:val="20"/>
          <w:color w:val="auto"/>
        </w:rPr>
      </w:pPr>
    </w:p>
    <w:p>
      <w:pPr>
        <w:ind w:right="20" w:firstLine="8"/>
        <w:spacing w:after="0" w:line="253" w:lineRule="auto"/>
        <w:tabs>
          <w:tab w:leader="none" w:pos="349"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consult with legal counsel (including counsel to the Borrower), independent public accountants and other experts selected by it, and shall not be liable for any action taken or omitted to be taken in good faith by it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8.03. </w:t>
      </w:r>
      <w:r>
        <w:rPr>
          <w:rFonts w:ascii="Times New Roman" w:cs="Times New Roman" w:eastAsia="Times New Roman" w:hAnsi="Times New Roman"/>
          <w:sz w:val="20"/>
          <w:szCs w:val="20"/>
          <w:u w:val="single" w:color="auto"/>
          <w:color w:val="auto"/>
        </w:rPr>
        <w:t>The Administrative Agent Individually</w:t>
      </w:r>
      <w:r>
        <w:rPr>
          <w:rFonts w:ascii="Times New Roman" w:cs="Times New Roman" w:eastAsia="Times New Roman" w:hAnsi="Times New Roman"/>
          <w:sz w:val="20"/>
          <w:szCs w:val="20"/>
          <w:color w:val="auto"/>
        </w:rPr>
        <w:t>. With respect to its Commitment, Loans (including Swingline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8.04. </w:t>
      </w:r>
      <w:r>
        <w:rPr>
          <w:rFonts w:ascii="Times New Roman" w:cs="Times New Roman" w:eastAsia="Times New Roman" w:hAnsi="Times New Roman"/>
          <w:sz w:val="20"/>
          <w:szCs w:val="20"/>
          <w:u w:val="single" w:color="auto"/>
          <w:color w:val="auto"/>
        </w:rPr>
        <w:t>Successor Administrative Agent</w:t>
      </w:r>
      <w:r>
        <w:rPr>
          <w:rFonts w:ascii="Times New Roman" w:cs="Times New Roman" w:eastAsia="Times New Roman" w:hAnsi="Times New Roman"/>
          <w:sz w:val="20"/>
          <w:szCs w:val="20"/>
          <w:color w:val="auto"/>
        </w:rPr>
        <w:t>. (a) 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89" w:lineRule="exact"/>
        <w:rPr>
          <w:sz w:val="20"/>
          <w:szCs w:val="20"/>
          <w:color w:val="auto"/>
        </w:rPr>
      </w:pPr>
    </w:p>
    <w:p>
      <w:pPr>
        <w:jc w:val="both"/>
        <w:ind w:firstLine="8"/>
        <w:spacing w:after="0" w:line="249" w:lineRule="auto"/>
        <w:tabs>
          <w:tab w:leader="none" w:pos="471"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for purposes of maintaining any security interest granted to the Administrative Agent under any Collateral Document for the benefit of the Holders of Secured Obligations, the retiring Administrative Agent shall continue to be vested with such security interest as collateral agent for the benefit of the Holders of Secured Obligations, and shall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8.05. </w:t>
      </w:r>
      <w:r>
        <w:rPr>
          <w:rFonts w:ascii="Times New Roman" w:cs="Times New Roman" w:eastAsia="Times New Roman" w:hAnsi="Times New Roman"/>
          <w:sz w:val="20"/>
          <w:szCs w:val="20"/>
          <w:u w:val="single" w:color="auto"/>
          <w:color w:val="auto"/>
        </w:rPr>
        <w:t>Acknowledgments of Lenders and Issuing Banks</w:t>
      </w:r>
      <w:r>
        <w:rPr>
          <w:rFonts w:ascii="Times New Roman" w:cs="Times New Roman" w:eastAsia="Times New Roman" w:hAnsi="Times New Roman"/>
          <w:sz w:val="20"/>
          <w:szCs w:val="20"/>
          <w:color w:val="auto"/>
        </w:rPr>
        <w:t>. (a) 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Bank agrees not to assert a claim in contravention of the foregoing, such as a claim under the federal or state securities law), (iii) it has, independently and without reliance upon the Administrative Agent, any Arranger, any Syndication Agent, any Co-Documentation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Syndication Agent, any Co-Documentation Agent or any other Lender or Issuing Bank, or any of the Related Parties of any of the foregoing, and based on such documents and information (which may contain material, non-public information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1" w:lineRule="exact"/>
        <w:rPr>
          <w:sz w:val="20"/>
          <w:szCs w:val="20"/>
          <w:color w:val="auto"/>
        </w:rPr>
      </w:pPr>
    </w:p>
    <w:p>
      <w:pPr>
        <w:jc w:val="both"/>
        <w:ind w:firstLine="8"/>
        <w:spacing w:after="0" w:line="258" w:lineRule="auto"/>
        <w:tabs>
          <w:tab w:leader="none" w:pos="43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72" w:lineRule="exact"/>
        <w:rPr>
          <w:rFonts w:ascii="Times New Roman" w:cs="Times New Roman" w:eastAsia="Times New Roman" w:hAnsi="Times New Roman"/>
          <w:sz w:val="20"/>
          <w:szCs w:val="20"/>
          <w:color w:val="auto"/>
        </w:rPr>
      </w:pPr>
    </w:p>
    <w:p>
      <w:pPr>
        <w:jc w:val="both"/>
        <w:ind w:firstLine="8"/>
        <w:spacing w:after="0" w:line="250" w:lineRule="auto"/>
        <w:tabs>
          <w:tab w:leader="none" w:pos="42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8.05(c) shall be conclusive, absent manifest error.</w:t>
      </w:r>
    </w:p>
    <w:p>
      <w:pPr>
        <w:spacing w:after="0" w:line="183" w:lineRule="exact"/>
        <w:rPr>
          <w:sz w:val="20"/>
          <w:szCs w:val="20"/>
          <w:color w:val="auto"/>
        </w:rPr>
      </w:pPr>
    </w:p>
    <w:p>
      <w:pPr>
        <w:jc w:val="both"/>
        <w:ind w:firstLine="8"/>
        <w:spacing w:after="0" w:line="251" w:lineRule="auto"/>
        <w:tabs>
          <w:tab w:leader="none" w:pos="49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that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89" w:lineRule="exact"/>
        <w:rPr>
          <w:sz w:val="20"/>
          <w:szCs w:val="20"/>
          <w:color w:val="auto"/>
        </w:rPr>
      </w:pPr>
    </w:p>
    <w:p>
      <w:pPr>
        <w:jc w:val="both"/>
        <w:ind w:firstLine="8"/>
        <w:spacing w:after="0" w:line="258" w:lineRule="auto"/>
        <w:tabs>
          <w:tab w:leader="none" w:pos="499"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spacing w:after="0" w:line="172" w:lineRule="exact"/>
        <w:rPr>
          <w:rFonts w:ascii="Times New Roman" w:cs="Times New Roman" w:eastAsia="Times New Roman" w:hAnsi="Times New Roman"/>
          <w:sz w:val="20"/>
          <w:szCs w:val="20"/>
          <w:color w:val="auto"/>
        </w:rPr>
      </w:pPr>
    </w:p>
    <w:p>
      <w:pPr>
        <w:jc w:val="both"/>
        <w:ind w:firstLine="8"/>
        <w:spacing w:after="0" w:line="268" w:lineRule="auto"/>
        <w:tabs>
          <w:tab w:leader="none" w:pos="557"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8.05(c)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SECTION 8.06. </w:t>
      </w:r>
      <w:r>
        <w:rPr>
          <w:rFonts w:ascii="Times New Roman" w:cs="Times New Roman" w:eastAsia="Times New Roman" w:hAnsi="Times New Roman"/>
          <w:sz w:val="20"/>
          <w:szCs w:val="20"/>
          <w:u w:val="single" w:color="auto"/>
          <w:color w:val="auto"/>
        </w:rPr>
        <w:t>Collateral Matters</w:t>
      </w:r>
      <w:r>
        <w:rPr>
          <w:rFonts w:ascii="Times New Roman" w:cs="Times New Roman" w:eastAsia="Times New Roman" w:hAnsi="Times New Roman"/>
          <w:sz w:val="20"/>
          <w:szCs w:val="20"/>
          <w:color w:val="auto"/>
        </w:rPr>
        <w:t>. (a) Except with respect to the exercise of setoff rights in accordance with Section 9.08 or with respect to a Holder of Secured Obligations’ right to file a proof of claim in an insolvency proceeding, no Holder of Secured Obligations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Holders of Secured Obligations in accordance with the terms thereof.</w:t>
      </w:r>
    </w:p>
    <w:p>
      <w:pPr>
        <w:spacing w:after="0" w:line="173" w:lineRule="exact"/>
        <w:rPr>
          <w:sz w:val="20"/>
          <w:szCs w:val="20"/>
          <w:color w:val="auto"/>
        </w:rPr>
      </w:pPr>
    </w:p>
    <w:p>
      <w:pPr>
        <w:jc w:val="both"/>
        <w:ind w:firstLine="8"/>
        <w:spacing w:after="0" w:line="251" w:lineRule="auto"/>
        <w:tabs>
          <w:tab w:leader="none" w:pos="51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Holder of Secured Obligations that is a party thereto any rights in connection with the management or release of any Collateral or of the obligations of any Loan Party under any Loan Document. By accepting the benefits of the Collateral, each Holder of Secured Obligations that is a party to any Banking Services Agreement or Swap Agreement in respect of Swap Obligations, as applicable, shall be deemed to have appointed the Administrative Agent to serve as administrative agent and collateral agent under the Loan Documents and agreed to be bound by the Loan Documents as a Holder of Secured Obligations thereunder, subject to the limitations set forth in this paragraph.</w:t>
      </w:r>
    </w:p>
    <w:p>
      <w:pPr>
        <w:spacing w:after="0" w:line="195" w:lineRule="exact"/>
        <w:rPr>
          <w:rFonts w:ascii="Times New Roman" w:cs="Times New Roman" w:eastAsia="Times New Roman" w:hAnsi="Times New Roman"/>
          <w:sz w:val="20"/>
          <w:szCs w:val="20"/>
          <w:color w:val="auto"/>
        </w:rPr>
      </w:pPr>
    </w:p>
    <w:p>
      <w:pPr>
        <w:jc w:val="both"/>
        <w:ind w:firstLine="8"/>
        <w:spacing w:after="0" w:line="251" w:lineRule="auto"/>
        <w:tabs>
          <w:tab w:leader="none" w:pos="46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Secured Obligations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Holder of Secured Obligations for any failure to monitor or maintain any portion of the Collateral.</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8.07. </w:t>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72" w:lineRule="exact"/>
        <w:rPr>
          <w:sz w:val="20"/>
          <w:szCs w:val="20"/>
          <w:color w:val="auto"/>
        </w:rPr>
      </w:pPr>
    </w:p>
    <w:p>
      <w:pPr>
        <w:ind w:right="20" w:firstLine="8"/>
        <w:spacing w:after="0" w:line="283" w:lineRule="auto"/>
        <w:tabs>
          <w:tab w:leader="none" w:pos="439"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 Regulation) of one or more Benefit Plans in connection with the Loans, the Letters of Credit or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89" w:lineRule="exact"/>
        <w:rPr>
          <w:sz w:val="20"/>
          <w:szCs w:val="20"/>
          <w:color w:val="auto"/>
        </w:rPr>
      </w:pPr>
    </w:p>
    <w:p>
      <w:pPr>
        <w:jc w:val="both"/>
        <w:ind w:firstLine="8"/>
        <w:spacing w:after="0" w:line="253" w:lineRule="auto"/>
        <w:tabs>
          <w:tab w:leader="none" w:pos="46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2" w:lineRule="exact"/>
        <w:rPr>
          <w:rFonts w:ascii="Times New Roman" w:cs="Times New Roman" w:eastAsia="Times New Roman" w:hAnsi="Times New Roman"/>
          <w:sz w:val="20"/>
          <w:szCs w:val="20"/>
          <w:color w:val="auto"/>
        </w:rPr>
      </w:pPr>
    </w:p>
    <w:p>
      <w:pPr>
        <w:jc w:val="both"/>
        <w:ind w:firstLine="8"/>
        <w:spacing w:after="0" w:line="251" w:lineRule="auto"/>
        <w:tabs>
          <w:tab w:leader="none" w:pos="527"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2" w:lineRule="exact"/>
        <w:rPr>
          <w:rFonts w:ascii="Times New Roman" w:cs="Times New Roman" w:eastAsia="Times New Roman" w:hAnsi="Times New Roman"/>
          <w:sz w:val="20"/>
          <w:szCs w:val="20"/>
          <w:color w:val="auto"/>
        </w:rPr>
      </w:pPr>
    </w:p>
    <w:p>
      <w:pPr>
        <w:ind w:firstLine="8"/>
        <w:spacing w:after="0" w:line="269" w:lineRule="auto"/>
        <w:tabs>
          <w:tab w:leader="none" w:pos="50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73" w:lineRule="exact"/>
        <w:rPr>
          <w:sz w:val="20"/>
          <w:szCs w:val="20"/>
          <w:color w:val="auto"/>
        </w:rPr>
      </w:pPr>
    </w:p>
    <w:p>
      <w:pPr>
        <w:jc w:val="both"/>
        <w:ind w:firstLine="8"/>
        <w:spacing w:after="0" w:line="266" w:lineRule="auto"/>
        <w:tabs>
          <w:tab w:leader="none" w:pos="534"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Syndication Agent, any Co-Documentation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8.08. </w:t>
      </w:r>
      <w:r>
        <w:rPr>
          <w:rFonts w:ascii="Times New Roman" w:cs="Times New Roman" w:eastAsia="Times New Roman" w:hAnsi="Times New Roman"/>
          <w:sz w:val="20"/>
          <w:szCs w:val="20"/>
          <w:u w:val="single" w:color="auto"/>
          <w:color w:val="auto"/>
        </w:rPr>
        <w:t>Posting of Communications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
        <w:spacing w:after="0" w:line="261" w:lineRule="auto"/>
        <w:tabs>
          <w:tab w:leader="none" w:pos="50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that the Administrative Agent may, but shall not be obligated to, make any Communications available to the Lenders and the Issuing Bank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89" w:lineRule="exact"/>
        <w:rPr>
          <w:sz w:val="20"/>
          <w:szCs w:val="20"/>
          <w:color w:val="auto"/>
        </w:rPr>
      </w:pPr>
    </w:p>
    <w:p>
      <w:pPr>
        <w:jc w:val="both"/>
        <w:ind w:firstLine="8"/>
        <w:spacing w:after="0" w:line="252" w:lineRule="auto"/>
        <w:tabs>
          <w:tab w:leader="none" w:pos="469"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 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Banks and the Borrower hereby approves distribution of the Communications through the Approved Electronic Platform and understands and assumes the risks of such distribution.</w:t>
      </w:r>
    </w:p>
    <w:p>
      <w:pPr>
        <w:spacing w:after="0" w:line="175" w:lineRule="exact"/>
        <w:rPr>
          <w:rFonts w:ascii="Times New Roman" w:cs="Times New Roman" w:eastAsia="Times New Roman" w:hAnsi="Times New Roman"/>
          <w:sz w:val="20"/>
          <w:szCs w:val="20"/>
          <w:color w:val="auto"/>
        </w:rPr>
      </w:pPr>
    </w:p>
    <w:p>
      <w:pPr>
        <w:jc w:val="both"/>
        <w:ind w:firstLine="8"/>
        <w:spacing w:after="0" w:line="264" w:lineRule="auto"/>
        <w:tabs>
          <w:tab w:leader="none" w:pos="687"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CO-DOCUMENTATION AGENT, ANY SYNDICATION AGENT OR ANY OF THEIR RESPECTIVE RELATED PARTIES (COLLECTIVELY, “</w:t>
      </w:r>
      <w:r>
        <w:rPr>
          <w:rFonts w:ascii="Times New Roman" w:cs="Times New Roman" w:eastAsia="Times New Roman" w:hAnsi="Times New Roman"/>
          <w:sz w:val="19"/>
          <w:szCs w:val="19"/>
          <w:u w:val="single" w:color="auto"/>
          <w:color w:val="auto"/>
        </w:rPr>
        <w:t>APPLICABLE PARTIES</w:t>
      </w:r>
      <w:r>
        <w:rPr>
          <w:rFonts w:ascii="Times New Roman" w:cs="Times New Roman" w:eastAsia="Times New Roman" w:hAnsi="Times New Roman"/>
          <w:sz w:val="19"/>
          <w:szCs w:val="19"/>
          <w:color w:val="auto"/>
        </w:rPr>
        <w:t>”) HAVE ANY LIABILITY TO ANY LOAN PARTY, ANY LENDER, THE ISSUING BANKS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87" w:lineRule="exact"/>
        <w:rPr>
          <w:sz w:val="20"/>
          <w:szCs w:val="20"/>
          <w:color w:val="auto"/>
        </w:rPr>
      </w:pPr>
    </w:p>
    <w:p>
      <w:pPr>
        <w:jc w:val="both"/>
        <w:ind w:firstLine="8"/>
        <w:spacing w:after="0" w:line="253" w:lineRule="auto"/>
        <w:tabs>
          <w:tab w:leader="none" w:pos="49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89" w:lineRule="exact"/>
        <w:rPr>
          <w:sz w:val="20"/>
          <w:szCs w:val="20"/>
          <w:color w:val="auto"/>
        </w:rPr>
      </w:pPr>
    </w:p>
    <w:p>
      <w:pPr>
        <w:jc w:val="both"/>
        <w:ind w:firstLine="8"/>
        <w:spacing w:after="0" w:line="261" w:lineRule="auto"/>
        <w:tabs>
          <w:tab w:leader="none" w:pos="442"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1" w:lineRule="exact"/>
        <w:rPr>
          <w:rFonts w:ascii="Times New Roman" w:cs="Times New Roman" w:eastAsia="Times New Roman" w:hAnsi="Times New Roman"/>
          <w:sz w:val="20"/>
          <w:szCs w:val="20"/>
          <w:color w:val="auto"/>
        </w:rPr>
      </w:pPr>
    </w:p>
    <w:p>
      <w:pPr>
        <w:ind w:firstLine="8"/>
        <w:spacing w:after="0" w:line="269" w:lineRule="auto"/>
        <w:tabs>
          <w:tab w:leader="none" w:pos="50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8.09. </w:t>
      </w:r>
      <w:r>
        <w:rPr>
          <w:rFonts w:ascii="Times New Roman" w:cs="Times New Roman" w:eastAsia="Times New Roman" w:hAnsi="Times New Roman"/>
          <w:sz w:val="20"/>
          <w:szCs w:val="20"/>
          <w:u w:val="single" w:color="auto"/>
          <w:color w:val="auto"/>
        </w:rPr>
        <w:t>Credit Bidding</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The Holders of Secured Obligations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of Secured Obligations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Holders of Secured Obligations’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w:t>
      </w:r>
    </w:p>
    <w:p>
      <w:pPr>
        <w:spacing w:after="0" w:line="7" w:lineRule="exact"/>
        <w:rPr>
          <w:sz w:val="20"/>
          <w:szCs w:val="20"/>
          <w:color w:val="auto"/>
        </w:rPr>
      </w:pPr>
    </w:p>
    <w:p>
      <w:pPr>
        <w:jc w:val="both"/>
        <w:ind w:firstLine="8"/>
        <w:spacing w:after="0" w:line="249" w:lineRule="auto"/>
        <w:tabs>
          <w:tab w:leader="none" w:pos="34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on behalf of such acquisition vehicle or vehicles shall be authorized to issue to each of the Holders of Secured Obligations,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Holder of Secured Obligations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Holders of Secured Obligations pro rata with their original interest in such Obligations and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interests and/or debt instruments issued by any acquisition vehicle on account of such Obligations shall automatically be cancelled, without the need for any Holder of Secured Obligations or any acquisition vehicle to take any further action. Notwithstanding that the ratable portion of the Obligations of each Holder of Secured Obligations are deemed assigned to the acquisition vehicle or vehicles as set forth in clause (ii) above, each Holder of Secured Obligations shall execute such documents and provide such information regarding the Holder of Secured Obligations (and/or any designee of the Holder of Secured Obligations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8.10. </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8"/>
        <w:spacing w:after="0" w:line="261" w:lineRule="auto"/>
        <w:tabs>
          <w:tab w:leader="none" w:pos="51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further authorizes the Administrative Agent, on behalf of the Holders of Secured Obligations, without further authorization or consent of the Lenders, to (i) enter into the Permitted Receivables Facility Intercreditor Agreement and (ii) exercise all the powers, rights and remedies under the Permitted Receivables Facility Intercreditor Agreement in accordance with the terms thereof.</w:t>
      </w:r>
    </w:p>
    <w:p>
      <w:pPr>
        <w:spacing w:after="0" w:line="181" w:lineRule="exact"/>
        <w:rPr>
          <w:rFonts w:ascii="Times New Roman" w:cs="Times New Roman" w:eastAsia="Times New Roman" w:hAnsi="Times New Roman"/>
          <w:sz w:val="20"/>
          <w:szCs w:val="20"/>
          <w:color w:val="auto"/>
        </w:rPr>
      </w:pPr>
    </w:p>
    <w:p>
      <w:pPr>
        <w:ind w:right="20" w:firstLine="8"/>
        <w:spacing w:after="0" w:line="269" w:lineRule="auto"/>
        <w:tabs>
          <w:tab w:leader="none" w:pos="59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in this Agreement and/or any other Loan Document, each Lender and the Holders of Secured Obligations agrees to each of the terms and provisions of the Permitted Receivables Facility Intercreditor Agreement.</w:t>
      </w:r>
    </w:p>
    <w:p>
      <w:pPr>
        <w:spacing w:after="0" w:line="172" w:lineRule="exact"/>
        <w:rPr>
          <w:rFonts w:ascii="Times New Roman" w:cs="Times New Roman" w:eastAsia="Times New Roman" w:hAnsi="Times New Roman"/>
          <w:sz w:val="20"/>
          <w:szCs w:val="20"/>
          <w:color w:val="auto"/>
        </w:rPr>
      </w:pPr>
    </w:p>
    <w:p>
      <w:pPr>
        <w:ind w:firstLine="8"/>
        <w:spacing w:after="0" w:line="269" w:lineRule="auto"/>
        <w:tabs>
          <w:tab w:leader="none" w:pos="50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the Holders of Secured Obligations agrees to be bound by the terms and provisions of the Permitted Receivables Facility Intercreditor Agreement.</w:t>
      </w:r>
    </w:p>
    <w:p>
      <w:pPr>
        <w:spacing w:after="0" w:line="172" w:lineRule="exact"/>
        <w:rPr>
          <w:rFonts w:ascii="Times New Roman" w:cs="Times New Roman" w:eastAsia="Times New Roman" w:hAnsi="Times New Roman"/>
          <w:sz w:val="20"/>
          <w:szCs w:val="20"/>
          <w:color w:val="auto"/>
        </w:rPr>
      </w:pPr>
    </w:p>
    <w:p>
      <w:pPr>
        <w:jc w:val="both"/>
        <w:ind w:firstLine="8"/>
        <w:spacing w:after="0" w:line="258" w:lineRule="auto"/>
        <w:tabs>
          <w:tab w:leader="none" w:pos="51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acknowledges and agrees that the terms and provisions of the Permitted Receivables Facility Intercreditor Agreement govern and control over the terms and provisions of this Agreement and the other Loan Documents to the extent such terms and provisions of this Agreement and the other Loan Documents address or provide for remedial actions relating to the Equity Interests of the Receivables Entity.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SECTION 9.01.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61" w:lineRule="exact"/>
        <w:rPr>
          <w:sz w:val="20"/>
          <w:szCs w:val="20"/>
          <w:color w:val="auto"/>
        </w:rPr>
      </w:pPr>
    </w:p>
    <w:p>
      <w:pPr>
        <w:ind w:right="20" w:firstLine="8"/>
        <w:spacing w:after="0" w:line="283" w:lineRule="auto"/>
        <w:tabs>
          <w:tab w:leader="none" w:pos="48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Borrower, to MYR Group Inc., 12121 Grant Street, Suite 610, Thornton, CO 80241, Attn: Kelly Huntington, Senior Vice President and CFO, Telephone (303) 286-8000;</w:t>
      </w:r>
    </w:p>
    <w:p>
      <w:pPr>
        <w:spacing w:after="0" w:line="146" w:lineRule="exact"/>
        <w:rPr>
          <w:rFonts w:ascii="Times New Roman" w:cs="Times New Roman" w:eastAsia="Times New Roman" w:hAnsi="Times New Roman"/>
          <w:sz w:val="20"/>
          <w:szCs w:val="20"/>
          <w:color w:val="auto"/>
        </w:rPr>
      </w:pPr>
    </w:p>
    <w:p>
      <w:pPr>
        <w:jc w:val="both"/>
        <w:ind w:firstLine="8"/>
        <w:spacing w:after="0" w:line="258" w:lineRule="auto"/>
        <w:tabs>
          <w:tab w:leader="none" w:pos="45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Administrative Agent or Swingline Lender, to JPMorgan Chase Bank, N.A., 131 S Dearborn St, Floor 04, Chicago, IL, 60603-5506, Attention: Loan and Agency Servicing, Email: jpm.agency.cri@jpmorgan.com, agency.tax.reporting@jpmorgan.com (with respect to agency withholding tax inquiries) or covenant.compliance@jpmchase.com (with respect to agency compliance, financials or virtual data 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89" w:lineRule="exact"/>
        <w:rPr>
          <w:sz w:val="20"/>
          <w:szCs w:val="20"/>
          <w:color w:val="auto"/>
        </w:rPr>
      </w:pPr>
    </w:p>
    <w:p>
      <w:pPr>
        <w:jc w:val="both"/>
        <w:ind w:firstLine="8"/>
        <w:spacing w:after="0" w:line="258" w:lineRule="auto"/>
        <w:tabs>
          <w:tab w:leader="none" w:pos="53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JPMorgan, as Issuing Bank, to JPMorgan Chase Bank, N.A., 131 S Dearborn St, Floor 04, Chicago, IL, 60603-5506, Attention: LC Agency Team (Telephone No. 800-364-1969; Facsimile No. 856-294-5267, Email: chicago.lc.agency.activity.team@jpmchase.com</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with a copy to JPMorgan Chase Bank, N.A., 131 S Dearborn St, Floor 04, Chicago, IL, 60603-5506, Attention: Loan and Agency Servicing, Email: jpm.agency.cri@jpmorgan.com; and</w:t>
      </w:r>
    </w:p>
    <w:p>
      <w:pPr>
        <w:spacing w:after="0" w:line="172" w:lineRule="exact"/>
        <w:rPr>
          <w:rFonts w:ascii="Times New Roman" w:cs="Times New Roman" w:eastAsia="Times New Roman" w:hAnsi="Times New Roman"/>
          <w:sz w:val="20"/>
          <w:szCs w:val="20"/>
          <w:color w:val="auto"/>
        </w:rPr>
      </w:pPr>
    </w:p>
    <w:p>
      <w:pPr>
        <w:ind w:firstLine="8"/>
        <w:spacing w:after="0" w:line="283" w:lineRule="auto"/>
        <w:tabs>
          <w:tab w:leader="none" w:pos="511"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(including any other Issuing Bank or Swingline Lender), to it at its address (or telecopy number) set forth in its Administrative Questionnaire.</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87" w:lineRule="exact"/>
        <w:rPr>
          <w:sz w:val="20"/>
          <w:szCs w:val="20"/>
          <w:color w:val="auto"/>
        </w:rPr>
      </w:pPr>
    </w:p>
    <w:p>
      <w:pPr>
        <w:jc w:val="both"/>
        <w:ind w:firstLine="8"/>
        <w:spacing w:after="0" w:line="253" w:lineRule="auto"/>
        <w:tabs>
          <w:tab w:leader="none" w:pos="471"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Lenders and the Issuing Banks hereunder may be delivered or furnished by using Approved Electronic Platforms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93" w:lineRule="exact"/>
        <w:rPr>
          <w:sz w:val="20"/>
          <w:szCs w:val="20"/>
          <w:color w:val="auto"/>
        </w:rPr>
      </w:pPr>
    </w:p>
    <w:p>
      <w:pPr>
        <w:ind w:firstLine="8"/>
        <w:spacing w:after="0" w:line="283" w:lineRule="auto"/>
        <w:tabs>
          <w:tab w:leader="none" w:pos="47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telecopy number for notices and other communications hereunder by notice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9.02. </w:t>
      </w:r>
      <w:r>
        <w:rPr>
          <w:rFonts w:ascii="Times New Roman" w:cs="Times New Roman" w:eastAsia="Times New Roman" w:hAnsi="Times New Roman"/>
          <w:sz w:val="20"/>
          <w:szCs w:val="20"/>
          <w:u w:val="single" w:color="auto"/>
          <w:color w:val="auto"/>
        </w:rPr>
        <w:t>Waivers; Amendments</w:t>
      </w:r>
      <w:r>
        <w:rPr>
          <w:rFonts w:ascii="Times New Roman" w:cs="Times New Roman" w:eastAsia="Times New Roman" w:hAnsi="Times New Roman"/>
          <w:sz w:val="20"/>
          <w:szCs w:val="20"/>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96" w:lineRule="exact"/>
        <w:rPr>
          <w:sz w:val="20"/>
          <w:szCs w:val="20"/>
          <w:color w:val="auto"/>
        </w:rPr>
      </w:pPr>
    </w:p>
    <w:p>
      <w:pPr>
        <w:jc w:val="both"/>
        <w:ind w:firstLine="8"/>
        <w:spacing w:after="0" w:line="249" w:lineRule="auto"/>
        <w:tabs>
          <w:tab w:leader="none" w:pos="51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Section 2.04 with respect to an Incremental Term Loan Amendment and subject to Section 2.14(b), 2.14(c), 9.02(c) and 9.02(f),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(i) increase the Commitment of any Lender without the written consent of such Lender, (ii) reduce or forgive the principal amount of any Loan or LC Disbursement or reduce the rate of interest thereon, or reduce or forgive any interest or fees payable hereunder, without the written consent of each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(ii)),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directly affected thereby, (iv) change Section 2.09(b) or 2.18(b) or 2.18(d) in a manner that would alter the ratable reduction of Commitments or the pro rata sharing of payments required thereby, without the written consent of each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foregoing limitation in respect of Sections 2.18(b) and 2.18(d) shall not prohibit each Lender directly affected thereby from consenting, upon the request of the Borrower, to the extension of the final maturity date of its Loans and other Obligations or the scheduled date of expiration of its Commitment beyond the Maturity Date as contemplated by Section 9.02(b)(iii) above, (v) change the payment waterfall provisions of Section 2.20(b) or 7.03 without the written consent of each Lender, (vi)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(it being understood that, solely with the consent of the parties prescribed by Section 2.04 to be parties to an Incremental Term Loan Amendment, Incremental Term Loans may be included in the determination of Required Lenders on substantially the same basis as the Commitments and the Revolving Loans are included on the Effective Date), (vii) (x) release the Borrower from its obligations under Article X or (y) release all or substantially all of the Subsidiary Guarantors from their obligation under the Subsidiary Guaranty (except as otherwise permitted herein or in the other Loan Documents), without the written consent of each Lender, (viii) except as provided in clauses (d) and (e) of this Section or in any Collateral Document, release all or substantially all of the Collateral,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written consent of each Lender or (ix) subordinate (x) the Liens securing any of the Obligations on all or substantially all of the Collateral (“</w:t>
      </w:r>
      <w:r>
        <w:rPr>
          <w:rFonts w:ascii="Times New Roman" w:cs="Times New Roman" w:eastAsia="Times New Roman" w:hAnsi="Times New Roman"/>
          <w:sz w:val="20"/>
          <w:szCs w:val="20"/>
          <w:u w:val="single" w:color="auto"/>
          <w:color w:val="auto"/>
        </w:rPr>
        <w:t>Existing Liens</w:t>
      </w:r>
      <w:r>
        <w:rPr>
          <w:rFonts w:ascii="Times New Roman" w:cs="Times New Roman" w:eastAsia="Times New Roman" w:hAnsi="Times New Roman"/>
          <w:sz w:val="20"/>
          <w:szCs w:val="20"/>
          <w:color w:val="auto"/>
        </w:rPr>
        <w:t>”)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w:t>
      </w:r>
      <w:r>
        <w:rPr>
          <w:rFonts w:ascii="Times New Roman" w:cs="Times New Roman" w:eastAsia="Times New Roman" w:hAnsi="Times New Roman"/>
          <w:sz w:val="20"/>
          <w:szCs w:val="20"/>
          <w:u w:val="single" w:color="auto"/>
          <w:color w:val="auto"/>
        </w:rPr>
        <w:t>Senior Indebtedness</w:t>
      </w:r>
      <w:r>
        <w:rPr>
          <w:rFonts w:ascii="Times New Roman" w:cs="Times New Roman" w:eastAsia="Times New Roman" w:hAnsi="Times New Roman"/>
          <w:sz w:val="20"/>
          <w:szCs w:val="20"/>
          <w:color w:val="auto"/>
        </w:rPr>
        <w:t>”), in either the case of subclause (x) or (y), unless each adversely affected Lender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Times New Roman" w:cs="Times New Roman" w:eastAsia="Times New Roman" w:hAnsi="Times New Roman"/>
          <w:sz w:val="20"/>
          <w:szCs w:val="20"/>
          <w:u w:val="single" w:color="auto"/>
          <w:color w:val="auto"/>
        </w:rPr>
        <w:t>Ancillary Fees</w:t>
      </w:r>
      <w:r>
        <w:rPr>
          <w:rFonts w:ascii="Times New Roman" w:cs="Times New Roman" w:eastAsia="Times New Roman" w:hAnsi="Times New Roman"/>
          <w:sz w:val="20"/>
          <w:szCs w:val="20"/>
          <w:color w:val="auto"/>
        </w:rPr>
        <w:t xml:space="preserve">”)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 Business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no such agreement shall amend, modify or otherwise affect the rights or duties of the Administrative Agent, the Swingline Lender or any Issuing Bank hereunder without the prior written consent of the Administrative Agent, the Swingline Lender or such Issuing Bank, as the case may be (it being understood that any change to Section 2.20 shall require the consent of the Administrative Agent, each Issuing Bank and the Swingline Lender and that no agreement shall amend or modify the provisions of Section 2.06 without the prior written consent of the Administrative Agent and the Issuing Banks). The Administrative Agent may also amend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to reflect assignments entered into pursuant to Section 9.04.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212" w:lineRule="exact"/>
        <w:rPr>
          <w:sz w:val="20"/>
          <w:szCs w:val="20"/>
          <w:color w:val="auto"/>
        </w:rPr>
      </w:pPr>
    </w:p>
    <w:p>
      <w:pPr>
        <w:jc w:val="both"/>
        <w:ind w:firstLine="8"/>
        <w:spacing w:after="0" w:line="251" w:lineRule="auto"/>
        <w:tabs>
          <w:tab w:leader="none" w:pos="49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(or amendment or restatement) shall increase the Commitment or change the Applicable Percentage of any Lender without the written consent of such Lender.</w:t>
      </w:r>
    </w:p>
    <w:p>
      <w:pPr>
        <w:spacing w:after="0" w:line="195" w:lineRule="exact"/>
        <w:rPr>
          <w:rFonts w:ascii="Times New Roman" w:cs="Times New Roman" w:eastAsia="Times New Roman" w:hAnsi="Times New Roman"/>
          <w:sz w:val="20"/>
          <w:szCs w:val="20"/>
          <w:color w:val="auto"/>
        </w:rPr>
      </w:pPr>
    </w:p>
    <w:p>
      <w:pPr>
        <w:jc w:val="both"/>
        <w:ind w:firstLine="8"/>
        <w:spacing w:after="0" w:line="269" w:lineRule="auto"/>
        <w:tabs>
          <w:tab w:leader="none" w:pos="441"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Lenders hereby irrevocably authorize the Administrative Agent, at its option and in its sole discretion, to release any Liens granted to the Administrative Agent by the Loan Parties on any Collateral (i) upon the termination of the Commitments, payment and satisfaction in full in cash of all Secured Obligations (other than Unliquidated Obligations), and the cash collateralization of all Unliquidated Obligations in a manner satisfactory to the Administrative Agent, (ii) constituting property being sold or disposed of if the Borrower certifies to the Administrative Agent that the sale or disposition is made in compliance with the terms of this Agreement (and the Administrative Agent may rely conclusively on any such certificate, without further inquiry), (iii) constituting property leased to the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Subsidiary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In addition, each of the Lenders, on behalf of itself and any of its Affiliates that are Secured Parties, irrevocably authorizes the Administrative Agent, at its option and in its discretion, (A) to subordinate any Lien on any property granted to or held by the Administrative Agent under any Loan Document to the holder of any Lien on such property that is permitted by Section 6.02(d) or (B) in the event that the Borrower shall have advised the Administrative Agent that, notwithstanding the use by the Borrower of commercially reasonable efforts to obtain the consent of such holder (but without the requirement to pay any sums to obtain such consent) to permit the Administrative Agent to retain its liens (on a subordinated basis as contemplated by clause (A) above), the holder of such other Indebtedness requires, as a condition to the extension of such credit, that the Liens on such assets granted to or held by the Administrative Agent under any Loan Document be released, to release the Administrative Agent’s Liens on such assets.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Holder of Secured Obligations for any failure to monitor or maintain any portion of the Collateral.</w:t>
      </w:r>
    </w:p>
    <w:p>
      <w:pPr>
        <w:spacing w:after="0" w:line="192" w:lineRule="exact"/>
        <w:rPr>
          <w:sz w:val="20"/>
          <w:szCs w:val="20"/>
          <w:color w:val="auto"/>
        </w:rPr>
      </w:pPr>
    </w:p>
    <w:p>
      <w:pPr>
        <w:jc w:val="both"/>
        <w:ind w:firstLine="8"/>
        <w:spacing w:after="0" w:line="250" w:lineRule="auto"/>
        <w:tabs>
          <w:tab w:leader="none" w:pos="483"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Borrower may elect to replace a Non-Consenting Lender as a Lender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the outstanding principal amount of its Loans and participations in LC Disbursements and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w:t>
      </w:r>
    </w:p>
    <w:p>
      <w:pPr>
        <w:spacing w:after="0" w:line="179" w:lineRule="exact"/>
        <w:rPr>
          <w:rFonts w:ascii="Times New Roman" w:cs="Times New Roman" w:eastAsia="Times New Roman" w:hAnsi="Times New Roman"/>
          <w:sz w:val="20"/>
          <w:szCs w:val="20"/>
          <w:color w:val="auto"/>
        </w:rPr>
      </w:pPr>
    </w:p>
    <w:p>
      <w:pPr>
        <w:ind w:right="20" w:firstLine="8"/>
        <w:spacing w:after="0" w:line="310" w:lineRule="auto"/>
        <w:tabs>
          <w:tab w:leader="none" w:pos="42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9.03. </w:t>
      </w:r>
      <w:r>
        <w:rPr>
          <w:rFonts w:ascii="Times New Roman" w:cs="Times New Roman" w:eastAsia="Times New Roman" w:hAnsi="Times New Roman"/>
          <w:sz w:val="20"/>
          <w:szCs w:val="20"/>
          <w:u w:val="single" w:color="auto"/>
          <w:color w:val="auto"/>
        </w:rPr>
        <w:t>Expenses; Indemnity; Limitation of Liability; Damage Waiver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89" w:lineRule="exact"/>
        <w:rPr>
          <w:sz w:val="20"/>
          <w:szCs w:val="20"/>
          <w:color w:val="auto"/>
        </w:rPr>
      </w:pPr>
    </w:p>
    <w:p>
      <w:pPr>
        <w:jc w:val="both"/>
        <w:ind w:firstLine="1304"/>
        <w:spacing w:after="0" w:line="251" w:lineRule="auto"/>
        <w:tabs>
          <w:tab w:leader="none" w:pos="1619"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 shall pay (i) all reasonable and documented out of pocket expenses incurred by the Administrative Agent and its Affiliates, including the reasonable fees, charges and disbursements of counsel for the Administrative Agent, in connection with the initial general syndication and distribution (including, without limitation, via the internet or through a service such as Intralinks) of the credit facilities provided for herein, the preparation and administration of the other Loan Documents or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reasonable and documented out-of-pocket expenses incurred by the Administrative Agent, any Issuing Bank or any Lender, including the fees, charges and disbursements of any counsel for the Administrative Agent, any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78" w:lineRule="exact"/>
        <w:rPr>
          <w:rFonts w:ascii="Times New Roman" w:cs="Times New Roman" w:eastAsia="Times New Roman" w:hAnsi="Times New Roman"/>
          <w:sz w:val="20"/>
          <w:szCs w:val="20"/>
          <w:color w:val="auto"/>
        </w:rPr>
      </w:pPr>
    </w:p>
    <w:p>
      <w:pPr>
        <w:jc w:val="both"/>
        <w:ind w:firstLine="8"/>
        <w:spacing w:after="0" w:line="265" w:lineRule="auto"/>
        <w:tabs>
          <w:tab w:leader="none" w:pos="509"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 To the extent permitted by applicable law (i) neither the Borrower nor any Loan Party shall assert, and the Borrower and each Loan Party hereby waives, any claim against the Administrative Agent, any Arranger, any Syndication Agent, any Co-Documentation Agent, any Issuing Bank, any Lender and any Related Party of any of the foregoing Persons (each such Person being called a “</w:t>
      </w:r>
      <w:r>
        <w:rPr>
          <w:rFonts w:ascii="Times New Roman" w:cs="Times New Roman" w:eastAsia="Times New Roman" w:hAnsi="Times New Roman"/>
          <w:sz w:val="19"/>
          <w:szCs w:val="19"/>
          <w:u w:val="single" w:color="auto"/>
          <w:color w:val="auto"/>
        </w:rPr>
        <w:t>Lender-Related Person</w:t>
      </w:r>
      <w:r>
        <w:rPr>
          <w:rFonts w:ascii="Times New Roman" w:cs="Times New Roman" w:eastAsia="Times New Roman" w:hAnsi="Times New Roman"/>
          <w:sz w:val="19"/>
          <w:szCs w:val="19"/>
          <w:color w:val="auto"/>
        </w:rPr>
        <w:t>”) for any Liabilities arising from the use by others of information or other materials (including, without limitation, any personal data) obtained through telecommunications, electronic or other information transmission systems (including the Internet), and</w:t>
      </w:r>
    </w:p>
    <w:p>
      <w:pPr>
        <w:spacing w:after="0" w:line="3" w:lineRule="exact"/>
        <w:rPr>
          <w:rFonts w:ascii="Times New Roman" w:cs="Times New Roman" w:eastAsia="Times New Roman" w:hAnsi="Times New Roman"/>
          <w:sz w:val="19"/>
          <w:szCs w:val="19"/>
          <w:color w:val="auto"/>
        </w:rPr>
      </w:pPr>
    </w:p>
    <w:p>
      <w:pPr>
        <w:jc w:val="both"/>
        <w:ind w:firstLine="8"/>
        <w:spacing w:after="0" w:line="249" w:lineRule="auto"/>
        <w:tabs>
          <w:tab w:leader="none" w:pos="301"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any agreement or instrument contemplated hereby or thereby, the Transactions, any Loan or Letter of Credit or the use of the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Section 9.03(b) shall relieve the Borrower or any Loan Party of any obligation it may have to indemnify an Indemnitee, as provided in Section 9.03(c), against any special, indirect, consequential or punitive damages asserted against such Indemnitee by a third party.</w:t>
      </w:r>
    </w:p>
    <w:p>
      <w:pPr>
        <w:spacing w:after="0" w:line="193" w:lineRule="exact"/>
        <w:rPr>
          <w:rFonts w:ascii="Times New Roman" w:cs="Times New Roman" w:eastAsia="Times New Roman" w:hAnsi="Times New Roman"/>
          <w:sz w:val="20"/>
          <w:szCs w:val="20"/>
          <w:color w:val="auto"/>
        </w:rPr>
      </w:pPr>
    </w:p>
    <w:p>
      <w:pPr>
        <w:jc w:val="both"/>
        <w:ind w:firstLine="8"/>
        <w:spacing w:after="0" w:line="264" w:lineRule="auto"/>
        <w:tabs>
          <w:tab w:leader="none" w:pos="458"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xml:space="preserve"> The Borrower shall indemnify the Administrative Agent, each Arranger, each Syndication Agent, each Co-Documentation Agent, each Issuing Bank,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against, and hold each Indemnitee harmless from, any and all Liabilities and related reasonable out-of-pocket expenses, including the fees, charges and disbursements of any counsel for any Indemnitee, incurred by or asserted against any Indemnitee arising out of or in connection with any actual or prospective Proceeding, whether based on contract, tort or any other theory and regardless of whether any Indemnitee is a party thereto, relating to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the Borrower or any of its Subsidiaries, or any Environmental Liability related in any way to the Borrower or any of its Subsidiaries, or (iv) any Proceeding relating to any of the foregoing, whether or not such Proceeding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brought by the Borrower or any other Loan Party or its or their respective equity holders, Affiliates, creditors or any third Person and whether based on contract, tort or any other theory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Liabilities or related expenses are determined by a court of competent jurisdiction by final and non-appealable judgment to have resulted from (x) the gross negligence or willful misconduct of such Indemnitee (or any Related Party thereof) or (y) a claim made by the Borrower against an Indemnitee for breach by such Indemnitee (or any Related Party thereof) of its obligations under the Loan Documents. Paragraph (c) of this Section shall not apply with respect to Taxes other than any Taxes that represent losses, claims, damages, etc. arising from any non-Tax claim.</w:t>
      </w:r>
    </w:p>
    <w:p>
      <w:pPr>
        <w:spacing w:after="0" w:line="179" w:lineRule="exact"/>
        <w:rPr>
          <w:sz w:val="20"/>
          <w:szCs w:val="20"/>
          <w:color w:val="auto"/>
        </w:rPr>
      </w:pPr>
    </w:p>
    <w:p>
      <w:pPr>
        <w:jc w:val="both"/>
        <w:ind w:firstLine="8"/>
        <w:spacing w:after="0" w:line="249" w:lineRule="auto"/>
        <w:tabs>
          <w:tab w:leader="none" w:pos="44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Reimbursement</w:t>
      </w:r>
      <w:r>
        <w:rPr>
          <w:rFonts w:ascii="Times New Roman" w:cs="Times New Roman" w:eastAsia="Times New Roman" w:hAnsi="Times New Roman"/>
          <w:sz w:val="20"/>
          <w:szCs w:val="20"/>
          <w:color w:val="auto"/>
        </w:rPr>
        <w:t>. Each Lender severally agrees to pay any amount required to be paid by the Borrower under paragraphs (a), (b) or (c) of this Section 9.03 to the Administrative Agent, each Issuing Bank, each Swingline Lender and each Related Party of any of the foregoing Persons (each, an “</w:t>
      </w:r>
      <w:r>
        <w:rPr>
          <w:rFonts w:ascii="Times New Roman" w:cs="Times New Roman" w:eastAsia="Times New Roman" w:hAnsi="Times New Roman"/>
          <w:sz w:val="20"/>
          <w:szCs w:val="20"/>
          <w:u w:val="single" w:color="auto"/>
          <w:color w:val="auto"/>
        </w:rPr>
        <w:t>Agent Related Person</w:t>
      </w:r>
      <w:r>
        <w:rPr>
          <w:rFonts w:ascii="Times New Roman" w:cs="Times New Roman" w:eastAsia="Times New Roman" w:hAnsi="Times New Roman"/>
          <w:sz w:val="20"/>
          <w:szCs w:val="20"/>
          <w:color w:val="auto"/>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 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 Related Person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Liability or related expense, as the case may be, was incurred by or asserted against such Agent Related Person in its capacity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no Lender shall be liable for the payment of any portion of such Liabilities, costs, expenses or disbursements that are found by a final and nonappealable decision of a court of competent jurisdiction to have resulted primarily from such Agent Related Person’s gross negligence or willful misconduct. The agreements in this Section shall survive the termination of this Agreement and the payment of the Loans and all other amounts payable hereunder.</w:t>
      </w:r>
    </w:p>
    <w:p>
      <w:pPr>
        <w:spacing w:after="0" w:line="205"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due under this Section shall be payable promptly after written demand therefor.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SECTION 9.04.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(a) 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89" w:lineRule="exact"/>
        <w:rPr>
          <w:sz w:val="20"/>
          <w:szCs w:val="20"/>
          <w:color w:val="auto"/>
        </w:rPr>
      </w:pPr>
    </w:p>
    <w:p>
      <w:pPr>
        <w:jc w:val="both"/>
        <w:ind w:firstLine="8"/>
        <w:spacing w:after="0" w:line="261" w:lineRule="auto"/>
        <w:tabs>
          <w:tab w:leader="none" w:pos="54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conditions set forth in paragraph (b)(ii) below, any Lender may assign to one or more assignees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spacing w:after="0" w:line="181" w:lineRule="exact"/>
        <w:rPr>
          <w:rFonts w:ascii="Times New Roman" w:cs="Times New Roman" w:eastAsia="Times New Roman" w:hAnsi="Times New Roman"/>
          <w:sz w:val="20"/>
          <w:szCs w:val="20"/>
          <w:color w:val="auto"/>
        </w:rPr>
      </w:pPr>
    </w:p>
    <w:p>
      <w:pPr>
        <w:jc w:val="both"/>
        <w:ind w:left="660" w:firstLine="1292"/>
        <w:spacing w:after="0" w:line="258" w:lineRule="auto"/>
        <w:tabs>
          <w:tab w:leader="none" w:pos="2447"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no consent of the Borrower shall be required for an assignment to a Lender, an Affiliate of a Lender, an Approved Fund or, if an Event of Default has occurred and is continuing, any other assignee;</w:t>
      </w:r>
    </w:p>
    <w:p>
      <w:pPr>
        <w:spacing w:after="0" w:line="172"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w:t>
      </w:r>
    </w:p>
    <w:p>
      <w:pPr>
        <w:spacing w:after="0" w:line="225" w:lineRule="exact"/>
        <w:rPr>
          <w:rFonts w:ascii="Times New Roman" w:cs="Times New Roman" w:eastAsia="Times New Roman" w:hAnsi="Times New Roman"/>
          <w:sz w:val="20"/>
          <w:szCs w:val="20"/>
          <w:color w:val="auto"/>
        </w:rPr>
      </w:pPr>
    </w:p>
    <w:p>
      <w:pPr>
        <w:jc w:val="both"/>
        <w:ind w:left="660" w:firstLine="1292"/>
        <w:spacing w:after="0" w:line="263" w:lineRule="auto"/>
        <w:tabs>
          <w:tab w:leader="none" w:pos="2487"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Issuing Banks;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an Issuing Bank shall be required if (x) an Event of Default occurs with respect to the Borrower under Sections 7.01(h) or 7.01(i) and (y) such Issuing Bank has no outstanding Letters of Credit at that time; and</w:t>
      </w:r>
    </w:p>
    <w:p>
      <w:pPr>
        <w:spacing w:after="0" w:line="175" w:lineRule="exact"/>
        <w:rPr>
          <w:rFonts w:ascii="Times New Roman" w:cs="Times New Roman" w:eastAsia="Times New Roman" w:hAnsi="Times New Roman"/>
          <w:sz w:val="20"/>
          <w:szCs w:val="20"/>
          <w:color w:val="auto"/>
        </w:rPr>
      </w:pPr>
    </w:p>
    <w:p>
      <w:pPr>
        <w:jc w:val="both"/>
        <w:ind w:left="660" w:firstLine="1292"/>
        <w:spacing w:after="0" w:line="263" w:lineRule="auto"/>
        <w:tabs>
          <w:tab w:leader="none" w:pos="2490"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non consent of a Swingline Lender shall be required if (x) an Event of Default occurs with respect to the Borrower under Sections 7.01(h) or 7.01(i) and (y) such Swingline Lender has no outstanding Swingline Loans at that time.</w:t>
      </w:r>
    </w:p>
    <w:p>
      <w:pPr>
        <w:spacing w:after="0" w:line="16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29"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547"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Borrower shall be required if an Event of Default has occurred and is continuing;</w:t>
      </w:r>
    </w:p>
    <w:p>
      <w:pPr>
        <w:spacing w:after="0" w:line="178" w:lineRule="exact"/>
        <w:rPr>
          <w:rFonts w:ascii="Times New Roman" w:cs="Times New Roman" w:eastAsia="Times New Roman" w:hAnsi="Times New Roman"/>
          <w:sz w:val="20"/>
          <w:szCs w:val="20"/>
          <w:color w:val="auto"/>
        </w:rPr>
      </w:pPr>
    </w:p>
    <w:p>
      <w:pPr>
        <w:ind w:left="660" w:firstLine="1292"/>
        <w:spacing w:after="0" w:line="283" w:lineRule="auto"/>
        <w:tabs>
          <w:tab w:leader="none" w:pos="2477"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w:t>
      </w:r>
    </w:p>
    <w:p>
      <w:pPr>
        <w:spacing w:after="0" w:line="159"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82"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191"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620"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subject to Section 9.12, material non-public information about the Borrower and its Subsidiaries) will be made available and who may receive such information in accordance with the assignee’s compliance procedures and applicable laws,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 the purposes of this Section 9.04(b), the terms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have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meanings:</w:t>
      </w:r>
    </w:p>
    <w:p>
      <w:pPr>
        <w:spacing w:after="0" w:line="20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an Affiliate of a Lender or (c) an entity or an Affiliate of an entity that administers or manages a Lender.</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means (a) a natural person, (b) a Defaulting Lender or its Parent, (c) the Borrower, any of its Subsidiaries or any of its Affiliates, or (d) a company, investment vehicle or trust for, or owned and operated for the primary benefit of, a natural person or relative(s) thereof.</w:t>
      </w:r>
    </w:p>
    <w:p>
      <w:pPr>
        <w:spacing w:after="0" w:line="181" w:lineRule="exact"/>
        <w:rPr>
          <w:sz w:val="20"/>
          <w:szCs w:val="20"/>
          <w:color w:val="auto"/>
        </w:rPr>
      </w:pPr>
    </w:p>
    <w:p>
      <w:pPr>
        <w:jc w:val="both"/>
        <w:ind w:left="1300" w:firstLine="4"/>
        <w:spacing w:after="0" w:line="250" w:lineRule="auto"/>
        <w:tabs>
          <w:tab w:leader="none" w:pos="182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96" w:lineRule="exact"/>
        <w:rPr>
          <w:rFonts w:ascii="Times New Roman" w:cs="Times New Roman" w:eastAsia="Times New Roman" w:hAnsi="Times New Roman"/>
          <w:sz w:val="20"/>
          <w:szCs w:val="20"/>
          <w:color w:val="auto"/>
        </w:rPr>
      </w:pPr>
    </w:p>
    <w:p>
      <w:pPr>
        <w:jc w:val="both"/>
        <w:ind w:left="1300" w:firstLine="4"/>
        <w:spacing w:after="0" w:line="251" w:lineRule="auto"/>
        <w:tabs>
          <w:tab w:leader="none" w:pos="1787"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89" w:lineRule="exact"/>
        <w:rPr>
          <w:sz w:val="20"/>
          <w:szCs w:val="20"/>
          <w:color w:val="auto"/>
        </w:rPr>
      </w:pPr>
    </w:p>
    <w:p>
      <w:pPr>
        <w:jc w:val="both"/>
        <w:ind w:left="1300" w:firstLine="4"/>
        <w:spacing w:after="0" w:line="251" w:lineRule="auto"/>
        <w:tabs>
          <w:tab w:leader="none" w:pos="1741"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78" w:lineRule="exact"/>
        <w:rPr>
          <w:rFonts w:ascii="Times New Roman" w:cs="Times New Roman" w:eastAsia="Times New Roman" w:hAnsi="Times New Roman"/>
          <w:sz w:val="20"/>
          <w:szCs w:val="20"/>
          <w:color w:val="auto"/>
        </w:rPr>
      </w:pPr>
    </w:p>
    <w:p>
      <w:pPr>
        <w:jc w:val="both"/>
        <w:ind w:firstLine="8"/>
        <w:spacing w:after="0" w:line="250" w:lineRule="auto"/>
        <w:tabs>
          <w:tab w:leader="none" w:pos="46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Lender may, without the consent of, or notice to, the Borrower, the Administrative Agent, the Issuing Banks or the Swingline Lender,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the first proviso to Section 9.02(b) that affects such Participant. Subject to paragraph (c)(ii) of this Section, the Borrower agrees that each Participant shall be entitled to the benefits of Sections 2.15, 2.16 and 2.17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Participant agrees to be subject to Section 2.18(d) as though it were a Lender.</w:t>
      </w:r>
    </w:p>
    <w:p>
      <w:pPr>
        <w:spacing w:after="0" w:line="183" w:lineRule="exact"/>
        <w:rPr>
          <w:rFonts w:ascii="Times New Roman" w:cs="Times New Roman" w:eastAsia="Times New Roman" w:hAnsi="Times New Roman"/>
          <w:sz w:val="20"/>
          <w:szCs w:val="20"/>
          <w:color w:val="auto"/>
        </w:rPr>
      </w:pPr>
    </w:p>
    <w:p>
      <w:pPr>
        <w:jc w:val="both"/>
        <w:ind w:left="1300" w:firstLine="4"/>
        <w:spacing w:after="0" w:line="252" w:lineRule="auto"/>
        <w:tabs>
          <w:tab w:leader="none" w:pos="1738"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2.17 unless the Borrower is notified of the participation sold to such Participant and such Participant agrees, for the benefit of the Borrower, to comply with Sections 2.17(e) and 2.17(f) as though it were a Lender (it being understood that the documentation required under Sections 2.17(e) and 2.17(f) shall be delivered to the participating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89"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6" w:lineRule="exact"/>
        <w:rPr>
          <w:sz w:val="20"/>
          <w:szCs w:val="20"/>
          <w:color w:val="auto"/>
        </w:rPr>
      </w:pPr>
    </w:p>
    <w:p>
      <w:pPr>
        <w:jc w:val="both"/>
        <w:ind w:firstLine="8"/>
        <w:spacing w:after="0" w:line="257" w:lineRule="auto"/>
        <w:tabs>
          <w:tab w:leader="none" w:pos="51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9.05.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9.06. </w:t>
      </w:r>
      <w:r>
        <w:rPr>
          <w:rFonts w:ascii="Times New Roman" w:cs="Times New Roman" w:eastAsia="Times New Roman" w:hAnsi="Times New Roman"/>
          <w:sz w:val="20"/>
          <w:szCs w:val="20"/>
          <w:u w:val="single" w:color="auto"/>
          <w:color w:val="auto"/>
        </w:rPr>
        <w:t>Counterparts; Integration; Effectiveness; Electronic Execution</w:t>
      </w:r>
      <w:r>
        <w:rPr>
          <w:rFonts w:ascii="Times New Roman" w:cs="Times New Roman" w:eastAsia="Times New Roman" w:hAnsi="Times New Roman"/>
          <w:sz w:val="20"/>
          <w:szCs w:val="20"/>
          <w:color w:val="auto"/>
        </w:rPr>
        <w:t>.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89" w:lineRule="exact"/>
        <w:rPr>
          <w:sz w:val="20"/>
          <w:szCs w:val="20"/>
          <w:color w:val="auto"/>
        </w:rPr>
      </w:pPr>
    </w:p>
    <w:p>
      <w:pPr>
        <w:jc w:val="both"/>
        <w:ind w:firstLine="8"/>
        <w:spacing w:after="0" w:line="248" w:lineRule="auto"/>
        <w:tabs>
          <w:tab w:leader="none" w:pos="452"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9.07.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SECTION 9.08. </w:t>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xml:space="preserve">.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and in whatever currency denominated) at any time held, and other obligations at any time owing, by such Lender, such Issuing Bank or any such Affiliate, to or for the credit or the account of the Borrower or any Subsidiary Guarantor against any and all of the Secured Obligations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may be contingent or unmatured or are owed to a branch office or Affiliate of such Lender or such Issuing Bank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Borrower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9.09. </w:t>
      </w:r>
      <w:r>
        <w:rPr>
          <w:rFonts w:ascii="Times New Roman" w:cs="Times New Roman" w:eastAsia="Times New Roman" w:hAnsi="Times New Roman"/>
          <w:sz w:val="20"/>
          <w:szCs w:val="20"/>
          <w:u w:val="single" w:color="auto"/>
          <w:color w:val="auto"/>
        </w:rPr>
        <w:t>Governing Law; Jurisdiction; Consent to Service of Process</w:t>
      </w:r>
      <w:r>
        <w:rPr>
          <w:rFonts w:ascii="Times New Roman" w:cs="Times New Roman" w:eastAsia="Times New Roman" w:hAnsi="Times New Roman"/>
          <w:sz w:val="20"/>
          <w:szCs w:val="20"/>
          <w:color w:val="auto"/>
        </w:rPr>
        <w:t>. (a) The Loan Documents (other than those containing a contrary express choice of law provision) shall be governed by and construed in accordance with the laws of the State of New York, but giving effect to federal laws applicable to national banks.</w:t>
      </w:r>
    </w:p>
    <w:p>
      <w:pPr>
        <w:spacing w:after="0" w:line="181" w:lineRule="exact"/>
        <w:rPr>
          <w:sz w:val="20"/>
          <w:szCs w:val="20"/>
          <w:color w:val="auto"/>
        </w:rPr>
      </w:pPr>
    </w:p>
    <w:p>
      <w:pPr>
        <w:jc w:val="both"/>
        <w:ind w:firstLine="8"/>
        <w:spacing w:after="0" w:line="258" w:lineRule="auto"/>
        <w:tabs>
          <w:tab w:leader="none" w:pos="47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and the Administrative Agent hereby irrevocably and unconditionally agrees that, notwithstanding the governing law provisions of any applicable Loan Document, any claims brought against the Administrative Agent by any Holder of Secured Obligations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72" w:lineRule="exact"/>
        <w:rPr>
          <w:rFonts w:ascii="Times New Roman" w:cs="Times New Roman" w:eastAsia="Times New Roman" w:hAnsi="Times New Roman"/>
          <w:sz w:val="20"/>
          <w:szCs w:val="20"/>
          <w:color w:val="auto"/>
        </w:rPr>
      </w:pPr>
    </w:p>
    <w:p>
      <w:pPr>
        <w:jc w:val="both"/>
        <w:ind w:firstLine="8"/>
        <w:spacing w:after="0" w:line="252" w:lineRule="auto"/>
        <w:tabs>
          <w:tab w:leader="none" w:pos="492"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irrevocably and unconditionally submits, for itself and its property, to the exclusive jurisdiction of the United States District Court of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any Issuing Bank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95" w:lineRule="exact"/>
        <w:rPr>
          <w:sz w:val="20"/>
          <w:szCs w:val="20"/>
          <w:color w:val="auto"/>
        </w:rPr>
      </w:pPr>
    </w:p>
    <w:p>
      <w:pPr>
        <w:jc w:val="both"/>
        <w:ind w:firstLine="8"/>
        <w:spacing w:after="0" w:line="258" w:lineRule="auto"/>
        <w:tabs>
          <w:tab w:leader="none" w:pos="477"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72" w:lineRule="exact"/>
        <w:rPr>
          <w:rFonts w:ascii="Times New Roman" w:cs="Times New Roman" w:eastAsia="Times New Roman" w:hAnsi="Times New Roman"/>
          <w:sz w:val="20"/>
          <w:szCs w:val="20"/>
          <w:color w:val="auto"/>
        </w:rPr>
      </w:pPr>
    </w:p>
    <w:p>
      <w:pPr>
        <w:jc w:val="both"/>
        <w:ind w:firstLine="8"/>
        <w:spacing w:after="0" w:line="261" w:lineRule="auto"/>
        <w:tabs>
          <w:tab w:leader="none" w:pos="44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9.10.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9.12.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of the Administrative Agent, the Issuing Banks and the Lenders agrees to maintain the confidentiality of the Information (as defined below), except that Information may be disclosed (a) to its and its Affiliates’ Related Parties, including accountants, legal counsel and other advisors (it being understood that the Persons to whom such disclosure is made will be informed of the confidential nature of such Information and instructed to keep such Information confidential), (b) to the extent required or requested by any Governmental Authority (including any self-regulatory authority, such as the National Association of Insurance Commissioners), (c) to the extent required by Requirement of Law or by any subpoena or similar legal process, (d) to any other party to this Agreement, (e) in connection with the exercise of any remedies under this Agreement or any other Loan Document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suit, action or proceeding relating to this Agreement or any other Loan Document or the enforcement of rights hereunder or thereunder,</w:t>
      </w:r>
    </w:p>
    <w:p>
      <w:pPr>
        <w:spacing w:after="0" w:line="28" w:lineRule="exact"/>
        <w:rPr>
          <w:sz w:val="20"/>
          <w:szCs w:val="20"/>
          <w:color w:val="auto"/>
        </w:rPr>
      </w:pPr>
    </w:p>
    <w:p>
      <w:pPr>
        <w:jc w:val="both"/>
        <w:ind w:firstLine="8"/>
        <w:spacing w:after="0" w:line="248" w:lineRule="auto"/>
        <w:tabs>
          <w:tab w:leader="none" w:pos="247"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Related Parties) to any swap, derivative or other transaction relating to the Borrower, its Subsidiaries and their obligations, (g) on a confidential basis to (i) any rating agency in connection with the rating of the Borrower or its Subsidiaries or this Agreement or (ii) the CUSIP Service Bureau or any similar agency in connection with the issuance and monitoring of identification numbers with respect to this Agreement, (h) with the consent of the Borrower or (i) to the extent such Information (x) becomes publicly available other than as a result of a breach of this Section or (y) becomes available to the Administrative Agent, any Issuing Bank or any Lender, or any of their respective Affiliates, on a nonconfidential basis from a source other than the Borrower. For the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9.13. </w:t>
      </w:r>
      <w:r>
        <w:rPr>
          <w:rFonts w:ascii="Times New Roman" w:cs="Times New Roman" w:eastAsia="Times New Roman" w:hAnsi="Times New Roman"/>
          <w:sz w:val="20"/>
          <w:szCs w:val="20"/>
          <w:u w:val="single" w:color="auto"/>
          <w:color w:val="auto"/>
        </w:rPr>
        <w:t>Several Obligations; Nonreliance; Violation of Law</w:t>
      </w:r>
      <w:r>
        <w:rPr>
          <w:rFonts w:ascii="Times New Roman" w:cs="Times New Roman" w:eastAsia="Times New Roman" w:hAnsi="Times New Roman"/>
          <w:sz w:val="20"/>
          <w:szCs w:val="20"/>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for the repayment of the Borrowings provided for herein. Anything contained in this Agreement to the contrary notwithstanding, neither an Issuing Bank nor any Lender shall be obligated to extend credit to the Borrower in violation of any Requirement of Law.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9.14.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SECTION 9.15.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The Borrower and each Lender hereby acknowledges and agrees that the Administrative Agent and/or its Affiliates from time to time may hold investments in, make other loans to or have other relationships with any of the Borrower, its Subsidiaries and their respective Affiliates.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9.16. </w:t>
      </w:r>
      <w:r>
        <w:rPr>
          <w:rFonts w:ascii="Times New Roman" w:cs="Times New Roman" w:eastAsia="Times New Roman" w:hAnsi="Times New Roman"/>
          <w:sz w:val="20"/>
          <w:szCs w:val="20"/>
          <w:u w:val="single" w:color="auto"/>
          <w:color w:val="auto"/>
        </w:rPr>
        <w:t>Appointment for Perfection</w:t>
      </w:r>
      <w:r>
        <w:rPr>
          <w:rFonts w:ascii="Times New Roman" w:cs="Times New Roman" w:eastAsia="Times New Roman" w:hAnsi="Times New Roman"/>
          <w:sz w:val="20"/>
          <w:szCs w:val="20"/>
          <w:color w:val="auto"/>
        </w:rPr>
        <w:t>. Each Lender hereby appoints each other Lender as its agent for the purpose of perfecting Liens, for the benefit of the Administrative Agent and the Holders of Secured Obligations, in assets which, in accordance with Article 9 of the UCC or any other applicable law can be perfected only by possession. Should any Lender (other than the Administrative Agent) obtain possession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9.17. </w:t>
      </w:r>
      <w:r>
        <w:rPr>
          <w:rFonts w:ascii="Times New Roman" w:cs="Times New Roman" w:eastAsia="Times New Roman" w:hAnsi="Times New Roman"/>
          <w:sz w:val="20"/>
          <w:szCs w:val="20"/>
          <w:u w:val="single" w:color="auto"/>
          <w:color w:val="auto"/>
        </w:rPr>
        <w:t>Releases of Subsidiary Guarantors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8"/>
        <w:spacing w:after="0" w:line="253" w:lineRule="auto"/>
        <w:tabs>
          <w:tab w:leader="none" w:pos="44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Subsidiary Guarantor shall automatically be released from its obligations under the Subsidiary Guaranty upon the consummation of any transaction permitted by this Agreement as a result of which such Subsidiary Guarantor ceases to be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79" w:lineRule="exact"/>
        <w:rPr>
          <w:rFonts w:ascii="Times New Roman" w:cs="Times New Roman" w:eastAsia="Times New Roman" w:hAnsi="Times New Roman"/>
          <w:sz w:val="20"/>
          <w:szCs w:val="20"/>
          <w:color w:val="auto"/>
        </w:rPr>
      </w:pPr>
    </w:p>
    <w:p>
      <w:pPr>
        <w:jc w:val="both"/>
        <w:ind w:firstLine="8"/>
        <w:spacing w:after="0" w:line="268" w:lineRule="auto"/>
        <w:tabs>
          <w:tab w:leader="none" w:pos="50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the Administrative Agent may (and is hereby irrevocably authorized by each Lender to), upon the request of the Borrower, release any Subsidiary Guarantor from its obligations under the Subsidiary Guaranty if such Subsidiary Guarantor is no longer a Material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89" w:lineRule="exact"/>
        <w:rPr>
          <w:sz w:val="20"/>
          <w:szCs w:val="20"/>
          <w:color w:val="auto"/>
        </w:rPr>
      </w:pPr>
    </w:p>
    <w:p>
      <w:pPr>
        <w:jc w:val="both"/>
        <w:ind w:firstLine="8"/>
        <w:spacing w:after="0" w:line="253" w:lineRule="auto"/>
        <w:tabs>
          <w:tab w:leader="none" w:pos="438"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the principal and interest on the Loans, all LC Disbursements, the fees, expenses and other amounts payable under the Loan Documents and the other Obligations (other than Banking Services Obligations, Swap Obligations, and other Obligations expressly stated to survive such payment and termination) shall have been paid in full, the Commitments shall have been terminated and no Letters of Credit shall be outstanding, the Subsidiary Guaranty and all obligations (other than those expressly stated to survive such termination) of each Subsidiary Guarantor thereunder shall automatically terminate, all without delivery of any instrument or performance of any act by any Person.</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9.18.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9.19. </w:t>
      </w:r>
      <w:r>
        <w:rPr>
          <w:rFonts w:ascii="Times New Roman" w:cs="Times New Roman" w:eastAsia="Times New Roman" w:hAnsi="Times New Roman"/>
          <w:sz w:val="20"/>
          <w:szCs w:val="20"/>
          <w:u w:val="single" w:color="auto"/>
          <w:color w:val="auto"/>
        </w:rPr>
        <w:t>No Advisory or Fiduciary Responsibility</w:t>
      </w:r>
      <w:r>
        <w:rPr>
          <w:rFonts w:ascii="Times New Roman" w:cs="Times New Roman" w:eastAsia="Times New Roman" w:hAnsi="Times New Roman"/>
          <w:sz w:val="20"/>
          <w:szCs w:val="20"/>
          <w:color w:val="auto"/>
        </w:rPr>
        <w:t>. (a)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88" w:lineRule="exact"/>
        <w:rPr>
          <w:sz w:val="20"/>
          <w:szCs w:val="20"/>
          <w:color w:val="auto"/>
        </w:rPr>
      </w:pPr>
    </w:p>
    <w:p>
      <w:pPr>
        <w:jc w:val="both"/>
        <w:ind w:firstLine="8"/>
        <w:spacing w:after="0" w:line="266" w:lineRule="auto"/>
        <w:tabs>
          <w:tab w:leader="none" w:pos="433"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89" w:lineRule="exact"/>
        <w:rPr>
          <w:sz w:val="20"/>
          <w:szCs w:val="20"/>
          <w:color w:val="auto"/>
        </w:rPr>
      </w:pPr>
    </w:p>
    <w:p>
      <w:pPr>
        <w:jc w:val="both"/>
        <w:ind w:firstLine="8"/>
        <w:spacing w:after="0" w:line="251" w:lineRule="auto"/>
        <w:tabs>
          <w:tab w:leader="none" w:pos="47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9.20. </w:t>
      </w:r>
      <w:r>
        <w:rPr>
          <w:rFonts w:ascii="Times New Roman" w:cs="Times New Roman" w:eastAsia="Times New Roman" w:hAnsi="Times New Roman"/>
          <w:sz w:val="20"/>
          <w:szCs w:val="20"/>
          <w:u w:val="single" w:color="auto"/>
          <w:color w:val="auto"/>
        </w:rPr>
        <w:t>Acknowledgment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72" w:lineRule="exact"/>
        <w:rPr>
          <w:sz w:val="20"/>
          <w:szCs w:val="20"/>
          <w:color w:val="auto"/>
        </w:rPr>
      </w:pPr>
    </w:p>
    <w:p>
      <w:pPr>
        <w:ind w:right="20" w:firstLine="8"/>
        <w:spacing w:after="0" w:line="283" w:lineRule="auto"/>
        <w:tabs>
          <w:tab w:leader="none" w:pos="54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6"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29" w:lineRule="exact"/>
        <w:rPr>
          <w:sz w:val="20"/>
          <w:szCs w:val="20"/>
          <w:color w:val="auto"/>
        </w:rPr>
      </w:pPr>
    </w:p>
    <w:p>
      <w:pPr>
        <w:ind w:left="400" w:hanging="392"/>
        <w:spacing w:after="0"/>
        <w:tabs>
          <w:tab w:leader="none" w:pos="4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29" w:lineRule="exact"/>
        <w:rPr>
          <w:rFonts w:ascii="Times New Roman" w:cs="Times New Roman" w:eastAsia="Times New Roman" w:hAnsi="Times New Roman"/>
          <w:sz w:val="20"/>
          <w:szCs w:val="20"/>
          <w:color w:val="auto"/>
        </w:rPr>
      </w:pPr>
    </w:p>
    <w:p>
      <w:pPr>
        <w:jc w:val="both"/>
        <w:ind w:firstLine="8"/>
        <w:spacing w:after="0" w:line="281" w:lineRule="auto"/>
        <w:tabs>
          <w:tab w:leader="none" w:pos="446"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0" w:lineRule="exact"/>
        <w:rPr>
          <w:rFonts w:ascii="Times New Roman" w:cs="Times New Roman" w:eastAsia="Times New Roman" w:hAnsi="Times New Roman"/>
          <w:sz w:val="19"/>
          <w:szCs w:val="19"/>
          <w:color w:val="auto"/>
        </w:rPr>
      </w:pPr>
    </w:p>
    <w:p>
      <w:pPr>
        <w:ind w:firstLine="8"/>
        <w:spacing w:after="0" w:line="283" w:lineRule="auto"/>
        <w:tabs>
          <w:tab w:leader="none" w:pos="51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SECTION 9.21.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9.22. </w:t>
      </w:r>
      <w:r>
        <w:rPr>
          <w:rFonts w:ascii="Times New Roman" w:cs="Times New Roman" w:eastAsia="Times New Roman" w:hAnsi="Times New Roman"/>
          <w:sz w:val="20"/>
          <w:szCs w:val="20"/>
          <w:u w:val="single" w:color="auto"/>
          <w:color w:val="auto"/>
        </w:rPr>
        <w:t>Lender Acknowledgment Regarding Name Change of MYR Transmission Services, Inc.</w:t>
      </w:r>
      <w:r>
        <w:rPr>
          <w:rFonts w:ascii="Times New Roman" w:cs="Times New Roman" w:eastAsia="Times New Roman" w:hAnsi="Times New Roman"/>
          <w:sz w:val="20"/>
          <w:szCs w:val="20"/>
          <w:color w:val="auto"/>
        </w:rPr>
        <w:t>. By its execution of this Agreement, each Lender (which, for the avoidance of doubt, collectively constitute “Required Lenders” under the Existing Credit Agreement) hereby confirms and agrees that no Default or Event of Default shall be deemed to have occurred or be continuing under the Existing Credit Agreement or this Agreement solely as a result of the name change of MYR Transmission Services, Inc. to “MYR Energy Services, Inc.” on or about February 5, 2020.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Borrower Guarantee</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In order to induce the Lenders to extend credit to the Borrower hereunder and for other good and valuable consideration (the receipt and sufficiency of which are hereby acknowledged), the Borrower hereby absolutely and irrevocably and unconditionally guarantees, as a primary obligor and not merely as a surety, the payment when and as due of the Specified Ancillary Obligations of the Subsidiaries. The Borrower further agrees that the due and punctual payment of such Specified Ancillary Obligations may be extended or renewed, in whole or in part, without notice to or further assent from it, and that it will remain bound upon its guarantee hereunder notwithstanding any such extension or renewal of any such Specified Ancillary Obligation.</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The Borrower waives presentment to, demand of payment from and protest to any Subsidiary of any of the Specified Ancillary Obligations, and also waives notice of acceptance of its obligations and notice of protest for nonpayment. The obligations of the Borrower hereunder shall not be affected by (a) the failure of any applicable Lender (or any of its Affiliates) to assert any claim or demand or to enforce any right or remedy against any Subsidiary under the provisions of any Banking Services Agreement, any Swap Agreement or otherwise; (b) any extension or renewal of any of the Specified Ancillary Obligations; (c) any rescission, waiver, amendment or modification of, or release from, any of the terms or provisions of this Agreement, any other Loan Document, any Banking Services Agreement, any Swap Agreement or other agreement; (d) any default, failure or delay, willful or otherwise, in the performance of any of the Specified Ancillary Obligations; (e) the failure of any applicable Lender (or any of its Affiliates) to take any steps to perfect and maintain any security interest in, or to preserve any rights to, any security or collateral for the Specified Ancillary Obligations, if any; (f) any change in the corporate, partnership or other existence, structure or ownership of any Subsidiary or any other guarantor of any of the Specified Ancillary Obligations;</w:t>
      </w:r>
    </w:p>
    <w:p>
      <w:pPr>
        <w:spacing w:after="0" w:line="4" w:lineRule="exact"/>
        <w:rPr>
          <w:sz w:val="20"/>
          <w:szCs w:val="20"/>
          <w:color w:val="auto"/>
        </w:rPr>
      </w:pPr>
    </w:p>
    <w:p>
      <w:pPr>
        <w:jc w:val="both"/>
        <w:ind w:firstLine="8"/>
        <w:spacing w:after="0" w:line="256" w:lineRule="auto"/>
        <w:tabs>
          <w:tab w:leader="none" w:pos="29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enforceability or validity of the Specified Ancillary Obligations or any part thereof or the genuineness, enforceability or validity of any agreement relating thereto or with respect to any collateral securing the Specified Ancillary Obligations or any part thereof, or any other invalidity or unenforceability relating to or against any Subsidiary or any other guarantor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of the Specified Ancillary Obligations, for any reason related to this Agreement, any other Loan Document, any Banking Services Agreement, any Swap Agreement, or any provision of applicable law, decree, order or regulation of any jurisdiction purporting to prohibit the payment by such Subsidiary or any other guarantor of the Specified Ancillary Obligations, of any of the Specified Ancillary Obligations or otherwise affecting any term of any of the Specified Ancillary Obligations; or (h) any other act, omission or delay to do any other act which may or might in any manner or to any extent vary the risk of the Borrower or otherwise operate as a discharge of a guarantor as a matter of law or equity or which would impair or eliminate any right of the Borrower to subrogation.</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Borrower further agrees that its agreement hereunder constitutes a guarantee of payment when due (whether or not any bankruptcy or similar proceeding shall have stayed the accrual or collection of any of the Specified Ancillary Obligations or operated as a discharge thereof) and not merely of collection, and waives any right to require that any resort be had by any applicable Lender (or any of its Affiliates) to any balance of any deposit account or credit on the books of the Administrative Agent, any Issuing Bank or any Lender in favor of any Subsidiary or any other Person.</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The obligations of the Borrower hereunder shall not be subject to any reduction, limitation, impairment or termination for any reason, and shall not be subject to any defense or set-off, counterclaim, recoupment or termination whatsoever, by reason of the invalidity, illegality or unenforceability of any of the Specified Ancillary Obligations, any impossibility in the performance of any of the Specified Ancillary Obligations or otherwise.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Borrower further agrees that its obligations hereunder shall constitute a continuing and irrevocable guarantee of all Specified Ancillary Obligations now or hereafter existing and shall continue to be effective or be reinstated, as the case may be, if at any time payment, or any part thereof, of any Specified Ancillary Obligation (including a payment effected through exercise of a right of setoff) is rescinded, or is or must otherwise be restored or returned by any applicable Lender (or any of its Affiliates) upon the insolvency, bankruptcy or reorganization of any Subsidiary or otherwise (including pursuant to any settlement entered into by a holder of Specified Ancillary Obligations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8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In furtherance of the foregoing and not in limitation of any other right which any applicable Lender (or any of its Affiliates) may have at law or in equity against the Borrower by virtue hereof, upon the failure of any Subsidiary to pay any Specified Ancillary Obligation when and as the same shall become due, whether at maturity, by acceleration, after notice of prepayment or otherwise, the Borrower hereby promises to and will, upon receipt of written demand by any applicable Lender (or any of its Affiliates), forthwith pay, or cause to be paid, to such applicable Lender (or any of its Affiliates) in cash an amount equal to the unpaid principal amount of such Specified Ancillary Obligations then due, together with accrued and unpaid interest thereon. The Borrower further agrees that if payment in respect of any Specified Ancillary Obligation shall be due in a currency other than Dollars and/or at a place of payment other than New York, Chicago or any other Foreign Payment Office and if, by reason of any Change in Law, disruption of currency or foreign exchange markets, war or civil disturbance or other event, payment of such Specified Ancillary Obligation in such currency or at such place of payment shall be impossible or, in the reasonable judgment of any applicable Lender (or any of its Affiliates), disadvantageous to such applicable Lender (or any of its Affiliates) in any material respect, then, at the election of such applicable Lender, the Borrower shall make payment of such Specified Ancillary Obligation in Dollars (based upon the applicable Equivalent Amount in effect on the date of payment) and/or in New York, Chicago or such other Foreign Payment Office as is designated by such applicable Lender (or its Affiliate) and, as a separate and independent obligation, shall indemnify such applicable Lender (and any of its Affiliates) against any losses or reasonable out-of-pocket expenses that it shall sustain as a result of such alternative payment.</w:t>
      </w:r>
    </w:p>
    <w:p>
      <w:pPr>
        <w:spacing w:after="0" w:line="20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Upon payment by the Borrower of any sums as provided above, all rights of the Borrower against any Subsidiary arising as a result thereof by way of right of subrogation or otherwise shall in all respects be subordinated and junior in right of payment to the prior indefeasible payment in full in cash of all the Specified Ancillary Obligations owed by such Subsidiary to the applicable Lender (or its applicable Affiliates).</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Nothing shall discharge or satisfy the liability of the Borrower hereunder except the full performance and payment in cash of the Secured Obligations.</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Borrower hereby absolutely, unconditionally and irrevocably undertakes to provide such funds or other support as may be needed from time to time by each Subsidiary Guarantor to honor all of its obligations under the Subsidiary Guaranty in respect of Specified Swap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the Borrower shall only be liable under this paragraph for the maximum amount of such liability that can be hereby incurred without rendering its obligations under this paragraph or otherwise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Borrower intends that this paragraph constitute, and this paragraph shall be deemed to constitute, a “keepwell, support, or other agreement” for the benefit of each Subsidiary Guarantor for all purposes of Section 1a(18)(A)(v)(II) of the Commodity Exchange Act.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8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by their respective authorized officers as of the day and year first above written.</w:t>
      </w:r>
    </w:p>
    <w:p>
      <w:pPr>
        <w:spacing w:after="0" w:line="18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MYR GROUP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w:t>
      </w:r>
    </w:p>
    <w:p>
      <w:pPr>
        <w:spacing w:after="0" w:line="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Name</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Third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11220"/>
          </w:cols>
          <w:pgMar w:left="320" w:top="1440" w:right="359" w:bottom="1440" w:gutter="0" w:footer="0" w:header="0"/>
        </w:sectPr>
      </w:pPr>
    </w:p>
    <w:bookmarkStart w:id="196" w:name="page197"/>
    <w:bookmarkEnd w:id="196"/>
    <w:p>
      <w:pPr>
        <w:spacing w:after="0" w:line="230" w:lineRule="exact"/>
        <w:rPr>
          <w:sz w:val="20"/>
          <w:szCs w:val="20"/>
          <w:color w:val="auto"/>
        </w:rPr>
      </w:pPr>
    </w:p>
    <w:p>
      <w:pPr>
        <w:ind w:left="4180" w:right="500"/>
        <w:spacing w:after="0"/>
        <w:rPr>
          <w:sz w:val="20"/>
          <w:szCs w:val="20"/>
          <w:color w:val="auto"/>
        </w:rPr>
      </w:pPr>
      <w:r>
        <w:rPr>
          <w:rFonts w:ascii="Times New Roman" w:cs="Times New Roman" w:eastAsia="Times New Roman" w:hAnsi="Times New Roman"/>
          <w:sz w:val="20"/>
          <w:szCs w:val="20"/>
          <w:color w:val="auto"/>
        </w:rPr>
        <w:t>JPMORGAN CHASE BANK, N.A., individually as a Lender, as an Issuing Bank and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80"/>
        <w:spacing w:after="0"/>
        <w:tabs>
          <w:tab w:leader="none" w:pos="45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Name:</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JPMORGAN CHASE BANK, N.A. (TORONTO BRANCH),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180"/>
        <w:spacing w:after="0"/>
        <w:tabs>
          <w:tab w:leader="none" w:pos="45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Name:</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Signature Page to Third Amended and Restated Credit Agreement</w:t>
      </w:r>
    </w:p>
    <w:p>
      <w:pPr>
        <w:spacing w:after="0" w:line="3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10040"/>
          </w:cols>
          <w:pgMar w:left="1440" w:top="1440" w:right="419" w:bottom="1440" w:gutter="0" w:footer="0" w:header="0"/>
        </w:sectPr>
      </w:pPr>
    </w:p>
    <w:bookmarkStart w:id="197" w:name="page198"/>
    <w:bookmarkEnd w:id="197"/>
    <w:p>
      <w:pPr>
        <w:spacing w:after="0" w:line="23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BANK OF AMERICA, N.A., individually as a Lender, as an Issuing Bank and as Syndication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0" w:right="680"/>
        <w:spacing w:after="0" w:line="283" w:lineRule="auto"/>
        <w:rPr>
          <w:sz w:val="20"/>
          <w:szCs w:val="20"/>
          <w:color w:val="auto"/>
        </w:rPr>
      </w:pPr>
      <w:r>
        <w:rPr>
          <w:rFonts w:ascii="Times New Roman" w:cs="Times New Roman" w:eastAsia="Times New Roman" w:hAnsi="Times New Roman"/>
          <w:sz w:val="20"/>
          <w:szCs w:val="20"/>
          <w:color w:val="auto"/>
        </w:rPr>
        <w:t>BANK OF AMERICA, NATIONAL ASSOCIATION (CANADA BRANCH),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 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Signature Page to Third Amended and Restated Credit Agreement</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10100"/>
          </w:cols>
          <w:pgMar w:left="1440" w:top="1440" w:right="359" w:bottom="1440" w:gutter="0" w:footer="0" w:header="0"/>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20"/>
          <w:szCs w:val="20"/>
          <w:color w:val="auto"/>
        </w:rPr>
        <w:t>[ADDITIONAL LENDER PAGES 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Third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MYR Group Inc.</w:t>
      </w:r>
    </w:p>
    <w:p>
      <w:pPr>
        <w:sectPr>
          <w:pgSz w:w="11900" w:h="16838" w:orient="portrait"/>
          <w:cols w:equalWidth="0" w:num="1">
            <w:col w:w="9019"/>
          </w:cols>
          <w:pgMar w:left="1440" w:top="1440" w:right="1440" w:bottom="144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3580" w:type="dxa"/>
            <w:vAlign w:val="bottom"/>
          </w:tcPr>
          <w:p>
            <w:pPr>
              <w:spacing w:after="0"/>
              <w:rPr>
                <w:sz w:val="22"/>
                <w:szCs w:val="22"/>
                <w:color w:val="auto"/>
              </w:rPr>
            </w:pPr>
          </w:p>
        </w:tc>
        <w:tc>
          <w:tcPr>
            <w:tcW w:w="7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COMMITMENT SCHEDULE</w:t>
            </w:r>
          </w:p>
        </w:tc>
      </w:tr>
      <w:tr>
        <w:trPr>
          <w:trHeight w:val="709"/>
        </w:trPr>
        <w:tc>
          <w:tcPr>
            <w:tcW w:w="35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r>
        <w:trPr>
          <w:trHeight w:val="250"/>
        </w:trPr>
        <w:tc>
          <w:tcPr>
            <w:tcW w:w="3580" w:type="dxa"/>
            <w:vAlign w:val="bottom"/>
            <w:tcBorders>
              <w:left w:val="single" w:sz="8" w:color="auto"/>
              <w:bottom w:val="single" w:sz="8" w:color="auto"/>
            </w:tcBorders>
          </w:tcPr>
          <w:p>
            <w:pPr>
              <w:ind w:left="230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1620" w:type="dxa"/>
            <w:vAlign w:val="bottom"/>
            <w:tcBorders>
              <w:bottom w:val="single" w:sz="8" w:color="auto"/>
              <w:right w:val="single" w:sz="8" w:color="auto"/>
            </w:tcBorders>
          </w:tcPr>
          <w:p>
            <w:pPr>
              <w:spacing w:after="0"/>
              <w:rPr>
                <w:sz w:val="21"/>
                <w:szCs w:val="21"/>
                <w:color w:val="auto"/>
              </w:rPr>
            </w:pPr>
          </w:p>
        </w:tc>
        <w:tc>
          <w:tcPr>
            <w:tcW w:w="548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b w:val="1"/>
                <w:bCs w:val="1"/>
                <w:color w:val="auto"/>
              </w:rPr>
              <w:t>Commitment</w:t>
            </w:r>
          </w:p>
        </w:tc>
      </w:tr>
      <w:tr>
        <w:trPr>
          <w:trHeight w:val="426"/>
        </w:trPr>
        <w:tc>
          <w:tcPr>
            <w:tcW w:w="358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250"/>
        </w:trPr>
        <w:tc>
          <w:tcPr>
            <w:tcW w:w="35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JPMorgan Chase Bank, N.A.</w:t>
            </w:r>
          </w:p>
        </w:tc>
        <w:tc>
          <w:tcPr>
            <w:tcW w:w="1620" w:type="dxa"/>
            <w:vAlign w:val="bottom"/>
            <w:tcBorders>
              <w:bottom w:val="single" w:sz="8" w:color="auto"/>
              <w:right w:val="single" w:sz="8" w:color="auto"/>
            </w:tcBorders>
          </w:tcPr>
          <w:p>
            <w:pPr>
              <w:spacing w:after="0"/>
              <w:rPr>
                <w:sz w:val="21"/>
                <w:szCs w:val="21"/>
                <w:color w:val="auto"/>
              </w:rPr>
            </w:pP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$130,000,000.00</w:t>
            </w:r>
          </w:p>
        </w:tc>
      </w:tr>
      <w:tr>
        <w:trPr>
          <w:trHeight w:val="426"/>
        </w:trPr>
        <w:tc>
          <w:tcPr>
            <w:tcW w:w="358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250"/>
        </w:trPr>
        <w:tc>
          <w:tcPr>
            <w:tcW w:w="35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of America, N.A.</w:t>
            </w:r>
          </w:p>
        </w:tc>
        <w:tc>
          <w:tcPr>
            <w:tcW w:w="1620" w:type="dxa"/>
            <w:vAlign w:val="bottom"/>
            <w:tcBorders>
              <w:bottom w:val="single" w:sz="8" w:color="auto"/>
              <w:right w:val="single" w:sz="8" w:color="auto"/>
            </w:tcBorders>
          </w:tcPr>
          <w:p>
            <w:pPr>
              <w:spacing w:after="0"/>
              <w:rPr>
                <w:sz w:val="21"/>
                <w:szCs w:val="21"/>
                <w:color w:val="auto"/>
              </w:rPr>
            </w:pP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$130,000,000.00</w:t>
            </w:r>
          </w:p>
        </w:tc>
      </w:tr>
      <w:tr>
        <w:trPr>
          <w:trHeight w:val="425"/>
        </w:trPr>
        <w:tc>
          <w:tcPr>
            <w:tcW w:w="358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250"/>
        </w:trPr>
        <w:tc>
          <w:tcPr>
            <w:tcW w:w="35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of Montreal</w:t>
            </w:r>
          </w:p>
        </w:tc>
        <w:tc>
          <w:tcPr>
            <w:tcW w:w="1620" w:type="dxa"/>
            <w:vAlign w:val="bottom"/>
            <w:tcBorders>
              <w:bottom w:val="single" w:sz="8" w:color="auto"/>
              <w:right w:val="single" w:sz="8" w:color="auto"/>
            </w:tcBorders>
          </w:tcPr>
          <w:p>
            <w:pPr>
              <w:spacing w:after="0"/>
              <w:rPr>
                <w:sz w:val="21"/>
                <w:szCs w:val="21"/>
                <w:color w:val="auto"/>
              </w:rPr>
            </w:pP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$57,500,000.00</w:t>
            </w:r>
          </w:p>
        </w:tc>
      </w:tr>
      <w:tr>
        <w:trPr>
          <w:trHeight w:val="426"/>
        </w:trPr>
        <w:tc>
          <w:tcPr>
            <w:tcW w:w="358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250"/>
        </w:trPr>
        <w:tc>
          <w:tcPr>
            <w:tcW w:w="35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CIBC Bank USA</w:t>
            </w:r>
          </w:p>
        </w:tc>
        <w:tc>
          <w:tcPr>
            <w:tcW w:w="1620" w:type="dxa"/>
            <w:vAlign w:val="bottom"/>
            <w:tcBorders>
              <w:bottom w:val="single" w:sz="8" w:color="auto"/>
              <w:right w:val="single" w:sz="8" w:color="auto"/>
            </w:tcBorders>
          </w:tcPr>
          <w:p>
            <w:pPr>
              <w:spacing w:after="0"/>
              <w:rPr>
                <w:sz w:val="21"/>
                <w:szCs w:val="21"/>
                <w:color w:val="auto"/>
              </w:rPr>
            </w:pP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$50,000,000.00</w:t>
            </w:r>
          </w:p>
        </w:tc>
      </w:tr>
      <w:tr>
        <w:trPr>
          <w:trHeight w:val="425"/>
        </w:trPr>
        <w:tc>
          <w:tcPr>
            <w:tcW w:w="358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250"/>
        </w:trPr>
        <w:tc>
          <w:tcPr>
            <w:tcW w:w="35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TD Bank, N.A.</w:t>
            </w:r>
          </w:p>
        </w:tc>
        <w:tc>
          <w:tcPr>
            <w:tcW w:w="1620" w:type="dxa"/>
            <w:vAlign w:val="bottom"/>
            <w:tcBorders>
              <w:bottom w:val="single" w:sz="8" w:color="auto"/>
              <w:right w:val="single" w:sz="8" w:color="auto"/>
            </w:tcBorders>
          </w:tcPr>
          <w:p>
            <w:pPr>
              <w:spacing w:after="0"/>
              <w:rPr>
                <w:sz w:val="21"/>
                <w:szCs w:val="21"/>
                <w:color w:val="auto"/>
              </w:rPr>
            </w:pP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$50,000,000.00</w:t>
            </w:r>
          </w:p>
        </w:tc>
      </w:tr>
      <w:tr>
        <w:trPr>
          <w:trHeight w:val="425"/>
        </w:trPr>
        <w:tc>
          <w:tcPr>
            <w:tcW w:w="358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250"/>
        </w:trPr>
        <w:tc>
          <w:tcPr>
            <w:tcW w:w="35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Wells Fargo Bank, N.A.</w:t>
            </w:r>
          </w:p>
        </w:tc>
        <w:tc>
          <w:tcPr>
            <w:tcW w:w="1620" w:type="dxa"/>
            <w:vAlign w:val="bottom"/>
            <w:tcBorders>
              <w:bottom w:val="single" w:sz="8" w:color="auto"/>
              <w:right w:val="single" w:sz="8" w:color="auto"/>
            </w:tcBorders>
          </w:tcPr>
          <w:p>
            <w:pPr>
              <w:spacing w:after="0"/>
              <w:rPr>
                <w:sz w:val="21"/>
                <w:szCs w:val="21"/>
                <w:color w:val="auto"/>
              </w:rPr>
            </w:pP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$47,500,000.00</w:t>
            </w:r>
          </w:p>
        </w:tc>
      </w:tr>
      <w:tr>
        <w:trPr>
          <w:trHeight w:val="425"/>
        </w:trPr>
        <w:tc>
          <w:tcPr>
            <w:tcW w:w="358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250"/>
        </w:trPr>
        <w:tc>
          <w:tcPr>
            <w:tcW w:w="35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 Bank National Association</w:t>
            </w:r>
          </w:p>
        </w:tc>
        <w:tc>
          <w:tcPr>
            <w:tcW w:w="1620" w:type="dxa"/>
            <w:vAlign w:val="bottom"/>
            <w:tcBorders>
              <w:bottom w:val="single" w:sz="8" w:color="auto"/>
              <w:right w:val="single" w:sz="8" w:color="auto"/>
            </w:tcBorders>
          </w:tcPr>
          <w:p>
            <w:pPr>
              <w:spacing w:after="0"/>
              <w:rPr>
                <w:sz w:val="21"/>
                <w:szCs w:val="21"/>
                <w:color w:val="auto"/>
              </w:rPr>
            </w:pP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$25,000,000.00</w:t>
            </w:r>
          </w:p>
        </w:tc>
      </w:tr>
      <w:tr>
        <w:trPr>
          <w:trHeight w:val="425"/>
        </w:trPr>
        <w:tc>
          <w:tcPr>
            <w:tcW w:w="358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250"/>
        </w:trPr>
        <w:tc>
          <w:tcPr>
            <w:tcW w:w="3580" w:type="dxa"/>
            <w:vAlign w:val="bottom"/>
            <w:tcBorders>
              <w:left w:val="single" w:sz="8" w:color="auto"/>
              <w:bottom w:val="single" w:sz="8" w:color="auto"/>
            </w:tcBorders>
          </w:tcPr>
          <w:p>
            <w:pPr>
              <w:ind w:left="23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620" w:type="dxa"/>
            <w:vAlign w:val="bottom"/>
            <w:tcBorders>
              <w:bottom w:val="single" w:sz="8" w:color="auto"/>
              <w:right w:val="single" w:sz="8" w:color="auto"/>
            </w:tcBorders>
          </w:tcPr>
          <w:p>
            <w:pPr>
              <w:spacing w:after="0"/>
              <w:rPr>
                <w:sz w:val="21"/>
                <w:szCs w:val="21"/>
                <w:color w:val="auto"/>
              </w:rPr>
            </w:pPr>
          </w:p>
        </w:tc>
        <w:tc>
          <w:tcPr>
            <w:tcW w:w="5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$490,000,000.00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Commitment Schedule</w:t>
      </w:r>
    </w:p>
    <w:p>
      <w:pPr>
        <w:sectPr>
          <w:pgSz w:w="11900" w:h="16838" w:orient="portrait"/>
          <w:cols w:equalWidth="0" w:num="1">
            <w:col w:w="10680"/>
          </w:cols>
          <w:pgMar w:left="480" w:top="1440" w:right="739" w:bottom="1440" w:gutter="0" w:footer="0" w:header="0"/>
        </w:sectPr>
      </w:pPr>
    </w:p>
    <w:bookmarkStart w:id="200" w:name="page201"/>
    <w:bookmarkEnd w:id="200"/>
    <w:p>
      <w:pPr>
        <w:spacing w:after="0" w:line="18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LETTER OF CREDIT COMMITMENT SCHEDULE</w:t>
      </w:r>
    </w:p>
    <w:p>
      <w:pPr>
        <w:spacing w:after="0" w:line="200" w:lineRule="exact"/>
        <w:rPr>
          <w:sz w:val="20"/>
          <w:szCs w:val="20"/>
          <w:color w:val="auto"/>
        </w:rPr>
      </w:pP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000" w:type="dxa"/>
            <w:vAlign w:val="bottom"/>
            <w:tcBorders>
              <w:top w:val="single" w:sz="8" w:color="auto"/>
              <w:left w:val="single" w:sz="8" w:color="auto"/>
              <w:bottom w:val="single" w:sz="8" w:color="auto"/>
              <w:right w:val="single" w:sz="8" w:color="auto"/>
            </w:tcBorders>
          </w:tcPr>
          <w:p>
            <w:pPr>
              <w:ind w:left="1960"/>
              <w:spacing w:after="0"/>
              <w:rPr>
                <w:sz w:val="20"/>
                <w:szCs w:val="20"/>
                <w:color w:val="auto"/>
              </w:rPr>
            </w:pPr>
            <w:r>
              <w:rPr>
                <w:rFonts w:ascii="Times New Roman" w:cs="Times New Roman" w:eastAsia="Times New Roman" w:hAnsi="Times New Roman"/>
                <w:sz w:val="20"/>
                <w:szCs w:val="20"/>
                <w:b w:val="1"/>
                <w:bCs w:val="1"/>
                <w:color w:val="auto"/>
              </w:rPr>
              <w:t>Issuing Bank</w:t>
            </w:r>
          </w:p>
        </w:tc>
        <w:tc>
          <w:tcPr>
            <w:tcW w:w="3920" w:type="dxa"/>
            <w:vAlign w:val="bottom"/>
            <w:tcBorders>
              <w:top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20"/>
                <w:szCs w:val="20"/>
                <w:b w:val="1"/>
                <w:bCs w:val="1"/>
                <w:color w:val="auto"/>
              </w:rPr>
              <w:t>Letter of Credit Commitment</w:t>
            </w:r>
          </w:p>
        </w:tc>
      </w:tr>
      <w:tr>
        <w:trPr>
          <w:trHeight w:val="250"/>
        </w:trPr>
        <w:tc>
          <w:tcPr>
            <w:tcW w:w="50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JPMorgan Chase Bank, N.A.</w:t>
            </w:r>
          </w:p>
        </w:tc>
        <w:tc>
          <w:tcPr>
            <w:tcW w:w="3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$28,250,000</w:t>
            </w:r>
          </w:p>
        </w:tc>
      </w:tr>
      <w:tr>
        <w:trPr>
          <w:trHeight w:val="250"/>
        </w:trPr>
        <w:tc>
          <w:tcPr>
            <w:tcW w:w="50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of America, N.A.</w:t>
            </w:r>
          </w:p>
        </w:tc>
        <w:tc>
          <w:tcPr>
            <w:tcW w:w="3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$28,250,000</w:t>
            </w:r>
          </w:p>
        </w:tc>
      </w:tr>
      <w:tr>
        <w:trPr>
          <w:trHeight w:val="250"/>
        </w:trPr>
        <w:tc>
          <w:tcPr>
            <w:tcW w:w="50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of Montreal</w:t>
            </w:r>
          </w:p>
        </w:tc>
        <w:tc>
          <w:tcPr>
            <w:tcW w:w="3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$11,000,000</w:t>
            </w:r>
          </w:p>
        </w:tc>
      </w:tr>
      <w:tr>
        <w:trPr>
          <w:trHeight w:val="250"/>
        </w:trPr>
        <w:tc>
          <w:tcPr>
            <w:tcW w:w="50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CIBC Bank USA</w:t>
            </w:r>
          </w:p>
        </w:tc>
        <w:tc>
          <w:tcPr>
            <w:tcW w:w="3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$7,500,000</w:t>
            </w:r>
          </w:p>
        </w:tc>
      </w:tr>
      <w:tr>
        <w:trPr>
          <w:trHeight w:val="250"/>
        </w:trPr>
        <w:tc>
          <w:tcPr>
            <w:tcW w:w="50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$75,000,000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Letter of Credit Commitment Schedule</w:t>
      </w:r>
    </w:p>
    <w:p>
      <w:pPr>
        <w:sectPr>
          <w:pgSz w:w="11900" w:h="16838" w:orient="portrait"/>
          <w:cols w:equalWidth="0" w:num="1">
            <w:col w:w="9479"/>
          </w:cols>
          <w:pgMar w:left="980" w:top="1440" w:right="1440" w:bottom="1440" w:gutter="0" w:footer="0" w:header="0"/>
        </w:sectPr>
      </w:pPr>
    </w:p>
    <w:bookmarkStart w:id="201" w:name="page202"/>
    <w:bookmarkEnd w:id="201"/>
    <w:p>
      <w:pPr>
        <w:spacing w:after="0" w:line="185"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20"/>
          <w:szCs w:val="20"/>
          <w:b w:val="1"/>
          <w:bCs w:val="1"/>
          <w:color w:val="auto"/>
        </w:rPr>
        <w:t>Schedule 3.06 – Disclosed Matters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479"/>
          </w:cols>
          <w:pgMar w:left="980" w:top="1440" w:right="1440" w:bottom="1440" w:gutter="0" w:footer="0" w:header="0"/>
        </w:sectPr>
      </w:pPr>
    </w:p>
    <w:bookmarkStart w:id="202" w:name="page203"/>
    <w:bookmarkEnd w:id="202"/>
    <w:p>
      <w:pPr>
        <w:spacing w:after="0" w:line="185"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20"/>
          <w:szCs w:val="20"/>
          <w:b w:val="1"/>
          <w:bCs w:val="1"/>
          <w:color w:val="auto"/>
        </w:rPr>
        <w:t>Schedule 3.14 – Capitalization and Subsidiaries</w:t>
      </w:r>
    </w:p>
    <w:p>
      <w:pPr>
        <w:spacing w:after="0" w:line="200" w:lineRule="exact"/>
        <w:rPr>
          <w:sz w:val="20"/>
          <w:szCs w:val="20"/>
          <w:color w:val="auto"/>
        </w:rPr>
      </w:pPr>
    </w:p>
    <w:p>
      <w:pPr>
        <w:spacing w:after="0" w:line="276" w:lineRule="exact"/>
        <w:rPr>
          <w:sz w:val="20"/>
          <w:szCs w:val="20"/>
          <w:color w:val="auto"/>
        </w:rPr>
      </w:pPr>
    </w:p>
    <w:p>
      <w:pPr>
        <w:ind w:left="348" w:hanging="348"/>
        <w:spacing w:after="0"/>
        <w:tabs>
          <w:tab w:leader="none" w:pos="34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MYR Group Inc.</w:t>
      </w:r>
    </w:p>
    <w:p>
      <w:pPr>
        <w:spacing w:after="0" w:line="21"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Delaware</w:t>
      </w:r>
    </w:p>
    <w:p>
      <w:pPr>
        <w:spacing w:after="0" w:line="227" w:lineRule="exact"/>
        <w:rPr>
          <w:rFonts w:ascii="Times New Roman" w:cs="Times New Roman" w:eastAsia="Times New Roman" w:hAnsi="Times New Roman"/>
          <w:sz w:val="20"/>
          <w:szCs w:val="20"/>
          <w:color w:val="auto"/>
        </w:rPr>
      </w:pPr>
    </w:p>
    <w:p>
      <w:pPr>
        <w:ind w:left="348" w:hanging="348"/>
        <w:spacing w:after="0"/>
        <w:tabs>
          <w:tab w:leader="none" w:pos="34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 E. Myers Co.</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13"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Delaware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MYR Group Inc. (100%)</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1,000 - $1.00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w:t>
      </w:r>
    </w:p>
    <w:p>
      <w:pPr>
        <w:spacing w:after="0" w:line="234" w:lineRule="exact"/>
        <w:rPr>
          <w:rFonts w:ascii="Times New Roman" w:cs="Times New Roman" w:eastAsia="Times New Roman" w:hAnsi="Times New Roman"/>
          <w:sz w:val="20"/>
          <w:szCs w:val="20"/>
          <w:color w:val="auto"/>
        </w:rPr>
      </w:pPr>
    </w:p>
    <w:p>
      <w:pPr>
        <w:ind w:left="348" w:hanging="348"/>
        <w:spacing w:after="0"/>
        <w:tabs>
          <w:tab w:leader="none" w:pos="34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Harlan Electric Company</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Michigan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MYR Group Inc. (100%)</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1,500,000 - $1.00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w:t>
      </w:r>
    </w:p>
    <w:p>
      <w:pPr>
        <w:spacing w:after="0" w:line="240" w:lineRule="exact"/>
        <w:rPr>
          <w:rFonts w:ascii="Times New Roman" w:cs="Times New Roman" w:eastAsia="Times New Roman" w:hAnsi="Times New Roman"/>
          <w:sz w:val="20"/>
          <w:szCs w:val="20"/>
          <w:color w:val="auto"/>
        </w:rPr>
      </w:pPr>
    </w:p>
    <w:p>
      <w:pPr>
        <w:ind w:left="348" w:hanging="348"/>
        <w:spacing w:after="0"/>
        <w:tabs>
          <w:tab w:leader="none" w:pos="34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 Boulos Company</w:t>
      </w:r>
    </w:p>
    <w:p>
      <w:pPr>
        <w:spacing w:after="0" w:line="21"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Delaware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MYR Group Inc. (100%)</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100 - $0.01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w:t>
      </w:r>
    </w:p>
    <w:p>
      <w:pPr>
        <w:spacing w:after="0" w:line="234" w:lineRule="exact"/>
        <w:rPr>
          <w:rFonts w:ascii="Times New Roman" w:cs="Times New Roman" w:eastAsia="Times New Roman" w:hAnsi="Times New Roman"/>
          <w:sz w:val="20"/>
          <w:szCs w:val="20"/>
          <w:color w:val="auto"/>
        </w:rPr>
      </w:pPr>
    </w:p>
    <w:p>
      <w:pPr>
        <w:ind w:left="348" w:hanging="348"/>
        <w:spacing w:after="0"/>
        <w:tabs>
          <w:tab w:leader="none" w:pos="34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Sturgeon Electric Company, Inc.</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Michigan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Harlan Electric Company (100%)</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50,000 - $0.01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100 - common stock at $.01 par value</w:t>
      </w:r>
    </w:p>
    <w:p>
      <w:pPr>
        <w:spacing w:after="0" w:line="240" w:lineRule="exact"/>
        <w:rPr>
          <w:rFonts w:ascii="Times New Roman" w:cs="Times New Roman" w:eastAsia="Times New Roman" w:hAnsi="Times New Roman"/>
          <w:sz w:val="20"/>
          <w:szCs w:val="20"/>
          <w:color w:val="auto"/>
        </w:rPr>
      </w:pPr>
    </w:p>
    <w:p>
      <w:pPr>
        <w:ind w:left="348" w:hanging="348"/>
        <w:spacing w:after="0"/>
        <w:tabs>
          <w:tab w:leader="none" w:pos="34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MYR Energy Services, Inc.</w:t>
      </w:r>
    </w:p>
    <w:p>
      <w:pPr>
        <w:spacing w:after="0" w:line="21"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Delaware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MYR Group Inc. (100%)</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1,000 - $0.01 par value</w:t>
      </w:r>
    </w:p>
    <w:p>
      <w:pPr>
        <w:spacing w:after="0" w:line="13"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w:t>
      </w:r>
    </w:p>
    <w:p>
      <w:pPr>
        <w:spacing w:after="0" w:line="227" w:lineRule="exact"/>
        <w:rPr>
          <w:rFonts w:ascii="Times New Roman" w:cs="Times New Roman" w:eastAsia="Times New Roman" w:hAnsi="Times New Roman"/>
          <w:sz w:val="20"/>
          <w:szCs w:val="20"/>
          <w:color w:val="auto"/>
        </w:rPr>
      </w:pPr>
    </w:p>
    <w:p>
      <w:pPr>
        <w:ind w:left="348" w:hanging="348"/>
        <w:spacing w:after="0"/>
        <w:tabs>
          <w:tab w:leader="none" w:pos="34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 Southwestern Construction, Inc.</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Colorado</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MYR Group Inc. (100%)</w:t>
      </w:r>
    </w:p>
    <w:p>
      <w:pPr>
        <w:spacing w:after="0" w:line="13"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50,000 Common $1.00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50,000</w:t>
      </w:r>
    </w:p>
    <w:p>
      <w:pPr>
        <w:sectPr>
          <w:pgSz w:w="11900" w:h="16838" w:orient="portrait"/>
          <w:cols w:equalWidth="0" w:num="1">
            <w:col w:w="9807"/>
          </w:cols>
          <w:pgMar w:left="652" w:top="1440" w:right="1440" w:bottom="1440" w:gutter="0" w:footer="0" w:header="0"/>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8" w:hanging="348"/>
        <w:spacing w:after="0"/>
        <w:tabs>
          <w:tab w:leader="none" w:pos="34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Country Line Construction, Inc.</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Nevada</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Sturgeon Electric Company, Inc. (100%)</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100,000 at $0.01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60,000</w:t>
      </w:r>
    </w:p>
    <w:p>
      <w:pPr>
        <w:spacing w:after="0" w:line="200" w:lineRule="exact"/>
        <w:rPr>
          <w:rFonts w:ascii="Times New Roman" w:cs="Times New Roman" w:eastAsia="Times New Roman" w:hAnsi="Times New Roman"/>
          <w:sz w:val="20"/>
          <w:szCs w:val="20"/>
          <w:color w:val="auto"/>
        </w:rPr>
      </w:pPr>
    </w:p>
    <w:p>
      <w:pPr>
        <w:spacing w:after="0" w:line="283" w:lineRule="exact"/>
        <w:rPr>
          <w:rFonts w:ascii="Times New Roman" w:cs="Times New Roman" w:eastAsia="Times New Roman" w:hAnsi="Times New Roman"/>
          <w:sz w:val="20"/>
          <w:szCs w:val="20"/>
          <w:color w:val="auto"/>
        </w:rPr>
      </w:pPr>
    </w:p>
    <w:p>
      <w:pPr>
        <w:ind w:left="348" w:hanging="348"/>
        <w:spacing w:after="0"/>
        <w:tabs>
          <w:tab w:leader="none" w:pos="34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GSW Integrated Services, LLC</w:t>
      </w:r>
    </w:p>
    <w:p>
      <w:pPr>
        <w:spacing w:after="0" w:line="21"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Liability Company</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Delaware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Great Southwestern Construction, Inc. as Sole Member</w:t>
      </w:r>
    </w:p>
    <w:p>
      <w:pPr>
        <w:spacing w:after="0" w:line="234"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Huen Electric, Inc.</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Delaware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MYR Group Inc. (100%)</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100 shares Common Stock - $0.10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w:t>
      </w:r>
    </w:p>
    <w:p>
      <w:pPr>
        <w:spacing w:after="0" w:line="240" w:lineRule="exact"/>
        <w:rPr>
          <w:rFonts w:ascii="Times New Roman" w:cs="Times New Roman" w:eastAsia="Times New Roman" w:hAnsi="Times New Roman"/>
          <w:sz w:val="20"/>
          <w:szCs w:val="20"/>
          <w:color w:val="auto"/>
        </w:rPr>
      </w:pPr>
    </w:p>
    <w:p>
      <w:pPr>
        <w:ind w:left="428" w:hanging="428"/>
        <w:spacing w:after="0"/>
        <w:tabs>
          <w:tab w:leader="none" w:pos="42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MYR Group Construction Canada, Ltd.</w:t>
      </w:r>
    </w:p>
    <w:p>
      <w:pPr>
        <w:spacing w:after="0" w:line="21"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Province of Incorporation: British Columbia, Canada</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Ownership: MYR Group Inc. (U.S.) 100 Common Shares (100%)</w:t>
      </w:r>
    </w:p>
    <w:p>
      <w:pPr>
        <w:spacing w:after="0" w:line="17" w:lineRule="exact"/>
        <w:rPr>
          <w:rFonts w:ascii="Times New Roman" w:cs="Times New Roman" w:eastAsia="Times New Roman" w:hAnsi="Times New Roman"/>
          <w:sz w:val="19"/>
          <w:szCs w:val="19"/>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Unlimited Common Shares without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Unlimited Preferred Shares with $1.00 par value (CA)</w:t>
      </w:r>
    </w:p>
    <w:p>
      <w:pPr>
        <w:spacing w:after="0" w:line="6"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 Common without par value</w:t>
      </w:r>
    </w:p>
    <w:p>
      <w:pPr>
        <w:spacing w:after="0" w:line="240"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MYR Transmission Services Canada, Ltd.</w:t>
      </w:r>
    </w:p>
    <w:p>
      <w:pPr>
        <w:spacing w:after="0" w:line="21"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Province of Incorporation: British Columbia, Canada</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MYR Group Construction Canada, Ltd. (100%)</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Unlimited Common Shares without par value</w:t>
      </w:r>
    </w:p>
    <w:p>
      <w:pPr>
        <w:spacing w:after="0" w:line="13"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Unlimited Preferred Shares with $1.00 par value (CA)</w:t>
      </w:r>
    </w:p>
    <w:p>
      <w:pPr>
        <w:spacing w:after="0" w:line="6"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 Common Shares without par value</w:t>
      </w:r>
    </w:p>
    <w:p>
      <w:pPr>
        <w:spacing w:after="0" w:line="234"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Northern Transmission Services, Ltd. (Canada)</w:t>
      </w:r>
    </w:p>
    <w:p>
      <w:pPr>
        <w:spacing w:after="0" w:line="21"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Province of Incorporation: British Columbia, Canada</w:t>
      </w:r>
    </w:p>
    <w:p>
      <w:pPr>
        <w:spacing w:after="0" w:line="13"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MYR Group Construction Canada, Ltd. (100%)</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Unlimited Common without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Unlimited Preferred with $1.00 par value (Canadian)</w:t>
      </w:r>
    </w:p>
    <w:p>
      <w:pPr>
        <w:spacing w:after="0" w:line="6"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 Common Shares without par value</w:t>
      </w:r>
    </w:p>
    <w:p>
      <w:pPr>
        <w:spacing w:after="0" w:line="234"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Western Pacific Enterprises Ltd.</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Province of Incorporation: British Columbia, Canada</w:t>
      </w:r>
    </w:p>
    <w:p>
      <w:pPr>
        <w:sectPr>
          <w:pgSz w:w="11900" w:h="16838" w:orient="portrait"/>
          <w:cols w:equalWidth="0" w:num="1">
            <w:col w:w="9807"/>
          </w:cols>
          <w:pgMar w:left="652" w:top="1440" w:right="1440" w:bottom="1440" w:gutter="0" w:footer="0" w:header="0"/>
        </w:sectPr>
      </w:pPr>
    </w:p>
    <w:bookmarkStart w:id="204" w:name="page205"/>
    <w:bookmarkEnd w:id="204"/>
    <w:p>
      <w:pPr>
        <w:spacing w:after="0" w:line="189" w:lineRule="exact"/>
        <w:rPr>
          <w:sz w:val="20"/>
          <w:szCs w:val="20"/>
          <w:color w:val="auto"/>
        </w:rPr>
      </w:pPr>
    </w:p>
    <w:p>
      <w:pPr>
        <w:ind w:left="988" w:hanging="340"/>
        <w:spacing w:after="0"/>
        <w:tabs>
          <w:tab w:leader="none" w:pos="988"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Ownership: MYR Group Construction Canada, Ltd. (100%)</w:t>
      </w:r>
    </w:p>
    <w:p>
      <w:pPr>
        <w:spacing w:after="0" w:line="39" w:lineRule="exact"/>
        <w:rPr>
          <w:rFonts w:ascii="Times New Roman" w:cs="Times New Roman" w:eastAsia="Times New Roman" w:hAnsi="Times New Roman"/>
          <w:sz w:val="19"/>
          <w:szCs w:val="19"/>
          <w:color w:val="auto"/>
        </w:rPr>
      </w:pPr>
    </w:p>
    <w:p>
      <w:pPr>
        <w:ind w:left="988" w:hanging="340"/>
        <w:spacing w:after="0"/>
        <w:tabs>
          <w:tab w:leader="none" w:pos="988"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Unlimited Common Shares without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Unlimited Preferred Shares with $1.00 par value (CA)</w:t>
      </w:r>
    </w:p>
    <w:p>
      <w:pPr>
        <w:spacing w:after="0" w:line="6"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 Common Shares without par value</w:t>
      </w:r>
    </w:p>
    <w:p>
      <w:pPr>
        <w:spacing w:after="0" w:line="227"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Powerline Plus Ltd.</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13"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Province of Incorporation: Ontario, Canada</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Ownership: MYR Group Construction Canada, Ltd. (100%)</w:t>
      </w:r>
    </w:p>
    <w:p>
      <w:pPr>
        <w:spacing w:after="0" w:line="17" w:lineRule="exact"/>
        <w:rPr>
          <w:rFonts w:ascii="Times New Roman" w:cs="Times New Roman" w:eastAsia="Times New Roman" w:hAnsi="Times New Roman"/>
          <w:sz w:val="19"/>
          <w:szCs w:val="19"/>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Unlimited Class A Special</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Unlimited Common</w:t>
      </w:r>
    </w:p>
    <w:p>
      <w:pPr>
        <w:spacing w:after="0" w:line="6"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Unlimited Preference</w:t>
      </w:r>
    </w:p>
    <w:p>
      <w:pPr>
        <w:spacing w:after="0" w:line="13"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 Class A Special; 100 Common</w:t>
      </w:r>
    </w:p>
    <w:p>
      <w:pPr>
        <w:spacing w:after="0" w:line="227"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PLP Redimix Ltd.</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Province of Incorporation: Ontario, Canada</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Ownership: MYR Group Construction Canada, Ltd. (100%)</w:t>
      </w:r>
    </w:p>
    <w:p>
      <w:pPr>
        <w:spacing w:after="0" w:line="24" w:lineRule="exact"/>
        <w:rPr>
          <w:rFonts w:ascii="Times New Roman" w:cs="Times New Roman" w:eastAsia="Times New Roman" w:hAnsi="Times New Roman"/>
          <w:sz w:val="19"/>
          <w:szCs w:val="19"/>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100 Class A Common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Unlimited Common</w:t>
      </w:r>
    </w:p>
    <w:p>
      <w:pPr>
        <w:spacing w:after="0" w:line="6"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 Common</w:t>
      </w:r>
    </w:p>
    <w:p>
      <w:pPr>
        <w:spacing w:after="0" w:line="227"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MYR Real Estate Holdings, LLC</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Liability Company</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Organization: Delaware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MYR Group Inc., as Sole Member</w:t>
      </w:r>
    </w:p>
    <w:p>
      <w:pPr>
        <w:spacing w:after="0" w:line="240"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MYR Real Estate Holdings Alaska, LLC</w:t>
      </w:r>
    </w:p>
    <w:p>
      <w:pPr>
        <w:spacing w:after="0" w:line="21"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Liability Company</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Organization: Delaware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MYR Real Estate Holdings, LLC (Sole Member)</w:t>
      </w:r>
    </w:p>
    <w:p>
      <w:pPr>
        <w:spacing w:after="0" w:line="234"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MYR Equipment, LLC</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Liability Company</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Organization: Delaware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MYR Group Inc., as Sole Member</w:t>
      </w:r>
    </w:p>
    <w:p>
      <w:pPr>
        <w:spacing w:after="0" w:line="227"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Sturgeon Transmission Services, LLC</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Liability Company</w:t>
      </w:r>
    </w:p>
    <w:p>
      <w:pPr>
        <w:spacing w:after="0" w:line="13"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Organization: Delaware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Sturgeon Electric Company, Inc. as Sole Member</w:t>
      </w:r>
    </w:p>
    <w:p>
      <w:pPr>
        <w:spacing w:after="0" w:line="234"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Sturgeon Electric California, LLC</w:t>
      </w:r>
    </w:p>
    <w:p>
      <w:pPr>
        <w:spacing w:after="0" w:line="21"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Liability Company</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Organization: Delaware</w:t>
      </w:r>
    </w:p>
    <w:p>
      <w:pPr>
        <w:spacing w:after="0" w:line="13"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Sturgeon Electric Company, Inc. as Sole Member</w:t>
      </w:r>
    </w:p>
    <w:p>
      <w:pPr>
        <w:spacing w:after="0" w:line="6"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CSI Electrical Contractors, Inc.</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Delaware</w:t>
      </w:r>
    </w:p>
    <w:p>
      <w:pPr>
        <w:sectPr>
          <w:pgSz w:w="11900" w:h="16838" w:orient="portrait"/>
          <w:cols w:equalWidth="0" w:num="1">
            <w:col w:w="9807"/>
          </w:cols>
          <w:pgMar w:left="652" w:top="1440" w:right="1440" w:bottom="1440" w:gutter="0" w:footer="0" w:header="0"/>
        </w:sectPr>
      </w:pPr>
    </w:p>
    <w:bookmarkStart w:id="205" w:name="page206"/>
    <w:bookmarkEnd w:id="205"/>
    <w:p>
      <w:pPr>
        <w:spacing w:after="0" w:line="189" w:lineRule="exact"/>
        <w:rPr>
          <w:sz w:val="20"/>
          <w:szCs w:val="20"/>
          <w:color w:val="auto"/>
        </w:rPr>
      </w:pPr>
    </w:p>
    <w:p>
      <w:pPr>
        <w:ind w:left="988" w:hanging="340"/>
        <w:spacing w:after="0"/>
        <w:tabs>
          <w:tab w:leader="none" w:pos="98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MYR Group Inc. (100%)</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Authorized: 100 shares Capital Stock - $0.01 par value</w:t>
      </w:r>
    </w:p>
    <w:p>
      <w:pPr>
        <w:spacing w:after="0" w:line="17" w:lineRule="exact"/>
        <w:rPr>
          <w:rFonts w:ascii="Times New Roman" w:cs="Times New Roman" w:eastAsia="Times New Roman" w:hAnsi="Times New Roman"/>
          <w:sz w:val="19"/>
          <w:szCs w:val="19"/>
          <w:color w:val="auto"/>
        </w:rPr>
      </w:pPr>
    </w:p>
    <w:p>
      <w:pPr>
        <w:ind w:left="988" w:hanging="340"/>
        <w:spacing w:after="0"/>
        <w:tabs>
          <w:tab w:leader="none" w:pos="98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w:t>
      </w:r>
    </w:p>
    <w:p>
      <w:pPr>
        <w:spacing w:after="0" w:line="200" w:lineRule="exact"/>
        <w:rPr>
          <w:rFonts w:ascii="Times New Roman" w:cs="Times New Roman" w:eastAsia="Times New Roman" w:hAnsi="Times New Roman"/>
          <w:sz w:val="20"/>
          <w:szCs w:val="20"/>
          <w:color w:val="auto"/>
        </w:rPr>
      </w:pPr>
    </w:p>
    <w:p>
      <w:pPr>
        <w:spacing w:after="0" w:line="277"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Hawkeye Construction, Inc.</w:t>
      </w:r>
    </w:p>
    <w:p>
      <w:pPr>
        <w:spacing w:after="0" w:line="21"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Oregon</w:t>
      </w:r>
    </w:p>
    <w:p>
      <w:pPr>
        <w:spacing w:after="0" w:line="13"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MYR Group Inc. (100%)</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1,000 – no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550</w:t>
      </w:r>
    </w:p>
    <w:p>
      <w:pPr>
        <w:spacing w:after="0" w:line="227" w:lineRule="exact"/>
        <w:rPr>
          <w:rFonts w:ascii="Times New Roman" w:cs="Times New Roman" w:eastAsia="Times New Roman" w:hAnsi="Times New Roman"/>
          <w:sz w:val="20"/>
          <w:szCs w:val="20"/>
          <w:color w:val="auto"/>
        </w:rPr>
      </w:pPr>
    </w:p>
    <w:p>
      <w:pPr>
        <w:ind w:left="448" w:hanging="448"/>
        <w:spacing w:after="0"/>
        <w:tabs>
          <w:tab w:leader="none" w:pos="44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Myers International, Inc.</w:t>
      </w:r>
    </w:p>
    <w:p>
      <w:pPr>
        <w:spacing w:after="0" w:line="28"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w:t>
      </w:r>
    </w:p>
    <w:p>
      <w:pPr>
        <w:spacing w:after="0" w:line="13"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Incorporation: Delaware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Ownership: MYR Group Inc. (100%)</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Authorized: 1,000 ($1.00 par value)</w:t>
      </w:r>
    </w:p>
    <w:p>
      <w:pPr>
        <w:spacing w:after="0" w:line="6" w:lineRule="exact"/>
        <w:rPr>
          <w:rFonts w:ascii="Times New Roman" w:cs="Times New Roman" w:eastAsia="Times New Roman" w:hAnsi="Times New Roman"/>
          <w:sz w:val="20"/>
          <w:szCs w:val="20"/>
          <w:color w:val="auto"/>
        </w:rPr>
      </w:pPr>
    </w:p>
    <w:p>
      <w:pPr>
        <w:ind w:left="988" w:hanging="340"/>
        <w:spacing w:after="0"/>
        <w:tabs>
          <w:tab w:leader="none" w:pos="98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Issued: 1,000</w:t>
      </w:r>
    </w:p>
    <w:p>
      <w:pPr>
        <w:sectPr>
          <w:pgSz w:w="11900" w:h="16838" w:orient="portrait"/>
          <w:cols w:equalWidth="0" w:num="1">
            <w:col w:w="9807"/>
          </w:cols>
          <w:pgMar w:left="652" w:top="1440" w:right="1440" w:bottom="1440" w:gutter="0" w:footer="0" w:header="0"/>
        </w:sectPr>
      </w:pPr>
    </w:p>
    <w:bookmarkStart w:id="206" w:name="page207"/>
    <w:bookmarkEnd w:id="206"/>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3.15 – Financing Statements</w:t>
      </w:r>
    </w:p>
    <w:p>
      <w:pPr>
        <w:sectPr>
          <w:pgSz w:w="11900" w:h="16838" w:orient="portrait"/>
          <w:cols w:equalWidth="0" w:num="1">
            <w:col w:w="9019"/>
          </w:cols>
          <w:pgMar w:left="1440" w:top="1440"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[Attached]</w:t>
      </w:r>
    </w:p>
    <w:p>
      <w:pPr>
        <w:sectPr>
          <w:pgSz w:w="11900" w:h="16838" w:orient="portrait"/>
          <w:cols w:equalWidth="0" w:num="1">
            <w:col w:w="9019"/>
          </w:cols>
          <w:pgMar w:left="1440" w:top="1440" w:right="1440" w:bottom="1440" w:gutter="0" w:footer="0" w:header="0"/>
          <w:type w:val="continuous"/>
        </w:sectPr>
      </w:pPr>
    </w:p>
    <w:bookmarkStart w:id="207" w:name="page208"/>
    <w:bookmarkEnd w:id="207"/>
    <w:p>
      <w:pPr>
        <w:spacing w:after="0" w:line="185"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20"/>
          <w:szCs w:val="20"/>
          <w:b w:val="1"/>
          <w:bCs w:val="1"/>
          <w:color w:val="auto"/>
        </w:rPr>
        <w:t>Schedule 6.01 – Existing Indebtedness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479"/>
          </w:cols>
          <w:pgMar w:left="980" w:top="1440" w:right="1440" w:bottom="1440" w:gutter="0" w:footer="0" w:header="0"/>
        </w:sectPr>
      </w:pPr>
    </w:p>
    <w:bookmarkStart w:id="208" w:name="page209"/>
    <w:bookmarkEnd w:id="208"/>
    <w:p>
      <w:pPr>
        <w:spacing w:after="0" w:line="185"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20"/>
          <w:szCs w:val="20"/>
          <w:b w:val="1"/>
          <w:bCs w:val="1"/>
          <w:color w:val="auto"/>
        </w:rPr>
        <w:t>Schedule 6.02 – Existing Liens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479"/>
          </w:cols>
          <w:pgMar w:left="980" w:top="1440" w:right="1440" w:bottom="1440" w:gutter="0" w:footer="0" w:header="0"/>
        </w:sectPr>
      </w:pPr>
    </w:p>
    <w:bookmarkStart w:id="209" w:name="page210"/>
    <w:bookmarkEnd w:id="209"/>
    <w:p>
      <w:pPr>
        <w:spacing w:after="0" w:line="185"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20"/>
          <w:szCs w:val="20"/>
          <w:b w:val="1"/>
          <w:bCs w:val="1"/>
          <w:color w:val="auto"/>
        </w:rPr>
        <w:t>Schedule 6.04 – Existing Investments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9479"/>
          </w:cols>
          <w:pgMar w:left="980" w:top="1440" w:right="1440" w:bottom="1440" w:gutter="0" w:footer="0" w:header="0"/>
        </w:sectPr>
      </w:pPr>
    </w:p>
    <w:bookmarkStart w:id="210" w:name="page211"/>
    <w:bookmarkEnd w:id="210"/>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ASSIGNMENT AND ASSUMPTION</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This Assignment and Assumption (the “</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is dated as of the Effective Date set forth below and is entered into by and between [</w:t>
      </w:r>
      <w:r>
        <w:rPr>
          <w:rFonts w:ascii="Times New Roman" w:cs="Times New Roman" w:eastAsia="Times New Roman" w:hAnsi="Times New Roman"/>
          <w:sz w:val="20"/>
          <w:szCs w:val="20"/>
          <w:i w:val="1"/>
          <w:iCs w:val="1"/>
          <w:color w:val="auto"/>
        </w:rPr>
        <w:t>Insert name of Assignor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Insert name of Assignee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Capitalized terms used but not defined herein shall have the meanings given to them in the Credit Agreement identified below (as amended,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9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swingline loans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20"/>
          <w:szCs w:val="20"/>
          <w:u w:val="single" w:color="auto"/>
          <w:color w:val="auto"/>
        </w:rPr>
        <w:t>Assigned Loan Interest</w:t>
      </w:r>
      <w:r>
        <w:rPr>
          <w:rFonts w:ascii="Times New Roman" w:cs="Times New Roman" w:eastAsia="Times New Roman" w:hAnsi="Times New Roman"/>
          <w:sz w:val="20"/>
          <w:szCs w:val="20"/>
          <w:color w:val="auto"/>
        </w:rPr>
        <w:t>”). Such sale and assignment is without recourse to the Assignor and, except as expressly provided in this Assignment and Assumption, without representation or warranty by the Assignor.</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57"/>
        </w:trPr>
        <w:tc>
          <w:tcPr>
            <w:tcW w:w="4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79"/>
              </w:rPr>
              <w:t>1.</w:t>
            </w:r>
          </w:p>
        </w:tc>
        <w:tc>
          <w:tcPr>
            <w:tcW w:w="2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Assignor:</w:t>
            </w:r>
          </w:p>
        </w:tc>
        <w:tc>
          <w:tcPr>
            <w:tcW w:w="72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______________________________</w:t>
            </w:r>
          </w:p>
        </w:tc>
      </w:tr>
      <w:tr>
        <w:trPr>
          <w:trHeight w:val="258"/>
        </w:trPr>
        <w:tc>
          <w:tcPr>
            <w:tcW w:w="4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79"/>
              </w:rPr>
              <w:t>2.</w:t>
            </w:r>
          </w:p>
        </w:tc>
        <w:tc>
          <w:tcPr>
            <w:tcW w:w="2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Assignee:</w:t>
            </w:r>
          </w:p>
        </w:tc>
        <w:tc>
          <w:tcPr>
            <w:tcW w:w="72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______________________________</w:t>
            </w:r>
          </w:p>
        </w:tc>
      </w:tr>
      <w:tr>
        <w:trPr>
          <w:trHeight w:val="352"/>
        </w:trPr>
        <w:tc>
          <w:tcPr>
            <w:tcW w:w="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2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[and is an Affiliate/Approved Fund of [</w:t>
            </w:r>
            <w:r>
              <w:rPr>
                <w:rFonts w:ascii="Times New Roman" w:cs="Times New Roman" w:eastAsia="Times New Roman" w:hAnsi="Times New Roman"/>
                <w:sz w:val="20"/>
                <w:szCs w:val="20"/>
                <w:i w:val="1"/>
                <w:iCs w:val="1"/>
                <w:color w:val="auto"/>
              </w:rPr>
              <w:t>identify Lender</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w:t>
            </w:r>
          </w:p>
        </w:tc>
      </w:tr>
      <w:tr>
        <w:trPr>
          <w:trHeight w:val="307"/>
        </w:trPr>
        <w:tc>
          <w:tcPr>
            <w:tcW w:w="4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79"/>
              </w:rPr>
              <w:t>3.</w:t>
            </w:r>
          </w:p>
        </w:tc>
        <w:tc>
          <w:tcPr>
            <w:tcW w:w="2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Borrower:</w:t>
            </w:r>
          </w:p>
        </w:tc>
        <w:tc>
          <w:tcPr>
            <w:tcW w:w="72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MYR Group Inc.</w:t>
            </w:r>
          </w:p>
        </w:tc>
      </w:tr>
      <w:tr>
        <w:trPr>
          <w:trHeight w:val="258"/>
        </w:trPr>
        <w:tc>
          <w:tcPr>
            <w:tcW w:w="4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79"/>
              </w:rPr>
              <w:t>4.</w:t>
            </w:r>
          </w:p>
        </w:tc>
        <w:tc>
          <w:tcPr>
            <w:tcW w:w="2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Administrative Agent:</w:t>
            </w:r>
          </w:p>
        </w:tc>
        <w:tc>
          <w:tcPr>
            <w:tcW w:w="7260" w:type="dxa"/>
            <w:vAlign w:val="bottom"/>
          </w:tcPr>
          <w:p>
            <w:pPr>
              <w:ind w:left="500"/>
              <w:spacing w:after="0"/>
              <w:rPr>
                <w:sz w:val="20"/>
                <w:szCs w:val="20"/>
                <w:color w:val="auto"/>
              </w:rPr>
            </w:pPr>
            <w:r>
              <w:rPr>
                <w:rFonts w:ascii="Times New Roman" w:cs="Times New Roman" w:eastAsia="Times New Roman" w:hAnsi="Times New Roman"/>
                <w:sz w:val="20"/>
                <w:szCs w:val="20"/>
                <w:color w:val="auto"/>
                <w:w w:val="98"/>
              </w:rPr>
              <w:t>JPMorgan Chase Bank, N.A., as the administrative agent under the Credit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714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3" w:lineRule="exact"/>
        <w:rPr>
          <w:sz w:val="20"/>
          <w:szCs w:val="20"/>
          <w:color w:val="auto"/>
        </w:rPr>
      </w:pPr>
    </w:p>
    <w:p>
      <w:pPr>
        <w:ind w:left="120" w:hanging="112"/>
        <w:spacing w:after="0"/>
        <w:tabs>
          <w:tab w:leader="none" w:pos="120" w:val="left"/>
        </w:tabs>
        <w:numPr>
          <w:ilvl w:val="0"/>
          <w:numId w:val="18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Select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79"/>
              </w:rPr>
              <w:t>5.</w:t>
            </w:r>
          </w:p>
        </w:tc>
        <w:tc>
          <w:tcPr>
            <w:tcW w:w="24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Credit Agreement:</w:t>
            </w:r>
          </w:p>
        </w:tc>
        <w:tc>
          <w:tcPr>
            <w:tcW w:w="800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The Third Amended and Restated Credit Agreement dated as of May 31, 2023 among MYR</w:t>
            </w:r>
          </w:p>
        </w:tc>
      </w:tr>
      <w:tr>
        <w:trPr>
          <w:trHeight w:val="198"/>
        </w:trPr>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000" w:type="dxa"/>
            <w:vAlign w:val="bottom"/>
          </w:tcPr>
          <w:p>
            <w:pPr>
              <w:ind w:left="660"/>
              <w:spacing w:after="0" w:line="198" w:lineRule="exact"/>
              <w:rPr>
                <w:sz w:val="20"/>
                <w:szCs w:val="20"/>
                <w:color w:val="auto"/>
              </w:rPr>
            </w:pPr>
            <w:r>
              <w:rPr>
                <w:rFonts w:ascii="Times New Roman" w:cs="Times New Roman" w:eastAsia="Times New Roman" w:hAnsi="Times New Roman"/>
                <w:sz w:val="20"/>
                <w:szCs w:val="20"/>
                <w:color w:val="auto"/>
                <w:w w:val="98"/>
              </w:rPr>
              <w:t>Group Inc., as the Borrower, the Lenders parties thereto and JPMorgan Chase Bank, N.A., as</w:t>
            </w:r>
          </w:p>
        </w:tc>
      </w:tr>
      <w:tr>
        <w:trPr>
          <w:trHeight w:val="258"/>
        </w:trPr>
        <w:tc>
          <w:tcPr>
            <w:tcW w:w="4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80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Administrative Agent</w:t>
            </w:r>
          </w:p>
        </w:tc>
      </w:tr>
    </w:tbl>
    <w:p>
      <w:pPr>
        <w:ind w:left="800" w:hanging="724"/>
        <w:spacing w:after="0"/>
        <w:tabs>
          <w:tab w:leader="none" w:pos="80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Assigned Loan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760" w:type="dxa"/>
            <w:vAlign w:val="bottom"/>
            <w:tcBorders>
              <w:top w:val="single" w:sz="8" w:color="auto"/>
              <w:left w:val="single" w:sz="8" w:color="auto"/>
              <w:right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w w:val="99"/>
              </w:rPr>
              <w:t>Aggregate Amount of Commitment/Loans for</w:t>
            </w:r>
          </w:p>
        </w:tc>
        <w:tc>
          <w:tcPr>
            <w:tcW w:w="3480" w:type="dxa"/>
            <w:vAlign w:val="bottom"/>
            <w:tcBorders>
              <w:top w:val="single" w:sz="8" w:color="auto"/>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20"/>
                <w:szCs w:val="20"/>
                <w:color w:val="auto"/>
              </w:rPr>
              <w:t>Amount of Commitment/Loans Assigned</w:t>
            </w:r>
          </w:p>
        </w:tc>
        <w:tc>
          <w:tcPr>
            <w:tcW w:w="4020" w:type="dxa"/>
            <w:vAlign w:val="bottom"/>
            <w:tcBorders>
              <w:top w:val="single" w:sz="8" w:color="auto"/>
              <w:right w:val="single" w:sz="8" w:color="auto"/>
            </w:tcBorders>
          </w:tcPr>
          <w:p>
            <w:pPr>
              <w:jc w:val="right"/>
              <w:ind w:right="143"/>
              <w:spacing w:after="0" w:line="202" w:lineRule="exact"/>
              <w:rPr>
                <w:sz w:val="20"/>
                <w:szCs w:val="20"/>
                <w:color w:val="auto"/>
              </w:rPr>
            </w:pPr>
            <w:r>
              <w:rPr>
                <w:rFonts w:ascii="Times New Roman" w:cs="Times New Roman" w:eastAsia="Times New Roman" w:hAnsi="Times New Roman"/>
                <w:sz w:val="18"/>
                <w:szCs w:val="18"/>
                <w:color w:val="auto"/>
              </w:rPr>
              <w:t>Percentage Assigned of Commitment/Loans</w:t>
            </w:r>
            <w:r>
              <w:rPr>
                <w:rFonts w:ascii="Times New Roman" w:cs="Times New Roman" w:eastAsia="Times New Roman" w:hAnsi="Times New Roman"/>
                <w:sz w:val="23"/>
                <w:szCs w:val="23"/>
                <w:color w:val="auto"/>
                <w:vertAlign w:val="superscript"/>
              </w:rPr>
              <w:t>2</w:t>
            </w:r>
          </w:p>
        </w:tc>
      </w:tr>
      <w:tr>
        <w:trPr>
          <w:trHeight w:val="256"/>
        </w:trPr>
        <w:tc>
          <w:tcPr>
            <w:tcW w:w="3760" w:type="dxa"/>
            <w:vAlign w:val="bottom"/>
            <w:tcBorders>
              <w:left w:val="single" w:sz="8" w:color="auto"/>
              <w:bottom w:val="single" w:sz="8" w:color="auto"/>
              <w:right w:val="single" w:sz="8" w:color="auto"/>
            </w:tcBorders>
          </w:tcPr>
          <w:p>
            <w:pPr>
              <w:jc w:val="right"/>
              <w:ind w:right="1341"/>
              <w:spacing w:after="0"/>
              <w:rPr>
                <w:sz w:val="20"/>
                <w:szCs w:val="20"/>
                <w:color w:val="auto"/>
              </w:rPr>
            </w:pPr>
            <w:r>
              <w:rPr>
                <w:rFonts w:ascii="Times New Roman" w:cs="Times New Roman" w:eastAsia="Times New Roman" w:hAnsi="Times New Roman"/>
                <w:sz w:val="20"/>
                <w:szCs w:val="20"/>
                <w:color w:val="auto"/>
              </w:rPr>
              <w:t>all Lenders</w:t>
            </w:r>
          </w:p>
        </w:tc>
        <w:tc>
          <w:tcPr>
            <w:tcW w:w="3480" w:type="dxa"/>
            <w:vAlign w:val="bottom"/>
            <w:tcBorders>
              <w:bottom w:val="single" w:sz="8" w:color="auto"/>
              <w:right w:val="single" w:sz="8" w:color="auto"/>
            </w:tcBorders>
          </w:tcPr>
          <w:p>
            <w:pPr>
              <w:spacing w:after="0"/>
              <w:rPr>
                <w:sz w:val="22"/>
                <w:szCs w:val="22"/>
                <w:color w:val="auto"/>
              </w:rPr>
            </w:pPr>
          </w:p>
        </w:tc>
        <w:tc>
          <w:tcPr>
            <w:tcW w:w="4020" w:type="dxa"/>
            <w:vAlign w:val="bottom"/>
            <w:tcBorders>
              <w:bottom w:val="single" w:sz="8" w:color="auto"/>
              <w:right w:val="single" w:sz="8" w:color="auto"/>
            </w:tcBorders>
          </w:tcPr>
          <w:p>
            <w:pPr>
              <w:spacing w:after="0"/>
              <w:rPr>
                <w:sz w:val="22"/>
                <w:szCs w:val="22"/>
                <w:color w:val="auto"/>
              </w:rPr>
            </w:pPr>
          </w:p>
        </w:tc>
      </w:tr>
      <w:tr>
        <w:trPr>
          <w:trHeight w:val="250"/>
        </w:trPr>
        <w:tc>
          <w:tcPr>
            <w:tcW w:w="3760" w:type="dxa"/>
            <w:vAlign w:val="bottom"/>
            <w:tcBorders>
              <w:left w:val="single" w:sz="8" w:color="auto"/>
              <w:bottom w:val="single" w:sz="8" w:color="auto"/>
              <w:right w:val="single" w:sz="8" w:color="auto"/>
            </w:tcBorders>
          </w:tcPr>
          <w:p>
            <w:pPr>
              <w:jc w:val="right"/>
              <w:ind w:right="3481"/>
              <w:spacing w:after="0"/>
              <w:rPr>
                <w:sz w:val="20"/>
                <w:szCs w:val="20"/>
                <w:color w:val="auto"/>
              </w:rPr>
            </w:pPr>
            <w:r>
              <w:rPr>
                <w:rFonts w:ascii="Times New Roman" w:cs="Times New Roman" w:eastAsia="Times New Roman" w:hAnsi="Times New Roman"/>
                <w:sz w:val="20"/>
                <w:szCs w:val="20"/>
                <w:color w:val="auto"/>
              </w:rPr>
              <w:t>$</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4020" w:type="dxa"/>
            <w:vAlign w:val="bottom"/>
            <w:tcBorders>
              <w:bottom w:val="single" w:sz="8" w:color="auto"/>
              <w:right w:val="single" w:sz="8" w:color="auto"/>
            </w:tcBorders>
          </w:tcPr>
          <w:p>
            <w:pPr>
              <w:jc w:val="right"/>
              <w:ind w:right="1043"/>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3760" w:type="dxa"/>
            <w:vAlign w:val="bottom"/>
            <w:tcBorders>
              <w:left w:val="single" w:sz="8" w:color="auto"/>
              <w:bottom w:val="single" w:sz="8" w:color="auto"/>
              <w:right w:val="single" w:sz="8" w:color="auto"/>
            </w:tcBorders>
          </w:tcPr>
          <w:p>
            <w:pPr>
              <w:jc w:val="right"/>
              <w:ind w:right="3481"/>
              <w:spacing w:after="0"/>
              <w:rPr>
                <w:sz w:val="20"/>
                <w:szCs w:val="20"/>
                <w:color w:val="auto"/>
              </w:rPr>
            </w:pPr>
            <w:r>
              <w:rPr>
                <w:rFonts w:ascii="Times New Roman" w:cs="Times New Roman" w:eastAsia="Times New Roman" w:hAnsi="Times New Roman"/>
                <w:sz w:val="20"/>
                <w:szCs w:val="20"/>
                <w:color w:val="auto"/>
              </w:rPr>
              <w:t>$</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4020" w:type="dxa"/>
            <w:vAlign w:val="bottom"/>
            <w:tcBorders>
              <w:bottom w:val="single" w:sz="8" w:color="auto"/>
              <w:right w:val="single" w:sz="8" w:color="auto"/>
            </w:tcBorders>
          </w:tcPr>
          <w:p>
            <w:pPr>
              <w:jc w:val="right"/>
              <w:ind w:right="1043"/>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3760" w:type="dxa"/>
            <w:vAlign w:val="bottom"/>
            <w:tcBorders>
              <w:left w:val="single" w:sz="8" w:color="auto"/>
              <w:bottom w:val="single" w:sz="8" w:color="auto"/>
              <w:right w:val="single" w:sz="8" w:color="auto"/>
            </w:tcBorders>
          </w:tcPr>
          <w:p>
            <w:pPr>
              <w:jc w:val="right"/>
              <w:ind w:right="3481"/>
              <w:spacing w:after="0"/>
              <w:rPr>
                <w:sz w:val="20"/>
                <w:szCs w:val="20"/>
                <w:color w:val="auto"/>
              </w:rPr>
            </w:pPr>
            <w:r>
              <w:rPr>
                <w:rFonts w:ascii="Times New Roman" w:cs="Times New Roman" w:eastAsia="Times New Roman" w:hAnsi="Times New Roman"/>
                <w:sz w:val="20"/>
                <w:szCs w:val="20"/>
                <w:color w:val="auto"/>
              </w:rPr>
              <w:t>$</w:t>
            </w:r>
          </w:p>
        </w:tc>
        <w:tc>
          <w:tcPr>
            <w:tcW w:w="3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4020" w:type="dxa"/>
            <w:vAlign w:val="bottom"/>
            <w:tcBorders>
              <w:bottom w:val="single" w:sz="8" w:color="auto"/>
              <w:right w:val="single" w:sz="8" w:color="auto"/>
            </w:tcBorders>
          </w:tcPr>
          <w:p>
            <w:pPr>
              <w:jc w:val="right"/>
              <w:ind w:right="1043"/>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Date: _____________ ___, 20___ [TO BE INSERTED BY ADMINISTRATIVE AGENT AND WHICH SHALL BE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DATE OF RECORDATION OF TRANSFER IN THE REGISTER THEREFOR.]</w:t>
      </w:r>
    </w:p>
    <w:p>
      <w:pPr>
        <w:spacing w:after="0" w:line="21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[its] [their] related parties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terms set forth in this Assignment and Assumption are hereby agreed to:</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u w:val="single" w:color="auto"/>
          <w:color w:val="auto"/>
        </w:rPr>
        <w:t>ASSIGNOR</w:t>
      </w: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OF ASSIGNOR]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1714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1" w:lineRule="exact"/>
        <w:rPr>
          <w:sz w:val="20"/>
          <w:szCs w:val="20"/>
          <w:color w:val="auto"/>
        </w:rPr>
      </w:pPr>
    </w:p>
    <w:p>
      <w:pPr>
        <w:ind w:left="120" w:hanging="112"/>
        <w:spacing w:after="0"/>
        <w:tabs>
          <w:tab w:leader="none" w:pos="120" w:val="left"/>
        </w:tabs>
        <w:numPr>
          <w:ilvl w:val="0"/>
          <w:numId w:val="19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Set forth, to at least 9 decimals, as a percentage of the Commitment/Loans of all Lenders thereunder.</w:t>
      </w:r>
    </w:p>
    <w:p>
      <w:pPr>
        <w:sectPr>
          <w:pgSz w:w="11900" w:h="16838" w:orient="portrait"/>
          <w:cols w:equalWidth="0" w:num="1">
            <w:col w:w="11260"/>
          </w:cols>
          <w:pgMar w:left="320" w:top="1440" w:right="319" w:bottom="1440" w:gutter="0" w:footer="0" w:header="0"/>
        </w:sectPr>
      </w:pPr>
    </w:p>
    <w:bookmarkStart w:id="212" w:name="page213"/>
    <w:bookmarkEnd w:id="212"/>
    <w:p>
      <w:pPr>
        <w:spacing w:after="0" w:line="23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u w:val="single" w:color="auto"/>
          <w:color w:val="auto"/>
        </w:rPr>
        <w:t>ASSIGNEE</w:t>
      </w:r>
    </w:p>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[NAME OF ASSIGNEE]</w:t>
      </w:r>
    </w:p>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By: _______________________________</w:t>
      </w:r>
    </w:p>
    <w:p>
      <w:pPr>
        <w:spacing w:after="0" w:line="4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Consented to and Accepted: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 as</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Administrative Agent and an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059"/>
          </w:cols>
          <w:pgMar w:left="400" w:top="1440" w:right="1440" w:bottom="1440" w:gutter="0" w:footer="0" w:header="0"/>
        </w:sectPr>
      </w:pPr>
    </w:p>
    <w:bookmarkStart w:id="213" w:name="page214"/>
    <w:bookmarkEnd w:id="213"/>
    <w:p>
      <w:pPr>
        <w:spacing w:after="0" w:line="234" w:lineRule="exact"/>
        <w:rPr>
          <w:sz w:val="20"/>
          <w:szCs w:val="20"/>
          <w:color w:val="auto"/>
        </w:rPr>
      </w:pPr>
    </w:p>
    <w:p>
      <w:pPr>
        <w:ind w:left="12"/>
        <w:spacing w:after="0"/>
        <w:rPr>
          <w:sz w:val="20"/>
          <w:szCs w:val="20"/>
          <w:color w:val="auto"/>
        </w:rPr>
      </w:pPr>
      <w:r>
        <w:rPr>
          <w:rFonts w:ascii="Arial" w:cs="Arial" w:eastAsia="Arial" w:hAnsi="Arial"/>
          <w:sz w:val="18"/>
          <w:szCs w:val="18"/>
          <w:color w:val="auto"/>
        </w:rPr>
        <w:t>BANK OF AMERICA, N.A., as</w:t>
      </w:r>
    </w:p>
    <w:p>
      <w:pPr>
        <w:spacing w:after="0" w:line="320" w:lineRule="exact"/>
        <w:rPr>
          <w:sz w:val="20"/>
          <w:szCs w:val="20"/>
          <w:color w:val="auto"/>
        </w:rPr>
      </w:pPr>
    </w:p>
    <w:p>
      <w:pPr>
        <w:ind w:left="12"/>
        <w:spacing w:after="0"/>
        <w:rPr>
          <w:sz w:val="20"/>
          <w:szCs w:val="20"/>
          <w:color w:val="auto"/>
        </w:rPr>
      </w:pPr>
      <w:r>
        <w:rPr>
          <w:rFonts w:ascii="Arial" w:cs="Arial" w:eastAsia="Arial" w:hAnsi="Arial"/>
          <w:sz w:val="18"/>
          <w:szCs w:val="18"/>
          <w:color w:val="auto"/>
        </w:rPr>
        <w:t>an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
        <w:spacing w:after="0"/>
        <w:tabs>
          <w:tab w:leader="none" w:pos="412" w:val="left"/>
        </w:tabs>
        <w:rPr>
          <w:sz w:val="20"/>
          <w:szCs w:val="20"/>
          <w:color w:val="auto"/>
        </w:rPr>
      </w:pPr>
      <w:r>
        <w:rPr>
          <w:rFonts w:ascii="Arial" w:cs="Arial" w:eastAsia="Arial" w:hAnsi="Arial"/>
          <w:sz w:val="18"/>
          <w:szCs w:val="18"/>
          <w:color w:val="auto"/>
        </w:rPr>
        <w:t>By</w:t>
        <w:tab/>
        <w:t>_________________________________</w:t>
      </w:r>
    </w:p>
    <w:p>
      <w:pPr>
        <w:spacing w:after="0" w:line="144" w:lineRule="exact"/>
        <w:rPr>
          <w:sz w:val="20"/>
          <w:szCs w:val="20"/>
          <w:color w:val="auto"/>
        </w:rPr>
      </w:pPr>
    </w:p>
    <w:p>
      <w:pPr>
        <w:ind w:left="412"/>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ind w:left="12"/>
        <w:spacing w:after="0"/>
        <w:rPr>
          <w:sz w:val="20"/>
          <w:szCs w:val="20"/>
          <w:color w:val="auto"/>
        </w:rPr>
      </w:pPr>
      <w:r>
        <w:rPr>
          <w:rFonts w:ascii="Arial" w:cs="Arial" w:eastAsia="Arial" w:hAnsi="Arial"/>
          <w:sz w:val="18"/>
          <w:szCs w:val="18"/>
          <w:color w:val="auto"/>
        </w:rPr>
        <w:t>[OTHERS ISSUING BANKS], as</w:t>
      </w:r>
    </w:p>
    <w:p>
      <w:pPr>
        <w:spacing w:after="0" w:line="333" w:lineRule="exact"/>
        <w:rPr>
          <w:sz w:val="20"/>
          <w:szCs w:val="20"/>
          <w:color w:val="auto"/>
        </w:rPr>
      </w:pPr>
    </w:p>
    <w:p>
      <w:pPr>
        <w:ind w:left="12"/>
        <w:spacing w:after="0"/>
        <w:rPr>
          <w:sz w:val="20"/>
          <w:szCs w:val="20"/>
          <w:color w:val="auto"/>
        </w:rPr>
      </w:pPr>
      <w:r>
        <w:rPr>
          <w:rFonts w:ascii="Arial" w:cs="Arial" w:eastAsia="Arial" w:hAnsi="Arial"/>
          <w:sz w:val="18"/>
          <w:szCs w:val="18"/>
          <w:color w:val="auto"/>
        </w:rPr>
        <w:t>an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
        <w:spacing w:after="0"/>
        <w:tabs>
          <w:tab w:leader="none" w:pos="412" w:val="left"/>
        </w:tabs>
        <w:rPr>
          <w:sz w:val="20"/>
          <w:szCs w:val="20"/>
          <w:color w:val="auto"/>
        </w:rPr>
      </w:pPr>
      <w:r>
        <w:rPr>
          <w:rFonts w:ascii="Arial" w:cs="Arial" w:eastAsia="Arial" w:hAnsi="Arial"/>
          <w:sz w:val="18"/>
          <w:szCs w:val="18"/>
          <w:color w:val="auto"/>
        </w:rPr>
        <w:t>By</w:t>
        <w:tab/>
        <w:t>_________________________________</w:t>
      </w:r>
    </w:p>
    <w:p>
      <w:pPr>
        <w:spacing w:after="0" w:line="144" w:lineRule="exact"/>
        <w:rPr>
          <w:sz w:val="20"/>
          <w:szCs w:val="20"/>
          <w:color w:val="auto"/>
        </w:rPr>
      </w:pPr>
    </w:p>
    <w:p>
      <w:pPr>
        <w:ind w:left="412"/>
        <w:spacing w:after="0"/>
        <w:rPr>
          <w:sz w:val="20"/>
          <w:szCs w:val="20"/>
          <w:color w:val="auto"/>
        </w:rPr>
      </w:pPr>
      <w:r>
        <w:rPr>
          <w:rFonts w:ascii="Arial" w:cs="Arial" w:eastAsia="Arial" w:hAnsi="Arial"/>
          <w:sz w:val="18"/>
          <w:szCs w:val="18"/>
          <w:color w:val="auto"/>
        </w:rPr>
        <w:t>Title</w:t>
      </w:r>
    </w:p>
    <w:p>
      <w:pPr>
        <w:spacing w:after="0" w:line="333" w:lineRule="exact"/>
        <w:rPr>
          <w:sz w:val="20"/>
          <w:szCs w:val="20"/>
          <w:color w:val="auto"/>
        </w:rPr>
      </w:pPr>
    </w:p>
    <w:p>
      <w:pPr>
        <w:ind w:left="12"/>
        <w:spacing w:after="0"/>
        <w:rPr>
          <w:sz w:val="20"/>
          <w:szCs w:val="20"/>
          <w:color w:val="auto"/>
        </w:rPr>
      </w:pPr>
      <w:r>
        <w:rPr>
          <w:rFonts w:ascii="Arial" w:cs="Arial" w:eastAsia="Arial" w:hAnsi="Arial"/>
          <w:sz w:val="18"/>
          <w:szCs w:val="18"/>
          <w:color w:val="auto"/>
        </w:rPr>
        <w:t>[Consented to:]</w:t>
      </w:r>
      <w:r>
        <w:rPr>
          <w:rFonts w:ascii="Arial" w:cs="Arial" w:eastAsia="Arial" w:hAnsi="Arial"/>
          <w:sz w:val="23"/>
          <w:szCs w:val="23"/>
          <w:color w:val="auto"/>
          <w:vertAlign w:val="superscript"/>
        </w:rPr>
        <w:t>3</w:t>
      </w:r>
    </w:p>
    <w:p>
      <w:pPr>
        <w:spacing w:after="0" w:line="200" w:lineRule="exact"/>
        <w:rPr>
          <w:sz w:val="20"/>
          <w:szCs w:val="20"/>
          <w:color w:val="auto"/>
        </w:rPr>
      </w:pPr>
    </w:p>
    <w:p>
      <w:pPr>
        <w:spacing w:after="0" w:line="234"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color w:val="auto"/>
        </w:rPr>
        <w:t>MYR GROUP INC.</w:t>
      </w:r>
    </w:p>
    <w:p>
      <w:pPr>
        <w:spacing w:after="0" w:line="200" w:lineRule="exact"/>
        <w:rPr>
          <w:sz w:val="20"/>
          <w:szCs w:val="20"/>
          <w:color w:val="auto"/>
        </w:rPr>
      </w:pPr>
    </w:p>
    <w:p>
      <w:pPr>
        <w:spacing w:after="0" w:line="272" w:lineRule="exact"/>
        <w:rPr>
          <w:sz w:val="20"/>
          <w:szCs w:val="20"/>
          <w:color w:val="auto"/>
        </w:rPr>
      </w:pPr>
    </w:p>
    <w:p>
      <w:pPr>
        <w:ind w:left="72"/>
        <w:spacing w:after="0"/>
        <w:tabs>
          <w:tab w:leader="none" w:pos="472"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w:t>
      </w:r>
    </w:p>
    <w:p>
      <w:pPr>
        <w:spacing w:after="0" w:line="28"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1714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12" w:hanging="112"/>
        <w:spacing w:after="0"/>
        <w:tabs>
          <w:tab w:leader="none" w:pos="112" w:val="left"/>
        </w:tabs>
        <w:numPr>
          <w:ilvl w:val="0"/>
          <w:numId w:val="19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To be added only if the consent of the Borrower is required by the terms of the Credit Agreement.</w:t>
      </w:r>
    </w:p>
    <w:p>
      <w:pPr>
        <w:sectPr>
          <w:pgSz w:w="11900" w:h="16838" w:orient="portrait"/>
          <w:cols w:equalWidth="0" w:num="1">
            <w:col w:w="10131"/>
          </w:cols>
          <w:pgMar w:left="328" w:top="1440" w:right="1440" w:bottom="1440" w:gutter="0" w:footer="0" w:header="0"/>
        </w:sectPr>
      </w:pPr>
    </w:p>
    <w:bookmarkStart w:id="214" w:name="page215"/>
    <w:bookmarkEnd w:id="214"/>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ANNEX 1</w:t>
      </w:r>
    </w:p>
    <w:p>
      <w:pPr>
        <w:spacing w:after="0" w:line="21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[__________________]</w:t>
      </w:r>
      <w:r>
        <w:rPr>
          <w:rFonts w:ascii="Times New Roman" w:cs="Times New Roman" w:eastAsia="Times New Roman" w:hAnsi="Times New Roman"/>
          <w:sz w:val="25"/>
          <w:szCs w:val="25"/>
          <w:color w:val="auto"/>
          <w:vertAlign w:val="superscript"/>
        </w:rPr>
        <w:t>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STANDARD TERMS AND CONDITIONS FOR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ASSIGNMENT AND ASSUMPTION</w:t>
      </w:r>
    </w:p>
    <w:p>
      <w:pPr>
        <w:spacing w:after="0" w:line="200" w:lineRule="exact"/>
        <w:rPr>
          <w:sz w:val="20"/>
          <w:szCs w:val="20"/>
          <w:color w:val="auto"/>
        </w:rPr>
      </w:pPr>
    </w:p>
    <w:p>
      <w:pPr>
        <w:ind w:left="1000" w:hanging="344"/>
        <w:spacing w:after="0"/>
        <w:tabs>
          <w:tab w:leader="none" w:pos="10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color w:val="auto"/>
        </w:rPr>
        <w:t>. The Assignor (a) represents and warrants that (i) it is the legal and beneficial owner of the Assigned Loan Interest, (ii) the Assigned Loan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Loan Interest and become a Lender, (iii) from and after the Effective Date, it shall be bound by the provisions of the Credit Agreement as a Lender thereunder and, to the extent of the Assigned Loan Interest, shall have the obligations of a Lender thereunder, (iv) it has received a copy of the Credit Agreement, together with copies of the most recent financial statements delivered pursuant to Section ___ thereof, as applicable, and such other documents and information as it has deemed appropriate to make its own credit analysis and decision to enter into this Assignment and Assumption and to purchase the Assigned Loan Interest on the basis of which it has made such analysis and decision independently and without reliance on the Administrative Agent or any other Lender,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Without limiting the foregoing, the Assignee represents and warrants, and agrees to, each of the matters set forth in Section 8.05 of the Credit Agreement, including that the Loan Documents set out the terms of a commercial lending facility.</w:t>
      </w:r>
    </w:p>
    <w:p>
      <w:pPr>
        <w:spacing w:after="0" w:line="192" w:lineRule="exact"/>
        <w:rPr>
          <w:sz w:val="20"/>
          <w:szCs w:val="20"/>
          <w:color w:val="auto"/>
        </w:rPr>
      </w:pPr>
    </w:p>
    <w:p>
      <w:pPr>
        <w:jc w:val="both"/>
        <w:ind w:firstLine="656"/>
        <w:spacing w:after="0" w:line="261" w:lineRule="auto"/>
        <w:tabs>
          <w:tab w:leader="none" w:pos="100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From and after the Effective Date, the Administrative Agent shall make all payments in respect of the Assigned Loan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14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0" w:lineRule="exact"/>
        <w:rPr>
          <w:sz w:val="20"/>
          <w:szCs w:val="20"/>
          <w:color w:val="auto"/>
        </w:rPr>
      </w:pPr>
    </w:p>
    <w:p>
      <w:pPr>
        <w:ind w:left="120" w:hanging="112"/>
        <w:spacing w:after="0"/>
        <w:tabs>
          <w:tab w:leader="none" w:pos="120" w:val="left"/>
        </w:tabs>
        <w:numPr>
          <w:ilvl w:val="0"/>
          <w:numId w:val="1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Describe Credit Agreement at option of Administrative Agent.</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89" w:lineRule="exact"/>
        <w:rPr>
          <w:sz w:val="20"/>
          <w:szCs w:val="20"/>
          <w:color w:val="auto"/>
        </w:rPr>
      </w:pPr>
    </w:p>
    <w:p>
      <w:pPr>
        <w:jc w:val="both"/>
        <w:ind w:firstLine="656"/>
        <w:spacing w:after="0" w:line="261" w:lineRule="auto"/>
        <w:tabs>
          <w:tab w:leader="none" w:pos="103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Delivery of an executed counterpart of a signature page of this Assignment and Assumption by an Approved Electronic Platform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B</w:t>
      </w:r>
    </w:p>
    <w:p>
      <w:pPr>
        <w:spacing w:after="0" w:line="2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LIST OF CLOSING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Exhibit B</w:t>
      </w:r>
    </w:p>
    <w:p>
      <w:pPr>
        <w:sectPr>
          <w:pgSz w:w="11900" w:h="16838" w:orient="portrait"/>
          <w:cols w:equalWidth="0" w:num="1">
            <w:col w:w="10120"/>
          </w:cols>
          <w:pgMar w:left="1440" w:top="1440" w:right="339" w:bottom="1440" w:gutter="0" w:footer="0" w:header="0"/>
        </w:sectPr>
      </w:pPr>
    </w:p>
    <w:bookmarkStart w:id="217" w:name="page218"/>
    <w:bookmarkEnd w:id="217"/>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C-1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INCREASING LENDER SUPPLEMENT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INCREASING LENDER SUPPLEMENT, dated __________, 20___ (this “</w:t>
      </w:r>
      <w:r>
        <w:rPr>
          <w:rFonts w:ascii="Times New Roman" w:cs="Times New Roman" w:eastAsia="Times New Roman" w:hAnsi="Times New Roman"/>
          <w:sz w:val="20"/>
          <w:szCs w:val="20"/>
          <w:u w:val="single" w:color="auto"/>
          <w:color w:val="auto"/>
        </w:rPr>
        <w:t>Supplement</w:t>
      </w:r>
      <w:r>
        <w:rPr>
          <w:rFonts w:ascii="Times New Roman" w:cs="Times New Roman" w:eastAsia="Times New Roman" w:hAnsi="Times New Roman"/>
          <w:sz w:val="20"/>
          <w:szCs w:val="20"/>
          <w:color w:val="auto"/>
        </w:rPr>
        <w:t>”), by and among each of the</w:t>
      </w:r>
    </w:p>
    <w:p>
      <w:pPr>
        <w:spacing w:after="0" w:line="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signatories hereto, to the Third Amended and Restated Credit Agreement, dated as of May 31, 2023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MYR Group Inc.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thereto and JPMorgan Chase Bank, N.A.,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E T H</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pursuant to Section 2.04 of the Credit Agreement, the Borrower has the right, subject to the terms and conditions thereof, to effectuate from time to time an increase in the Aggregate Commitment and/or one or more tranches of Incremental Term Loans under the Credit Agreement by requesting one or more Lenders to increase the amount of its Commitment and/or to participate in such a tranche;</w:t>
      </w:r>
    </w:p>
    <w:p>
      <w:pPr>
        <w:spacing w:after="0" w:line="18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the Borrower has given notice to the Administrative Agent of its intention to [increase the Aggregate Commitment] [and] [enter into a tranche of Incremental Term Loans] pursuant to such Section 2.04; and</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pursuant to Section 2.04 of the Credit Agreement, the undersigned Increasing Lender now desires to [increase the amount of its Commitment] [and] [participate in a tranche of Incremental Term Loans] under the Credit Agreement by executing and delivering to the Borrower and the Administrative Agent this Supplement;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NOW, THEREFORE, each of the parties hereto hereby agrees as follows:</w:t>
      </w:r>
    </w:p>
    <w:p>
      <w:pPr>
        <w:spacing w:after="0" w:line="216" w:lineRule="exact"/>
        <w:rPr>
          <w:sz w:val="20"/>
          <w:szCs w:val="20"/>
          <w:color w:val="auto"/>
        </w:rPr>
      </w:pPr>
    </w:p>
    <w:p>
      <w:pPr>
        <w:jc w:val="both"/>
        <w:ind w:firstLine="1304"/>
        <w:spacing w:after="0" w:line="258" w:lineRule="auto"/>
        <w:tabs>
          <w:tab w:leader="none" w:pos="1653"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Increasing Lender agrees, subject to the terms and conditions of the Credit Agreement, that on the date of this Supplement it shall [have its Commitment increased by $[__________], thereby making the aggregate amount of its total Commitments equal to $[__________]] [and] [participate in a tranche of Incremental Term Loans with a commitment amount equal to $[__________] with respect thereto].</w:t>
      </w:r>
    </w:p>
    <w:p>
      <w:pPr>
        <w:spacing w:after="0" w:line="172"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represents and warrants that no Default or Event of Default has occurred and is continuing on and</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as of the date hereof.</w:t>
      </w:r>
    </w:p>
    <w:p>
      <w:pPr>
        <w:spacing w:after="0" w:line="213" w:lineRule="exact"/>
        <w:rPr>
          <w:rFonts w:ascii="Times New Roman" w:cs="Times New Roman" w:eastAsia="Times New Roman" w:hAnsi="Times New Roman"/>
          <w:sz w:val="19"/>
          <w:szCs w:val="19"/>
          <w:color w:val="auto"/>
        </w:rPr>
      </w:pPr>
    </w:p>
    <w:p>
      <w:pPr>
        <w:ind w:left="1640" w:hanging="336"/>
        <w:spacing w:after="0"/>
        <w:tabs>
          <w:tab w:leader="none" w:pos="164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defined in the Credit Agreement shall have their defined meanings when used herein.</w:t>
      </w:r>
    </w:p>
    <w:p>
      <w:pPr>
        <w:spacing w:after="0" w:line="215" w:lineRule="exact"/>
        <w:rPr>
          <w:rFonts w:ascii="Times New Roman" w:cs="Times New Roman" w:eastAsia="Times New Roman" w:hAnsi="Times New Roman"/>
          <w:sz w:val="20"/>
          <w:szCs w:val="20"/>
          <w:color w:val="auto"/>
        </w:rPr>
      </w:pPr>
    </w:p>
    <w:p>
      <w:pPr>
        <w:ind w:firstLine="1304"/>
        <w:spacing w:after="0" w:line="283" w:lineRule="auto"/>
        <w:tabs>
          <w:tab w:leader="none" w:pos="1661"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Supplement shall be governed by, and construed in accordance with, the laws of the State of New York, but giving effect to federal laws applicable to national banks.</w:t>
      </w:r>
    </w:p>
    <w:p>
      <w:pPr>
        <w:spacing w:after="0" w:line="146" w:lineRule="exact"/>
        <w:rPr>
          <w:rFonts w:ascii="Times New Roman" w:cs="Times New Roman" w:eastAsia="Times New Roman" w:hAnsi="Times New Roman"/>
          <w:sz w:val="20"/>
          <w:szCs w:val="20"/>
          <w:color w:val="auto"/>
        </w:rPr>
      </w:pPr>
    </w:p>
    <w:p>
      <w:pPr>
        <w:jc w:val="both"/>
        <w:ind w:firstLine="1304"/>
        <w:spacing w:after="0" w:line="268" w:lineRule="auto"/>
        <w:tabs>
          <w:tab w:leader="none" w:pos="1641"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C-1</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8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each of the undersigned has caused this Supplement to be executed and delivered by a duly authorized officer on the date first above written.</w:t>
      </w:r>
    </w:p>
    <w:p>
      <w:pPr>
        <w:spacing w:after="0" w:line="200" w:lineRule="exact"/>
        <w:rPr>
          <w:sz w:val="20"/>
          <w:szCs w:val="20"/>
          <w:color w:val="auto"/>
        </w:rPr>
      </w:pPr>
    </w:p>
    <w:p>
      <w:pPr>
        <w:spacing w:after="0" w:line="25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[INSERT NAME OF INCREASING LENDER]</w:t>
      </w:r>
    </w:p>
    <w:p>
      <w:pPr>
        <w:spacing w:after="0" w:line="200" w:lineRule="exact"/>
        <w:rPr>
          <w:sz w:val="20"/>
          <w:szCs w:val="20"/>
          <w:color w:val="auto"/>
        </w:rPr>
      </w:pPr>
    </w:p>
    <w:p>
      <w:pPr>
        <w:spacing w:after="0" w:line="36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-140335</wp:posOffset>
            </wp:positionV>
            <wp:extent cx="29229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to as of the date first written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MYR GROUP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Acknowledged as of the date first written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C-1</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C-2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AUGMENTING LENDER SUPPLEMENT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AUGMENTING LENDER SUPPLEMENT, dated __________, 20___ (this “</w:t>
      </w:r>
      <w:r>
        <w:rPr>
          <w:rFonts w:ascii="Times New Roman" w:cs="Times New Roman" w:eastAsia="Times New Roman" w:hAnsi="Times New Roman"/>
          <w:sz w:val="20"/>
          <w:szCs w:val="20"/>
          <w:u w:val="single" w:color="auto"/>
          <w:color w:val="auto"/>
        </w:rPr>
        <w:t>Supplement</w:t>
      </w:r>
      <w:r>
        <w:rPr>
          <w:rFonts w:ascii="Times New Roman" w:cs="Times New Roman" w:eastAsia="Times New Roman" w:hAnsi="Times New Roman"/>
          <w:sz w:val="20"/>
          <w:szCs w:val="20"/>
          <w:color w:val="auto"/>
        </w:rPr>
        <w:t>”), to the Third Amended and</w:t>
      </w:r>
    </w:p>
    <w:p>
      <w:pPr>
        <w:spacing w:after="0" w:line="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Restated Credit Agreement, dated as of May 31, 2023 (as 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MYR Group Inc.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thereto and JPMorgan Chase Bank, N.A.,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E T H</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WHEREAS, the Credit Agreement provides in Section 2.04 thereof that any bank, financial institution or other entity may [extend Commitments] [and] [participate in tranches of Incremental Term Loans] under the Credit Agreement subject to the approval of the Borrower and the Administrative Agent, by executing and delivering to the Borrower and the Administrative Agent a supplement to the Credit Agreement in substantially the form of this Supplement; and</w:t>
      </w:r>
    </w:p>
    <w:p>
      <w:pPr>
        <w:spacing w:after="0" w:line="18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the undersigned Augmenting Lender was not an original party to the Credit Agreement but now desires to become a party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NOW, THEREFORE, each of the parties hereto hereby agrees as follows:</w:t>
      </w:r>
    </w:p>
    <w:p>
      <w:pPr>
        <w:spacing w:after="0" w:line="216" w:lineRule="exact"/>
        <w:rPr>
          <w:sz w:val="20"/>
          <w:szCs w:val="20"/>
          <w:color w:val="auto"/>
        </w:rPr>
      </w:pPr>
    </w:p>
    <w:p>
      <w:pPr>
        <w:jc w:val="both"/>
        <w:ind w:firstLine="1304"/>
        <w:spacing w:after="0" w:line="258" w:lineRule="auto"/>
        <w:tabs>
          <w:tab w:leader="none" w:pos="169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Augmenting Lender agrees to be bound by the provisions of the Credit Agreement and agrees that it shall, on the date of this Supplement, become a Lender for all purposes of the Credit Agreement to the same extent as if originally a party thereto, with a [Commitment with respect to Revolving Loans of $[__________]] [and] [a commitment with respect to Incremental Term Loans of $[__________]].</w:t>
      </w:r>
    </w:p>
    <w:p>
      <w:pPr>
        <w:spacing w:after="0" w:line="18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82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Augmenting Lender (a) represents and warrants that it is legally authorized to enter into this Supplement; (b) confirms that it has received a copy of the Credit Agreement, together with copies of the most recent financial statements delivered pursuant to Section 5.01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186" w:lineRule="exact"/>
        <w:rPr>
          <w:rFonts w:ascii="Times New Roman" w:cs="Times New Roman" w:eastAsia="Times New Roman" w:hAnsi="Times New Roman"/>
          <w:sz w:val="20"/>
          <w:szCs w:val="20"/>
          <w:color w:val="auto"/>
        </w:rPr>
      </w:pPr>
    </w:p>
    <w:p>
      <w:pPr>
        <w:ind w:left="1640" w:hanging="336"/>
        <w:spacing w:after="0"/>
        <w:tabs>
          <w:tab w:leader="none" w:pos="164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undersigned’s address for notices for the purposes of the Credit Agreement is as follows: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C-2</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89" w:lineRule="exact"/>
        <w:rPr>
          <w:sz w:val="20"/>
          <w:szCs w:val="20"/>
          <w:color w:val="auto"/>
        </w:rPr>
      </w:pPr>
    </w:p>
    <w:p>
      <w:pPr>
        <w:ind w:left="1660" w:hanging="356"/>
        <w:spacing w:after="0"/>
        <w:tabs>
          <w:tab w:leader="none" w:pos="166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represents and warrants that no Default or Event of Default has occurred and is continuing on and</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as of the date hereof.</w:t>
      </w:r>
    </w:p>
    <w:p>
      <w:pPr>
        <w:spacing w:after="0" w:line="200" w:lineRule="exact"/>
        <w:rPr>
          <w:rFonts w:ascii="Times New Roman" w:cs="Times New Roman" w:eastAsia="Times New Roman" w:hAnsi="Times New Roman"/>
          <w:sz w:val="19"/>
          <w:szCs w:val="19"/>
          <w:color w:val="auto"/>
        </w:rPr>
      </w:pPr>
    </w:p>
    <w:p>
      <w:pPr>
        <w:ind w:left="1640" w:hanging="336"/>
        <w:spacing w:after="0"/>
        <w:tabs>
          <w:tab w:leader="none" w:pos="164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defined in the Credit Agreement shall have their defined meanings when used herein.</w:t>
      </w:r>
    </w:p>
    <w:p>
      <w:pPr>
        <w:spacing w:after="0" w:line="229" w:lineRule="exact"/>
        <w:rPr>
          <w:rFonts w:ascii="Times New Roman" w:cs="Times New Roman" w:eastAsia="Times New Roman" w:hAnsi="Times New Roman"/>
          <w:sz w:val="20"/>
          <w:szCs w:val="20"/>
          <w:color w:val="auto"/>
        </w:rPr>
      </w:pPr>
    </w:p>
    <w:p>
      <w:pPr>
        <w:ind w:firstLine="1304"/>
        <w:spacing w:after="0" w:line="269" w:lineRule="auto"/>
        <w:tabs>
          <w:tab w:leader="none" w:pos="1661"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Supplement shall be governed by, and construed in accordance with, the laws of the State of New York, but giving effect to federal laws applicable to national banks.</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641"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C-2</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8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each of the undersigned has caused this Supplement to be executed and delivered by a duly authorized officer on the date first above written.</w:t>
      </w:r>
    </w:p>
    <w:p>
      <w:pPr>
        <w:spacing w:after="0" w:line="200" w:lineRule="exact"/>
        <w:rPr>
          <w:sz w:val="20"/>
          <w:szCs w:val="20"/>
          <w:color w:val="auto"/>
        </w:rPr>
      </w:pPr>
    </w:p>
    <w:p>
      <w:pPr>
        <w:spacing w:after="0" w:line="25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[INSERT NAME OF AUGMENTING LENDER]</w:t>
      </w:r>
    </w:p>
    <w:p>
      <w:pPr>
        <w:spacing w:after="0" w:line="200" w:lineRule="exact"/>
        <w:rPr>
          <w:sz w:val="20"/>
          <w:szCs w:val="20"/>
          <w:color w:val="auto"/>
        </w:rPr>
      </w:pPr>
    </w:p>
    <w:p>
      <w:pPr>
        <w:spacing w:after="0" w:line="36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-140335</wp:posOffset>
            </wp:positionV>
            <wp:extent cx="29229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to as of the date first written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MYR GROUP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Acknowledged as of the date first written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C-2</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COMPLIANCE CERTIFICATE</w:t>
      </w:r>
    </w:p>
    <w:p>
      <w:pPr>
        <w:sectPr>
          <w:pgSz w:w="11900" w:h="16838" w:orient="portrait"/>
          <w:cols w:equalWidth="0" w:num="1">
            <w:col w:w="11240"/>
          </w:cols>
          <w:pgMar w:left="320" w:top="1440" w:right="339" w:bottom="1440" w:gutter="0" w:footer="0" w:header="0"/>
        </w:sectPr>
      </w:pP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Lenders parties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Credit Agreement Described Below</w:t>
      </w:r>
    </w:p>
    <w:p>
      <w:pPr>
        <w:spacing w:after="0" w:line="200" w:lineRule="exact"/>
        <w:rPr>
          <w:sz w:val="20"/>
          <w:szCs w:val="20"/>
          <w:color w:val="auto"/>
        </w:rPr>
      </w:pPr>
    </w:p>
    <w:p>
      <w:pPr>
        <w:sectPr>
          <w:pgSz w:w="11900" w:h="16838" w:orient="portrait"/>
          <w:cols w:equalWidth="0" w:num="2">
            <w:col w:w="360" w:space="720"/>
            <w:col w:w="101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Compliance Certificate is furnished pursuant to that certain Third Amended and Restated Credit Agreement, dated as of May 31, 2023 (as amended, modified, renewed or extended from time to time, the “Agreement”) among MYR Group Inc. (the “Borrower”), the Lenders party thereto and JPMorgan Chase Bank, N.A., as Administrative Agent for the Lenders and as the Issuing Bank. Unless otherwise defined herein, capitalized terms used in this Compliance Certificate have the meanings ascribed thereto in the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UNDERSIGNED HEREBY CERTIFIES THAT:</w:t>
      </w:r>
    </w:p>
    <w:p>
      <w:pPr>
        <w:spacing w:after="0" w:line="229" w:lineRule="exact"/>
        <w:rPr>
          <w:sz w:val="20"/>
          <w:szCs w:val="20"/>
          <w:color w:val="auto"/>
        </w:rPr>
      </w:pPr>
    </w:p>
    <w:p>
      <w:pPr>
        <w:ind w:left="1660" w:hanging="356"/>
        <w:spacing w:after="0"/>
        <w:tabs>
          <w:tab w:leader="none" w:pos="166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the duly elected __________ of the Borrower;</w:t>
      </w:r>
    </w:p>
    <w:p>
      <w:pPr>
        <w:spacing w:after="0" w:line="211" w:lineRule="exact"/>
        <w:rPr>
          <w:rFonts w:ascii="Times New Roman" w:cs="Times New Roman" w:eastAsia="Times New Roman" w:hAnsi="Times New Roman"/>
          <w:sz w:val="20"/>
          <w:szCs w:val="20"/>
          <w:color w:val="auto"/>
        </w:rPr>
      </w:pPr>
    </w:p>
    <w:p>
      <w:pPr>
        <w:jc w:val="both"/>
        <w:ind w:firstLine="1304"/>
        <w:spacing w:after="0" w:line="270" w:lineRule="auto"/>
        <w:tabs>
          <w:tab w:leader="none" w:pos="169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 quarterly financial statements add:</w:t>
      </w:r>
      <w:r>
        <w:rPr>
          <w:rFonts w:ascii="Times New Roman" w:cs="Times New Roman" w:eastAsia="Times New Roman" w:hAnsi="Times New Roman"/>
          <w:sz w:val="20"/>
          <w:szCs w:val="20"/>
          <w:color w:val="auto"/>
        </w:rPr>
        <w:t xml:space="preserve"> The attached financial statements present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5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65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no knowledge of (i) the existence of any condition or event which constitutes a Default during or at the end of the accounting period covered by the attached financial statements or as of the date of this Compliance Certificate or (ii) any change in GAAP or in the application thereof that would impact the covenant calculations under Section 6.12 of the Agreement that has occurred since the date of the audited financial statements referred to in Section 3.04 of the Agreement;</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777"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attached hereto sets forth financial data and computations evidencing the Borrower’s compliance with Section 6.12 of the Agreement, all of which data and computations are true, complete and correct; and</w:t>
      </w:r>
    </w:p>
    <w:p>
      <w:pPr>
        <w:spacing w:after="0" w:line="172" w:lineRule="exact"/>
        <w:rPr>
          <w:rFonts w:ascii="Times New Roman" w:cs="Times New Roman" w:eastAsia="Times New Roman" w:hAnsi="Times New Roman"/>
          <w:sz w:val="20"/>
          <w:szCs w:val="20"/>
          <w:color w:val="auto"/>
        </w:rPr>
      </w:pPr>
    </w:p>
    <w:p>
      <w:pPr>
        <w:ind w:right="20" w:firstLine="1304"/>
        <w:spacing w:after="0" w:line="269" w:lineRule="auto"/>
        <w:tabs>
          <w:tab w:leader="none" w:pos="165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hereto sets forth the computations necessary to determine the Applicable Rate commencing on the Business Day this Compliance Certificate is delivered.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Described below are the exceptions, if any, to paragraph 3 by listing, in detail, (i) the nature of the condition or event, the period during which it has existed and the action which the Borrower has taken, is taking or proposes to take with respect to each such condition or event or (i) the change in GAAP or the application thereof and the effect of such change on the attached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D</w:t>
      </w:r>
    </w:p>
    <w:p>
      <w:pPr>
        <w:sectPr>
          <w:pgSz w:w="11900" w:h="16838" w:orient="portrait"/>
          <w:cols w:equalWidth="0" w:num="1">
            <w:col w:w="11240"/>
          </w:cols>
          <w:pgMar w:left="320" w:top="1440" w:right="339" w:bottom="1440" w:gutter="0" w:footer="0" w:header="0"/>
          <w:type w:val="continuous"/>
        </w:sectPr>
      </w:pPr>
    </w:p>
    <w:bookmarkStart w:id="223" w:name="page224"/>
    <w:bookmarkEnd w:id="2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2035175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1692275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foregoing certifications, together with the computations set forth in Schedule I and Schedule II hereto and the financial statements delivered with this Compliance Certificate in support hereof, are made and delivered this ____ day of _____, ___.</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MYR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22860</wp:posOffset>
            </wp:positionV>
            <wp:extent cx="32746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22860</wp:posOffset>
            </wp:positionV>
            <wp:extent cx="27863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2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21590</wp:posOffset>
            </wp:positionV>
            <wp:extent cx="21945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-140335</wp:posOffset>
            </wp:positionV>
            <wp:extent cx="21945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D</w:t>
      </w:r>
    </w:p>
    <w:p>
      <w:pPr>
        <w:sectPr>
          <w:pgSz w:w="11900" w:h="16838" w:orient="portrait"/>
          <w:cols w:equalWidth="0" w:num="1">
            <w:col w:w="11220"/>
          </w:cols>
          <w:pgMar w:left="320" w:top="1440" w:right="359" w:bottom="1440" w:gutter="0" w:footer="0" w:header="0"/>
        </w:sectPr>
      </w:pPr>
    </w:p>
    <w:bookmarkStart w:id="224" w:name="page225"/>
    <w:bookmarkEnd w:id="224"/>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SCHEDULE I</w:t>
      </w:r>
    </w:p>
    <w:p>
      <w:pPr>
        <w:spacing w:after="0" w:line="2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Compliance as of _________, ____ with</w:t>
      </w:r>
    </w:p>
    <w:p>
      <w:pPr>
        <w:spacing w:after="0" w:line="2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Provisions of ____ and ____ of</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Exhibit D</w:t>
      </w:r>
    </w:p>
    <w:p>
      <w:pPr>
        <w:sectPr>
          <w:pgSz w:w="11900" w:h="16838" w:orient="portrait"/>
          <w:cols w:equalWidth="0" w:num="1">
            <w:col w:w="10120"/>
          </w:cols>
          <w:pgMar w:left="1440" w:top="1440" w:right="339" w:bottom="1440" w:gutter="0" w:footer="0" w:header="0"/>
        </w:sectPr>
      </w:pPr>
    </w:p>
    <w:bookmarkStart w:id="225" w:name="page226"/>
    <w:bookmarkEnd w:id="225"/>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SCHEDULE II</w:t>
      </w:r>
    </w:p>
    <w:p>
      <w:pPr>
        <w:spacing w:after="0" w:line="2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Borrower’s Applicable Rate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Exhibit D</w:t>
      </w:r>
    </w:p>
    <w:p>
      <w:pPr>
        <w:sectPr>
          <w:pgSz w:w="11900" w:h="16838" w:orient="portrait"/>
          <w:cols w:equalWidth="0" w:num="1">
            <w:col w:w="10120"/>
          </w:cols>
          <w:pgMar w:left="1440" w:top="1440" w:right="339" w:bottom="1440" w:gutter="0" w:footer="0" w:header="0"/>
        </w:sectPr>
      </w:pPr>
    </w:p>
    <w:bookmarkStart w:id="226" w:name="page227"/>
    <w:bookmarkEnd w:id="2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593725</wp:posOffset>
            </wp:positionH>
            <wp:positionV relativeFrom="page">
              <wp:posOffset>1649095</wp:posOffset>
            </wp:positionV>
            <wp:extent cx="5777865" cy="3866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777865" cy="386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Summary report:</w:t>
      </w:r>
    </w:p>
    <w:p>
      <w:pPr>
        <w:spacing w:after="0" w:line="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color w:val="auto"/>
        </w:rPr>
        <w:t>Litera Compare for Word 11.4.0.111 Document comparison done on 5/21/2024 8:09:02 PM</w:t>
      </w: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Style name: </w:t>
      </w:r>
      <w:r>
        <w:rPr>
          <w:rFonts w:ascii="Times New Roman" w:cs="Times New Roman" w:eastAsia="Times New Roman" w:hAnsi="Times New Roman"/>
          <w:sz w:val="22"/>
          <w:szCs w:val="22"/>
          <w:color w:val="auto"/>
        </w:rPr>
        <w:t>Sidley Default</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Intelligent Table Comparison: </w:t>
      </w:r>
      <w:r>
        <w:rPr>
          <w:rFonts w:ascii="Times New Roman" w:cs="Times New Roman" w:eastAsia="Times New Roman" w:hAnsi="Times New Roman"/>
          <w:sz w:val="22"/>
          <w:szCs w:val="22"/>
          <w:color w:val="auto"/>
        </w:rPr>
        <w:t>Active</w:t>
      </w:r>
    </w:p>
    <w:p>
      <w:pPr>
        <w:spacing w:after="0" w:line="71" w:lineRule="exact"/>
        <w:rPr>
          <w:sz w:val="20"/>
          <w:szCs w:val="20"/>
          <w:color w:val="auto"/>
        </w:rPr>
      </w:pPr>
    </w:p>
    <w:p>
      <w:pPr>
        <w:ind w:left="80" w:right="1099"/>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Original DMS: </w:t>
      </w:r>
      <w:r>
        <w:rPr>
          <w:rFonts w:ascii="Times New Roman" w:cs="Times New Roman" w:eastAsia="Times New Roman" w:hAnsi="Times New Roman"/>
          <w:sz w:val="22"/>
          <w:szCs w:val="22"/>
          <w:color w:val="auto"/>
        </w:rPr>
        <w:t>nd://4884-4915-9599/1/MYR - Conformed Third Amended and Restated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for Amendment No. 1 (2024).docx</w:t>
      </w:r>
    </w:p>
    <w:p>
      <w:pPr>
        <w:spacing w:after="0" w:line="1" w:lineRule="exact"/>
        <w:rPr>
          <w:sz w:val="20"/>
          <w:szCs w:val="20"/>
          <w:color w:val="auto"/>
        </w:rPr>
      </w:pPr>
    </w:p>
    <w:p>
      <w:pPr>
        <w:ind w:left="80" w:right="103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Modified DMS: </w:t>
      </w:r>
      <w:r>
        <w:rPr>
          <w:rFonts w:ascii="Times New Roman" w:cs="Times New Roman" w:eastAsia="Times New Roman" w:hAnsi="Times New Roman"/>
          <w:sz w:val="22"/>
          <w:szCs w:val="22"/>
          <w:color w:val="auto"/>
        </w:rPr>
        <w:t>nd://4884-4915-9599/6/MYR - Conformed Third Amended and Restated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for Amendment No. 1 (2024).docx</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Changes: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 w:type="dxa"/>
            <w:vAlign w:val="bottom"/>
            <w:tcBorders>
              <w:top w:val="single" w:sz="8" w:color="auto"/>
            </w:tcBorders>
          </w:tcPr>
          <w:p>
            <w:pPr>
              <w:spacing w:after="0"/>
              <w:rPr>
                <w:sz w:val="18"/>
                <w:szCs w:val="18"/>
                <w:color w:val="auto"/>
              </w:rPr>
            </w:pPr>
          </w:p>
        </w:tc>
        <w:tc>
          <w:tcPr>
            <w:tcW w:w="6980" w:type="dxa"/>
            <w:vAlign w:val="bottom"/>
            <w:tcBorders>
              <w:top w:val="single" w:sz="8" w:color="auto"/>
              <w:right w:val="single" w:sz="8" w:color="auto"/>
            </w:tcBorders>
            <w:gridSpan w:val="5"/>
          </w:tcPr>
          <w:p>
            <w:pPr>
              <w:spacing w:after="0" w:line="211" w:lineRule="exact"/>
              <w:rPr>
                <w:sz w:val="20"/>
                <w:szCs w:val="20"/>
                <w:color w:val="auto"/>
              </w:rPr>
            </w:pPr>
            <w:r>
              <w:rPr>
                <w:rFonts w:ascii="Times New Roman" w:cs="Times New Roman" w:eastAsia="Times New Roman" w:hAnsi="Times New Roman"/>
                <w:sz w:val="22"/>
                <w:szCs w:val="22"/>
                <w:color w:val="0000FF"/>
              </w:rPr>
              <w:t>Add</w:t>
            </w:r>
          </w:p>
        </w:tc>
        <w:tc>
          <w:tcPr>
            <w:tcW w:w="2040" w:type="dxa"/>
            <w:vAlign w:val="bottom"/>
            <w:tcBorders>
              <w:top w:val="single" w:sz="8" w:color="auto"/>
            </w:tcBorders>
          </w:tcPr>
          <w:p>
            <w:pPr>
              <w:ind w:left="60"/>
              <w:spacing w:after="0" w:line="211" w:lineRule="exact"/>
              <w:rPr>
                <w:sz w:val="20"/>
                <w:szCs w:val="20"/>
                <w:color w:val="auto"/>
              </w:rPr>
            </w:pPr>
            <w:r>
              <w:rPr>
                <w:rFonts w:ascii="Times New Roman" w:cs="Times New Roman" w:eastAsia="Times New Roman" w:hAnsi="Times New Roman"/>
                <w:sz w:val="22"/>
                <w:szCs w:val="22"/>
                <w:color w:val="auto"/>
              </w:rPr>
              <w:t>228</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3"/>
        </w:trPr>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FF0000"/>
                <w:strike w:val="1"/>
              </w:rPr>
              <w:t>Delete</w:t>
            </w: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66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188</w:t>
            </w:r>
          </w:p>
        </w:tc>
      </w:tr>
      <w:tr>
        <w:trPr>
          <w:trHeight w:val="264"/>
        </w:trPr>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008000"/>
                <w:strike w:val="1"/>
                <w:w w:val="95"/>
              </w:rPr>
              <w:t>Move From</w:t>
            </w:r>
          </w:p>
        </w:tc>
        <w:tc>
          <w:tcPr>
            <w:tcW w:w="300" w:type="dxa"/>
            <w:vAlign w:val="bottom"/>
            <w:tcBorders>
              <w:bottom w:val="single" w:sz="8" w:color="auto"/>
            </w:tcBorders>
          </w:tcPr>
          <w:p>
            <w:pPr>
              <w:spacing w:after="0"/>
              <w:rPr>
                <w:sz w:val="22"/>
                <w:szCs w:val="22"/>
                <w:color w:val="auto"/>
              </w:rPr>
            </w:pPr>
          </w:p>
        </w:tc>
        <w:tc>
          <w:tcPr>
            <w:tcW w:w="566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27</w:t>
            </w:r>
          </w:p>
        </w:tc>
      </w:tr>
      <w:tr>
        <w:trPr>
          <w:trHeight w:val="209"/>
        </w:trPr>
        <w:tc>
          <w:tcPr>
            <w:tcW w:w="80" w:type="dxa"/>
            <w:vAlign w:val="bottom"/>
          </w:tcPr>
          <w:p>
            <w:pPr>
              <w:spacing w:after="0"/>
              <w:rPr>
                <w:sz w:val="18"/>
                <w:szCs w:val="18"/>
                <w:color w:val="auto"/>
              </w:rPr>
            </w:pPr>
          </w:p>
        </w:tc>
        <w:tc>
          <w:tcPr>
            <w:tcW w:w="6980" w:type="dxa"/>
            <w:vAlign w:val="bottom"/>
            <w:tcBorders>
              <w:right w:val="single" w:sz="8" w:color="auto"/>
            </w:tcBorders>
            <w:gridSpan w:val="5"/>
          </w:tcPr>
          <w:p>
            <w:pPr>
              <w:spacing w:after="0" w:line="209" w:lineRule="exact"/>
              <w:rPr>
                <w:sz w:val="20"/>
                <w:szCs w:val="20"/>
                <w:color w:val="auto"/>
              </w:rPr>
            </w:pPr>
            <w:r>
              <w:rPr>
                <w:rFonts w:ascii="Times New Roman" w:cs="Times New Roman" w:eastAsia="Times New Roman" w:hAnsi="Times New Roman"/>
                <w:sz w:val="22"/>
                <w:szCs w:val="22"/>
                <w:color w:val="008000"/>
              </w:rPr>
              <w:t>Move To</w:t>
            </w:r>
          </w:p>
        </w:tc>
        <w:tc>
          <w:tcPr>
            <w:tcW w:w="204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rPr>
              <w:t>27</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8000"/>
              <w:bottom w:val="single" w:sz="8" w:color="auto"/>
            </w:tcBorders>
          </w:tcPr>
          <w:p>
            <w:pPr>
              <w:spacing w:after="0"/>
              <w:rPr>
                <w:sz w:val="2"/>
                <w:szCs w:val="2"/>
                <w:color w:val="auto"/>
              </w:rPr>
            </w:pPr>
          </w:p>
        </w:tc>
        <w:tc>
          <w:tcPr>
            <w:tcW w:w="400" w:type="dxa"/>
            <w:vAlign w:val="bottom"/>
            <w:tcBorders>
              <w:top w:val="single" w:sz="8" w:color="008000"/>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9"/>
        </w:trPr>
        <w:tc>
          <w:tcPr>
            <w:tcW w:w="80" w:type="dxa"/>
            <w:vAlign w:val="bottom"/>
          </w:tcPr>
          <w:p>
            <w:pPr>
              <w:spacing w:after="0"/>
              <w:rPr>
                <w:sz w:val="18"/>
                <w:szCs w:val="18"/>
                <w:color w:val="auto"/>
              </w:rPr>
            </w:pPr>
          </w:p>
        </w:tc>
        <w:tc>
          <w:tcPr>
            <w:tcW w:w="6980" w:type="dxa"/>
            <w:vAlign w:val="bottom"/>
            <w:tcBorders>
              <w:right w:val="single" w:sz="8" w:color="auto"/>
            </w:tcBorders>
            <w:gridSpan w:val="5"/>
          </w:tcPr>
          <w:p>
            <w:pPr>
              <w:spacing w:after="0" w:line="209" w:lineRule="exact"/>
              <w:rPr>
                <w:sz w:val="20"/>
                <w:szCs w:val="20"/>
                <w:color w:val="auto"/>
              </w:rPr>
            </w:pPr>
            <w:r>
              <w:rPr>
                <w:rFonts w:ascii="Times New Roman" w:cs="Times New Roman" w:eastAsia="Times New Roman" w:hAnsi="Times New Roman"/>
                <w:sz w:val="22"/>
                <w:szCs w:val="22"/>
                <w:color w:val="0000FF"/>
              </w:rPr>
              <w:t>Table Insert</w:t>
            </w:r>
          </w:p>
        </w:tc>
        <w:tc>
          <w:tcPr>
            <w:tcW w:w="204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rPr>
              <w:t>0</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3"/>
        </w:trPr>
        <w:tc>
          <w:tcPr>
            <w:tcW w:w="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FF0000"/>
                <w:strike w:val="1"/>
              </w:rPr>
              <w:t>Table Delete</w:t>
            </w:r>
          </w:p>
        </w:tc>
        <w:tc>
          <w:tcPr>
            <w:tcW w:w="566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w:t>
            </w:r>
          </w:p>
        </w:tc>
      </w:tr>
      <w:tr>
        <w:trPr>
          <w:trHeight w:val="210"/>
        </w:trPr>
        <w:tc>
          <w:tcPr>
            <w:tcW w:w="80" w:type="dxa"/>
            <w:vAlign w:val="bottom"/>
          </w:tcPr>
          <w:p>
            <w:pPr>
              <w:spacing w:after="0"/>
              <w:rPr>
                <w:sz w:val="18"/>
                <w:szCs w:val="18"/>
                <w:color w:val="auto"/>
              </w:rPr>
            </w:pPr>
          </w:p>
        </w:tc>
        <w:tc>
          <w:tcPr>
            <w:tcW w:w="6980" w:type="dxa"/>
            <w:vAlign w:val="bottom"/>
            <w:tcBorders>
              <w:right w:val="single" w:sz="8" w:color="auto"/>
            </w:tcBorders>
            <w:gridSpan w:val="5"/>
          </w:tcPr>
          <w:p>
            <w:pPr>
              <w:spacing w:after="0" w:line="209" w:lineRule="exact"/>
              <w:rPr>
                <w:sz w:val="20"/>
                <w:szCs w:val="20"/>
                <w:color w:val="auto"/>
              </w:rPr>
            </w:pPr>
            <w:r>
              <w:rPr>
                <w:rFonts w:ascii="Times New Roman" w:cs="Times New Roman" w:eastAsia="Times New Roman" w:hAnsi="Times New Roman"/>
                <w:sz w:val="22"/>
                <w:szCs w:val="22"/>
                <w:color w:val="008000"/>
              </w:rPr>
              <w:t>Table moves to</w:t>
            </w:r>
          </w:p>
        </w:tc>
        <w:tc>
          <w:tcPr>
            <w:tcW w:w="204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rPr>
              <w:t>0</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8000"/>
              <w:bottom w:val="single" w:sz="8" w:color="auto"/>
            </w:tcBorders>
          </w:tcPr>
          <w:p>
            <w:pPr>
              <w:spacing w:after="0"/>
              <w:rPr>
                <w:sz w:val="2"/>
                <w:szCs w:val="2"/>
                <w:color w:val="auto"/>
              </w:rPr>
            </w:pPr>
          </w:p>
        </w:tc>
        <w:tc>
          <w:tcPr>
            <w:tcW w:w="400" w:type="dxa"/>
            <w:vAlign w:val="bottom"/>
            <w:tcBorders>
              <w:top w:val="single" w:sz="8" w:color="008000"/>
              <w:bottom w:val="single" w:sz="8" w:color="auto"/>
            </w:tcBorders>
          </w:tcPr>
          <w:p>
            <w:pPr>
              <w:spacing w:after="0"/>
              <w:rPr>
                <w:sz w:val="2"/>
                <w:szCs w:val="2"/>
                <w:color w:val="auto"/>
              </w:rPr>
            </w:pPr>
          </w:p>
        </w:tc>
        <w:tc>
          <w:tcPr>
            <w:tcW w:w="240" w:type="dxa"/>
            <w:vAlign w:val="bottom"/>
            <w:tcBorders>
              <w:top w:val="single" w:sz="8" w:color="008000"/>
              <w:bottom w:val="single" w:sz="8" w:color="auto"/>
            </w:tcBorders>
          </w:tcPr>
          <w:p>
            <w:pPr>
              <w:spacing w:after="0"/>
              <w:rPr>
                <w:sz w:val="2"/>
                <w:szCs w:val="2"/>
                <w:color w:val="auto"/>
              </w:rPr>
            </w:pPr>
          </w:p>
        </w:tc>
        <w:tc>
          <w:tcPr>
            <w:tcW w:w="300" w:type="dxa"/>
            <w:vAlign w:val="bottom"/>
            <w:tcBorders>
              <w:top w:val="single" w:sz="8" w:color="008000"/>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8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008000"/>
                <w:strike w:val="1"/>
              </w:rPr>
              <w:t>Table moves from</w:t>
            </w: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w:t>
            </w:r>
          </w:p>
        </w:tc>
      </w:tr>
      <w:tr>
        <w:trPr>
          <w:trHeight w:val="263"/>
        </w:trPr>
        <w:tc>
          <w:tcPr>
            <w:tcW w:w="8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Embedded Graphics (Visio, ChemDraw, Images etc.)</w:t>
            </w: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w:t>
            </w:r>
          </w:p>
        </w:tc>
      </w:tr>
      <w:tr>
        <w:trPr>
          <w:trHeight w:val="263"/>
        </w:trPr>
        <w:tc>
          <w:tcPr>
            <w:tcW w:w="8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Embedded Excel</w:t>
            </w: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w:t>
            </w:r>
          </w:p>
        </w:tc>
      </w:tr>
      <w:tr>
        <w:trPr>
          <w:trHeight w:val="264"/>
        </w:trPr>
        <w:tc>
          <w:tcPr>
            <w:tcW w:w="8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Format changes</w:t>
            </w: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w:t>
            </w:r>
          </w:p>
        </w:tc>
      </w:tr>
      <w:tr>
        <w:trPr>
          <w:trHeight w:val="263"/>
        </w:trPr>
        <w:tc>
          <w:tcPr>
            <w:tcW w:w="8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22"/>
                <w:szCs w:val="22"/>
                <w:b w:val="1"/>
                <w:bCs w:val="1"/>
                <w:color w:val="auto"/>
              </w:rPr>
              <w:t>Total Changes:</w:t>
            </w: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470</w:t>
            </w:r>
          </w:p>
        </w:tc>
      </w:tr>
    </w:tbl>
    <w:p>
      <w:pPr>
        <w:sectPr>
          <w:pgSz w:w="11900" w:h="16838" w:orient="portrait"/>
          <w:cols w:equalWidth="0" w:num="1">
            <w:col w:w="9519"/>
          </w:cols>
          <w:pgMar w:left="940" w:top="1440" w:right="1440"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July 31, 2024</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34290</wp:posOffset>
            </wp:positionV>
            <wp:extent cx="31972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9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103"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M. Huntington, certify that:</w:t>
      </w:r>
    </w:p>
    <w:p>
      <w:pPr>
        <w:spacing w:after="0" w:line="225" w:lineRule="exact"/>
        <w:rPr>
          <w:sz w:val="20"/>
          <w:szCs w:val="20"/>
          <w:color w:val="auto"/>
        </w:rPr>
      </w:pPr>
    </w:p>
    <w:p>
      <w:pPr>
        <w:ind w:left="320" w:hanging="312"/>
        <w:spacing w:after="0"/>
        <w:tabs>
          <w:tab w:leader="none" w:pos="3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July 31, 2024</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103"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 Richard S. Swartz, Jr., Chief Executive Officer and President of MYR Group Inc. (the “Company”), certify, pursuant to 18 U.S.C. § 1350, as adopted pursuant to § 906 of the Sarbanes-Oxley Act of 2002, that:</w:t>
      </w:r>
    </w:p>
    <w:p>
      <w:pPr>
        <w:spacing w:after="0" w:line="162" w:lineRule="exact"/>
        <w:rPr>
          <w:sz w:val="20"/>
          <w:szCs w:val="20"/>
          <w:color w:val="auto"/>
        </w:rPr>
      </w:pPr>
    </w:p>
    <w:p>
      <w:pPr>
        <w:ind w:left="660" w:right="140" w:hanging="652"/>
        <w:spacing w:after="0" w:line="282" w:lineRule="auto"/>
        <w:tabs>
          <w:tab w:leader="none" w:pos="64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and six months ended June 30, 2024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37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July 31, 2024</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ectPr>
          <w:pgSz w:w="11900" w:h="16838" w:orient="portrait"/>
          <w:cols w:equalWidth="0" w:num="1">
            <w:col w:w="11240"/>
          </w:cols>
          <w:pgMar w:left="320" w:top="1103"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SECTION 906 OF THE SARBANES-OXLEY ACT OF 2002</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 Kelly M. Huntington, Senior Vice President and Chief Financial Officer of MYR Group, Inc. (the “Company”), certify, pursuant to 18 U.S.C. § 1350, as adopted pursuant to § 906 of the Sarbanes-Oxley Act of 2002, that:</w:t>
      </w:r>
    </w:p>
    <w:p>
      <w:pPr>
        <w:spacing w:after="0" w:line="162" w:lineRule="exact"/>
        <w:rPr>
          <w:sz w:val="20"/>
          <w:szCs w:val="20"/>
          <w:color w:val="auto"/>
        </w:rPr>
      </w:pPr>
    </w:p>
    <w:p>
      <w:pPr>
        <w:ind w:left="660" w:right="140" w:hanging="652"/>
        <w:spacing w:after="0" w:line="282" w:lineRule="auto"/>
        <w:tabs>
          <w:tab w:leader="none" w:pos="64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and six months ended June 30, 2024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July 31, 2024</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49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1."/>
      <w:numFmt w:val="decimal"/>
      <w:start w:val="1"/>
    </w:lvl>
  </w:abstractNum>
  <w:abstractNum w:abstractNumId="3">
    <w:nsid w:val="6A3DD3E8"/>
    <w:multiLevelType w:val="hybridMultilevel"/>
    <w:lvl w:ilvl="0">
      <w:lvlJc w:val="left"/>
      <w:lvlText w:val="(%1)"/>
      <w:numFmt w:val="lowerLetter"/>
      <w:start w:val="4"/>
    </w:lvl>
  </w:abstractNum>
  <w:abstractNum w:abstractNumId="4">
    <w:nsid w:val="71C91298"/>
    <w:multiLevelType w:val="hybridMultilevel"/>
    <w:lvl w:ilvl="0">
      <w:lvlJc w:val="left"/>
      <w:lvlText w:val="(%1)"/>
      <w:numFmt w:val="decimal"/>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1)"/>
      <w:numFmt w:val="decimal"/>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1."/>
      <w:numFmt w:val="decimal"/>
      <w:start w:val="1"/>
    </w:lvl>
  </w:abstractNum>
  <w:abstractNum w:abstractNumId="11">
    <w:nsid w:val="288F1A34"/>
    <w:multiLevelType w:val="hybridMultilevel"/>
    <w:lvl w:ilvl="0">
      <w:lvlJc w:val="left"/>
      <w:lvlText w:val="(%1)"/>
      <w:numFmt w:val="lowerLetter"/>
      <w:start w:val="1"/>
    </w:lvl>
  </w:abstractNum>
  <w:abstractNum w:abstractNumId="12">
    <w:nsid w:val="2A155DBC"/>
    <w:multiLevelType w:val="hybridMultilevel"/>
    <w:lvl w:ilvl="0">
      <w:lvlJc w:val="left"/>
      <w:lvlText w:val="%1."/>
      <w:numFmt w:val="decimal"/>
      <w:start w:val="3"/>
    </w:lvl>
  </w:abstractNum>
  <w:abstractNum w:abstractNumId="13">
    <w:nsid w:val="1D9F6E5F"/>
    <w:multiLevelType w:val="hybridMultilevel"/>
    <w:lvl w:ilvl="0">
      <w:lvlJc w:val="left"/>
      <w:lvlText w:val="%1"/>
      <w:numFmt w:val="lowerLetter"/>
      <w:start w:val="1"/>
    </w:lvl>
    <w:lvl w:ilvl="1">
      <w:lvlJc w:val="left"/>
      <w:lvlText w:val="(%2)"/>
      <w:numFmt w:val="lowerLetter"/>
      <w:start w:val="1"/>
    </w:lvl>
  </w:abstractNum>
  <w:abstractNum w:abstractNumId="14">
    <w:nsid w:val="97E1B4E"/>
    <w:multiLevelType w:val="hybridMultilevel"/>
    <w:lvl w:ilvl="0">
      <w:lvlJc w:val="left"/>
      <w:lvlText w:val="(%1)"/>
      <w:numFmt w:val="lowerLetter"/>
      <w:start w:val="2"/>
    </w:lvl>
    <w:lvl w:ilvl="1">
      <w:lvlJc w:val="left"/>
      <w:lvlText w:val="(%2)"/>
      <w:numFmt w:val="lowerLetter"/>
      <w:start w:val="3"/>
    </w:lvl>
  </w:abstractNum>
  <w:abstractNum w:abstractNumId="15">
    <w:nsid w:val="51088277"/>
    <w:multiLevelType w:val="hybridMultilevel"/>
    <w:lvl w:ilvl="0">
      <w:lvlJc w:val="left"/>
      <w:lvlText w:val="%1."/>
      <w:numFmt w:val="decimal"/>
      <w:start w:val="5"/>
    </w:lvl>
  </w:abstractNum>
  <w:abstractNum w:abstractNumId="16">
    <w:nsid w:val="1CA0C5FA"/>
    <w:multiLevelType w:val="hybridMultilevel"/>
    <w:lvl w:ilvl="0">
      <w:lvlJc w:val="left"/>
      <w:lvlText w:val="%1."/>
      <w:numFmt w:val="decimal"/>
      <w:start w:val="8"/>
    </w:lvl>
  </w:abstractNum>
  <w:abstractNum w:abstractNumId="17">
    <w:nsid w:val="53584BCB"/>
    <w:multiLevelType w:val="hybridMultilevel"/>
    <w:lvl w:ilvl="0">
      <w:lvlJc w:val="left"/>
      <w:lvlText w:val="%1"/>
      <w:numFmt w:val="lowerRoman"/>
      <w:start w:val="1"/>
    </w:lvl>
    <w:lvl w:ilvl="1">
      <w:lvlJc w:val="left"/>
      <w:lvlText w:val="(%2)"/>
      <w:numFmt w:val="decimal"/>
      <w:start w:val="1"/>
    </w:lvl>
  </w:abstractNum>
  <w:abstractNum w:abstractNumId="18">
    <w:nsid w:val="415E286C"/>
    <w:multiLevelType w:val="hybridMultilevel"/>
    <w:lvl w:ilvl="0">
      <w:lvlJc w:val="left"/>
      <w:lvlText w:val="(%1)"/>
      <w:numFmt w:val="lowerRoman"/>
      <w:start w:val="2"/>
    </w:lvl>
    <w:lvl w:ilvl="1">
      <w:lvlJc w:val="left"/>
      <w:lvlText w:val="%2"/>
      <w:numFmt w:val="decimal"/>
      <w:start w:val="1"/>
    </w:lvl>
  </w:abstractNum>
  <w:abstractNum w:abstractNumId="19">
    <w:nsid w:val="7C58FD05"/>
    <w:multiLevelType w:val="hybridMultilevel"/>
    <w:lvl w:ilvl="0">
      <w:lvlJc w:val="left"/>
      <w:lvlText w:val="(%1)"/>
      <w:numFmt w:val="decimal"/>
      <w:start w:val="1"/>
    </w:lvl>
  </w:abstractNum>
  <w:abstractNum w:abstractNumId="20">
    <w:nsid w:val="23D86AAC"/>
    <w:multiLevelType w:val="hybridMultilevel"/>
    <w:lvl w:ilvl="0">
      <w:lvlJc w:val="left"/>
      <w:lvlText w:val="(%1)"/>
      <w:numFmt w:val="decimal"/>
      <w:start w:val="2"/>
    </w:lvl>
  </w:abstractNum>
  <w:abstractNum w:abstractNumId="21">
    <w:nsid w:val="45E6D486"/>
    <w:multiLevelType w:val="hybridMultilevel"/>
    <w:lvl w:ilvl="0">
      <w:lvlJc w:val="left"/>
      <w:lvlText w:val="(%1)"/>
      <w:numFmt w:val="decimal"/>
      <w:start w:val="1"/>
    </w:lvl>
  </w:abstractNum>
  <w:abstractNum w:abstractNumId="22">
    <w:nsid w:val="5C10FE21"/>
    <w:multiLevelType w:val="hybridMultilevel"/>
    <w:lvl w:ilvl="0">
      <w:lvlJc w:val="left"/>
      <w:lvlText w:val="(%1)"/>
      <w:numFmt w:val="decimal"/>
      <w:start w:val="3"/>
    </w:lvl>
  </w:abstractNum>
  <w:abstractNum w:abstractNumId="23">
    <w:nsid w:val="E7FFA2B"/>
    <w:multiLevelType w:val="hybridMultilevel"/>
    <w:lvl w:ilvl="0">
      <w:lvlJc w:val="left"/>
      <w:lvlText w:val="(%1)"/>
      <w:numFmt w:val="lowerLetter"/>
      <w:start w:val="25"/>
    </w:lvl>
  </w:abstractNum>
  <w:abstractNum w:abstractNumId="24">
    <w:nsid w:val="3C5991AA"/>
    <w:multiLevelType w:val="hybridMultilevel"/>
    <w:lvl w:ilvl="0">
      <w:lvlJc w:val="left"/>
      <w:lvlText w:val="(%1)"/>
      <w:numFmt w:val="lowerRoman"/>
      <w:start w:val="2"/>
    </w:lvl>
  </w:abstractNum>
  <w:abstractNum w:abstractNumId="25">
    <w:nsid w:val="4BD8591A"/>
    <w:multiLevelType w:val="hybridMultilevel"/>
    <w:lvl w:ilvl="0">
      <w:lvlJc w:val="left"/>
      <w:lvlText w:val="(%1)"/>
      <w:numFmt w:val="lowerRoman"/>
      <w:start w:val="3"/>
    </w:lvl>
  </w:abstractNum>
  <w:abstractNum w:abstractNumId="26">
    <w:nsid w:val="78DF6A55"/>
    <w:multiLevelType w:val="hybridMultilevel"/>
    <w:lvl w:ilvl="0">
      <w:lvlJc w:val="left"/>
      <w:lvlText w:val="(%1)"/>
      <w:numFmt w:val="lowerRoman"/>
      <w:start w:val="1"/>
    </w:lvl>
  </w:abstractNum>
  <w:abstractNum w:abstractNumId="27">
    <w:nsid w:val="39B7AAA2"/>
    <w:multiLevelType w:val="hybridMultilevel"/>
    <w:lvl w:ilvl="0">
      <w:lvlJc w:val="left"/>
      <w:lvlText w:val="(%1)"/>
      <w:numFmt w:val="lowerLetter"/>
      <w:start w:val="2"/>
    </w:lvl>
  </w:abstractNum>
  <w:abstractNum w:abstractNumId="28">
    <w:nsid w:val="2B0D8DBE"/>
    <w:multiLevelType w:val="hybridMultilevel"/>
    <w:lvl w:ilvl="0">
      <w:lvlJc w:val="left"/>
      <w:lvlText w:val="(%1)"/>
      <w:numFmt w:val="lowerLetter"/>
      <w:start w:val="3"/>
    </w:lvl>
  </w:abstractNum>
  <w:abstractNum w:abstractNumId="29">
    <w:nsid w:val="6C80EC70"/>
    <w:multiLevelType w:val="hybridMultilevel"/>
    <w:lvl w:ilvl="0">
      <w:lvlJc w:val="left"/>
      <w:lvlText w:val="(%1)"/>
      <w:numFmt w:val="lowerRoman"/>
      <w:start w:val="4"/>
    </w:lvl>
  </w:abstractNum>
  <w:abstractNum w:abstractNumId="30">
    <w:nsid w:val="379E21B5"/>
    <w:multiLevelType w:val="hybridMultilevel"/>
    <w:lvl w:ilvl="0">
      <w:lvlJc w:val="left"/>
      <w:lvlText w:val="(%1)"/>
      <w:numFmt w:val="lowerLetter"/>
      <w:start w:val="2"/>
    </w:lvl>
  </w:abstractNum>
  <w:abstractNum w:abstractNumId="31">
    <w:nsid w:val="69E373"/>
    <w:multiLevelType w:val="hybridMultilevel"/>
    <w:lvl w:ilvl="0">
      <w:lvlJc w:val="left"/>
      <w:lvlText w:val="(%1)"/>
      <w:numFmt w:val="lowerLetter"/>
      <w:start w:val="1"/>
    </w:lvl>
  </w:abstractNum>
  <w:abstractNum w:abstractNumId="32">
    <w:nsid w:val="2C27173B"/>
    <w:multiLevelType w:val="hybridMultilevel"/>
    <w:lvl w:ilvl="0">
      <w:lvlJc w:val="left"/>
      <w:lvlText w:val="(%1)"/>
      <w:numFmt w:val="lowerLetter"/>
      <w:start w:val="8"/>
    </w:lvl>
  </w:abstractNum>
  <w:abstractNum w:abstractNumId="33">
    <w:nsid w:val="4C9B0904"/>
    <w:multiLevelType w:val="hybridMultilevel"/>
    <w:lvl w:ilvl="0">
      <w:lvlJc w:val="left"/>
      <w:lvlText w:val="(%1)"/>
      <w:numFmt w:val="lowerLetter"/>
      <w:start w:val="1"/>
    </w:lvl>
  </w:abstractNum>
  <w:abstractNum w:abstractNumId="34">
    <w:nsid w:val="6AA7B75C"/>
    <w:multiLevelType w:val="hybridMultilevel"/>
    <w:lvl w:ilvl="0">
      <w:lvlJc w:val="left"/>
      <w:lvlText w:val="(%1)"/>
      <w:numFmt w:val="lowerRoman"/>
      <w:start w:val="1"/>
    </w:lvl>
  </w:abstractNum>
  <w:abstractNum w:abstractNumId="35">
    <w:nsid w:val="1DF029D3"/>
    <w:multiLevelType w:val="hybridMultilevel"/>
    <w:lvl w:ilvl="0">
      <w:lvlJc w:val="left"/>
      <w:lvlText w:val="(%1)"/>
      <w:numFmt w:val="lowerLetter"/>
      <w:start w:val="2"/>
    </w:lvl>
  </w:abstractNum>
  <w:abstractNum w:abstractNumId="36">
    <w:nsid w:val="5675FF36"/>
    <w:multiLevelType w:val="hybridMultilevel"/>
    <w:lvl w:ilvl="0">
      <w:lvlJc w:val="left"/>
      <w:lvlText w:val="(%1)"/>
      <w:numFmt w:val="lowerLetter"/>
      <w:start w:val="2"/>
    </w:lvl>
  </w:abstractNum>
  <w:abstractNum w:abstractNumId="37">
    <w:nsid w:val="3DD15094"/>
    <w:multiLevelType w:val="hybridMultilevel"/>
    <w:lvl w:ilvl="0">
      <w:lvlJc w:val="left"/>
      <w:lvlText w:val="(%1)"/>
      <w:numFmt w:val="lowerLetter"/>
      <w:start w:val="3"/>
    </w:lvl>
  </w:abstractNum>
  <w:abstractNum w:abstractNumId="38">
    <w:nsid w:val="3DB012B3"/>
    <w:multiLevelType w:val="hybridMultilevel"/>
    <w:lvl w:ilvl="0">
      <w:lvlJc w:val="left"/>
      <w:lvlText w:val="(%1)"/>
      <w:numFmt w:val="lowerLetter"/>
      <w:start w:val="2"/>
    </w:lvl>
  </w:abstractNum>
  <w:abstractNum w:abstractNumId="39">
    <w:nsid w:val="2708C9AF"/>
    <w:multiLevelType w:val="hybridMultilevel"/>
    <w:lvl w:ilvl="0">
      <w:lvlJc w:val="left"/>
      <w:lvlText w:val="(%1)"/>
      <w:numFmt w:val="lowerLetter"/>
      <w:start w:val="2"/>
    </w:lvl>
  </w:abstractNum>
  <w:abstractNum w:abstractNumId="40">
    <w:nsid w:val="5B25ACE2"/>
    <w:multiLevelType w:val="hybridMultilevel"/>
    <w:lvl w:ilvl="0">
      <w:lvlJc w:val="left"/>
      <w:lvlText w:val="(%1)"/>
      <w:numFmt w:val="lowerRoman"/>
      <w:start w:val="1"/>
    </w:lvl>
  </w:abstractNum>
  <w:abstractNum w:abstractNumId="41">
    <w:nsid w:val="175DFCF0"/>
    <w:multiLevelType w:val="hybridMultilevel"/>
    <w:lvl w:ilvl="0">
      <w:lvlJc w:val="left"/>
      <w:lvlText w:val="(%1)"/>
      <w:numFmt w:val="lowerRoman"/>
      <w:start w:val="1"/>
    </w:lvl>
  </w:abstractNum>
  <w:abstractNum w:abstractNumId="42">
    <w:nsid w:val="4F97E3E4"/>
    <w:multiLevelType w:val="hybridMultilevel"/>
    <w:lvl w:ilvl="0">
      <w:lvlJc w:val="left"/>
      <w:lvlText w:val="(%1)"/>
      <w:numFmt w:val="lowerLetter"/>
      <w:start w:val="2"/>
    </w:lvl>
  </w:abstractNum>
  <w:abstractNum w:abstractNumId="43">
    <w:nsid w:val="53B0A9E"/>
    <w:multiLevelType w:val="hybridMultilevel"/>
    <w:lvl w:ilvl="0">
      <w:lvlJc w:val="left"/>
      <w:lvlText w:val="(%1)"/>
      <w:numFmt w:val="lowerLetter"/>
      <w:start w:val="4"/>
    </w:lvl>
  </w:abstractNum>
  <w:abstractNum w:abstractNumId="44">
    <w:nsid w:val="34FD6B4F"/>
    <w:multiLevelType w:val="hybridMultilevel"/>
    <w:lvl w:ilvl="0">
      <w:lvlJc w:val="left"/>
      <w:lvlText w:val="(%1)"/>
      <w:numFmt w:val="lowerLetter"/>
      <w:start w:val="6"/>
    </w:lvl>
  </w:abstractNum>
  <w:abstractNum w:abstractNumId="45">
    <w:nsid w:val="5915FF32"/>
    <w:multiLevelType w:val="hybridMultilevel"/>
    <w:lvl w:ilvl="0">
      <w:lvlJc w:val="left"/>
      <w:lvlText w:val="(%1)"/>
      <w:numFmt w:val="lowerLetter"/>
      <w:start w:val="2"/>
    </w:lvl>
  </w:abstractNum>
  <w:abstractNum w:abstractNumId="46">
    <w:nsid w:val="56438D15"/>
    <w:multiLevelType w:val="hybridMultilevel"/>
    <w:lvl w:ilvl="0">
      <w:lvlJc w:val="left"/>
      <w:lvlText w:val="(%1)"/>
      <w:numFmt w:val="lowerLetter"/>
      <w:start w:val="3"/>
    </w:lvl>
  </w:abstractNum>
  <w:abstractNum w:abstractNumId="47">
    <w:nsid w:val="519E3149"/>
    <w:multiLevelType w:val="hybridMultilevel"/>
    <w:lvl w:ilvl="0">
      <w:lvlJc w:val="left"/>
      <w:lvlText w:val="(%1)"/>
      <w:numFmt w:val="lowerLetter"/>
      <w:start w:val="35"/>
    </w:lvl>
  </w:abstractNum>
  <w:abstractNum w:abstractNumId="48">
    <w:nsid w:val="2C6E4AFD"/>
    <w:multiLevelType w:val="hybridMultilevel"/>
    <w:lvl w:ilvl="0">
      <w:lvlJc w:val="left"/>
      <w:lvlText w:val="(%1)"/>
      <w:numFmt w:val="lowerLetter"/>
      <w:start w:val="4"/>
    </w:lvl>
  </w:abstractNum>
  <w:abstractNum w:abstractNumId="49">
    <w:nsid w:val="17A1B582"/>
    <w:multiLevelType w:val="hybridMultilevel"/>
    <w:lvl w:ilvl="0">
      <w:lvlJc w:val="left"/>
      <w:lvlText w:val="(%1)"/>
      <w:numFmt w:val="lowerLetter"/>
      <w:start w:val="6"/>
    </w:lvl>
  </w:abstractNum>
  <w:abstractNum w:abstractNumId="50">
    <w:nsid w:val="4DF72E4E"/>
    <w:multiLevelType w:val="hybridMultilevel"/>
    <w:lvl w:ilvl="0">
      <w:lvlJc w:val="left"/>
      <w:lvlText w:val="(%1)"/>
      <w:numFmt w:val="lowerLetter"/>
      <w:start w:val="7"/>
    </w:lvl>
    <w:lvl w:ilvl="1">
      <w:lvlJc w:val="left"/>
      <w:lvlText w:val="(%2)"/>
      <w:numFmt w:val="lowerRoman"/>
      <w:start w:val="1"/>
    </w:lvl>
  </w:abstractNum>
  <w:abstractNum w:abstractNumId="51">
    <w:nsid w:val="5046B5A9"/>
    <w:multiLevelType w:val="hybridMultilevel"/>
    <w:lvl w:ilvl="0">
      <w:lvlJc w:val="left"/>
      <w:lvlText w:val="(%1)"/>
      <w:numFmt w:val="lowerLetter"/>
      <w:start w:val="10"/>
    </w:lvl>
  </w:abstractNum>
  <w:abstractNum w:abstractNumId="52">
    <w:nsid w:val="5D888A08"/>
    <w:multiLevelType w:val="hybridMultilevel"/>
    <w:lvl w:ilvl="0">
      <w:lvlJc w:val="left"/>
      <w:lvlText w:val="(%1)"/>
      <w:numFmt w:val="lowerLetter"/>
      <w:start w:val="12"/>
    </w:lvl>
  </w:abstractNum>
  <w:abstractNum w:abstractNumId="53">
    <w:nsid w:val="2A082C70"/>
    <w:multiLevelType w:val="hybridMultilevel"/>
    <w:lvl w:ilvl="0">
      <w:lvlJc w:val="left"/>
      <w:lvlText w:val="(%1)"/>
      <w:numFmt w:val="lowerLetter"/>
      <w:start w:val="2"/>
    </w:lvl>
  </w:abstractNum>
  <w:abstractNum w:abstractNumId="54">
    <w:nsid w:val="5EC6AFD4"/>
    <w:multiLevelType w:val="hybridMultilevel"/>
    <w:lvl w:ilvl="0">
      <w:lvlJc w:val="left"/>
      <w:lvlText w:val="(%1)"/>
      <w:numFmt w:val="lowerLetter"/>
      <w:start w:val="2"/>
    </w:lvl>
  </w:abstractNum>
  <w:abstractNum w:abstractNumId="55">
    <w:nsid w:val="19E21BB2"/>
    <w:multiLevelType w:val="hybridMultilevel"/>
    <w:lvl w:ilvl="0">
      <w:lvlJc w:val="left"/>
      <w:lvlText w:val="(%1)"/>
      <w:numFmt w:val="lowerRoman"/>
      <w:start w:val="1"/>
    </w:lvl>
  </w:abstractNum>
  <w:abstractNum w:abstractNumId="56">
    <w:nsid w:val="75E0858A"/>
    <w:multiLevelType w:val="hybridMultilevel"/>
    <w:lvl w:ilvl="0">
      <w:lvlJc w:val="left"/>
      <w:lvlText w:val="(%1)"/>
      <w:numFmt w:val="lowerLetter"/>
      <w:start w:val="4"/>
    </w:lvl>
  </w:abstractNum>
  <w:abstractNum w:abstractNumId="57">
    <w:nsid w:val="57A61A29"/>
    <w:multiLevelType w:val="hybridMultilevel"/>
    <w:lvl w:ilvl="0">
      <w:lvlJc w:val="left"/>
      <w:lvlText w:val="(%1)"/>
      <w:numFmt w:val="lowerLetter"/>
      <w:start w:val="6"/>
    </w:lvl>
  </w:abstractNum>
  <w:abstractNum w:abstractNumId="58">
    <w:nsid w:val="5399C654"/>
    <w:multiLevelType w:val="hybridMultilevel"/>
    <w:lvl w:ilvl="0">
      <w:lvlJc w:val="left"/>
      <w:lvlText w:val="(%1)"/>
      <w:numFmt w:val="lowerLetter"/>
      <w:start w:val="2"/>
    </w:lvl>
  </w:abstractNum>
  <w:abstractNum w:abstractNumId="59">
    <w:nsid w:val="20EE1348"/>
    <w:multiLevelType w:val="hybridMultilevel"/>
    <w:lvl w:ilvl="0">
      <w:lvlJc w:val="left"/>
      <w:lvlText w:val="(%1)"/>
      <w:numFmt w:val="lowerLetter"/>
      <w:start w:val="2"/>
    </w:lvl>
  </w:abstractNum>
  <w:abstractNum w:abstractNumId="60">
    <w:nsid w:val="4427069A"/>
    <w:multiLevelType w:val="hybridMultilevel"/>
    <w:lvl w:ilvl="0">
      <w:lvlJc w:val="left"/>
      <w:lvlText w:val="(%1)"/>
      <w:numFmt w:val="lowerLetter"/>
      <w:start w:val="1"/>
    </w:lvl>
  </w:abstractNum>
  <w:abstractNum w:abstractNumId="61">
    <w:nsid w:val="B37E80A"/>
    <w:multiLevelType w:val="hybridMultilevel"/>
    <w:lvl w:ilvl="0">
      <w:lvlJc w:val="left"/>
      <w:lvlText w:val="(%1)"/>
      <w:numFmt w:val="lowerRoman"/>
      <w:start w:val="2"/>
    </w:lvl>
  </w:abstractNum>
  <w:abstractNum w:abstractNumId="62">
    <w:nsid w:val="2157F6BC"/>
    <w:multiLevelType w:val="hybridMultilevel"/>
    <w:lvl w:ilvl="0">
      <w:lvlJc w:val="left"/>
      <w:lvlText w:val="(%1)"/>
      <w:numFmt w:val="lowerLetter"/>
      <w:start w:val="3"/>
    </w:lvl>
  </w:abstractNum>
  <w:abstractNum w:abstractNumId="63">
    <w:nsid w:val="704E1DD5"/>
    <w:multiLevelType w:val="hybridMultilevel"/>
    <w:lvl w:ilvl="0">
      <w:lvlJc w:val="left"/>
      <w:lvlText w:val="(%1)"/>
      <w:numFmt w:val="lowerLetter"/>
      <w:start w:val="35"/>
    </w:lvl>
  </w:abstractNum>
  <w:abstractNum w:abstractNumId="64">
    <w:nsid w:val="57D2F10E"/>
    <w:multiLevelType w:val="hybridMultilevel"/>
    <w:lvl w:ilvl="0">
      <w:lvlJc w:val="left"/>
      <w:lvlText w:val="(%1)"/>
      <w:numFmt w:val="lowerLetter"/>
      <w:start w:val="2"/>
    </w:lvl>
  </w:abstractNum>
  <w:abstractNum w:abstractNumId="65">
    <w:nsid w:val="BFFAE18"/>
    <w:multiLevelType w:val="hybridMultilevel"/>
    <w:lvl w:ilvl="0">
      <w:lvlJc w:val="left"/>
      <w:lvlText w:val="(%1)"/>
      <w:numFmt w:val="lowerLetter"/>
      <w:start w:val="3"/>
    </w:lvl>
  </w:abstractNum>
  <w:abstractNum w:abstractNumId="66">
    <w:nsid w:val="E3E47A8"/>
    <w:multiLevelType w:val="hybridMultilevel"/>
    <w:lvl w:ilvl="0">
      <w:lvlJc w:val="left"/>
      <w:lvlText w:val="(%1)"/>
      <w:numFmt w:val="lowerLetter"/>
      <w:start w:val="2"/>
    </w:lvl>
  </w:abstractNum>
  <w:abstractNum w:abstractNumId="67">
    <w:nsid w:val="2E48F044"/>
    <w:multiLevelType w:val="hybridMultilevel"/>
    <w:lvl w:ilvl="0">
      <w:lvlJc w:val="left"/>
      <w:lvlText w:val="(%1)"/>
      <w:numFmt w:val="lowerRoman"/>
      <w:start w:val="1"/>
    </w:lvl>
  </w:abstractNum>
  <w:abstractNum w:abstractNumId="68">
    <w:nsid w:val="49D0FEAC"/>
    <w:multiLevelType w:val="hybridMultilevel"/>
    <w:lvl w:ilvl="0">
      <w:lvlJc w:val="left"/>
      <w:lvlText w:val="(%1)"/>
      <w:numFmt w:val="decimal"/>
      <w:start w:val="1"/>
    </w:lvl>
  </w:abstractNum>
  <w:abstractNum w:abstractNumId="69">
    <w:nsid w:val="4BEE5A5B"/>
    <w:multiLevelType w:val="hybridMultilevel"/>
    <w:lvl w:ilvl="0">
      <w:lvlJc w:val="left"/>
      <w:lvlText w:val="(%1)"/>
      <w:numFmt w:val="lowerLetter"/>
      <w:start w:val="2"/>
    </w:lvl>
  </w:abstractNum>
  <w:abstractNum w:abstractNumId="70">
    <w:nsid w:val="5551B9F3"/>
    <w:multiLevelType w:val="hybridMultilevel"/>
    <w:lvl w:ilvl="0">
      <w:lvlJc w:val="left"/>
      <w:lvlText w:val="(%1)"/>
      <w:numFmt w:val="lowerLetter"/>
      <w:start w:val="3"/>
    </w:lvl>
    <w:lvl w:ilvl="1">
      <w:lvlJc w:val="left"/>
      <w:lvlText w:val="(%2)"/>
      <w:numFmt w:val="lowerLetter"/>
      <w:start w:val="35"/>
    </w:lvl>
  </w:abstractNum>
  <w:abstractNum w:abstractNumId="71">
    <w:nsid w:val="24F6AB8E"/>
    <w:multiLevelType w:val="hybridMultilevel"/>
    <w:lvl w:ilvl="0">
      <w:lvlJc w:val="left"/>
      <w:lvlText w:val="(%1)"/>
      <w:numFmt w:val="lowerLetter"/>
      <w:start w:val="35"/>
    </w:lvl>
    <w:lvl w:ilvl="1">
      <w:lvlJc w:val="left"/>
      <w:lvlText w:val="%2"/>
      <w:numFmt w:val="lowerLetter"/>
      <w:start w:val="1"/>
    </w:lvl>
  </w:abstractNum>
  <w:abstractNum w:abstractNumId="72">
    <w:nsid w:val="634C574C"/>
    <w:multiLevelType w:val="hybridMultilevel"/>
    <w:lvl w:ilvl="0">
      <w:lvlJc w:val="left"/>
      <w:lvlText w:val="(%1)"/>
      <w:numFmt w:val="lowerLetter"/>
      <w:start w:val="5"/>
    </w:lvl>
  </w:abstractNum>
  <w:abstractNum w:abstractNumId="73">
    <w:nsid w:val="24E99DD7"/>
    <w:multiLevelType w:val="hybridMultilevel"/>
    <w:lvl w:ilvl="0">
      <w:lvlJc w:val="left"/>
      <w:lvlText w:val="(%1)"/>
      <w:numFmt w:val="lowerLetter"/>
      <w:start w:val="35"/>
    </w:lvl>
  </w:abstractNum>
  <w:abstractNum w:abstractNumId="74">
    <w:nsid w:val="2A31B62D"/>
    <w:multiLevelType w:val="hybridMultilevel"/>
    <w:lvl w:ilvl="0">
      <w:lvlJc w:val="left"/>
      <w:lvlText w:val="(%1)"/>
      <w:numFmt w:val="lowerRoman"/>
      <w:start w:val="1"/>
    </w:lvl>
  </w:abstractNum>
  <w:abstractNum w:abstractNumId="75">
    <w:nsid w:val="1849C29B"/>
    <w:multiLevelType w:val="hybridMultilevel"/>
    <w:lvl w:ilvl="0">
      <w:lvlJc w:val="left"/>
      <w:lvlText w:val="(%1)"/>
      <w:numFmt w:val="lowerLetter"/>
      <w:start w:val="2"/>
    </w:lvl>
  </w:abstractNum>
  <w:abstractNum w:abstractNumId="76">
    <w:nsid w:val="7DFF9D09"/>
    <w:multiLevelType w:val="hybridMultilevel"/>
    <w:lvl w:ilvl="0">
      <w:lvlJc w:val="left"/>
      <w:lvlText w:val="(%1)"/>
      <w:numFmt w:val="lowerLetter"/>
      <w:start w:val="3"/>
    </w:lvl>
  </w:abstractNum>
  <w:abstractNum w:abstractNumId="77">
    <w:nsid w:val="754342"/>
    <w:multiLevelType w:val="hybridMultilevel"/>
    <w:lvl w:ilvl="0">
      <w:lvlJc w:val="left"/>
      <w:lvlText w:val="(%1)"/>
      <w:numFmt w:val="lowerLetter"/>
      <w:start w:val="2"/>
    </w:lvl>
  </w:abstractNum>
  <w:abstractNum w:abstractNumId="78">
    <w:nsid w:val="69E7F3E5"/>
    <w:multiLevelType w:val="hybridMultilevel"/>
    <w:lvl w:ilvl="0">
      <w:lvlJc w:val="left"/>
      <w:lvlText w:val="(%1)"/>
      <w:numFmt w:val="lowerLetter"/>
      <w:start w:val="2"/>
    </w:lvl>
  </w:abstractNum>
  <w:abstractNum w:abstractNumId="79">
    <w:nsid w:val="2A6DE806"/>
    <w:multiLevelType w:val="hybridMultilevel"/>
    <w:lvl w:ilvl="0">
      <w:lvlJc w:val="left"/>
      <w:lvlText w:val="(%1)"/>
      <w:numFmt w:val="lowerRoman"/>
      <w:start w:val="1"/>
    </w:lvl>
    <w:lvl w:ilvl="1">
      <w:lvlJc w:val="left"/>
      <w:lvlText w:val="(%2)"/>
      <w:numFmt w:val="upperLetter"/>
      <w:start w:val="1"/>
    </w:lvl>
  </w:abstractNum>
  <w:abstractNum w:abstractNumId="80">
    <w:nsid w:val="1816F8C4"/>
    <w:multiLevelType w:val="hybridMultilevel"/>
    <w:lvl w:ilvl="0">
      <w:lvlJc w:val="left"/>
      <w:lvlText w:val="%1"/>
      <w:numFmt w:val="lowerLetter"/>
      <w:start w:val="1"/>
    </w:lvl>
    <w:lvl w:ilvl="1">
      <w:lvlJc w:val="left"/>
      <w:lvlText w:val="(%2)"/>
      <w:numFmt w:val="upperLetter"/>
      <w:start w:val="5"/>
    </w:lvl>
  </w:abstractNum>
  <w:abstractNum w:abstractNumId="81">
    <w:nsid w:val="37DF2233"/>
    <w:multiLevelType w:val="hybridMultilevel"/>
    <w:lvl w:ilvl="0">
      <w:lvlJc w:val="left"/>
      <w:lvlText w:val="(%1)"/>
      <w:numFmt w:val="lowerLetter"/>
      <w:start w:val="6"/>
    </w:lvl>
    <w:lvl w:ilvl="1">
      <w:lvlJc w:val="left"/>
      <w:lvlText w:val="%2"/>
      <w:numFmt w:val="upperLetter"/>
      <w:start w:val="1"/>
    </w:lvl>
  </w:abstractNum>
  <w:abstractNum w:abstractNumId="82">
    <w:nsid w:val="7AB49DAF"/>
    <w:multiLevelType w:val="hybridMultilevel"/>
    <w:lvl w:ilvl="0">
      <w:lvlJc w:val="left"/>
      <w:lvlText w:val="(%1)"/>
      <w:numFmt w:val="lowerLetter"/>
      <w:start w:val="2"/>
    </w:lvl>
  </w:abstractNum>
  <w:abstractNum w:abstractNumId="83">
    <w:nsid w:val="759F82CD"/>
    <w:multiLevelType w:val="hybridMultilevel"/>
    <w:lvl w:ilvl="0">
      <w:lvlJc w:val="left"/>
      <w:lvlText w:val="(%1)"/>
      <w:numFmt w:val="lowerLetter"/>
      <w:start w:val="3"/>
    </w:lvl>
  </w:abstractNum>
  <w:abstractNum w:abstractNumId="84">
    <w:nsid w:val="61E74EA3"/>
    <w:multiLevelType w:val="hybridMultilevel"/>
    <w:lvl w:ilvl="0">
      <w:lvlJc w:val="left"/>
      <w:lvlText w:val="(%1)"/>
      <w:numFmt w:val="lowerLetter"/>
      <w:start w:val="9"/>
    </w:lvl>
  </w:abstractNum>
  <w:abstractNum w:abstractNumId="85">
    <w:nsid w:val="597B4D84"/>
    <w:multiLevelType w:val="hybridMultilevel"/>
    <w:lvl w:ilvl="0">
      <w:lvlJc w:val="left"/>
      <w:lvlText w:val="(%1)"/>
      <w:numFmt w:val="lowerLetter"/>
      <w:start w:val="5"/>
    </w:lvl>
  </w:abstractNum>
  <w:abstractNum w:abstractNumId="86">
    <w:nsid w:val="F819E7F"/>
    <w:multiLevelType w:val="hybridMultilevel"/>
    <w:lvl w:ilvl="0">
      <w:lvlJc w:val="left"/>
      <w:lvlText w:val="(%1)"/>
      <w:numFmt w:val="lowerLetter"/>
      <w:start w:val="2"/>
    </w:lvl>
  </w:abstractNum>
  <w:abstractNum w:abstractNumId="87">
    <w:nsid w:val="57C7D42D"/>
    <w:multiLevelType w:val="hybridMultilevel"/>
    <w:lvl w:ilvl="0">
      <w:lvlJc w:val="left"/>
      <w:lvlText w:val="(%1)"/>
      <w:numFmt w:val="lowerLetter"/>
      <w:start w:val="1"/>
    </w:lvl>
  </w:abstractNum>
  <w:abstractNum w:abstractNumId="88">
    <w:nsid w:val="312167AD"/>
    <w:multiLevelType w:val="hybridMultilevel"/>
    <w:lvl w:ilvl="0">
      <w:lvlJc w:val="left"/>
      <w:lvlText w:val="(%1)"/>
      <w:numFmt w:val="lowerLetter"/>
      <w:start w:val="24"/>
    </w:lvl>
  </w:abstractNum>
  <w:abstractNum w:abstractNumId="89">
    <w:nsid w:val="631B64D4"/>
    <w:multiLevelType w:val="hybridMultilevel"/>
    <w:lvl w:ilvl="0">
      <w:lvlJc w:val="left"/>
      <w:lvlText w:val="(%1)"/>
      <w:numFmt w:val="lowerLetter"/>
      <w:start w:val="3"/>
    </w:lvl>
    <w:lvl w:ilvl="1">
      <w:lvlJc w:val="left"/>
      <w:lvlText w:val="(%2)"/>
      <w:numFmt w:val="lowerRoman"/>
      <w:start w:val="1"/>
    </w:lvl>
  </w:abstractNum>
  <w:abstractNum w:abstractNumId="90">
    <w:nsid w:val="78B5E776"/>
    <w:multiLevelType w:val="hybridMultilevel"/>
    <w:lvl w:ilvl="0">
      <w:lvlJc w:val="left"/>
      <w:lvlText w:val="(%1)"/>
      <w:numFmt w:val="lowerLetter"/>
      <w:start w:val="5"/>
    </w:lvl>
  </w:abstractNum>
  <w:abstractNum w:abstractNumId="91">
    <w:nsid w:val="75486E47"/>
    <w:multiLevelType w:val="hybridMultilevel"/>
    <w:lvl w:ilvl="0">
      <w:lvlJc w:val="left"/>
      <w:lvlText w:val="(%1)"/>
      <w:numFmt w:val="lowerLetter"/>
      <w:start w:val="2"/>
    </w:lvl>
  </w:abstractNum>
  <w:abstractNum w:abstractNumId="92">
    <w:nsid w:val="6E534CDE"/>
    <w:multiLevelType w:val="hybridMultilevel"/>
    <w:lvl w:ilvl="0">
      <w:lvlJc w:val="left"/>
      <w:lvlText w:val="(%1)"/>
      <w:numFmt w:val="lowerLetter"/>
      <w:start w:val="2"/>
    </w:lvl>
  </w:abstractNum>
  <w:abstractNum w:abstractNumId="93">
    <w:nsid w:val="1A0DDE32"/>
    <w:multiLevelType w:val="hybridMultilevel"/>
    <w:lvl w:ilvl="0">
      <w:lvlJc w:val="left"/>
      <w:lvlText w:val="(%1)"/>
      <w:numFmt w:val="lowerLetter"/>
      <w:start w:val="2"/>
    </w:lvl>
  </w:abstractNum>
  <w:abstractNum w:abstractNumId="94">
    <w:nsid w:val="65968C1C"/>
    <w:multiLevelType w:val="hybridMultilevel"/>
    <w:lvl w:ilvl="0">
      <w:lvlJc w:val="left"/>
      <w:lvlText w:val="(%1)"/>
      <w:numFmt w:val="lowerLetter"/>
      <w:start w:val="2"/>
    </w:lvl>
  </w:abstractNum>
  <w:abstractNum w:abstractNumId="95">
    <w:nsid w:val="46263DEC"/>
    <w:multiLevelType w:val="hybridMultilevel"/>
    <w:lvl w:ilvl="0">
      <w:lvlJc w:val="left"/>
      <w:lvlText w:val="(%1)"/>
      <w:numFmt w:val="lowerLetter"/>
      <w:start w:val="2"/>
    </w:lvl>
  </w:abstractNum>
  <w:abstractNum w:abstractNumId="96">
    <w:nsid w:val="260D8C4A"/>
    <w:multiLevelType w:val="hybridMultilevel"/>
    <w:lvl w:ilvl="0">
      <w:lvlJc w:val="left"/>
      <w:lvlText w:val="(%1)"/>
      <w:numFmt w:val="lowerLetter"/>
      <w:start w:val="1"/>
    </w:lvl>
  </w:abstractNum>
  <w:abstractNum w:abstractNumId="97">
    <w:nsid w:val="73D4D3C4"/>
    <w:multiLevelType w:val="hybridMultilevel"/>
    <w:lvl w:ilvl="0">
      <w:lvlJc w:val="left"/>
      <w:lvlText w:val="(%1)"/>
      <w:numFmt w:val="lowerLetter"/>
      <w:start w:val="1"/>
    </w:lvl>
  </w:abstractNum>
  <w:abstractNum w:abstractNumId="98">
    <w:nsid w:val="746F2E30"/>
    <w:multiLevelType w:val="hybridMultilevel"/>
    <w:lvl w:ilvl="0">
      <w:lvlJc w:val="left"/>
      <w:lvlText w:val="(%1)"/>
      <w:numFmt w:val="lowerLetter"/>
      <w:start w:val="35"/>
    </w:lvl>
  </w:abstractNum>
  <w:abstractNum w:abstractNumId="99">
    <w:nsid w:val="6FDE8AF6"/>
    <w:multiLevelType w:val="hybridMultilevel"/>
    <w:lvl w:ilvl="0">
      <w:lvlJc w:val="left"/>
      <w:lvlText w:val="(%1)"/>
      <w:numFmt w:val="lowerLetter"/>
      <w:start w:val="2"/>
    </w:lvl>
  </w:abstractNum>
  <w:abstractNum w:abstractNumId="100">
    <w:nsid w:val="3FC32E20"/>
    <w:multiLevelType w:val="hybridMultilevel"/>
    <w:lvl w:ilvl="0">
      <w:lvlJc w:val="left"/>
      <w:lvlText w:val="(%1)"/>
      <w:numFmt w:val="lowerLetter"/>
      <w:start w:val="6"/>
    </w:lvl>
  </w:abstractNum>
  <w:abstractNum w:abstractNumId="101">
    <w:nsid w:val="49C0E823"/>
    <w:multiLevelType w:val="hybridMultilevel"/>
    <w:lvl w:ilvl="0">
      <w:lvlJc w:val="left"/>
      <w:lvlText w:val="(%1)"/>
      <w:numFmt w:val="lowerLetter"/>
      <w:start w:val="1"/>
    </w:lvl>
  </w:abstractNum>
  <w:abstractNum w:abstractNumId="102">
    <w:nsid w:val="14D53685"/>
    <w:multiLevelType w:val="hybridMultilevel"/>
    <w:lvl w:ilvl="0">
      <w:lvlJc w:val="left"/>
      <w:lvlText w:val="(%1)"/>
      <w:numFmt w:val="lowerLetter"/>
      <w:start w:val="1"/>
    </w:lvl>
  </w:abstractNum>
  <w:abstractNum w:abstractNumId="103">
    <w:nsid w:val="230F856C"/>
    <w:multiLevelType w:val="hybridMultilevel"/>
    <w:lvl w:ilvl="0">
      <w:lvlJc w:val="left"/>
      <w:lvlText w:val="(%1)"/>
      <w:numFmt w:val="lowerLetter"/>
      <w:start w:val="1"/>
    </w:lvl>
  </w:abstractNum>
  <w:abstractNum w:abstractNumId="104">
    <w:nsid w:val="6EAA85FB"/>
    <w:multiLevelType w:val="hybridMultilevel"/>
    <w:lvl w:ilvl="0">
      <w:lvlJc w:val="left"/>
      <w:lvlText w:val="(%1)"/>
      <w:numFmt w:val="lowerLetter"/>
      <w:start w:val="2"/>
    </w:lvl>
  </w:abstractNum>
  <w:abstractNum w:abstractNumId="105">
    <w:nsid w:val="3F06ECB2"/>
    <w:multiLevelType w:val="hybridMultilevel"/>
    <w:lvl w:ilvl="0">
      <w:lvlJc w:val="left"/>
      <w:lvlText w:val="(%1)"/>
      <w:numFmt w:val="lowerLetter"/>
      <w:start w:val="3"/>
    </w:lvl>
  </w:abstractNum>
  <w:abstractNum w:abstractNumId="106">
    <w:nsid w:val="3B594807"/>
    <w:multiLevelType w:val="hybridMultilevel"/>
    <w:lvl w:ilvl="0">
      <w:lvlJc w:val="left"/>
      <w:lvlText w:val="(%1)"/>
      <w:numFmt w:val="lowerLetter"/>
      <w:start w:val="1"/>
    </w:lvl>
  </w:abstractNum>
  <w:abstractNum w:abstractNumId="107">
    <w:nsid w:val="6CAA2304"/>
    <w:multiLevelType w:val="hybridMultilevel"/>
    <w:lvl w:ilvl="0">
      <w:lvlJc w:val="left"/>
      <w:lvlText w:val="(%1)"/>
      <w:numFmt w:val="lowerLetter"/>
      <w:start w:val="1"/>
    </w:lvl>
  </w:abstractNum>
  <w:abstractNum w:abstractNumId="108">
    <w:nsid w:val="3F7C2FF4"/>
    <w:multiLevelType w:val="hybridMultilevel"/>
    <w:lvl w:ilvl="0">
      <w:lvlJc w:val="left"/>
      <w:lvlText w:val="(%1)"/>
      <w:numFmt w:val="lowerLetter"/>
      <w:start w:val="11"/>
    </w:lvl>
  </w:abstractNum>
  <w:abstractNum w:abstractNumId="109">
    <w:nsid w:val="25413BEC"/>
    <w:multiLevelType w:val="hybridMultilevel"/>
    <w:lvl w:ilvl="0">
      <w:lvlJc w:val="left"/>
      <w:lvlText w:val="(%1)"/>
      <w:numFmt w:val="lowerLetter"/>
      <w:start w:val="1"/>
    </w:lvl>
  </w:abstractNum>
  <w:abstractNum w:abstractNumId="110">
    <w:nsid w:val="17180B0B"/>
    <w:multiLevelType w:val="hybridMultilevel"/>
    <w:lvl w:ilvl="0">
      <w:lvlJc w:val="left"/>
      <w:lvlText w:val="(%1)"/>
      <w:numFmt w:val="lowerLetter"/>
      <w:start w:val="5"/>
    </w:lvl>
  </w:abstractNum>
  <w:abstractNum w:abstractNumId="111">
    <w:nsid w:val="579328B9"/>
    <w:multiLevelType w:val="hybridMultilevel"/>
    <w:lvl w:ilvl="0">
      <w:lvlJc w:val="left"/>
      <w:lvlText w:val="(%1)"/>
      <w:numFmt w:val="decimal"/>
      <w:start w:val="1"/>
    </w:lvl>
  </w:abstractNum>
  <w:abstractNum w:abstractNumId="112">
    <w:nsid w:val="5D205E20"/>
    <w:multiLevelType w:val="hybridMultilevel"/>
    <w:lvl w:ilvl="0">
      <w:lvlJc w:val="left"/>
      <w:lvlText w:val="(%1)"/>
      <w:numFmt w:val="lowerLetter"/>
      <w:start w:val="2"/>
    </w:lvl>
  </w:abstractNum>
  <w:abstractNum w:abstractNumId="113">
    <w:nsid w:val="11CCA8BA"/>
    <w:multiLevelType w:val="hybridMultilevel"/>
    <w:lvl w:ilvl="0">
      <w:lvlJc w:val="left"/>
      <w:lvlText w:val="(%1)"/>
      <w:numFmt w:val="lowerLetter"/>
      <w:start w:val="1"/>
    </w:lvl>
  </w:abstractNum>
  <w:abstractNum w:abstractNumId="114">
    <w:nsid w:val="4D32AB86"/>
    <w:multiLevelType w:val="hybridMultilevel"/>
    <w:lvl w:ilvl="0">
      <w:lvlJc w:val="left"/>
      <w:lvlText w:val="(%1)"/>
      <w:numFmt w:val="lowerLetter"/>
      <w:start w:val="9"/>
    </w:lvl>
  </w:abstractNum>
  <w:abstractNum w:abstractNumId="115">
    <w:nsid w:val="3F07ACC3"/>
    <w:multiLevelType w:val="hybridMultilevel"/>
    <w:lvl w:ilvl="0">
      <w:lvlJc w:val="left"/>
      <w:lvlText w:val="(%1)"/>
      <w:numFmt w:val="lowerLetter"/>
      <w:start w:val="1"/>
    </w:lvl>
  </w:abstractNum>
  <w:abstractNum w:abstractNumId="116">
    <w:nsid w:val="6B47F63E"/>
    <w:multiLevelType w:val="hybridMultilevel"/>
    <w:lvl w:ilvl="0">
      <w:lvlJc w:val="left"/>
      <w:lvlText w:val="(%1)"/>
      <w:numFmt w:val="lowerLetter"/>
      <w:start w:val="2"/>
    </w:lvl>
  </w:abstractNum>
  <w:abstractNum w:abstractNumId="117">
    <w:nsid w:val="5CB44A05"/>
    <w:multiLevelType w:val="hybridMultilevel"/>
    <w:lvl w:ilvl="0">
      <w:lvlJc w:val="left"/>
      <w:lvlText w:val="(%1)"/>
      <w:numFmt w:val="lowerLetter"/>
      <w:start w:val="2"/>
    </w:lvl>
  </w:abstractNum>
  <w:abstractNum w:abstractNumId="118">
    <w:nsid w:val="16CF80F1"/>
    <w:multiLevelType w:val="hybridMultilevel"/>
    <w:lvl w:ilvl="0">
      <w:lvlJc w:val="left"/>
      <w:lvlText w:val="(%1)"/>
      <w:numFmt w:val="lowerRoman"/>
      <w:start w:val="1"/>
    </w:lvl>
  </w:abstractNum>
  <w:abstractNum w:abstractNumId="119">
    <w:nsid w:val="1C695DEC"/>
    <w:multiLevelType w:val="hybridMultilevel"/>
    <w:lvl w:ilvl="0">
      <w:lvlJc w:val="left"/>
      <w:lvlText w:val="(%1)"/>
      <w:numFmt w:val="lowerLetter"/>
      <w:start w:val="2"/>
    </w:lvl>
  </w:abstractNum>
  <w:abstractNum w:abstractNumId="120">
    <w:nsid w:val="3FCFAED9"/>
    <w:multiLevelType w:val="hybridMultilevel"/>
    <w:lvl w:ilvl="0">
      <w:lvlJc w:val="left"/>
      <w:lvlText w:val="(%1)"/>
      <w:numFmt w:val="lowerLetter"/>
      <w:start w:val="5"/>
    </w:lvl>
  </w:abstractNum>
  <w:abstractNum w:abstractNumId="121">
    <w:nsid w:val="F856867"/>
    <w:multiLevelType w:val="hybridMultilevel"/>
    <w:lvl w:ilvl="0">
      <w:lvlJc w:val="left"/>
      <w:lvlText w:val="(%1)"/>
      <w:numFmt w:val="lowerLetter"/>
      <w:start w:val="1"/>
    </w:lvl>
  </w:abstractNum>
  <w:abstractNum w:abstractNumId="122">
    <w:nsid w:val="11B1CC33"/>
    <w:multiLevelType w:val="hybridMultilevel"/>
    <w:lvl w:ilvl="0">
      <w:lvlJc w:val="left"/>
      <w:lvlText w:val="(%1)"/>
      <w:numFmt w:val="lowerLetter"/>
      <w:start w:val="1"/>
    </w:lvl>
  </w:abstractNum>
  <w:abstractNum w:abstractNumId="123">
    <w:nsid w:val="2E22FBB7"/>
    <w:multiLevelType w:val="hybridMultilevel"/>
    <w:lvl w:ilvl="0">
      <w:lvlJc w:val="left"/>
      <w:lvlText w:val="(%1)"/>
      <w:numFmt w:val="lowerLetter"/>
      <w:start w:val="1"/>
    </w:lvl>
  </w:abstractNum>
  <w:abstractNum w:abstractNumId="124">
    <w:nsid w:val="29934699"/>
    <w:multiLevelType w:val="hybridMultilevel"/>
    <w:lvl w:ilvl="0">
      <w:lvlJc w:val="left"/>
      <w:lvlText w:val="(%1)"/>
      <w:numFmt w:val="lowerLetter"/>
      <w:start w:val="7"/>
    </w:lvl>
  </w:abstractNum>
  <w:abstractNum w:abstractNumId="125">
    <w:nsid w:val="77485850"/>
    <w:multiLevelType w:val="hybridMultilevel"/>
    <w:lvl w:ilvl="0">
      <w:lvlJc w:val="left"/>
      <w:lvlText w:val="(%1)"/>
      <w:numFmt w:val="lowerLetter"/>
      <w:start w:val="61"/>
    </w:lvl>
  </w:abstractNum>
  <w:abstractNum w:abstractNumId="126">
    <w:nsid w:val="744939A3"/>
    <w:multiLevelType w:val="hybridMultilevel"/>
    <w:lvl w:ilvl="0">
      <w:lvlJc w:val="left"/>
      <w:lvlText w:val="(%1)"/>
      <w:numFmt w:val="lowerLetter"/>
      <w:start w:val="10"/>
    </w:lvl>
  </w:abstractNum>
  <w:abstractNum w:abstractNumId="127">
    <w:nsid w:val="4FA0D2E3"/>
    <w:multiLevelType w:val="hybridMultilevel"/>
    <w:lvl w:ilvl="0">
      <w:lvlJc w:val="left"/>
      <w:lvlText w:val="(%1)"/>
      <w:numFmt w:val="lowerLetter"/>
      <w:start w:val="16"/>
    </w:lvl>
  </w:abstractNum>
  <w:abstractNum w:abstractNumId="128">
    <w:nsid w:val="6B1D2C14"/>
    <w:multiLevelType w:val="hybridMultilevel"/>
    <w:lvl w:ilvl="0">
      <w:lvlJc w:val="left"/>
      <w:lvlText w:val="(%1)"/>
      <w:numFmt w:val="lowerLetter"/>
      <w:start w:val="1"/>
    </w:lvl>
  </w:abstractNum>
  <w:abstractNum w:abstractNumId="129">
    <w:nsid w:val="68B867D3"/>
    <w:multiLevelType w:val="hybridMultilevel"/>
    <w:lvl w:ilvl="0">
      <w:lvlJc w:val="left"/>
      <w:lvlText w:val="(%1)"/>
      <w:numFmt w:val="lowerLetter"/>
      <w:start w:val="1"/>
    </w:lvl>
  </w:abstractNum>
  <w:abstractNum w:abstractNumId="130">
    <w:nsid w:val="3F7F5DD9"/>
    <w:multiLevelType w:val="hybridMultilevel"/>
    <w:lvl w:ilvl="0">
      <w:lvlJc w:val="left"/>
      <w:lvlText w:val="(%1)"/>
      <w:numFmt w:val="lowerRoman"/>
      <w:start w:val="1"/>
    </w:lvl>
  </w:abstractNum>
  <w:abstractNum w:abstractNumId="131">
    <w:nsid w:val="2AE05A34"/>
    <w:multiLevelType w:val="hybridMultilevel"/>
    <w:lvl w:ilvl="0">
      <w:lvlJc w:val="left"/>
      <w:lvlText w:val="(%1)"/>
      <w:numFmt w:val="lowerRoman"/>
      <w:start w:val="3"/>
    </w:lvl>
  </w:abstractNum>
  <w:abstractNum w:abstractNumId="132">
    <w:nsid w:val="32794FF7"/>
    <w:multiLevelType w:val="hybridMultilevel"/>
    <w:lvl w:ilvl="0">
      <w:lvlJc w:val="left"/>
      <w:lvlText w:val="(%1)"/>
      <w:numFmt w:val="lowerLetter"/>
      <w:start w:val="2"/>
    </w:lvl>
  </w:abstractNum>
  <w:abstractNum w:abstractNumId="133">
    <w:nsid w:val="5454945E"/>
    <w:multiLevelType w:val="hybridMultilevel"/>
    <w:lvl w:ilvl="0">
      <w:lvlJc w:val="left"/>
      <w:lvlText w:val="(%1)"/>
      <w:numFmt w:val="lowerLetter"/>
      <w:start w:val="2"/>
    </w:lvl>
  </w:abstractNum>
  <w:abstractNum w:abstractNumId="134">
    <w:nsid w:val="4DEFDFA0"/>
    <w:multiLevelType w:val="hybridMultilevel"/>
    <w:lvl w:ilvl="0">
      <w:lvlJc w:val="left"/>
      <w:lvlText w:val="(%1)"/>
      <w:numFmt w:val="lowerRoman"/>
      <w:start w:val="1"/>
    </w:lvl>
  </w:abstractNum>
  <w:abstractNum w:abstractNumId="135">
    <w:nsid w:val="2123D5F2"/>
    <w:multiLevelType w:val="hybridMultilevel"/>
    <w:lvl w:ilvl="0">
      <w:lvlJc w:val="left"/>
      <w:lvlText w:val="(%1)"/>
      <w:numFmt w:val="lowerLetter"/>
      <w:start w:val="4"/>
    </w:lvl>
  </w:abstractNum>
  <w:abstractNum w:abstractNumId="136">
    <w:nsid w:val="135B8110"/>
    <w:multiLevelType w:val="hybridMultilevel"/>
    <w:lvl w:ilvl="0">
      <w:lvlJc w:val="left"/>
      <w:lvlText w:val="(%1)"/>
      <w:numFmt w:val="lowerRoman"/>
      <w:start w:val="1"/>
    </w:lvl>
  </w:abstractNum>
  <w:abstractNum w:abstractNumId="137">
    <w:nsid w:val="94927A8"/>
    <w:multiLevelType w:val="hybridMultilevel"/>
    <w:lvl w:ilvl="0">
      <w:lvlJc w:val="left"/>
      <w:lvlText w:val="(%1)"/>
      <w:numFmt w:val="lowerLetter"/>
      <w:start w:val="7"/>
    </w:lvl>
  </w:abstractNum>
  <w:abstractNum w:abstractNumId="138">
    <w:nsid w:val="DCDF8F6"/>
    <w:multiLevelType w:val="hybridMultilevel"/>
    <w:lvl w:ilvl="0">
      <w:lvlJc w:val="left"/>
      <w:lvlText w:val="(%1)"/>
      <w:numFmt w:val="lowerLetter"/>
      <w:start w:val="2"/>
    </w:lvl>
  </w:abstractNum>
  <w:abstractNum w:abstractNumId="139">
    <w:nsid w:val="52D7B105"/>
    <w:multiLevelType w:val="hybridMultilevel"/>
    <w:lvl w:ilvl="0">
      <w:lvlJc w:val="left"/>
      <w:lvlText w:val="(%1)"/>
      <w:numFmt w:val="lowerLetter"/>
      <w:start w:val="61"/>
    </w:lvl>
  </w:abstractNum>
  <w:abstractNum w:abstractNumId="140">
    <w:nsid w:val="2E8A6394"/>
    <w:multiLevelType w:val="hybridMultilevel"/>
    <w:lvl w:ilvl="0">
      <w:lvlJc w:val="left"/>
      <w:lvlText w:val="(%1)"/>
      <w:numFmt w:val="lowerLetter"/>
      <w:start w:val="2"/>
    </w:lvl>
  </w:abstractNum>
  <w:abstractNum w:abstractNumId="141">
    <w:nsid w:val="24E60401"/>
    <w:multiLevelType w:val="hybridMultilevel"/>
    <w:lvl w:ilvl="0">
      <w:lvlJc w:val="left"/>
      <w:lvlText w:val="(%1)"/>
      <w:numFmt w:val="lowerLetter"/>
      <w:start w:val="2"/>
    </w:lvl>
  </w:abstractNum>
  <w:abstractNum w:abstractNumId="142">
    <w:nsid w:val="2A6AD9BE"/>
    <w:multiLevelType w:val="hybridMultilevel"/>
    <w:lvl w:ilvl="0">
      <w:lvlJc w:val="left"/>
      <w:lvlText w:val="(%1)"/>
      <w:numFmt w:val="lowerRoman"/>
      <w:start w:val="2"/>
    </w:lvl>
  </w:abstractNum>
  <w:abstractNum w:abstractNumId="143">
    <w:nsid w:val="BAAC1B4"/>
    <w:multiLevelType w:val="hybridMultilevel"/>
    <w:lvl w:ilvl="0">
      <w:lvlJc w:val="left"/>
      <w:lvlText w:val="(%1)"/>
      <w:numFmt w:val="lowerRoman"/>
      <w:start w:val="3"/>
    </w:lvl>
  </w:abstractNum>
  <w:abstractNum w:abstractNumId="144">
    <w:nsid w:val="36B2ACBC"/>
    <w:multiLevelType w:val="hybridMultilevel"/>
    <w:lvl w:ilvl="0">
      <w:lvlJc w:val="left"/>
      <w:lvlText w:val="(%1)"/>
      <w:numFmt w:val="lowerLetter"/>
      <w:start w:val="2"/>
    </w:lvl>
  </w:abstractNum>
  <w:abstractNum w:abstractNumId="145">
    <w:nsid w:val="779D8544"/>
    <w:multiLevelType w:val="hybridMultilevel"/>
    <w:lvl w:ilvl="0">
      <w:lvlJc w:val="left"/>
      <w:lvlText w:val="(%1)"/>
      <w:numFmt w:val="lowerRoman"/>
      <w:start w:val="1"/>
    </w:lvl>
  </w:abstractNum>
  <w:abstractNum w:abstractNumId="146">
    <w:nsid w:val="4AB26E78"/>
    <w:multiLevelType w:val="hybridMultilevel"/>
    <w:lvl w:ilvl="0">
      <w:lvlJc w:val="left"/>
      <w:lvlText w:val="(%1)"/>
      <w:numFmt w:val="lowerRoman"/>
      <w:start w:val="2"/>
    </w:lvl>
  </w:abstractNum>
  <w:abstractNum w:abstractNumId="147">
    <w:nsid w:val="21FAA2FA"/>
    <w:multiLevelType w:val="hybridMultilevel"/>
    <w:lvl w:ilvl="0">
      <w:lvlJc w:val="left"/>
      <w:lvlText w:val="(%1)"/>
      <w:numFmt w:val="lowerLetter"/>
      <w:start w:val="2"/>
    </w:lvl>
  </w:abstractNum>
  <w:abstractNum w:abstractNumId="148">
    <w:nsid w:val="5451CF49"/>
    <w:multiLevelType w:val="hybridMultilevel"/>
    <w:lvl w:ilvl="0">
      <w:lvlJc w:val="left"/>
      <w:lvlText w:val="(%1)"/>
      <w:numFmt w:val="lowerLetter"/>
      <w:start w:val="1"/>
    </w:lvl>
  </w:abstractNum>
  <w:abstractNum w:abstractNumId="149">
    <w:nsid w:val="6181EF69"/>
    <w:multiLevelType w:val="hybridMultilevel"/>
    <w:lvl w:ilvl="0">
      <w:lvlJc w:val="left"/>
      <w:lvlText w:val="(%1)"/>
      <w:numFmt w:val="lowerLetter"/>
      <w:start w:val="2"/>
    </w:lvl>
  </w:abstractNum>
  <w:abstractNum w:abstractNumId="150">
    <w:nsid w:val="3E6400E6"/>
    <w:multiLevelType w:val="hybridMultilevel"/>
    <w:lvl w:ilvl="0">
      <w:lvlJc w:val="left"/>
      <w:lvlText w:val="(%1)"/>
      <w:numFmt w:val="lowerLetter"/>
      <w:start w:val="4"/>
    </w:lvl>
  </w:abstractNum>
  <w:abstractNum w:abstractNumId="151">
    <w:nsid w:val="14217E23"/>
    <w:multiLevelType w:val="hybridMultilevel"/>
    <w:lvl w:ilvl="0">
      <w:lvlJc w:val="left"/>
      <w:lvlText w:val="(%1)"/>
      <w:numFmt w:val="lowerLetter"/>
      <w:start w:val="5"/>
    </w:lvl>
  </w:abstractNum>
  <w:abstractNum w:abstractNumId="152">
    <w:nsid w:val="710757D0"/>
    <w:multiLevelType w:val="hybridMultilevel"/>
    <w:lvl w:ilvl="0">
      <w:lvlJc w:val="left"/>
      <w:lvlText w:val="(%1)"/>
      <w:numFmt w:val="lowerRoman"/>
      <w:start w:val="4"/>
    </w:lvl>
  </w:abstractNum>
  <w:abstractNum w:abstractNumId="153">
    <w:nsid w:val="5015CD1A"/>
    <w:multiLevelType w:val="hybridMultilevel"/>
    <w:lvl w:ilvl="0">
      <w:lvlJc w:val="left"/>
      <w:lvlText w:val="(%1)"/>
      <w:numFmt w:val="lowerLetter"/>
      <w:start w:val="1"/>
    </w:lvl>
  </w:abstractNum>
  <w:abstractNum w:abstractNumId="154">
    <w:nsid w:val="424479DA"/>
    <w:multiLevelType w:val="hybridMultilevel"/>
    <w:lvl w:ilvl="0">
      <w:lvlJc w:val="left"/>
      <w:lvlText w:val="(%1)"/>
      <w:numFmt w:val="lowerRoman"/>
      <w:start w:val="1"/>
    </w:lvl>
  </w:abstractNum>
  <w:abstractNum w:abstractNumId="155">
    <w:nsid w:val="1A9A9E69"/>
    <w:multiLevelType w:val="hybridMultilevel"/>
    <w:lvl w:ilvl="0">
      <w:lvlJc w:val="left"/>
      <w:lvlText w:val="(%1)"/>
      <w:numFmt w:val="lowerRoman"/>
      <w:start w:val="3"/>
    </w:lvl>
  </w:abstractNum>
  <w:abstractNum w:abstractNumId="156">
    <w:nsid w:val="475E256A"/>
    <w:multiLevelType w:val="hybridMultilevel"/>
    <w:lvl w:ilvl="0">
      <w:lvlJc w:val="left"/>
      <w:lvlText w:val="(%1)"/>
      <w:numFmt w:val="lowerLetter"/>
      <w:start w:val="2"/>
    </w:lvl>
  </w:abstractNum>
  <w:abstractNum w:abstractNumId="157">
    <w:nsid w:val="368DB37E"/>
    <w:multiLevelType w:val="hybridMultilevel"/>
    <w:lvl w:ilvl="0">
      <w:lvlJc w:val="left"/>
      <w:lvlText w:val="(%1)"/>
      <w:numFmt w:val="lowerLetter"/>
      <w:start w:val="3"/>
    </w:lvl>
  </w:abstractNum>
  <w:abstractNum w:abstractNumId="158">
    <w:nsid w:val="6A3B714C"/>
    <w:multiLevelType w:val="hybridMultilevel"/>
    <w:lvl w:ilvl="0">
      <w:lvlJc w:val="left"/>
      <w:lvlText w:val="(%1)"/>
      <w:numFmt w:val="lowerLetter"/>
      <w:start w:val="2"/>
    </w:lvl>
  </w:abstractNum>
  <w:abstractNum w:abstractNumId="159">
    <w:nsid w:val="327B517E"/>
    <w:multiLevelType w:val="hybridMultilevel"/>
    <w:lvl w:ilvl="0">
      <w:lvlJc w:val="left"/>
      <w:lvlText w:val="(%1)"/>
      <w:numFmt w:val="lowerLetter"/>
      <w:start w:val="3"/>
    </w:lvl>
  </w:abstractNum>
  <w:abstractNum w:abstractNumId="160">
    <w:nsid w:val="1F461B51"/>
    <w:multiLevelType w:val="hybridMultilevel"/>
    <w:lvl w:ilvl="0">
      <w:lvlJc w:val="left"/>
      <w:lvlText w:val="(%1)"/>
      <w:numFmt w:val="lowerLetter"/>
      <w:start w:val="5"/>
    </w:lvl>
  </w:abstractNum>
  <w:abstractNum w:abstractNumId="161">
    <w:nsid w:val="29BACF25"/>
    <w:multiLevelType w:val="hybridMultilevel"/>
    <w:lvl w:ilvl="0">
      <w:lvlJc w:val="left"/>
      <w:lvlText w:val="%1"/>
      <w:numFmt w:val="lowerLetter"/>
      <w:start w:val="1"/>
    </w:lvl>
    <w:lvl w:ilvl="1">
      <w:lvlJc w:val="left"/>
      <w:lvlText w:val="(%2)"/>
      <w:numFmt w:val="lowerLetter"/>
      <w:start w:val="1"/>
    </w:lvl>
  </w:abstractNum>
  <w:abstractNum w:abstractNumId="162">
    <w:nsid w:val="5D5BABB3"/>
    <w:multiLevelType w:val="hybridMultilevel"/>
    <w:lvl w:ilvl="0">
      <w:lvlJc w:val="left"/>
      <w:lvlText w:val="(%1)"/>
      <w:numFmt w:val="lowerLetter"/>
      <w:start w:val="2"/>
    </w:lvl>
    <w:lvl w:ilvl="1">
      <w:lvlJc w:val="left"/>
      <w:lvlText w:val="%2"/>
      <w:numFmt w:val="lowerLetter"/>
      <w:start w:val="1"/>
    </w:lvl>
  </w:abstractNum>
  <w:abstractNum w:abstractNumId="163">
    <w:nsid w:val="51BF6B48"/>
    <w:multiLevelType w:val="hybridMultilevel"/>
    <w:lvl w:ilvl="0">
      <w:lvlJc w:val="left"/>
      <w:lvlText w:val="(%1)"/>
      <w:numFmt w:val="lowerLetter"/>
      <w:start w:val="35"/>
    </w:lvl>
    <w:lvl w:ilvl="1">
      <w:lvlJc w:val="left"/>
      <w:lvlText w:val="%2"/>
      <w:numFmt w:val="lowerLetter"/>
      <w:start w:val="1"/>
    </w:lvl>
  </w:abstractNum>
  <w:abstractNum w:abstractNumId="164">
    <w:nsid w:val="7E0F6384"/>
    <w:multiLevelType w:val="hybridMultilevel"/>
    <w:lvl w:ilvl="0">
      <w:lvlJc w:val="left"/>
      <w:lvlText w:val="(%1)"/>
      <w:numFmt w:val="lowerLetter"/>
      <w:start w:val="3"/>
    </w:lvl>
    <w:lvl w:ilvl="1">
      <w:lvlJc w:val="left"/>
      <w:lvlText w:val="%2"/>
      <w:numFmt w:val="lowerLetter"/>
      <w:start w:val="1"/>
    </w:lvl>
  </w:abstractNum>
  <w:abstractNum w:abstractNumId="165">
    <w:nsid w:val="2B4B8B53"/>
    <w:multiLevelType w:val="hybridMultilevel"/>
    <w:lvl w:ilvl="0">
      <w:lvlJc w:val="left"/>
      <w:lvlText w:val="(%1)"/>
      <w:numFmt w:val="lowerLetter"/>
      <w:start w:val="4"/>
    </w:lvl>
  </w:abstractNum>
  <w:abstractNum w:abstractNumId="166">
    <w:nsid w:val="72E3413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7">
    <w:nsid w:val="116AE494"/>
    <w:multiLevelType w:val="hybridMultilevel"/>
    <w:lvl w:ilvl="0">
      <w:lvlJc w:val="left"/>
      <w:lvlText w:val="(%1)"/>
      <w:numFmt w:val="lowerRoman"/>
      <w:start w:val="3"/>
    </w:lvl>
  </w:abstractNum>
  <w:abstractNum w:abstractNumId="168">
    <w:nsid w:val="3494B2FB"/>
    <w:multiLevelType w:val="hybridMultilevel"/>
    <w:lvl w:ilvl="0">
      <w:lvlJc w:val="left"/>
      <w:lvlText w:val="%1"/>
      <w:numFmt w:val="lowerLetter"/>
      <w:start w:val="1"/>
    </w:lvl>
    <w:lvl w:ilvl="1">
      <w:lvlJc w:val="left"/>
      <w:lvlText w:val="(%2)"/>
      <w:numFmt w:val="lowerLetter"/>
      <w:start w:val="22"/>
    </w:lvl>
  </w:abstractNum>
  <w:abstractNum w:abstractNumId="169">
    <w:nsid w:val="B13A31"/>
    <w:multiLevelType w:val="hybridMultilevel"/>
    <w:lvl w:ilvl="0">
      <w:lvlJc w:val="left"/>
      <w:lvlText w:val="(%1)"/>
      <w:numFmt w:val="lowerLetter"/>
      <w:start w:val="3"/>
    </w:lvl>
    <w:lvl w:ilvl="1">
      <w:lvlJc w:val="left"/>
      <w:lvlText w:val="(%2)"/>
      <w:numFmt w:val="lowerLetter"/>
      <w:start w:val="35"/>
    </w:lvl>
  </w:abstractNum>
  <w:abstractNum w:abstractNumId="170">
    <w:nsid w:val="64429599"/>
    <w:multiLevelType w:val="hybridMultilevel"/>
    <w:lvl w:ilvl="0">
      <w:lvlJc w:val="left"/>
      <w:lvlText w:val="(%1)"/>
      <w:numFmt w:val="lowerLetter"/>
      <w:start w:val="4"/>
    </w:lvl>
  </w:abstractNum>
  <w:abstractNum w:abstractNumId="171">
    <w:nsid w:val="631F1690"/>
    <w:multiLevelType w:val="hybridMultilevel"/>
    <w:lvl w:ilvl="0">
      <w:lvlJc w:val="left"/>
      <w:lvlText w:val="(%1)"/>
      <w:numFmt w:val="lowerLetter"/>
      <w:start w:val="2"/>
    </w:lvl>
  </w:abstractNum>
  <w:abstractNum w:abstractNumId="172">
    <w:nsid w:val="25973E32"/>
    <w:multiLevelType w:val="hybridMultilevel"/>
    <w:lvl w:ilvl="0">
      <w:lvlJc w:val="left"/>
      <w:lvlText w:val="(%1)"/>
      <w:numFmt w:val="lowerLetter"/>
      <w:start w:val="2"/>
    </w:lvl>
  </w:abstractNum>
  <w:abstractNum w:abstractNumId="173">
    <w:nsid w:val="EAD6F57"/>
    <w:multiLevelType w:val="hybridMultilevel"/>
    <w:lvl w:ilvl="0">
      <w:lvlJc w:val="left"/>
      <w:lvlText w:val="(%1)"/>
      <w:numFmt w:val="lowerLetter"/>
      <w:start w:val="4"/>
    </w:lvl>
  </w:abstractNum>
  <w:abstractNum w:abstractNumId="174">
    <w:nsid w:val="6EC9D844"/>
    <w:multiLevelType w:val="hybridMultilevel"/>
    <w:lvl w:ilvl="0">
      <w:lvlJc w:val="left"/>
      <w:lvlText w:val="(%1)"/>
      <w:numFmt w:val="lowerLetter"/>
      <w:start w:val="6"/>
    </w:lvl>
  </w:abstractNum>
  <w:abstractNum w:abstractNumId="175">
    <w:nsid w:val="5C49EAEE"/>
    <w:multiLevelType w:val="hybridMultilevel"/>
    <w:lvl w:ilvl="0">
      <w:lvlJc w:val="left"/>
      <w:lvlText w:val="(%1)"/>
      <w:numFmt w:val="lowerLetter"/>
      <w:start w:val="1"/>
    </w:lvl>
  </w:abstractNum>
  <w:abstractNum w:abstractNumId="176">
    <w:nsid w:val="64AF49B"/>
    <w:multiLevelType w:val="hybridMultilevel"/>
    <w:lvl w:ilvl="0">
      <w:lvlJc w:val="left"/>
      <w:lvlText w:val="(%1)"/>
      <w:numFmt w:val="lowerLetter"/>
      <w:start w:val="3"/>
    </w:lvl>
  </w:abstractNum>
  <w:abstractNum w:abstractNumId="177">
    <w:nsid w:val="397C46BC"/>
    <w:multiLevelType w:val="hybridMultilevel"/>
    <w:lvl w:ilvl="0">
      <w:lvlJc w:val="left"/>
      <w:lvlText w:val="(%1)"/>
      <w:numFmt w:val="lowerLetter"/>
      <w:start w:val="2"/>
    </w:lvl>
  </w:abstractNum>
  <w:abstractNum w:abstractNumId="178">
    <w:nsid w:val="7E448DE9"/>
    <w:multiLevelType w:val="hybridMultilevel"/>
    <w:lvl w:ilvl="0">
      <w:lvlJc w:val="left"/>
      <w:lvlText w:val="(%1)"/>
      <w:numFmt w:val="lowerLetter"/>
      <w:start w:val="3"/>
    </w:lvl>
  </w:abstractNum>
  <w:abstractNum w:abstractNumId="179">
    <w:nsid w:val="5A9CC3E5"/>
    <w:multiLevelType w:val="hybridMultilevel"/>
    <w:lvl w:ilvl="0">
      <w:lvlJc w:val="left"/>
      <w:lvlText w:val="(%1)"/>
      <w:numFmt w:val="lowerLetter"/>
      <w:start w:val="1"/>
    </w:lvl>
  </w:abstractNum>
  <w:abstractNum w:abstractNumId="180">
    <w:nsid w:val="1AFE3625"/>
    <w:multiLevelType w:val="hybridMultilevel"/>
    <w:lvl w:ilvl="0">
      <w:lvlJc w:val="left"/>
      <w:lvlText w:val="(%1)"/>
      <w:numFmt w:val="lowerRoman"/>
      <w:start w:val="1"/>
    </w:lvl>
  </w:abstractNum>
  <w:abstractNum w:abstractNumId="181">
    <w:nsid w:val="3CA88ECF"/>
    <w:multiLevelType w:val="hybridMultilevel"/>
    <w:lvl w:ilvl="0">
      <w:lvlJc w:val="left"/>
      <w:lvlText w:val="(%1)"/>
      <w:numFmt w:val="lowerLetter"/>
      <w:start w:val="7"/>
    </w:lvl>
  </w:abstractNum>
  <w:abstractNum w:abstractNumId="182">
    <w:nsid w:val="6EBE4208"/>
    <w:multiLevelType w:val="hybridMultilevel"/>
    <w:lvl w:ilvl="0">
      <w:lvlJc w:val="left"/>
      <w:lvlText w:val="%1."/>
      <w:numFmt w:val="decimal"/>
      <w:start w:val="1"/>
    </w:lvl>
    <w:lvl w:ilvl="1">
      <w:lvlJc w:val="left"/>
      <w:lvlText w:val="%2."/>
      <w:numFmt w:val="lowerLetter"/>
      <w:start w:val="1"/>
    </w:lvl>
  </w:abstractNum>
  <w:abstractNum w:abstractNumId="183">
    <w:nsid w:val="C058DF5"/>
    <w:multiLevelType w:val="hybridMultilevel"/>
    <w:lvl w:ilvl="0">
      <w:lvlJc w:val="left"/>
      <w:lvlText w:val="%1."/>
      <w:numFmt w:val="decimal"/>
      <w:start w:val="8"/>
    </w:lvl>
    <w:lvl w:ilvl="1">
      <w:lvlJc w:val="left"/>
      <w:lvlText w:val="%2."/>
      <w:numFmt w:val="lowerLetter"/>
      <w:start w:val="1"/>
    </w:lvl>
  </w:abstractNum>
  <w:abstractNum w:abstractNumId="184">
    <w:nsid w:val="CBE5BE9"/>
    <w:multiLevelType w:val="hybridMultilevel"/>
    <w:lvl w:ilvl="0">
      <w:lvlJc w:val="left"/>
      <w:lvlText w:val="%1"/>
      <w:numFmt w:val="decimal"/>
      <w:start w:val="1"/>
    </w:lvl>
    <w:lvl w:ilvl="1">
      <w:lvlJc w:val="left"/>
      <w:lvlText w:val="%2."/>
      <w:numFmt w:val="lowerLetter"/>
      <w:start w:val="3"/>
    </w:lvl>
  </w:abstractNum>
  <w:abstractNum w:abstractNumId="185">
    <w:nsid w:val="3102BBE2"/>
    <w:multiLevelType w:val="hybridMultilevel"/>
    <w:lvl w:ilvl="0">
      <w:lvlJc w:val="left"/>
      <w:lvlText w:val="%1."/>
      <w:numFmt w:val="decimal"/>
      <w:start w:val="15"/>
    </w:lvl>
    <w:lvl w:ilvl="1">
      <w:lvlJc w:val="left"/>
      <w:lvlText w:val="%2."/>
      <w:numFmt w:val="lowerLetter"/>
      <w:start w:val="1"/>
    </w:lvl>
  </w:abstractNum>
  <w:abstractNum w:abstractNumId="186">
    <w:nsid w:val="26A02C5E"/>
    <w:multiLevelType w:val="hybridMultilevel"/>
    <w:lvl w:ilvl="0">
      <w:lvlJc w:val="left"/>
      <w:lvlText w:val="%1"/>
      <w:numFmt w:val="decimal"/>
      <w:start w:val="1"/>
    </w:lvl>
    <w:lvl w:ilvl="1">
      <w:lvlJc w:val="left"/>
      <w:lvlText w:val="%2."/>
      <w:numFmt w:val="lowerLetter"/>
      <w:start w:val="3"/>
    </w:lvl>
  </w:abstractNum>
  <w:abstractNum w:abstractNumId="187">
    <w:nsid w:val="541C8153"/>
    <w:multiLevelType w:val="hybridMultilevel"/>
    <w:lvl w:ilvl="0">
      <w:lvlJc w:val="left"/>
      <w:lvlText w:val="%1."/>
      <w:numFmt w:val="decimal"/>
      <w:start w:val="23"/>
    </w:lvl>
    <w:lvl w:ilvl="1">
      <w:lvlJc w:val="left"/>
      <w:lvlText w:val="%2."/>
      <w:numFmt w:val="lowerLetter"/>
      <w:start w:val="1"/>
    </w:lvl>
  </w:abstractNum>
  <w:abstractNum w:abstractNumId="188">
    <w:nsid w:val="67906F60"/>
    <w:multiLevelType w:val="hybridMultilevel"/>
    <w:lvl w:ilvl="0">
      <w:lvlJc w:val="left"/>
      <w:lvlText w:val="1"/>
      <w:numFmt w:val="bullet"/>
      <w:start w:val="1"/>
    </w:lvl>
  </w:abstractNum>
  <w:abstractNum w:abstractNumId="189">
    <w:nsid w:val="10DB9DAA"/>
    <w:multiLevelType w:val="hybridMultilevel"/>
    <w:lvl w:ilvl="0">
      <w:lvlJc w:val="left"/>
      <w:lvlText w:val="%1."/>
      <w:numFmt w:val="decimal"/>
      <w:start w:val="6"/>
    </w:lvl>
  </w:abstractNum>
  <w:abstractNum w:abstractNumId="190">
    <w:nsid w:val="697D2D2"/>
    <w:multiLevelType w:val="hybridMultilevel"/>
    <w:lvl w:ilvl="0">
      <w:lvlJc w:val="left"/>
      <w:lvlText w:val="2"/>
      <w:numFmt w:val="bullet"/>
      <w:start w:val="1"/>
    </w:lvl>
  </w:abstractNum>
  <w:abstractNum w:abstractNumId="191">
    <w:nsid w:val="6D68AB2"/>
    <w:multiLevelType w:val="hybridMultilevel"/>
    <w:lvl w:ilvl="0">
      <w:lvlJc w:val="left"/>
      <w:lvlText w:val="3"/>
      <w:numFmt w:val="bullet"/>
      <w:start w:val="1"/>
    </w:lvl>
  </w:abstractNum>
  <w:abstractNum w:abstractNumId="192">
    <w:nsid w:val="3A966CD0"/>
    <w:multiLevelType w:val="hybridMultilevel"/>
    <w:lvl w:ilvl="0">
      <w:lvlJc w:val="left"/>
      <w:lvlText w:val="%1."/>
      <w:numFmt w:val="decimal"/>
      <w:start w:val="1"/>
    </w:lvl>
  </w:abstractNum>
  <w:abstractNum w:abstractNumId="193">
    <w:nsid w:val="63F37E85"/>
    <w:multiLevelType w:val="hybridMultilevel"/>
    <w:lvl w:ilvl="0">
      <w:lvlJc w:val="left"/>
      <w:lvlText w:val="%1."/>
      <w:numFmt w:val="decimal"/>
      <w:start w:val="2"/>
    </w:lvl>
  </w:abstractNum>
  <w:abstractNum w:abstractNumId="194">
    <w:nsid w:val="5895F5FA"/>
    <w:multiLevelType w:val="hybridMultilevel"/>
    <w:lvl w:ilvl="0">
      <w:lvlJc w:val="left"/>
      <w:lvlText w:val="4"/>
      <w:numFmt w:val="bullet"/>
      <w:start w:val="1"/>
    </w:lvl>
  </w:abstractNum>
  <w:abstractNum w:abstractNumId="195">
    <w:nsid w:val="38A5D054"/>
    <w:multiLevelType w:val="hybridMultilevel"/>
    <w:lvl w:ilvl="0">
      <w:lvlJc w:val="left"/>
      <w:lvlText w:val="%1."/>
      <w:numFmt w:val="decimal"/>
      <w:start w:val="3"/>
    </w:lvl>
  </w:abstractNum>
  <w:abstractNum w:abstractNumId="196">
    <w:nsid w:val="F3F09D8"/>
    <w:multiLevelType w:val="hybridMultilevel"/>
    <w:lvl w:ilvl="0">
      <w:lvlJc w:val="left"/>
      <w:lvlText w:val="%1."/>
      <w:numFmt w:val="decimal"/>
      <w:start w:val="1"/>
    </w:lvl>
  </w:abstractNum>
  <w:abstractNum w:abstractNumId="197">
    <w:nsid w:val="4B793735"/>
    <w:multiLevelType w:val="hybridMultilevel"/>
    <w:lvl w:ilvl="0">
      <w:lvlJc w:val="left"/>
      <w:lvlText w:val="%1."/>
      <w:numFmt w:val="decimal"/>
      <w:start w:val="1"/>
    </w:lvl>
  </w:abstractNum>
  <w:abstractNum w:abstractNumId="198">
    <w:nsid w:val="4A10B4E8"/>
    <w:multiLevelType w:val="hybridMultilevel"/>
    <w:lvl w:ilvl="0">
      <w:lvlJc w:val="left"/>
      <w:lvlText w:val="%1."/>
      <w:numFmt w:val="decimal"/>
      <w:start w:val="4"/>
    </w:lvl>
  </w:abstractNum>
  <w:abstractNum w:abstractNumId="199">
    <w:nsid w:val="43D3BCD4"/>
    <w:multiLevelType w:val="hybridMultilevel"/>
    <w:lvl w:ilvl="0">
      <w:lvlJc w:val="left"/>
      <w:lvlText w:val="%1."/>
      <w:numFmt w:val="decimal"/>
      <w:start w:val="1"/>
    </w:lvl>
  </w:abstractNum>
  <w:abstractNum w:abstractNumId="200">
    <w:nsid w:val="4C2A7166"/>
    <w:multiLevelType w:val="hybridMultilevel"/>
    <w:lvl w:ilvl="0">
      <w:lvlJc w:val="left"/>
      <w:lvlText w:val="%1."/>
      <w:numFmt w:val="decimal"/>
      <w:start w:val="1"/>
    </w:lvl>
    <w:lvl w:ilvl="1">
      <w:lvlJc w:val="left"/>
      <w:lvlText w:val="%2)"/>
      <w:numFmt w:val="lowerLetter"/>
      <w:start w:val="1"/>
    </w:lvl>
  </w:abstractNum>
  <w:abstractNum w:abstractNumId="201">
    <w:nsid w:val="2E534A82"/>
    <w:multiLevelType w:val="hybridMultilevel"/>
    <w:lvl w:ilvl="0">
      <w:lvlJc w:val="left"/>
      <w:lvlText w:val="%1."/>
      <w:numFmt w:val="decimal"/>
      <w:start w:val="1"/>
    </w:lvl>
    <w:lvl w:ilvl="1">
      <w:lvlJc w:val="left"/>
      <w:lvlText w:val="%2)"/>
      <w:numFmt w:val="lowerLetter"/>
      <w:start w:val="1"/>
    </w:lvl>
  </w:abstractNum>
  <w:abstractNum w:abstractNumId="202">
    <w:nsid w:val="26F2D364"/>
    <w:multiLevelType w:val="hybridMultilevel"/>
    <w:lvl w:ilvl="0">
      <w:lvlJc w:val="left"/>
      <w:lvlText w:val="%1)"/>
      <w:numFmt w:val="decimal"/>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51" Type="http://schemas.openxmlformats.org/officeDocument/2006/relationships/hyperlink" Target="https://www.sec.gov/Archives/edgar/data/700923/000070092324000024/a2017long-termincentivep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2024-07-31T16:16:16Z</dcterms:created>
  <dcterms:modified xsi:type="dcterms:W3CDTF">2024-07-31T16:16:16Z</dcterms:modified>
</cp:coreProperties>
</file>