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5"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4"/>
          <w:szCs w:val="4"/>
          <w:b w:val="1"/>
          <w:bCs w:val="1"/>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46"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MYR GROUP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w:t>
      </w:r>
    </w:p>
    <w:p>
      <w:pPr>
        <w:sectPr>
          <w:pgSz w:w="11900" w:h="16838" w:orient="portrait"/>
          <w:cols w:equalWidth="0" w:num="1">
            <w:col w:w="11200"/>
          </w:cols>
          <w:pgMar w:left="320" w:top="238" w:right="379" w:bottom="1440" w:gutter="0" w:footer="0" w:header="0"/>
        </w:sectPr>
      </w:pPr>
    </w:p>
    <w:p>
      <w:pPr>
        <w:spacing w:after="0" w:line="6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5"/>
          <w:szCs w:val="15"/>
          <w:color w:val="auto"/>
        </w:rPr>
        <w:t>Delaware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36-3158643</w:t>
      </w:r>
    </w:p>
    <w:p>
      <w:pPr>
        <w:spacing w:after="0" w:line="200" w:lineRule="exact"/>
        <w:rPr>
          <w:sz w:val="24"/>
          <w:szCs w:val="24"/>
          <w:color w:val="auto"/>
        </w:rPr>
      </w:pPr>
    </w:p>
    <w:p>
      <w:pPr>
        <w:sectPr>
          <w:pgSz w:w="11900" w:h="16838" w:orient="portrait"/>
          <w:cols w:equalWidth="0" w:num="2">
            <w:col w:w="7600" w:space="720"/>
            <w:col w:w="2880"/>
          </w:cols>
          <w:pgMar w:left="320" w:top="238" w:right="379" w:bottom="1440" w:gutter="0" w:footer="0" w:header="0"/>
          <w:type w:val="continuous"/>
        </w:sectPr>
      </w:pPr>
    </w:p>
    <w:p>
      <w:pPr>
        <w:spacing w:after="0" w:line="10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5"/>
          <w:szCs w:val="15"/>
          <w:color w:val="auto"/>
        </w:rPr>
        <w:t>(State or other jurisdiction of</w:t>
      </w:r>
    </w:p>
    <w:p>
      <w:pPr>
        <w:spacing w:after="0" w:line="26"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Identification No.)</w:t>
      </w:r>
    </w:p>
    <w:p>
      <w:pPr>
        <w:spacing w:after="0" w:line="177" w:lineRule="exact"/>
        <w:rPr>
          <w:sz w:val="24"/>
          <w:szCs w:val="24"/>
          <w:color w:val="auto"/>
        </w:rPr>
      </w:pPr>
    </w:p>
    <w:p>
      <w:pPr>
        <w:sectPr>
          <w:pgSz w:w="11900" w:h="16838" w:orient="portrait"/>
          <w:cols w:equalWidth="0" w:num="2">
            <w:col w:w="7400" w:space="720"/>
            <w:col w:w="3080"/>
          </w:cols>
          <w:pgMar w:left="320" w:top="238" w:right="37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Thornton, CO 80241</w:t>
      </w: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__________________________________________________________________</w:t>
      </w:r>
    </w:p>
    <w:p>
      <w:pPr>
        <w:sectPr>
          <w:pgSz w:w="11900" w:h="16838" w:orient="portrait"/>
          <w:cols w:equalWidth="0" w:num="1">
            <w:col w:w="11200"/>
          </w:cols>
          <w:pgMar w:left="320" w:top="238" w:right="379" w:bottom="1440" w:gutter="0" w:footer="0" w:header="0"/>
          <w:type w:val="continuous"/>
        </w:sectPr>
      </w:pP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6"/>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Common Stock, $0.01 par value</w:t>
            </w:r>
          </w:p>
        </w:tc>
        <w:tc>
          <w:tcPr>
            <w:tcW w:w="100" w:type="dxa"/>
            <w:vAlign w:val="bottom"/>
          </w:tcPr>
          <w:p>
            <w:pPr>
              <w:spacing w:after="0"/>
              <w:rPr>
                <w:sz w:val="17"/>
                <w:szCs w:val="17"/>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MYRG</w:t>
            </w:r>
          </w:p>
        </w:tc>
        <w:tc>
          <w:tcPr>
            <w:tcW w:w="10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r>
        <w:trPr>
          <w:trHeight w:val="199"/>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Market)</w:t>
            </w:r>
          </w:p>
        </w:tc>
      </w:tr>
    </w:tbl>
    <w:p>
      <w:pPr>
        <w:spacing w:after="0" w:line="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25" w:lineRule="exact"/>
        <w:rPr>
          <w:sz w:val="24"/>
          <w:szCs w:val="24"/>
          <w:color w:val="auto"/>
        </w:rPr>
      </w:pPr>
    </w:p>
    <w:p>
      <w:pPr>
        <w:ind w:left="340" w:right="2620"/>
        <w:spacing w:after="0" w:line="217" w:lineRule="exact"/>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right="260" w:firstLine="324"/>
        <w:spacing w:after="0" w:line="195" w:lineRule="exact"/>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9" w:lineRule="exact"/>
        <w:rPr>
          <w:sz w:val="24"/>
          <w:szCs w:val="24"/>
          <w:color w:val="auto"/>
        </w:rPr>
      </w:pPr>
    </w:p>
    <w:p>
      <w:pPr>
        <w:ind w:right="660" w:firstLine="324"/>
        <w:spacing w:after="0" w:line="190" w:lineRule="exact"/>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440" w:firstLine="324"/>
        <w:spacing w:after="0" w:line="27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7" w:lineRule="exact"/>
        <w:rPr>
          <w:sz w:val="24"/>
          <w:szCs w:val="24"/>
          <w:color w:val="auto"/>
        </w:rPr>
      </w:pPr>
    </w:p>
    <w:tbl>
      <w:tblPr>
        <w:tblLayout w:type="fixed"/>
        <w:tblInd w:w="222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760" w:type="dxa"/>
            <w:vAlign w:val="bottom"/>
            <w:vMerge w:val="restart"/>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Accelerated filer</w:t>
            </w:r>
          </w:p>
        </w:tc>
        <w:tc>
          <w:tcPr>
            <w:tcW w:w="40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42"/>
        </w:trPr>
        <w:tc>
          <w:tcPr>
            <w:tcW w:w="198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9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1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760" w:type="dxa"/>
            <w:vAlign w:val="bottom"/>
            <w:vMerge w:val="restart"/>
          </w:tcPr>
          <w:p>
            <w:pPr>
              <w:ind w:left="640"/>
              <w:spacing w:after="0" w:line="151" w:lineRule="exact"/>
              <w:rPr>
                <w:sz w:val="20"/>
                <w:szCs w:val="20"/>
                <w:color w:val="auto"/>
              </w:rPr>
            </w:pPr>
            <w:r>
              <w:rPr>
                <w:rFonts w:ascii="MS PGothic" w:cs="MS PGothic" w:eastAsia="MS PGothic" w:hAnsi="MS PGothic"/>
                <w:sz w:val="15"/>
                <w:szCs w:val="15"/>
                <w:color w:val="auto"/>
              </w:rPr>
              <w:t>☐</w:t>
            </w:r>
          </w:p>
        </w:tc>
        <w:tc>
          <w:tcPr>
            <w:tcW w:w="292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40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97"/>
        </w:trPr>
        <w:tc>
          <w:tcPr>
            <w:tcW w:w="19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08"/>
        </w:trPr>
        <w:tc>
          <w:tcPr>
            <w:tcW w:w="1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920" w:type="dxa"/>
            <w:vAlign w:val="bottom"/>
          </w:tcPr>
          <w:p>
            <w:pPr>
              <w:ind w:left="1000"/>
              <w:spacing w:after="0"/>
              <w:rPr>
                <w:sz w:val="20"/>
                <w:szCs w:val="20"/>
                <w:color w:val="auto"/>
              </w:rPr>
            </w:pPr>
            <w:r>
              <w:rPr>
                <w:rFonts w:ascii="Times New Roman" w:cs="Times New Roman" w:eastAsia="Times New Roman" w:hAnsi="Times New Roman"/>
                <w:sz w:val="15"/>
                <w:szCs w:val="15"/>
                <w:color w:val="auto"/>
              </w:rPr>
              <w:t>Emerging growth company</w:t>
            </w:r>
          </w:p>
        </w:tc>
        <w:tc>
          <w:tcPr>
            <w:tcW w:w="400" w:type="dxa"/>
            <w:vAlign w:val="bottom"/>
            <w:vMerge w:val="restart"/>
          </w:tcPr>
          <w:p>
            <w:pPr>
              <w:ind w:left="26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97"/>
        </w:trPr>
        <w:tc>
          <w:tcPr>
            <w:tcW w:w="19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92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right="240" w:firstLine="324"/>
        <w:spacing w:after="0" w:line="20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6" w:lineRule="exact"/>
        <w:rPr>
          <w:sz w:val="24"/>
          <w:szCs w:val="24"/>
          <w:color w:val="auto"/>
        </w:rPr>
      </w:pPr>
    </w:p>
    <w:p>
      <w:pPr>
        <w:ind w:right="460" w:firstLine="324"/>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 w:lineRule="exact"/>
        <w:rPr>
          <w:sz w:val="24"/>
          <w:szCs w:val="24"/>
          <w:color w:val="auto"/>
        </w:rPr>
      </w:pPr>
    </w:p>
    <w:p>
      <w:pPr>
        <w:ind w:right="560" w:firstLine="324"/>
        <w:spacing w:after="0" w:line="202" w:lineRule="exact"/>
        <w:rPr>
          <w:sz w:val="20"/>
          <w:szCs w:val="20"/>
          <w:color w:val="auto"/>
        </w:rPr>
      </w:pPr>
      <w:r>
        <w:rPr>
          <w:rFonts w:ascii="Times New Roman" w:cs="Times New Roman" w:eastAsia="Times New Roman" w:hAnsi="Times New Roman"/>
          <w:sz w:val="15"/>
          <w:szCs w:val="15"/>
          <w:color w:val="auto"/>
        </w:rPr>
        <w:t>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6" w:lineRule="exact"/>
        <w:rPr>
          <w:sz w:val="24"/>
          <w:szCs w:val="24"/>
          <w:color w:val="auto"/>
        </w:rPr>
      </w:pPr>
    </w:p>
    <w:p>
      <w:pPr>
        <w:ind w:right="560" w:firstLine="324"/>
        <w:spacing w:after="0" w:line="202"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31" w:lineRule="exact"/>
        <w:rPr>
          <w:sz w:val="24"/>
          <w:szCs w:val="24"/>
          <w:color w:val="auto"/>
        </w:rPr>
      </w:pPr>
    </w:p>
    <w:p>
      <w:pPr>
        <w:ind w:left="340"/>
        <w:spacing w:after="0" w:line="173" w:lineRule="exact"/>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96" w:lineRule="exact"/>
        <w:rPr>
          <w:sz w:val="24"/>
          <w:szCs w:val="24"/>
          <w:color w:val="auto"/>
        </w:rPr>
      </w:pPr>
    </w:p>
    <w:p>
      <w:pPr>
        <w:jc w:val="both"/>
        <w:ind w:right="120" w:firstLine="324"/>
        <w:spacing w:after="0" w:line="271" w:lineRule="auto"/>
        <w:rPr>
          <w:sz w:val="20"/>
          <w:szCs w:val="20"/>
          <w:color w:val="auto"/>
        </w:rPr>
      </w:pPr>
      <w:r>
        <w:rPr>
          <w:rFonts w:ascii="Times New Roman" w:cs="Times New Roman" w:eastAsia="Times New Roman" w:hAnsi="Times New Roman"/>
          <w:sz w:val="15"/>
          <w:szCs w:val="15"/>
          <w:color w:val="auto"/>
        </w:rPr>
        <w:t>As of June 30, 2022 (the last business day of the registrant’s most recently completed second fiscal quarter), the aggregate market value of the outstanding common equity held by non-affiliates of the registrant was approximately $1.21 billion, based upon the closing sale price of the common stock on such date as reported by the Nasdaq Global Market (for purposes of calculating this amount, only directors, officers and beneficial owners of 10% or more of the outstanding capital stock of the registrant have been deemed affiliates).</w:t>
      </w:r>
    </w:p>
    <w:p>
      <w:pPr>
        <w:spacing w:after="0" w:line="1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5"/>
          <w:szCs w:val="15"/>
          <w:color w:val="auto"/>
        </w:rPr>
        <w:t>As of February 17, 2023 there were 16,665,262 shares of the registrant’s $0.01 par value common stock outstanding.</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0" w:lineRule="exact"/>
        <w:rPr>
          <w:sz w:val="24"/>
          <w:szCs w:val="24"/>
          <w:color w:val="auto"/>
        </w:rPr>
      </w:pPr>
    </w:p>
    <w:p>
      <w:pPr>
        <w:ind w:right="760"/>
        <w:spacing w:after="0" w:line="276" w:lineRule="auto"/>
        <w:rPr>
          <w:sz w:val="20"/>
          <w:szCs w:val="20"/>
          <w:color w:val="auto"/>
        </w:rPr>
      </w:pPr>
      <w:r>
        <w:rPr>
          <w:rFonts w:ascii="Times New Roman" w:cs="Times New Roman" w:eastAsia="Times New Roman" w:hAnsi="Times New Roman"/>
          <w:sz w:val="15"/>
          <w:szCs w:val="15"/>
          <w:color w:val="auto"/>
        </w:rPr>
        <w:t>Portions of the registrant’s definitive proxy statement to be filed with the Securities and Exchange Commission (the “SEC”) in connection with its 2023 annual meeting of shareholders expected to be held on April 20, 2023, are incorporated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238"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ind w:left="1220"/>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 I</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30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Business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6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0" w:type="dxa"/>
            <w:vAlign w:val="bottom"/>
          </w:tcPr>
          <w:p>
            <w:pPr>
              <w:spacing w:after="0"/>
              <w:rPr>
                <w:sz w:val="19"/>
                <w:szCs w:val="19"/>
                <w:color w:val="auto"/>
              </w:rPr>
            </w:pPr>
          </w:p>
        </w:tc>
        <w:tc>
          <w:tcPr>
            <w:tcW w:w="64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Item 1B.</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30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0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300" w:type="dxa"/>
            <w:vAlign w:val="bottom"/>
            <w:gridSpan w:val="4"/>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520" w:type="dxa"/>
            <w:vAlign w:val="bottom"/>
            <w:tcBorders>
              <w:bottom w:val="single" w:sz="8" w:color="0000FF"/>
            </w:tcBorders>
            <w:gridSpan w:val="4"/>
            <w:vMerge w:val="continue"/>
          </w:tcPr>
          <w:p>
            <w:pPr>
              <w:spacing w:after="0"/>
              <w:rPr>
                <w:sz w:val="21"/>
                <w:szCs w:val="21"/>
                <w:color w:val="auto"/>
              </w:rPr>
            </w:pPr>
          </w:p>
        </w:tc>
        <w:tc>
          <w:tcPr>
            <w:tcW w:w="30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740" w:type="dxa"/>
            <w:vAlign w:val="bottom"/>
            <w:gridSpan w:val="1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30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 II</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19"/>
                <w:szCs w:val="19"/>
                <w:color w:val="auto"/>
              </w:rPr>
            </w:pPr>
          </w:p>
        </w:tc>
        <w:tc>
          <w:tcPr>
            <w:tcW w:w="52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4"/>
              </w:rPr>
              <w:t>Item 5.</w:t>
            </w:r>
          </w:p>
        </w:tc>
        <w:tc>
          <w:tcPr>
            <w:tcW w:w="300" w:type="dxa"/>
            <w:vAlign w:val="bottom"/>
            <w:gridSpan w:val="4"/>
          </w:tcPr>
          <w:p>
            <w:pPr>
              <w:spacing w:after="0"/>
              <w:rPr>
                <w:sz w:val="19"/>
                <w:szCs w:val="19"/>
                <w:color w:val="auto"/>
              </w:rPr>
            </w:pPr>
          </w:p>
        </w:tc>
        <w:tc>
          <w:tcPr>
            <w:tcW w:w="160" w:type="dxa"/>
            <w:vAlign w:val="bottom"/>
          </w:tcPr>
          <w:p>
            <w:pPr>
              <w:spacing w:after="0"/>
              <w:rPr>
                <w:sz w:val="19"/>
                <w:szCs w:val="19"/>
                <w:color w:val="auto"/>
              </w:rPr>
            </w:pPr>
          </w:p>
        </w:tc>
        <w:tc>
          <w:tcPr>
            <w:tcW w:w="80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Shareholder Matters and Issuer Purchases of Equity Securities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22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[Reserved]</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60" w:type="dxa"/>
            <w:vAlign w:val="bottom"/>
            <w:gridSpan w:val="3"/>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gridSpan w:val="3"/>
            <w:shd w:val="clear" w:color="auto" w:fill="0000FF"/>
          </w:tcPr>
          <w:p>
            <w:pPr>
              <w:spacing w:after="0"/>
              <w:rPr>
                <w:sz w:val="2"/>
                <w:szCs w:val="2"/>
                <w:color w:val="auto"/>
              </w:rPr>
            </w:pPr>
          </w:p>
        </w:tc>
        <w:tc>
          <w:tcPr>
            <w:tcW w:w="5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0" w:type="dxa"/>
            <w:vAlign w:val="bottom"/>
          </w:tcPr>
          <w:p>
            <w:pPr>
              <w:spacing w:after="0"/>
              <w:rPr>
                <w:sz w:val="22"/>
                <w:szCs w:val="22"/>
                <w:color w:val="auto"/>
              </w:rPr>
            </w:pPr>
          </w:p>
        </w:tc>
        <w:tc>
          <w:tcPr>
            <w:tcW w:w="5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4"/>
              </w:rPr>
              <w:t>Item 7.</w:t>
            </w:r>
          </w:p>
        </w:tc>
        <w:tc>
          <w:tcPr>
            <w:tcW w:w="80" w:type="dxa"/>
            <w:vAlign w:val="bottom"/>
          </w:tcPr>
          <w:p>
            <w:pPr>
              <w:spacing w:after="0"/>
              <w:rPr>
                <w:sz w:val="22"/>
                <w:szCs w:val="22"/>
                <w:color w:val="auto"/>
              </w:rPr>
            </w:pPr>
          </w:p>
        </w:tc>
        <w:tc>
          <w:tcPr>
            <w:tcW w:w="220" w:type="dxa"/>
            <w:vAlign w:val="bottom"/>
            <w:gridSpan w:val="3"/>
          </w:tcPr>
          <w:p>
            <w:pPr>
              <w:spacing w:after="0"/>
              <w:rPr>
                <w:sz w:val="22"/>
                <w:szCs w:val="22"/>
                <w:color w:val="auto"/>
              </w:rPr>
            </w:pPr>
          </w:p>
        </w:tc>
        <w:tc>
          <w:tcPr>
            <w:tcW w:w="160" w:type="dxa"/>
            <w:vAlign w:val="bottom"/>
          </w:tcPr>
          <w:p>
            <w:pPr>
              <w:spacing w:after="0"/>
              <w:rPr>
                <w:sz w:val="22"/>
                <w:szCs w:val="22"/>
                <w:color w:val="auto"/>
              </w:rPr>
            </w:pPr>
          </w:p>
        </w:tc>
        <w:tc>
          <w:tcPr>
            <w:tcW w:w="65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80" w:type="dxa"/>
            <w:vAlign w:val="bottom"/>
            <w:tcBorders>
              <w:bottom w:val="single" w:sz="8" w:color="0000FF"/>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FF"/>
                <w:w w:val="99"/>
              </w:rPr>
              <w:t>Item 7A.</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60" w:type="dxa"/>
            <w:vAlign w:val="bottom"/>
            <w:tcBorders>
              <w:bottom w:val="single" w:sz="8" w:color="0000FF"/>
            </w:tcBorders>
            <w:gridSpan w:val="15"/>
          </w:tcPr>
          <w:p>
            <w:pPr>
              <w:spacing w:after="0" w:line="189"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72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Item 8.</w:t>
            </w:r>
          </w:p>
        </w:tc>
        <w:tc>
          <w:tcPr>
            <w:tcW w:w="30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Borders>
              <w:top w:val="single" w:sz="8" w:color="0000FF"/>
            </w:tcBorders>
            <w:gridSpan w:val="4"/>
            <w:vMerge w:val="restart"/>
          </w:tcPr>
          <w:p>
            <w:pPr>
              <w:spacing w:after="0"/>
              <w:rPr>
                <w:sz w:val="20"/>
                <w:szCs w:val="20"/>
                <w:color w:val="auto"/>
              </w:rPr>
            </w:pPr>
            <w:r>
              <w:rPr>
                <w:rFonts w:ascii="Times New Roman" w:cs="Times New Roman" w:eastAsia="Times New Roman" w:hAnsi="Times New Roman"/>
                <w:sz w:val="18"/>
                <w:szCs w:val="18"/>
                <w:color w:val="0000FF"/>
                <w:w w:val="94"/>
              </w:rPr>
              <w:t>Item 9.</w:t>
            </w:r>
          </w:p>
        </w:tc>
        <w:tc>
          <w:tcPr>
            <w:tcW w:w="300" w:type="dxa"/>
            <w:vAlign w:val="bottom"/>
            <w:gridSpan w:val="4"/>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0000FF"/>
            </w:tcBorders>
            <w:gridSpan w:val="5"/>
            <w:shd w:val="clear" w:color="auto" w:fill="0000FF"/>
          </w:tcPr>
          <w:p>
            <w:pPr>
              <w:spacing w:after="0" w:line="20" w:lineRule="exact"/>
              <w:rPr>
                <w:sz w:val="1"/>
                <w:szCs w:val="1"/>
                <w:color w:val="auto"/>
              </w:rPr>
            </w:pPr>
          </w:p>
        </w:tc>
        <w:tc>
          <w:tcPr>
            <w:tcW w:w="220" w:type="dxa"/>
            <w:vAlign w:val="bottom"/>
            <w:tcBorders>
              <w:top w:val="single" w:sz="8" w:color="0000FF"/>
            </w:tcBorders>
            <w:gridSpan w:val="2"/>
            <w:shd w:val="clear" w:color="auto" w:fill="0000FF"/>
          </w:tcPr>
          <w:p>
            <w:pPr>
              <w:spacing w:after="0" w:line="20" w:lineRule="exact"/>
              <w:rPr>
                <w:sz w:val="1"/>
                <w:szCs w:val="1"/>
                <w:color w:val="auto"/>
              </w:rPr>
            </w:pPr>
          </w:p>
        </w:tc>
        <w:tc>
          <w:tcPr>
            <w:tcW w:w="260" w:type="dxa"/>
            <w:vAlign w:val="bottom"/>
            <w:tcBorders>
              <w:top w:val="single" w:sz="8" w:color="0000FF"/>
            </w:tcBorders>
            <w:gridSpan w:val="2"/>
            <w:shd w:val="clear" w:color="auto" w:fill="0000FF"/>
          </w:tcPr>
          <w:p>
            <w:pPr>
              <w:spacing w:after="0" w:line="20" w:lineRule="exact"/>
              <w:rPr>
                <w:sz w:val="1"/>
                <w:szCs w:val="1"/>
                <w:color w:val="auto"/>
              </w:rPr>
            </w:pPr>
          </w:p>
        </w:tc>
        <w:tc>
          <w:tcPr>
            <w:tcW w:w="1060" w:type="dxa"/>
            <w:vAlign w:val="bottom"/>
            <w:tcBorders>
              <w:top w:val="single" w:sz="8" w:color="0000FF"/>
            </w:tcBorders>
            <w:gridSpan w:val="2"/>
            <w:shd w:val="clear" w:color="auto" w:fill="0000FF"/>
          </w:tcPr>
          <w:p>
            <w:pPr>
              <w:spacing w:after="0" w:line="20" w:lineRule="exact"/>
              <w:rPr>
                <w:sz w:val="1"/>
                <w:szCs w:val="1"/>
                <w:color w:val="auto"/>
              </w:rPr>
            </w:pPr>
          </w:p>
        </w:tc>
        <w:tc>
          <w:tcPr>
            <w:tcW w:w="220" w:type="dxa"/>
            <w:vAlign w:val="bottom"/>
            <w:tcBorders>
              <w:top w:val="single" w:sz="8" w:color="0000FF"/>
            </w:tcBorders>
            <w:shd w:val="clear" w:color="auto" w:fill="0000FF"/>
          </w:tcPr>
          <w:p>
            <w:pPr>
              <w:spacing w:after="0" w:line="20" w:lineRule="exact"/>
              <w:rPr>
                <w:sz w:val="1"/>
                <w:szCs w:val="1"/>
                <w:color w:val="auto"/>
              </w:rPr>
            </w:pPr>
          </w:p>
        </w:tc>
        <w:tc>
          <w:tcPr>
            <w:tcW w:w="240" w:type="dxa"/>
            <w:vAlign w:val="bottom"/>
            <w:tcBorders>
              <w:top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20"/>
                <w:szCs w:val="20"/>
                <w:color w:val="auto"/>
              </w:rPr>
            </w:pPr>
          </w:p>
        </w:tc>
        <w:tc>
          <w:tcPr>
            <w:tcW w:w="520" w:type="dxa"/>
            <w:vAlign w:val="bottom"/>
            <w:gridSpan w:val="4"/>
            <w:vMerge w:val="continue"/>
          </w:tcPr>
          <w:p>
            <w:pPr>
              <w:spacing w:after="0"/>
              <w:rPr>
                <w:sz w:val="20"/>
                <w:szCs w:val="20"/>
                <w:color w:val="auto"/>
              </w:rPr>
            </w:pPr>
          </w:p>
        </w:tc>
        <w:tc>
          <w:tcPr>
            <w:tcW w:w="300" w:type="dxa"/>
            <w:vAlign w:val="bottom"/>
            <w:gridSpan w:val="4"/>
            <w:vMerge w:val="continue"/>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0000FF"/>
            </w:tcBorders>
            <w:shd w:val="clear" w:color="auto" w:fill="0000FF"/>
          </w:tcPr>
          <w:p>
            <w:pPr>
              <w:spacing w:after="0" w:line="20" w:lineRule="exact"/>
              <w:rPr>
                <w:sz w:val="1"/>
                <w:szCs w:val="1"/>
                <w:color w:val="auto"/>
              </w:rPr>
            </w:pPr>
          </w:p>
        </w:tc>
        <w:tc>
          <w:tcPr>
            <w:tcW w:w="4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2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78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46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Borders>
              <w:bottom w:val="single" w:sz="8" w:color="0000FF"/>
            </w:tcBorders>
            <w:shd w:val="clear" w:color="auto" w:fill="0000FF"/>
          </w:tcPr>
          <w:p>
            <w:pPr>
              <w:spacing w:after="0" w:line="20" w:lineRule="exact"/>
              <w:rPr>
                <w:sz w:val="1"/>
                <w:szCs w:val="1"/>
                <w:color w:val="auto"/>
              </w:rPr>
            </w:pPr>
          </w:p>
        </w:tc>
        <w:tc>
          <w:tcPr>
            <w:tcW w:w="106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tcPr>
          <w:p>
            <w:pPr>
              <w:spacing w:after="0"/>
              <w:rPr>
                <w:sz w:val="21"/>
                <w:szCs w:val="21"/>
                <w:color w:val="auto"/>
              </w:rPr>
            </w:pPr>
          </w:p>
        </w:tc>
        <w:tc>
          <w:tcPr>
            <w:tcW w:w="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9B.</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1"/>
                <w:szCs w:val="21"/>
                <w:color w:val="auto"/>
              </w:rPr>
            </w:pPr>
          </w:p>
        </w:tc>
        <w:tc>
          <w:tcPr>
            <w:tcW w:w="63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9C.</w:t>
            </w:r>
          </w:p>
        </w:tc>
        <w:tc>
          <w:tcPr>
            <w:tcW w:w="180" w:type="dxa"/>
            <w:vAlign w:val="bottom"/>
            <w:gridSpan w:val="2"/>
          </w:tcPr>
          <w:p>
            <w:pPr>
              <w:spacing w:after="0"/>
              <w:rPr>
                <w:sz w:val="21"/>
                <w:szCs w:val="21"/>
                <w:color w:val="auto"/>
              </w:rPr>
            </w:pPr>
          </w:p>
        </w:tc>
        <w:tc>
          <w:tcPr>
            <w:tcW w:w="8240" w:type="dxa"/>
            <w:vAlign w:val="bottom"/>
            <w:gridSpan w:val="21"/>
          </w:tcPr>
          <w:p>
            <w:pPr>
              <w:ind w:left="160"/>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0" w:type="dxa"/>
            <w:vAlign w:val="bottom"/>
          </w:tcPr>
          <w:p>
            <w:pPr>
              <w:spacing w:after="0"/>
              <w:rPr>
                <w:sz w:val="1"/>
                <w:szCs w:val="1"/>
                <w:color w:val="auto"/>
              </w:rPr>
            </w:pPr>
          </w:p>
        </w:tc>
      </w:tr>
      <w:tr>
        <w:trPr>
          <w:trHeight w:val="230"/>
        </w:trPr>
        <w:tc>
          <w:tcPr>
            <w:tcW w:w="1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PART III</w:t>
            </w:r>
          </w:p>
        </w:tc>
        <w:tc>
          <w:tcPr>
            <w:tcW w:w="16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8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Item 10.</w:t>
            </w:r>
          </w:p>
        </w:tc>
        <w:tc>
          <w:tcPr>
            <w:tcW w:w="8240" w:type="dxa"/>
            <w:vAlign w:val="bottom"/>
            <w:gridSpan w:val="21"/>
          </w:tcPr>
          <w:p>
            <w:pPr>
              <w:ind w:left="160"/>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0000FF"/>
            </w:tcBorders>
            <w:gridSpan w:val="7"/>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1060" w:type="dxa"/>
            <w:vAlign w:val="bottom"/>
            <w:tcBorders>
              <w:bottom w:val="single" w:sz="8" w:color="0000FF"/>
            </w:tcBorders>
            <w:gridSpan w:val="2"/>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020" w:type="dxa"/>
            <w:vAlign w:val="bottom"/>
            <w:tcBorders>
              <w:bottom w:val="single" w:sz="8" w:color="0000FF"/>
            </w:tcBorders>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0" w:type="dxa"/>
            <w:vAlign w:val="bottom"/>
          </w:tcPr>
          <w:p>
            <w:pPr>
              <w:spacing w:after="0"/>
              <w:rPr>
                <w:sz w:val="20"/>
                <w:szCs w:val="20"/>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22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520" w:type="dxa"/>
            <w:vAlign w:val="bottom"/>
            <w:tcBorders>
              <w:right w:val="single" w:sz="8" w:color="0000FF"/>
            </w:tcBorders>
            <w:gridSpan w:val="4"/>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7"/>
            <w:shd w:val="clear" w:color="auto" w:fill="0000FF"/>
          </w:tcPr>
          <w:p>
            <w:pPr>
              <w:spacing w:after="0"/>
              <w:rPr>
                <w:sz w:val="2"/>
                <w:szCs w:val="2"/>
                <w:color w:val="auto"/>
              </w:rPr>
            </w:pPr>
          </w:p>
        </w:tc>
        <w:tc>
          <w:tcPr>
            <w:tcW w:w="260" w:type="dxa"/>
            <w:vAlign w:val="bottom"/>
            <w:gridSpan w:val="2"/>
            <w:shd w:val="clear" w:color="auto" w:fill="0000FF"/>
          </w:tcPr>
          <w:p>
            <w:pPr>
              <w:spacing w:after="0"/>
              <w:rPr>
                <w:sz w:val="2"/>
                <w:szCs w:val="2"/>
                <w:color w:val="auto"/>
              </w:rPr>
            </w:pPr>
          </w:p>
        </w:tc>
        <w:tc>
          <w:tcPr>
            <w:tcW w:w="10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360" w:type="dxa"/>
            <w:vAlign w:val="bottom"/>
            <w:gridSpan w:val="5"/>
          </w:tcPr>
          <w:p>
            <w:pPr>
              <w:spacing w:after="0"/>
              <w:rPr>
                <w:sz w:val="2"/>
                <w:szCs w:val="2"/>
                <w:color w:val="auto"/>
              </w:rPr>
            </w:pPr>
          </w:p>
        </w:tc>
        <w:tc>
          <w:tcPr>
            <w:tcW w:w="184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0" w:type="dxa"/>
            <w:vAlign w:val="bottom"/>
          </w:tcPr>
          <w:p>
            <w:pPr>
              <w:spacing w:after="0"/>
              <w:rPr>
                <w:sz w:val="21"/>
                <w:szCs w:val="21"/>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220" w:type="dxa"/>
            <w:vAlign w:val="bottom"/>
            <w:gridSpan w:val="3"/>
          </w:tcPr>
          <w:p>
            <w:pPr>
              <w:spacing w:after="0"/>
              <w:rPr>
                <w:sz w:val="21"/>
                <w:szCs w:val="21"/>
                <w:color w:val="auto"/>
              </w:rPr>
            </w:pPr>
          </w:p>
        </w:tc>
        <w:tc>
          <w:tcPr>
            <w:tcW w:w="160" w:type="dxa"/>
            <w:vAlign w:val="bottom"/>
          </w:tcPr>
          <w:p>
            <w:pPr>
              <w:spacing w:after="0"/>
              <w:rPr>
                <w:sz w:val="21"/>
                <w:szCs w:val="21"/>
                <w:color w:val="auto"/>
              </w:rPr>
            </w:pPr>
          </w:p>
        </w:tc>
        <w:tc>
          <w:tcPr>
            <w:tcW w:w="80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Shareholder Matters</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6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13.</w:t>
            </w:r>
          </w:p>
        </w:tc>
        <w:tc>
          <w:tcPr>
            <w:tcW w:w="22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7280" w:type="dxa"/>
            <w:vAlign w:val="bottom"/>
            <w:tcBorders>
              <w:top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14.</w:t>
            </w:r>
          </w:p>
        </w:tc>
        <w:tc>
          <w:tcPr>
            <w:tcW w:w="160" w:type="dxa"/>
            <w:vAlign w:val="bottom"/>
          </w:tcPr>
          <w:p>
            <w:pPr>
              <w:spacing w:after="0"/>
              <w:rPr>
                <w:sz w:val="20"/>
                <w:szCs w:val="20"/>
                <w:color w:val="auto"/>
              </w:rPr>
            </w:pPr>
          </w:p>
        </w:tc>
        <w:tc>
          <w:tcPr>
            <w:tcW w:w="54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6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7"/>
              </w:rPr>
              <w:t>PART IV</w:t>
            </w:r>
          </w:p>
        </w:tc>
        <w:tc>
          <w:tcPr>
            <w:tcW w:w="300" w:type="dxa"/>
            <w:vAlign w:val="bottom"/>
            <w:gridSpan w:val="4"/>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6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3"/>
              </w:rPr>
              <w:t>Item 15.</w:t>
            </w:r>
          </w:p>
        </w:tc>
        <w:tc>
          <w:tcPr>
            <w:tcW w:w="22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8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16.</w:t>
            </w:r>
          </w:p>
        </w:tc>
        <w:tc>
          <w:tcPr>
            <w:tcW w:w="220" w:type="dxa"/>
            <w:vAlign w:val="bottom"/>
            <w:gridSpan w:val="3"/>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00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Borders>
              <w:left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-3925570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-3608070</wp:posOffset>
            </wp:positionV>
            <wp:extent cx="71323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-3265170</wp:posOffset>
            </wp:positionV>
            <wp:extent cx="71323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-2948305</wp:posOffset>
            </wp:positionV>
            <wp:extent cx="71323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-2605405</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-2288540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-1945640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-1602740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-4217035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FF"/>
        </w:rPr>
        <w:t>11</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25</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26</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27</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43</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44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80</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81</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82</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82</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83</w:t>
      </w:r>
    </w:p>
    <w:p>
      <w:pPr>
        <w:spacing w:after="0" w:line="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83</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84</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0000FF"/>
        </w:rPr>
        <w:t>86</w:t>
      </w:r>
    </w:p>
    <w:p>
      <w:pPr>
        <w:spacing w:after="0" w:line="213" w:lineRule="exact"/>
        <w:rPr>
          <w:sz w:val="20"/>
          <w:szCs w:val="20"/>
          <w:color w:val="auto"/>
        </w:rPr>
      </w:pPr>
    </w:p>
    <w:p>
      <w:pPr>
        <w:sectPr>
          <w:pgSz w:w="11900" w:h="16838" w:orient="portrait"/>
          <w:cols w:equalWidth="0" w:num="2">
            <w:col w:w="10020" w:space="720"/>
            <w:col w:w="480"/>
          </w:cols>
          <w:pgMar w:left="320" w:top="130" w:right="359" w:bottom="1440" w:gutter="0" w:footer="0" w:header="0"/>
        </w:sectPr>
      </w:pPr>
    </w:p>
    <w:p>
      <w:pPr>
        <w:spacing w:after="0" w:line="6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firstLine="364"/>
        <w:spacing w:after="0" w:line="253" w:lineRule="auto"/>
        <w:rPr>
          <w:sz w:val="20"/>
          <w:szCs w:val="20"/>
          <w:color w:val="auto"/>
        </w:rPr>
      </w:pPr>
      <w:r>
        <w:rPr>
          <w:rFonts w:ascii="Times New Roman" w:cs="Times New Roman" w:eastAsia="Times New Roman" w:hAnsi="Times New Roman"/>
          <w:sz w:val="18"/>
          <w:szCs w:val="18"/>
          <w:color w:val="auto"/>
        </w:rPr>
        <w:t>Statements in this Annual Report on Form 10-K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Annual Report on Form 10-K speak only as of the date of this Annual Report on Form 10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K.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in Item 1A — “Risk Factors” of this report, and in any risk factors or cautionary statements contained in our other filings with the SEC, may cause our actual results, performance or achievements to differ materially from any future results, performance or achievements expressed or implied by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Our operations are currently conducted through wholly-owned subsidiaries. We primarily provide electrical construction services through a network of local offices located throughout the United States and Canada. We provide a broad range of services, including design, engineering, procurement, construction, upgrade, maintenance and repair services, with a particular focus on construction, maintenance and repair.</w:t>
      </w:r>
    </w:p>
    <w:p>
      <w:pPr>
        <w:spacing w:after="0" w:line="102"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Our principal executive offices are located at 12121 Grant Street, Suite 610, Thornton, Colorado 80241. The telephone number of our principal executive offices is (303) 286-8000.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Through our subsidiaries, we are a leading specialty contractor serving the electric utility infrastructure, commercial and industrial construction markets in the United States and Canada. We manage and report our operations through two electrical contracting service segments: Transmission and Distribution (“T&amp;D”) and Commercial and Industrial (“C&amp;I”). We generally focus on improving our profitability by selecting projects we believe will provide attractive margins, actively monitoring the costs of completing our projects, holding customers accountable for costs related to changes to contract specifications and rewarding our employees for effectively managing costs.</w:t>
      </w:r>
    </w:p>
    <w:p>
      <w:pPr>
        <w:spacing w:after="0" w:line="11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Transmission and Distribution segment. </w:t>
      </w:r>
      <w:r>
        <w:rPr>
          <w:rFonts w:ascii="Times New Roman" w:cs="Times New Roman" w:eastAsia="Times New Roman" w:hAnsi="Times New Roman"/>
          <w:sz w:val="18"/>
          <w:szCs w:val="18"/>
          <w:color w:val="auto"/>
        </w:rPr>
        <w:t>We have operated in the transmission and distribution industry since 1891. We are one of the largest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contractors servicing the T&amp;D sector of the electric utility industry. Our T&amp;D segment provides a broad range of services on electric transmission and distribution networks, substation facilities which include design, engineering, procurement, construction, upgrade and maintenance and repair services, with a particular focus on construction, maintenance and repair, to customers in the electric utility industry throughout the United States and Ontario, Canada. Our T&amp;D services include the construction and maintenance of high voltage transmission lines, substations, lower voltage underground and overhead distribution systems, clean energy projects and limited gas construction services. The T&amp;D segment also provides emergency restoration services in response to, wildfire, ice or other damage.</w:t>
      </w:r>
    </w:p>
    <w:p>
      <w:pPr>
        <w:spacing w:after="0" w:line="10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our T&amp;D segment, we generally serve the electric utility industry and power generation companies as a prime contractor, through traditional design-bid-build or engineering, procurement and construction (“EPC”) forms of project delivery. We have long-standing relationships with many of our T&amp;D customers who rely on us to construct and maintain reliable electric and other utility infrastructure. We also provide many services to our customers under multi-year master service agreements (“MSAs”) and other variable-term service agreements.</w:t>
      </w:r>
    </w:p>
    <w:p>
      <w:pPr>
        <w:spacing w:after="0" w:line="110" w:lineRule="exact"/>
        <w:rPr>
          <w:sz w:val="20"/>
          <w:szCs w:val="20"/>
          <w:color w:val="auto"/>
        </w:rPr>
      </w:pPr>
    </w:p>
    <w:p>
      <w:pPr>
        <w:ind w:right="18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and Industrial segment. </w:t>
      </w:r>
      <w:r>
        <w:rPr>
          <w:rFonts w:ascii="Times New Roman" w:cs="Times New Roman" w:eastAsia="Times New Roman" w:hAnsi="Times New Roman"/>
          <w:sz w:val="18"/>
          <w:szCs w:val="18"/>
          <w:color w:val="auto"/>
        </w:rPr>
        <w:t>We have provided electrical contracting services for commercial and industrial construction since 1912.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C&amp;I segment provides services such as the design, installation, maintenance and repair of commercial and industrial wiring, the installation of intelligent transportation systems, roadway lighting and signalization in the United States and western Canada. We concentrate our efforts on projects where our technical and project management expertise are critical to successful and timely execution.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w:t>
      </w:r>
    </w:p>
    <w:p>
      <w:pPr>
        <w:spacing w:after="0" w:line="11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 our C&amp;I segment, we generally provide our electric construction and maintenance services as a subcontractor to general contractors in the C&amp;I industry, but also contract directly with facility owners. The C&amp;I segment has a diverse customer base with many long-standing relationships.</w:t>
      </w:r>
    </w:p>
    <w:p>
      <w:pPr>
        <w:spacing w:after="0" w:line="8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Additional financial information related to our business segments is provided under “Item 7. Management’s Discussion and Analysis of Financial Condition and Results of Operations” and in Note 17 — Segment Information to our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6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T&amp;D customers include many of the leading providers in the electric utility industry. These customers include investor-owned utilities, cooperatives, private developers, government-funded utilities, independent power producers, independent transmission companies, industrial facility owners and other contractors. Our C&amp;I customer base includes general contractors, commercial and industrial facility owners, governmental agencies and developers.</w:t>
      </w:r>
    </w:p>
    <w:p>
      <w:pPr>
        <w:spacing w:after="0" w:line="9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have long-standing relationships with many of our customers, and we cultivate these relationships at all levels of our organization. We seek to build upon our customer relationships to secure additional projects from our current customer base. Many of our customer relationships originated decades ago and are maintained through a partnering approach, which includes project evaluation and consulting, quality performance, performance measurement and direct customer contact. At all levels of management, we maintain a focus on pursuing growth opportunities with prospective customers. In addition, our management teams promote and market our services for prospective large-scale projects and national accounts. We believe that our industry experience, technical expertise, customer relationships, emphasis on safety and customer service contribute to obtaining new contracts with both existing and new customers.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2022, 2021 and 2020, our top 10 customers accounted for 35.4%, 34.9%, and 32.7%, of our revenues,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2022, 2021 and 2020, no single customer accounted for more than 10.0% of annual revenues.</w:t>
      </w:r>
    </w:p>
    <w:p>
      <w:pPr>
        <w:spacing w:after="0" w:line="13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2021 and 2020, revenues derived from T&amp;D customers accounted for 58.0%, 52.1% and 51.4% of our total revenues, respectively, and revenues derived from C&amp;I customers accounted for 42.0%, 47.9% and 48.6% of our total revenues,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Service Arrangements and Bidding Process</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enter into contracts principally through a competitive bid process. Our typical construction project begins with the preparation and submission of a bid to a customer. If selected as the successful bidder, we generally enter into a contract with the customer that provides for payment upon completion of specified work or units of work as identified in the contract. Most of our contracts, including MSAs, may be terminated by our customers on short notice, typically 30 to 90 days, even if we are not in default under the contract. Although there is considerable variation in the terms of the contracts we undertake, our contracts are primarily structured as:</w:t>
      </w:r>
    </w:p>
    <w:p>
      <w:pPr>
        <w:spacing w:after="0" w:line="21" w:lineRule="exact"/>
        <w:rPr>
          <w:sz w:val="20"/>
          <w:szCs w:val="20"/>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fixed-price agreements, under which we agree to perform the defined scope for a fixed amount;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unit-price agreements, under which we agree to perform the work at a fixed price per unit of work as specified in the agreement;</w:t>
      </w:r>
    </w:p>
    <w:p>
      <w:pPr>
        <w:spacing w:after="0" w:line="63" w:lineRule="exact"/>
        <w:rPr>
          <w:rFonts w:ascii="Times New Roman" w:cs="Times New Roman" w:eastAsia="Times New Roman" w:hAnsi="Times New Roman"/>
          <w:sz w:val="18"/>
          <w:szCs w:val="18"/>
          <w:color w:val="auto"/>
        </w:rPr>
      </w:pPr>
    </w:p>
    <w:p>
      <w:pPr>
        <w:ind w:left="500" w:right="360" w:hanging="168"/>
        <w:spacing w:after="0" w:line="281"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time-and-equipment and time-and-materials contracts, under which we agree to perform the work at negotiated hourly billing rates for labor and equipment and for other expenses, including materials, as incurred, at rates agreed to in the contract; and</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cost-plus contracts, where we are paid for our costs plus a negotiated margin.</w:t>
      </w:r>
    </w:p>
    <w:p>
      <w:pPr>
        <w:spacing w:after="0" w:line="15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On occasion, time-and-equipment, time-and-materials and cost-plus contracts include shared savings clauses, in which the contract includes a target price and we agree to share savings from that target price with our customer.</w:t>
      </w:r>
    </w:p>
    <w:p>
      <w:pPr>
        <w:spacing w:after="0" w:line="9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Fixed-price and unit-price contracts typically have higher potential margins; however, they hold a greater risk in terms of profitability because cost overruns may not be recoverable. Time-and-equipment, time-and-materials and cost-plus contracts have less margin upside, but generally have a lower risk of cost overruns. Work in our T&amp;D segment is generally completed under fixed-price, time-and-materials, time-and-equipment, unit-price and cost-plus agreements. Work in our C&amp;I segment is typically performed under fixed-price, time-and-materials, time-and-equipment, cost-plus, and unit-price agreements. Fixed-price contracts accounted for 62.7% of total revenue for the year ended December 31, 2022, including 47.8% of our total revenue for our T&amp;D segment and 83.3% of our total revenue for our C&amp;I segment.</w:t>
      </w:r>
    </w:p>
    <w:p>
      <w:pPr>
        <w:spacing w:after="0" w:line="106" w:lineRule="exact"/>
        <w:rPr>
          <w:sz w:val="20"/>
          <w:szCs w:val="20"/>
          <w:color w:val="auto"/>
        </w:rPr>
      </w:pPr>
    </w:p>
    <w:p>
      <w:pPr>
        <w:ind w:right="360" w:firstLine="324"/>
        <w:spacing w:after="0" w:line="258" w:lineRule="auto"/>
        <w:rPr>
          <w:sz w:val="20"/>
          <w:szCs w:val="20"/>
          <w:color w:val="auto"/>
        </w:rPr>
      </w:pPr>
      <w:r>
        <w:rPr>
          <w:rFonts w:ascii="Times New Roman" w:cs="Times New Roman" w:eastAsia="Times New Roman" w:hAnsi="Times New Roman"/>
          <w:sz w:val="18"/>
          <w:szCs w:val="18"/>
          <w:color w:val="auto"/>
        </w:rPr>
        <w:t>Our EPC contracts are typically fixed-price and may be entered into through joint ventures. We may act as the prime contractor for an EPC project where we perform the procurement and construction functions but use a subcontractor to perform the engineering component, or we may use a subcontractor for both engineering and procurement functions. We may also act as a subcontractor on an EPC project to an engineering firm or general contractor. When acting as a subcontractor for an EPC project, we typically provide construction services only, although we may also perform both the construction and procurement functions.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77" w:lineRule="auto"/>
        <w:rPr>
          <w:sz w:val="20"/>
          <w:szCs w:val="20"/>
          <w:color w:val="auto"/>
        </w:rPr>
      </w:pPr>
      <w:r>
        <w:rPr>
          <w:rFonts w:ascii="Times New Roman" w:cs="Times New Roman" w:eastAsia="Times New Roman" w:hAnsi="Times New Roman"/>
          <w:sz w:val="17"/>
          <w:szCs w:val="17"/>
          <w:color w:val="auto"/>
        </w:rPr>
        <w:t>Our T&amp;D segment also provides services under MSAs that cover maintenance, upgrade and extension services, as well as new construction. Work performed under MSAs is typically billed on a unit-price, time-and-materials or time-and-equipment basis. MSAs are typically one to three years in duration. Under MSAs, customers generally agree to contract with us for certain services in a specified geographic region. A majority of our MSAs do not include obligations to assign specific volumes of work to us nor do they grant us exclusivity, although in some cases certain work under the MSA may be subject to our right of first refusal. Many of our contracts, including MSAs, are open to bidding at expiration and generally attract numerous bidders.</w:t>
      </w:r>
    </w:p>
    <w:p>
      <w:pPr>
        <w:spacing w:after="0" w:line="8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we perform requires financial assurances in the form of performance and payment bonds, letters of credit or other guarantees at the time of execution of the contract. Many of our contracts include retention provisions of up to 10%, which are generally withheld from each progress payment as retainage until the contract work has been completed and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Materials</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many cases, our T&amp;D customers are responsible for supplying materials on projects; however, under certain contracts, we may agree to provide all or a portion of the required materials. For our C&amp;I contracts, we usually procure the necessary materials and supplies. We are not dependent on specific suppliers for materials or supplies.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Subcontracting</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the prime contractor for the majority of our T&amp;D projects, however, we occasionally perform work as a subcontractor, and we may elect to do so from time to time on larger projects in order to manage our execution risk. We are a subcontractor to a general contractor for the majority of our C&amp;I projects, but may contract directly with facility owners. We may utilize subcontractors to perform portions of our contracts and to manage workflow, particularly for design and engineering under both segments.</w:t>
      </w:r>
    </w:p>
    <w:p>
      <w:pPr>
        <w:spacing w:after="0" w:line="9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often work with subcontractors who are sole proprietorships or small business entities. Subcontractors normally provide their own employees, vehicles, tools and insurance coverages. We are not dependent on any single subcontractor. Our contracts with subcontractors often contain provisions limiting our obligation to pay the subcontractor if our client has not paid us. We hold our subcontractors responsible for their work or delays in their performance. When we perform work as a subcontractor we are often only paid after the general or prime contractor is paid. On larger projects, we may require performance and payment bonding from subcontractors, where we deem appropriate, based on the risk involved.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is highly competitive in both our T&amp;D and C&amp;I segments. Competition in both of our business segments is primarily based on the price of the construction services and upon the reputation for safety, quality and reliability of the contractor. The competition we encounter can vary depending upon the type and location of construction services.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the principal competitive factors that customers consider in our industry are:</w:t>
      </w:r>
    </w:p>
    <w:p>
      <w:pPr>
        <w:spacing w:after="0" w:line="63" w:lineRule="exact"/>
        <w:rPr>
          <w:sz w:val="20"/>
          <w:szCs w:val="20"/>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flexible contract terms;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programs and safety performance;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and relationships with the customer;</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expertise and experience;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team experience;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geographic presence and breadth of service offerings;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to accept risk;</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execution;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equipment, tooling and centralized fleet structure;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and licensed personnel;</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financial resources and bonding capacity;</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capabilities;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weather-damage restoration abilities and reputation.</w:t>
      </w:r>
    </w:p>
    <w:p>
      <w:pPr>
        <w:spacing w:after="0" w:line="144"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While we believe our customers consider a number of factors when selecting a service provider, most of their work is awarded through a bid process where price is always a principal factor. See “Item 1A. Risk Factors — Our industry is highly competitive.”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T&amp;D Competition</w:t>
      </w:r>
    </w:p>
    <w:p>
      <w:pPr>
        <w:spacing w:after="0" w:line="14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Our T&amp;D segment competes with a number of companies in the local markets where we operate, ranging from small local independent companies, to medium size regional firms, to large national competitors.</w:t>
      </w:r>
    </w:p>
    <w:p>
      <w:pPr>
        <w:spacing w:after="0" w:line="94"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There are a number of barriers to entry into the transmission markets, including the cost of equipment and tooling necessary to perform transmission work, availability of qualified labor, scope of typical transmission projects and technical, managerial and supervisory skills necessary to complete the job. Larger transmission projects generally require specialized heavy duty equipment as well as strong financial resources to meet the cash flow, bonding or letter of credit requirements of these projects. These factors sometimes reduce the number of potential competitors on these projects. The number of firms that generally compete for any one significant transmission infrastructure project varies greatly depending on a number of factors, including the size of the project, its location and the bidder qualification requirements imposed upon contractors by the customer. Some of our competitors restrict their operations to one geographic area while others operate nationally and internationally.</w:t>
      </w:r>
    </w:p>
    <w:p>
      <w:pPr>
        <w:spacing w:after="0" w:line="121"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Compared to the transmission markets, there are fewer significant barriers to entry into the distribution markets in which we operate. As a result, any organization that has adequate financial resources and access to technical expertise can compete for distribution projects. Instead of outsourcing, some of our T&amp;D customers also employ personnel internally to perform similar types of distribution services that we provide.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C&amp;I Competition</w:t>
      </w:r>
    </w:p>
    <w:p>
      <w:pPr>
        <w:spacing w:after="0" w:line="160"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Our C&amp;I segment predominately competes with a number of regional or local firms and with subsidiaries of national firms. There are few significant barriers to entry in the C&amp;I markets, and there are a number of small companies that compete for C&amp;I business. The size, location and technical requirements of the project will impact which competitors we will encounter when bidding on any particular project.</w:t>
      </w:r>
    </w:p>
    <w:p>
      <w:pPr>
        <w:spacing w:after="0" w:line="10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major competitive factor in our C&amp;I segment is the individual relationships that we have developed with general contractors who typically manage the bid process, along with the willingness to be an exclusive partner with the general contractor on pursuits requiring the complete finance, design and construction services for the project. Additionally, the equipment requirements for C&amp;I work are generally not as significant as that of T&amp;D construction. Since C&amp;I construction typically involves the purchase of materials, the financial resources to procure the required materials and equipment of a particular project may impact the competition that we encounter. We differentiate ourselves from our competitors by bidding for larger and more technically complex projects, which we believe many of our smaller competitors may not be capable of executing effectively. We believe that we have a favorable competitive position in the markets that we serve, due in part to our strong operating history, strong local market share, our reputation and our relationships with our customers.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Project Bonding Requirements and Parent Guarantees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pay subcontractors and vendors, the customer may demand that the surety make payments or provide services under the bond. We are required to reimburse the surety for its expenses incurred in performing its obligations under the bond. We believe that the strength of our balance sheet, as well as our strong and long-standing relationship with our sureties, enhances our ability to obtain adequate financing and bonds. These bonds are typically issued at the face value of the contract awarded. As of December 31, 2022, we had approximately $541.5 million in original face amount of bonds outstanding for projects in our T&amp;D segment and approximately $1.43 billion for projects in our C&amp;I segment. Our estimated remaining cost to complete these bonded projects for both segments was approximately $880.2 million as of December 31, 2022. As of December 31, 2021, we had approximately $406.0 million in original face amount of bonds outstanding for projects in our T&amp;D segment and approximately $983.3 million for projects in our C&amp;I segment. The ability to post bonds provides us with a competitive advantage over smaller or less financially secure competitors.</w:t>
      </w:r>
    </w:p>
    <w:p>
      <w:pPr>
        <w:spacing w:after="0" w:line="124"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guarantee the obligations of our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62"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We calculate backlog differently for different types of contracts. For our fixed-price contracts, we include the full remaining portion of the contract in our calculation of backlog. A customer’s intention to award us work under a fixed-price contract is not included in backlog unless there is an actual award and contract to perform a specific scope of work at specific terms and pricing.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Given the duration of our contracts and MSAs and our method of calculating backlog, our backlog at any point in time may not accurately represent the revenue we expect to realize during any period and our backlog as of the end of a fiscal year may not be indicative of the revenue we expect to generate in the following fiscal year and should not be viewed or relied upon as a stand-alone indicator. Our backlog includes projects that have a written award, a letter of intent, a notice to proceed or an agreed upon work order to perform work on mutually accepted terms and conditions. Additionally, the difference between our backlog and remaining performance obligations is due to the portion of our MSAs that is excluded,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12 — Revenue Recognition to our Financial Statements. See also “Item 1A. Risk Factors — Backlog may not be realized or may not result in profits and may not accurately represent future revenue.”</w:t>
      </w:r>
    </w:p>
    <w:p>
      <w:pPr>
        <w:spacing w:after="0" w:line="11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Certain projects that we undertake are not completed in one accounting period. Revenue on construction contracts is recognized over the contract term based on costs incurred under the cost-to-cost method.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While our contracts typically include labor, equipment and indirect costs, the amount of subcontractor and material costs on any individual contract can vary considerably.</w:t>
      </w:r>
    </w:p>
    <w:p>
      <w:pPr>
        <w:spacing w:after="0" w:line="12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There can be no assurance as to the accuracy of our current estimates of customer requirements, existing and future needs under MSAs, or of the values of our cost or time-dependent contracts and, therefore, our current backlog may not be realized as part of our future revenues. Subject to the foregoing discussions, the following table summarizes our estimate of backlog that we believe to be firm as of the dates shown and the backlog that we reasonably estimate will not be recognized within the next twelve months: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6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Backlog at December 31, 2022</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158"/>
        </w:trPr>
        <w:tc>
          <w:tcPr>
            <w:tcW w:w="5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2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2"/>
        </w:trPr>
        <w:tc>
          <w:tcPr>
            <w:tcW w:w="5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 not be recognized</w:t>
            </w:r>
          </w:p>
        </w:tc>
        <w:tc>
          <w:tcPr>
            <w:tcW w:w="140" w:type="dxa"/>
            <w:vAlign w:val="bottom"/>
          </w:tcPr>
          <w:p>
            <w:pPr>
              <w:spacing w:after="0"/>
              <w:rPr>
                <w:sz w:val="14"/>
                <w:szCs w:val="14"/>
                <w:color w:val="auto"/>
              </w:rPr>
            </w:pPr>
          </w:p>
        </w:tc>
        <w:tc>
          <w:tcPr>
            <w:tcW w:w="14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 backlog at</w:t>
            </w:r>
          </w:p>
        </w:tc>
      </w:tr>
      <w:tr>
        <w:trPr>
          <w:trHeight w:val="204"/>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7"/>
                <w:szCs w:val="17"/>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2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37"/>
        </w:trPr>
        <w:tc>
          <w:tcPr>
            <w:tcW w:w="5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1,065,476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676,130</w:t>
            </w:r>
          </w:p>
        </w:tc>
      </w:tr>
      <w:tr>
        <w:trPr>
          <w:trHeight w:val="243"/>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Pr>
          <w:p>
            <w:pPr>
              <w:spacing w:after="0"/>
              <w:rPr>
                <w:sz w:val="21"/>
                <w:szCs w:val="21"/>
                <w:color w:val="auto"/>
              </w:rPr>
            </w:pP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1,436,351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1,113,014</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5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2,501,827</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451,816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1,789,144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Changes in backlog from period to period are primarily the result of fluctuations in the timing of awards and revenue recognition of contracts. Our backlog as of December 31, 2022 and 2021 included our proportionate share of unconsolidated joint venture backlog totaling $30.8 million and $5.4 million,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Names and Intellectual Property</w:t>
      </w:r>
    </w:p>
    <w:p>
      <w:pPr>
        <w:spacing w:after="0" w:line="135"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operate in the United States under a number of trade names, including: The L. E. Myers Co.; Harlan Electric Company; Great Southwestern Construction, Inc.; Sturgeon Electric Company, Inc.; MYR Energy Services, Inc.; E.S. Boulos Company; High Country Line Construction, Inc.; Sturgeon Electric California, LLC; GSW Integrated Services, LLC; Huen Electric, Inc. and CSI Electrical Contractors, Inc. We operate in Canada under the following trade names: MYR Transmission Services Canada, Ltd.; Northern Transmission Services, Ltd; Western Pacific Enterprises Ltd; Powerline Plus Ltd. and PLP Redimix Ltd. We do not generally register our trade names, but instead rely on statutory and common law protection. While we consider our trade names to be valuable assets, we do not consider any single trade name to be of such material importance that its absence would cause a material disruption to our business. We also do not materially rely upon any patents, licenses or other intellectual property.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35"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long history in the T&amp;D industry has allowed us to be instrumental in designing much of the specialty tools and equipment used in the industry, including wire pullers, wire tensioners and aerial devices. We operate a fleet of trucks and trailers, support vehicles, bulldozers, bucket trucks, digger derricks, cranes and specialty construction equipment, such as wire pullers and wire tensioning machines. We also rely on specialized tooling, including stringing blocks, wire grips and presses. The standardization of our equipment allows us to streamline training, maintenance and parts costs. We operate a centralized fleet facility, as well as numerous regional maintenance shops throughout the United States, that are staffed with mechanics and equipment managers who service our fleet. Our ability to internally service our fleet allows us to reduce repair costs and the time equipment is out of service by eliminating both the need to ship equipment long distances for repair and dependence on third party maintenance providers. Our maintenance shops are also able to modify standard construction equipment to meet the specific needs of our specialty applications. We are a final-stage manufacturer for several configurations of our specialty vehicles, and, in the event that a particular piece of equipment is not available to us, we can often build the component on-site, which reduces our reliance on our equipment suppliers.</w:t>
      </w:r>
    </w:p>
    <w:p>
      <w:pPr>
        <w:spacing w:after="0" w:line="11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United States based fleet of equipment is managed by our centralized fleet management group. Our fleet is highly mobile, which gives us the ability to shift resources from region-to-region quickly and to effectively respond to customer needs or major weather events. Our centralized fleet management group is designed to enable us to optimize and maintain our equipment to achieve the highest equipment utilization, which helps to maintain a competitive position with respect to our equipment costs. We develop internal equipment rates that provide our business units with appropriate pricing levels to estimate their bids for new projects more accurately. The fleet management group works with our business units in prioritizing the use of our fleet assets. The fleet management group also manages the procurement and disposition of equipment and short-term rentals. All of these factors are critical in allowing us to operate efficiently and meet our customers’ needs. Certain equipment needs in Canada are managed by our Canadian operating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operations are subject to various laws and regulations including:</w:t>
      </w:r>
    </w:p>
    <w:p>
      <w:pPr>
        <w:spacing w:after="0" w:line="50" w:lineRule="exact"/>
        <w:rPr>
          <w:sz w:val="20"/>
          <w:szCs w:val="20"/>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permitting and inspection requirements applicable to contractors, electricians and engineers;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relating to worker safety and environmental protection;</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permitting and inspection requirements applicable to construction projects;</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electrical codes;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bidding and procurement requirements on government projects; and</w:t>
      </w:r>
    </w:p>
    <w:p>
      <w:pPr>
        <w:spacing w:after="0" w:line="49"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laws and government acts regulating work on protected sites.</w:t>
      </w:r>
    </w:p>
    <w:p>
      <w:pPr>
        <w:spacing w:after="0" w:line="13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are in compliance with applicable regulatory requirements and we believe that we have all material licenses required to conduct our operations. Our failure to comply with applicable regulations could result in project delays, cost overruns, remediation costs, substantial fines and revocation of our operating licenses. We do not expect that continued compliance with such regulations will have a material effect upon capital expenditures, earnings, or our competitive position.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increasingly complex and changing laws and regulations enacted to protect business and personal data regarding privacy, data protection and data security, including those related to the collection, storage, use, transmission and protection of personal information and other customer, vendor or employee data. In addition, health and safety regulations may require increased operating costs or capital investments to promote a safe working environment. With respect to the laws and regulations noted above, as well as other applicable laws and regulations, the Company's compliance programs may under certain circumstances involve material investments in the form of additional processes, training, personnel, information technology and capital. For a discussion of the risks associated with certain applicable laws and regulations, see “Item 1A. Risk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62" w:lineRule="exact"/>
        <w:rPr>
          <w:sz w:val="20"/>
          <w:szCs w:val="20"/>
          <w:color w:val="auto"/>
        </w:rPr>
      </w:pPr>
    </w:p>
    <w:p>
      <w:pPr>
        <w:ind w:right="80" w:firstLine="324"/>
        <w:spacing w:after="0" w:line="271" w:lineRule="auto"/>
        <w:rPr>
          <w:sz w:val="20"/>
          <w:szCs w:val="20"/>
          <w:color w:val="auto"/>
        </w:rPr>
      </w:pPr>
      <w:r>
        <w:rPr>
          <w:rFonts w:ascii="Times New Roman" w:cs="Times New Roman" w:eastAsia="Times New Roman" w:hAnsi="Times New Roman"/>
          <w:sz w:val="17"/>
          <w:szCs w:val="17"/>
          <w:color w:val="auto"/>
        </w:rPr>
        <w:t>As a result of our current and past operations, we are subject to numerous environmental laws and regulations governing our operations, including the use, transport and disposal of non-hazardous and hazardous substances and wastes, as well as emissions and discharges into the environment, including discharges into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certain ways, such as collateral for possible financing. We could also be held liable for significant penalties and damages under certain environmental laws and regulations, which could materially and adversely affect our financial condition, results of operations and cash flows.</w:t>
      </w:r>
    </w:p>
    <w:p>
      <w:pPr>
        <w:spacing w:after="0" w:line="106"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We believe that we are in substantial compliance with environmental laws and regulations and that any obligations related to environmental matters should not have a material effect on our financial condition, results of operations or cash flows.</w:t>
      </w:r>
    </w:p>
    <w:p>
      <w:pPr>
        <w:spacing w:after="0" w:line="81"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Additionally, there are significant environmental regulations under consideration to encourage the use of clean energy technologies and regulate emissions of greenhouse gases to address climate change. We regularly monitor the various proposals in this regard. Although the impact of climate change regulations on our business will depend on the specifics of governmental policies, legislation, and regulation, we believe that we are well-positioned to adapt our business to meet new regulations. Furthermore, we perform a significant amount of services for customers that operate electrical power infrastructure assets in locations and climates that are more susceptible to wildfires or other natural disasters. See “Item 1A. Risk Factors — Our failure to comply with environmental and other laws and regulations could result in significant liabilities” and “Item 1A. Risk Factors — 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 Nature of Business and Seasonality</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demand for construction and maintenance services from our customers is cyclical in nature and vulnerable to downturns in the industries we serve as well as the economy in general. As a result, our volume of business could be adversely affected by declines or delays in new projects in various geographic regions.</w:t>
      </w:r>
    </w:p>
    <w:p>
      <w:pPr>
        <w:spacing w:after="0" w:line="10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can be subject to seasonal and other variations. These variation can be influenced by a number of factors such as weather, daylight hours, availability of workforce, asset readiness and holidays.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4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believe that our people are our greatest assets and the success and growth of our business depend in large part on our ability to attract, develop and retain a diverse population of talented, qualified and highly skilled employees at all levels of our organization, including the individuals who comprise our workforce as well as our executive officers and other key personnel. We have developed key recruitment and retention strategies, objectives and measures that serve as the framework for our human capital management approach and guide the overall management of our business. These strategies, objectives and measures are advanced through a number of programs, policies and initiatives, including those related to: health and safety; inclusion, diversity, and equality; employee recruitment, training and development; and compensation and benefits programs.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seek to attract and retain highly qualified craft employees by providing a superior work environment through our emphasis on safety, competitive compensation, and high-quality fleet of equipment. The number of individuals we employ varies significantly throughout the year, including the number of craft employees fluctuates depending on the number and size of projects at any particular time. As of December 31, 2022, we had approximately 8,500 employees, consisting of approximately 1,600 salaried employees, including executive officers, district managers, project managers, superintendents, estimators, office managers, administrative staff, clerical personnel and approximately 6,900 craft employees. Approximately 86% of our craft employees are members of unions, with the majority being members of the International Brotherhood of Electrical Workers (“IBEW”), who are represented by many local unions under agreements with generally uniform terms and varying expiration dates. We generally are not direct parties to such local agreements, but instead these agreements are entered into by and between the IBEW local unions and the National Electrical Contractors Association (“NECA”), of which the majority of our subsidiaries are members. On occasion, we also employ individuals who are members of other trade unions pursuant to multi-employer, multi-union project agreements.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 on</w:t>
            </w:r>
          </w:p>
        </w:tc>
        <w:tc>
          <w:tcPr>
            <w:tcW w:w="5580" w:type="dxa"/>
            <w:vAlign w:val="bottom"/>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195"/>
        </w:trPr>
        <w:tc>
          <w:tcPr>
            <w:tcW w:w="310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22, 2023</w:t>
            </w:r>
          </w:p>
        </w:tc>
        <w:tc>
          <w:tcPr>
            <w:tcW w:w="5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S. Swartz</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Betty R. Johnson</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Tod M. Cooper</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Operating Officer T&amp;D</w:t>
            </w:r>
          </w:p>
        </w:tc>
        <w:tc>
          <w:tcPr>
            <w:tcW w:w="0" w:type="dxa"/>
            <w:vAlign w:val="bottom"/>
          </w:tcPr>
          <w:p>
            <w:pPr>
              <w:spacing w:after="0"/>
              <w:rPr>
                <w:sz w:val="1"/>
                <w:szCs w:val="1"/>
                <w:color w:val="auto"/>
              </w:rPr>
            </w:pPr>
          </w:p>
        </w:tc>
      </w:tr>
      <w:tr>
        <w:trPr>
          <w:trHeight w:val="229"/>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F. Fry</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Chief Legal Officer and Secretary</w:t>
            </w:r>
          </w:p>
        </w:tc>
        <w:tc>
          <w:tcPr>
            <w:tcW w:w="0" w:type="dxa"/>
            <w:vAlign w:val="bottom"/>
          </w:tcPr>
          <w:p>
            <w:pPr>
              <w:spacing w:after="0"/>
              <w:rPr>
                <w:sz w:val="1"/>
                <w:szCs w:val="1"/>
                <w:color w:val="auto"/>
              </w:rPr>
            </w:pPr>
          </w:p>
        </w:tc>
      </w:tr>
      <w:tr>
        <w:trPr>
          <w:trHeight w:val="22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J. Waneka</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shd w:val="clear" w:color="auto" w:fill="CCEEFF"/>
          </w:tcPr>
          <w:p>
            <w:pPr>
              <w:spacing w:after="0"/>
              <w:rPr>
                <w:sz w:val="19"/>
                <w:szCs w:val="19"/>
                <w:color w:val="auto"/>
              </w:rPr>
            </w:pPr>
          </w:p>
        </w:tc>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Vice President, Chief Operating Officer C&amp;I</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S. Swartz </w:t>
      </w:r>
      <w:r>
        <w:rPr>
          <w:rFonts w:ascii="Times New Roman" w:cs="Times New Roman" w:eastAsia="Times New Roman" w:hAnsi="Times New Roman"/>
          <w:sz w:val="18"/>
          <w:szCs w:val="18"/>
          <w:color w:val="auto"/>
        </w:rPr>
        <w:t>was appointed president and chief executive officer in January 2017 and 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2019. Prior to his current role, he served as executive vice president and chief operating officer of MYR Group from September 2016 to December 2016 and as senior vice president and chief operating officer of MYR Group from May 2011 to September 2016. Mr. Swartz served as senior vice president of MYR Group from August 2009 to May 2011, and as a group vice president of MYR Group from 2004 to 2009. Prior to becoming a group vice president, Mr. Swartz served as vice president of our transmission &amp; distribution central division from 2002 to 2004. Mr. Swartz has held a number of additional positions since he joined us in 1982, including project foreman, superintendent, project manager and district manager.</w:t>
      </w:r>
    </w:p>
    <w:p>
      <w:pPr>
        <w:spacing w:after="0" w:line="8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Betty R. Johnson </w:t>
      </w:r>
      <w:r>
        <w:rPr>
          <w:rFonts w:ascii="Times New Roman" w:cs="Times New Roman" w:eastAsia="Times New Roman" w:hAnsi="Times New Roman"/>
          <w:sz w:val="18"/>
          <w:szCs w:val="18"/>
          <w:color w:val="auto"/>
        </w:rPr>
        <w:t>has served as senior vice president, chief financial officer since October 2015. From October 2015 to November 2020, she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our treasurer. Prior to joining us, Ms. Johnson served as the chief financial officer of Faith Technologies, Inc., a privately held electrical, engineering and technology systems contractor, in 2015. From 2009 to 2014, Ms. Johnson served as the vice president of global finance and chief financial officer of Sloan Valve Company. Prior to this, Ms. Johnson was executive vice president and chief financial officer with Block and Company, Inc. from 2003 to 2009. From 1999 to 2003 she served as the vice president-operations/finance with Encompass Services Corporation. Ms. Johnson served as our controller from 1992 to 1998 and vice president and controller from 1998 to 1999. Ms. Johnson served as a member of our Board of Directors from 2007 until accepting her current position with us in 2015. Ms. Johnson also currently serves on the board of directors of Atkore Inc., a publicly-traded manufacturer of electrical products company.</w:t>
      </w:r>
    </w:p>
    <w:p>
      <w:pPr>
        <w:spacing w:after="0" w:line="104"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Tod M. Cooper </w:t>
      </w:r>
      <w:r>
        <w:rPr>
          <w:rFonts w:ascii="Times New Roman" w:cs="Times New Roman" w:eastAsia="Times New Roman" w:hAnsi="Times New Roman"/>
          <w:sz w:val="18"/>
          <w:szCs w:val="18"/>
          <w:color w:val="auto"/>
        </w:rPr>
        <w:t>was appointed senior vice president and chief operating officer of our T&amp;D segment in January 2017. Prior to his current role,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senior vice president of MYR Group from August 2013 to December 2016. Mr. Cooper served as group vice president, east of MYR Group from 2009 to 2013 and vice president T&amp;D, east of MYR Group from 2006 to 2009. Mr. Cooper has held a number of additional positions since joining us in 1989, including business development manager, regional manager, district manager, and estimator.</w:t>
      </w:r>
    </w:p>
    <w:p>
      <w:pPr>
        <w:spacing w:after="0" w:line="8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William F. Fry </w:t>
      </w:r>
      <w:r>
        <w:rPr>
          <w:rFonts w:ascii="Times New Roman" w:cs="Times New Roman" w:eastAsia="Times New Roman" w:hAnsi="Times New Roman"/>
          <w:sz w:val="18"/>
          <w:szCs w:val="18"/>
          <w:color w:val="auto"/>
        </w:rPr>
        <w:t>joined us as vice president, chief legal officer and secretary in January 2019. Prior to joining us, Mr. Fry served as vice president —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for Team Inc., a specialty industrial service, engineering and manufacturing company, from 2016 to 2018. Mr. Fry was general counsel, secretary, vice president &amp; chief compliance officer of Furmanite Corporation, a provider of specialized technical services and product solutions, from 2012 to 2016, prior to its merger with Team Inc. Prior to joining Furmanite Corporation, Mr. Fry worked for American Tank &amp; Vessel, Inc., a specialty engineering and construction company, in various roles from 2006 to 2012, ultimately serving as their general counsel.</w:t>
      </w:r>
    </w:p>
    <w:p>
      <w:pPr>
        <w:spacing w:after="0" w:line="8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Jeffrey J. Waneka </w:t>
      </w:r>
      <w:r>
        <w:rPr>
          <w:rFonts w:ascii="Times New Roman" w:cs="Times New Roman" w:eastAsia="Times New Roman" w:hAnsi="Times New Roman"/>
          <w:sz w:val="18"/>
          <w:szCs w:val="18"/>
          <w:color w:val="auto"/>
        </w:rPr>
        <w:t>was appointed senior vice president and chief operating officer of our C&amp;I segment in January 2017. Prior to his current role,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president of our subsidiary company, Sturgeon Electric Company, Inc., from February 2015 to December 2016. Mr. Waneka served as group vice president, C&amp;I of MYR Group from 2014 to 2015 and vice president, C&amp;I of MYR Group from 2009 to 2014. Mr. Waneka has held a number of additional positions since joining the Company in 1991, including regional manager, director business development and district manager.</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Access to Company Reports</w:t>
      </w:r>
    </w:p>
    <w:p>
      <w:pPr>
        <w:spacing w:after="0" w:line="16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www.myrgroup.com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13(a) or 15(d) of the Exchange Act will be available free of charge through our website as soon as reasonably practicable after they are electronically filed with, or furnished to, the SEC. The information on our website is not a part of this Annual Report on Form 10-K or incorporated into any other filings we make with the SEC.</w:t>
      </w:r>
    </w:p>
    <w:p>
      <w:pPr>
        <w:spacing w:after="0" w:line="17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4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risk factors carefully in connection with evaluating our business and the forward-looking information contained in this Annual Report on Form 10-K. We operate in a changing environment that involves numerous known and unknown risks and uncertainties that could affect our operations. The risks described below highlight some of the factors that have affected, and in the future could affect, our operations. Although the risks are organized by heading, and each risk is described separately, many of the risks are interrelated. Additional risks we do not yet know of, or that we currently think are immaterial, may also affect our operations. You should not interpret the disclosure of any risk factor to imply that the risk has not already materialized. If any of the events or circumstances described in the following risks actually occurs, our business, financial condition, results of operations and cash flows could be affected and our stock price could decline.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&amp; Market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vary significantly from period to period.</w:t>
      </w:r>
    </w:p>
    <w:p>
      <w:pPr>
        <w:spacing w:after="0" w:line="148" w:lineRule="exact"/>
        <w:rPr>
          <w:sz w:val="20"/>
          <w:szCs w:val="20"/>
          <w:color w:val="auto"/>
        </w:rPr>
      </w:pPr>
    </w:p>
    <w:p>
      <w:pPr>
        <w:ind w:right="420" w:firstLine="324"/>
        <w:spacing w:after="0" w:line="281" w:lineRule="auto"/>
        <w:rPr>
          <w:sz w:val="20"/>
          <w:szCs w:val="20"/>
          <w:color w:val="auto"/>
        </w:rPr>
      </w:pPr>
      <w:r>
        <w:rPr>
          <w:rFonts w:ascii="Times New Roman" w:cs="Times New Roman" w:eastAsia="Times New Roman" w:hAnsi="Times New Roman"/>
          <w:sz w:val="18"/>
          <w:szCs w:val="18"/>
          <w:color w:val="auto"/>
        </w:rPr>
        <w:t>Our business can be highly cyclical and subject to seasonal and other variations that can result in significant differences in operating results from period to period. Additionally, our results may be materially and adversely affected by:</w:t>
      </w:r>
    </w:p>
    <w:p>
      <w:pPr>
        <w:spacing w:after="0" w:line="1" w:lineRule="exact"/>
        <w:rPr>
          <w:sz w:val="20"/>
          <w:szCs w:val="20"/>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volume of work under contract;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changes in the competitive marketplace for our services;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spending patterns of customers and governments;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performance and reputation;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performance of our services caused by adverse weather conditions;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overruns on fixed-price and unit-price contracts;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equipment utilization;</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on projects due to permitting, regulatory issues or customer-caused delays;</w:t>
      </w:r>
    </w:p>
    <w:p>
      <w:pPr>
        <w:spacing w:after="0" w:line="63" w:lineRule="exact"/>
        <w:rPr>
          <w:rFonts w:ascii="Times New Roman" w:cs="Times New Roman" w:eastAsia="Times New Roman" w:hAnsi="Times New Roman"/>
          <w:sz w:val="18"/>
          <w:szCs w:val="18"/>
          <w:color w:val="auto"/>
        </w:rPr>
      </w:pPr>
    </w:p>
    <w:p>
      <w:pPr>
        <w:ind w:left="500" w:right="540" w:hanging="168"/>
        <w:spacing w:after="0" w:line="28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customers relating to payment terms under our contracts and change orders, and our ability to successfully negotiate and obtain payment or reimbursement under our contracts and change orders;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margins of projects performed during any particular reporting period;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w:t>
      </w:r>
    </w:p>
    <w:p>
      <w:pPr>
        <w:spacing w:after="0" w:line="63" w:lineRule="exact"/>
        <w:rPr>
          <w:rFonts w:ascii="Times New Roman" w:cs="Times New Roman" w:eastAsia="Times New Roman" w:hAnsi="Times New Roman"/>
          <w:sz w:val="18"/>
          <w:szCs w:val="18"/>
          <w:color w:val="auto"/>
        </w:rPr>
      </w:pPr>
    </w:p>
    <w:p>
      <w:pPr>
        <w:ind w:left="500" w:right="680" w:hanging="168"/>
        <w:spacing w:after="0" w:line="28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delays, equipment and materials availability and increasing insurance, equipment, labor and material costs related to supply chain disruptions, inflationary pressures, recessionary conditions, tariffs, regulatory slowdowns and market disruptions;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integration of acquisitions and the magnitude of the related acquisition and integration costs;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 major customer;</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our customers, contracts and business;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subcontractor and material costs in our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risk associated with the financial condition of our customers;</w:t>
      </w:r>
    </w:p>
    <w:p>
      <w:pPr>
        <w:spacing w:after="0" w:line="63" w:lineRule="exact"/>
        <w:rPr>
          <w:rFonts w:ascii="Times New Roman" w:cs="Times New Roman" w:eastAsia="Times New Roman" w:hAnsi="Times New Roman"/>
          <w:sz w:val="18"/>
          <w:szCs w:val="18"/>
          <w:color w:val="auto"/>
        </w:rPr>
      </w:pPr>
    </w:p>
    <w:p>
      <w:pPr>
        <w:ind w:left="500" w:right="760" w:hanging="168"/>
        <w:spacing w:after="0" w:line="281"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design, construction and operating costs, due to inflation or other unforeseen causes, that we are unable to pass through to our customers;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expiration of existing agreements;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regional and general economic conditions and the condition of the financial markets;</w:t>
      </w:r>
    </w:p>
    <w:p>
      <w:pPr>
        <w:spacing w:after="0" w:line="63" w:lineRule="exact"/>
        <w:rPr>
          <w:rFonts w:ascii="Times New Roman" w:cs="Times New Roman" w:eastAsia="Times New Roman" w:hAnsi="Times New Roman"/>
          <w:sz w:val="18"/>
          <w:szCs w:val="18"/>
          <w:b w:val="1"/>
          <w:bCs w:val="1"/>
          <w:i w:val="1"/>
          <w:iCs w:val="1"/>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losses experienced in our operations not otherwise covered by insurance;</w:t>
      </w:r>
    </w:p>
    <w:p>
      <w:pPr>
        <w:spacing w:after="0" w:line="63" w:lineRule="exact"/>
        <w:rPr>
          <w:rFonts w:ascii="Times New Roman" w:cs="Times New Roman" w:eastAsia="Times New Roman" w:hAnsi="Times New Roman"/>
          <w:sz w:val="18"/>
          <w:szCs w:val="18"/>
          <w:b w:val="1"/>
          <w:bCs w:val="1"/>
          <w:i w:val="1"/>
          <w:iCs w:val="1"/>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we incur to support growth internally or otherwise;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qualified labor for specific projects;</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right="700" w:hanging="168"/>
        <w:spacing w:after="0" w:line="281" w:lineRule="auto"/>
        <w:tabs>
          <w:tab w:leader="none" w:pos="4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interruptions, including as a result of natural disasters, wildfires, weather, labor disputes, pandemic outbreak of disease, fire or explosions and power outages;</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associated with participation in joint ventures related to third party failures;</w:t>
      </w:r>
    </w:p>
    <w:p>
      <w:pPr>
        <w:spacing w:after="0" w:line="63" w:lineRule="exact"/>
        <w:rPr>
          <w:rFonts w:ascii="Times New Roman" w:cs="Times New Roman" w:eastAsia="Times New Roman" w:hAnsi="Times New Roman"/>
          <w:sz w:val="18"/>
          <w:szCs w:val="18"/>
          <w:color w:val="auto"/>
        </w:rPr>
      </w:pPr>
    </w:p>
    <w:p>
      <w:pPr>
        <w:ind w:left="500" w:right="300" w:hanging="168"/>
        <w:spacing w:after="0" w:line="281" w:lineRule="auto"/>
        <w:tabs>
          <w:tab w:leader="none" w:pos="49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inability to secure sufficient funding to finance continuing operations, fund growth or to provide the required financial resources certain large projects may require;</w:t>
      </w:r>
    </w:p>
    <w:p>
      <w:pPr>
        <w:spacing w:after="0" w:line="1" w:lineRule="exact"/>
        <w:rPr>
          <w:rFonts w:ascii="Times New Roman" w:cs="Times New Roman" w:eastAsia="Times New Roman" w:hAnsi="Times New Roman"/>
          <w:sz w:val="18"/>
          <w:szCs w:val="18"/>
          <w:b w:val="1"/>
          <w:bCs w:val="1"/>
          <w:i w:val="1"/>
          <w:iCs w:val="1"/>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foreign currency exchange rates;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fluctuations in interest rates;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bonding requirements applicable to existing and new agreements;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multi-employer pension plan obligations;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or increased cost of equipment;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goodwill or intangible assets;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w:t>
      </w:r>
    </w:p>
    <w:p>
      <w:pPr>
        <w:spacing w:after="0" w:line="158"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Accordingly, our operating results in any particular reporting period may not be indicative of the results that can be expected for any other reporting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highly competitive.</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industry is fragmented and we compete with other companies, ranging from small, independent firms servicing local markets to larger firms servicing regional, national and international markets. Any organization that has adequate financial resources and access to technical expertise may become one of our competitors. Competition in the industry depends on many factors, including pricing of the construction services, the reputation for safety and the quality and reliability of the contractor. Some of our competitors may have lower labor and overhead cost structures and, therefore, may be able to provide their services at lower prices than ours. In addition, some of our competitors may have greater financial, technological and human resources than we do. We cannot be certain that our competitors will not develop the expertise, experience and resources to provide services that are superior in both price and quality to our services. Similarly, we cannot be certain that we will be able to maintain or enhance our competitive position within the markets we serve or maintain our customer base at current levels. Additionally, we may face competition from in-house service organizations of our existing or prospective customers including electric utility companies and others which often employ personnel to internally perform some of the same types of services we do. If we are unable to compete successfully in our markets, our operating results could be adversely affected.</w:t>
      </w:r>
    </w:p>
    <w:p>
      <w:pPr>
        <w:spacing w:after="0" w:line="12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economic and market conditions including tariffs on materials and recessionary conditions may in the future adversely impact our customers’ spending and, as a result, our operations and growth.</w:t>
      </w:r>
    </w:p>
    <w:p>
      <w:pPr>
        <w:spacing w:after="0" w:line="7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demand for our services from our customers has been, and will likely continue to be, cyclical in nature and vulnerable to downturns in the industries we serve as well as the economy in general. Stagnant or declining economic conditions could result in the delay, reduction or cancellation of certain projects and could cause our customers to outsource less work, which could adversely affect us in the future. Additionally, many of our customers finance their projects through the incurrence of debt or the issuance of equity. A reduction in cash flow or the lack of availability of debt or equity financing may result in a reduction in our customers’ spending for our services and may also impact the ability of our customers to pay amounts owed to us, which could have a material adverse effect on our operations and our ability to grow at historical levels, or at all. A prolonged economic downturn or recession could adversely affect our customers and their ability or willingness to fund capital expenditures in the future or pay for past services. Material fluctuations in energy markets could also have an adverse impact on our customers’ spending patterns. Consolidation, competition, capital constraints or negative economic conditions in the electric power industry may also result in reduced spending by, or the loss of, one or more of our customers.</w:t>
      </w:r>
    </w:p>
    <w:p>
      <w:pPr>
        <w:spacing w:after="0" w:line="121"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Changes to U.S. policies related to global trade and tariffs, as well as retaliatory trade measures implemented by other countries, have resulted in uncertainty surrounding the future of the global economy. Increases in the cost of imported raw materials or finished goods as a result of tariffs or trade policies may impact customer spending, and reductions in customer spending could lead to fewer project awards and more competition We cannot predict the outcome of these changing trade policies or other unanticipated political conditions, nor can we predict the timing or strength of any economic recovery or downturn worldwide or its impact on our customers’ markets.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Project and Growth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generating internal growth, which could impact the projects available to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generate internal growth will be affected by, among other factors, our ability to:</w:t>
      </w:r>
    </w:p>
    <w:p>
      <w:pPr>
        <w:spacing w:after="0" w:line="63" w:lineRule="exact"/>
        <w:rPr>
          <w:sz w:val="20"/>
          <w:szCs w:val="20"/>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new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projects performed for existing customers;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qualified personnel;</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bid new projects;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geographically;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 the range of services we offer to customers to address their evolving construction needs.</w:t>
      </w:r>
    </w:p>
    <w:p>
      <w:pPr>
        <w:spacing w:after="0" w:line="158"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In addition, if our customers are constrained in their ability to obtain capital, it could reduce the number, timing or size of projects available to us. Many of the factors affecting our ability to generate internal growth may be beyond our control, and we cannot be certain that our strategies will be successful, or that we will be able to generate cash flow sufficient to fund our operations and support internal growth. If we are unsuccessful, we may not be able to achieve internal growth, expand our operations and grow our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successfully execute or integrate acquisitions or joint ventures may have an adverse impact on our growth strategy and business.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our business strategy includes expanding our presence in the industries we serve through strategic acquisitions of companies or entry into joint ventures that complement or diversify our business. Future acquisition targets that meet our criteria may be limited. We may also face competition for acquisition opportunities, and other potential acquirers may offer more favorable terms or have greater financial resources available for potential acquisitions. This competition may limit our ability to grow through acquisitions or could raise the prices of acquisitions, adversely impacting any accretion that might be achieved. Failure to consummate future acquisitions could negatively affect our future growth strategies. Additionally, the acquisitions we pursue may involve significant cash expenditures, the incurrence or assumption of debt or burdensome regulatory requirements.</w:t>
      </w:r>
    </w:p>
    <w:p>
      <w:pPr>
        <w:spacing w:after="0" w:line="12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Any acquisition may ultimately have a negative impact on our business, financial condition, results of operations or cash flows. We may not realize the anticipated benefits and synergies of an acquisition, and our attempts at integrating an acquired business may not be successful. Acquisitions or joint ventures may expose us to operational and financial challenges and risks, including:</w:t>
      </w:r>
    </w:p>
    <w:p>
      <w:pPr>
        <w:spacing w:after="0" w:line="14" w:lineRule="exact"/>
        <w:rPr>
          <w:sz w:val="20"/>
          <w:szCs w:val="20"/>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 of our ongoing business;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diversion of resources and management’s attention from our existing business;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of cash and other resources available for operations and other uses;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risks specific to the acquired businesses, services, or technologies to which we are not currently exposed;</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retain key personnel or customers of an acquired business;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new operations and personnel;</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acquired companies to achieve the results we expect; and</w:t>
      </w:r>
    </w:p>
    <w:p>
      <w:pPr>
        <w:spacing w:after="0" w:line="63" w:lineRule="exact"/>
        <w:rPr>
          <w:rFonts w:ascii="Times New Roman" w:cs="Times New Roman" w:eastAsia="Times New Roman" w:hAnsi="Times New Roman"/>
          <w:sz w:val="18"/>
          <w:szCs w:val="18"/>
          <w:color w:val="auto"/>
        </w:rPr>
      </w:pPr>
    </w:p>
    <w:p>
      <w:pPr>
        <w:ind w:left="500" w:right="440" w:hanging="168"/>
        <w:spacing w:after="0" w:line="282" w:lineRule="auto"/>
        <w:tabs>
          <w:tab w:leader="none" w:pos="4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unknown liabilities of the acquired business for which there are inadequate reserves and the potential impairment of acquired intangible assets.</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ability to grow and maintain our competitive position may be affected by our ability to successfully integrate any businesses acquired.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and Operating Risks</w:t>
      </w:r>
    </w:p>
    <w:p>
      <w:pPr>
        <w:spacing w:after="0" w:line="14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Project performance issues, including those caused by third parties, or certain contractual obligations may result in additional costs to us, reductions or delays in revenues or the payment of penalties, including liquidated damages.</w:t>
      </w:r>
    </w:p>
    <w:p>
      <w:pPr>
        <w:spacing w:after="0" w:line="91"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Many projects involve challenging engineering, procurement and construction phases that may occur over several years. We may encounter difficulties that impact our ability to complete the project in accordance with the original delivery schedule. These difficulties may be the result of delays in designs; engineering information or materials provided by the customer or a third party; delays or difficulties in equipment and material delivery; schedule changes; delays from our customer’s failure to timely obtain permits, rights-of-way or to meet other regulatory requirements; weather-related delays; delays caused by difficult worksite environments; delays caused by inefficiencies and not achieving expected labor performance and other factors, some of which are beyond our control. Any delay or failure by suppliers or by third-party subcontractors in the completion of their portion of the project may result in delays in the overall progress of the project or may cause us to incur additional costs, or both. We also may encounter project delays due to local opposition, which may include injunctive actions as well as public protests, to the siting of electric transmission lines, clean energy projects, or other facilities. We may not be able to recover the costs we incur that are caused by delays. Certain contracts have guarantee provisions regarding project completion by a scheduled acceptance date or achievement of certain acceptance and performance testing levels. Failure to meet any of our schedules or performance requirements could also result in additional costs or penalties, including liquidated damages, and such amounts could exceed expected project profit. In extreme cases, the above-mentioned factors could cause project cancellations. Delays or cancellations may impact our reputation or relationships with customers and adversely affect our ability to secure new contracts. Larger projects present additional performance risks due to complexity of the work and duration of the project.</w:t>
      </w:r>
    </w:p>
    <w:p>
      <w:pPr>
        <w:spacing w:after="0" w:line="13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may change or delay various elements of the project after its commencement. The design, engineering information, equipment or materials that are to be provided by the customer or other parties may be deficient or delivered later than required by the project schedule, resulting in additional direct or indirect costs. Under these circumstances, we generally negotiate with the customer with respect to the amount of additional time required and the compensation to be paid to us. We are subject to the risk that we may be unable to obtain, through negotiation, arbitration, litigation or otherwise, adequate amounts to compensate us for the additional work or expenses incurred by us due to change orders or failure by others to timely deliver items, such as engineering drawings or materials.</w:t>
      </w:r>
    </w:p>
    <w:p>
      <w:pPr>
        <w:spacing w:after="0" w:line="10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have in the past brought, and may in the future bring, claims against our customers related to, among other things, the payment terms of our contracts and change orders relating to our contracts. These types of claims occur due to, among other things, customer-caused delays or changes in project scope, both of which may result in additional cost, which may not be recovered until the claim is resolved. Additionally, if any of our customers do not proceed with the completion of projects or default on their payment obligations, or if we encounter disputes with our customers with respect to the adequacy of billing support, we may face difficulties in collecting payment of amounts due to us for the costs previously incurred. In some instances, these claims can be the subject of lengthy legal proceedings, and it is difficult to accurately predict when or if they will be fully resolved. A failure to promptly recover on these types of claims in the future could have a negative impact on our business, financial condition, results of operations and cash flows. Additionally, any such claims may harm our future relationships with our customers.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qualified personnel.</w:t>
      </w:r>
    </w:p>
    <w:p>
      <w:pPr>
        <w:spacing w:after="0" w:line="162"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Our ability to maintain our productivity and our operating results may be limited by our ability to employ, train and retain qualified personnel necessary to operate efficiently and to support our growth strategy. We have from time to time experienced shortages of certain types of qualified personnel, such as linemen, field supervisors, project managers and engineers, in certain regions. In addition, our projects are sometimes located in remote areas, which can make recruitment and deployment of our personnel challenging. During periods with large volumes of storm restoration services work, linemen are frequently recruited across geographic regions to satisfy demand. Many linemen are willing to travel to earn premium wages for such work, which from time to time makes it difficult for us to retain these workers for ongoing projects when storm conditions persist. The commencement of new, large-scale infrastructure projects or increased demand for infrastructure improvements, as well as the shrinking electric utility workforce, may reduce the pool of skilled workers available to us. Labor shortages could impair our ability to maintain our business or grow our revenues. If we are unable to hire personnel with the requisite skills, we may also be forced to incur significant training expenses.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80" w:firstLine="324"/>
        <w:spacing w:after="0" w:line="274" w:lineRule="auto"/>
        <w:rPr>
          <w:sz w:val="20"/>
          <w:szCs w:val="20"/>
          <w:color w:val="auto"/>
        </w:rPr>
      </w:pPr>
      <w:r>
        <w:rPr>
          <w:rFonts w:ascii="Times New Roman" w:cs="Times New Roman" w:eastAsia="Times New Roman" w:hAnsi="Times New Roman"/>
          <w:sz w:val="17"/>
          <w:szCs w:val="17"/>
          <w:color w:val="auto"/>
        </w:rPr>
        <w:t>In addition, the success of our business depends upon the continued efforts and abilities of our employees. The relationships between our employees and our customers are important to obtaining and retaining business. We are also dependent on recruiting effective personnel for our projects. There can be no assurance that any individual employee will continue in his or her capacity for any particular period of time. Industry-wide competition for managerial talent is high. Given that level of competition, there could be situations where our overall compensation package may be viewed as less attractive as compared to our competition, and we may experience the loss of key personnel or higher costs to retain and hire key personnel. The loss of key personnel, or the inability to hire and retain qualified personnel, could negatively impact our ability to manage our business and relationships with our customers.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timing of new contracts and termination of existing contracts may result in unpredictable fluctuations in our cash flows and financial results.</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A substantial portion of our revenues are derived from project-based work that is awarded through a competitive bid process. It is generally difficult to predict the timing and geographic distribution of the projects that we will be awarded. The selection of, timing of, or failure to obtain projects, delays in awards of projects, the re-bidding or termination of projects due to budget overruns, cancellations of projects or delays in completion of contracts could result in the under-utilization of our assets, including our fleet of construction equipment, which could lower our overall profitability and reduce our cash flows. Even if we are awarded contracts, we face additional risks that could affect when, or whether, work will begin. This can present difficulty in matching workforce size and equipment location with contract needs. In some cases, we may be required to bear the cost of a ready workforce and equipment that is larger than necessary, which could impact our cash flow, expenses and profitability. If an expected contract award or the related work release is delayed or not received, we could incur substantial costs without receipt of any corresponding revenues. Moreover, construction projects for which our services are contracted may require significant expenditures by us prior to receipt of relevant payments from the customer. Finally, the winding down or completion of work on significant projects that were active in previous periods will reduce our revenue and earnings if such significant projects have not been replaced in the current period.</w:t>
      </w:r>
    </w:p>
    <w:p>
      <w:pPr>
        <w:spacing w:after="0" w:line="124"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Many of our contracts may be canceled upon short notice, typically 30 to 90 days, even if we are not in default under the contract, and we may be unsuccessful in replacing contracts, resulting in a decrease in our revenue, net income and liquidity. Certain of our customers assign work to us on a project-by-project basis under MSAs. Under these agreements, our customers often have no obligation to assign a specific amount of work to us. Our operations could decline significantly if the anticipated volume of work is not assigned to us or is canceled. Many of our contracts, including our MSAs, are open to competitive bidding at the expiration of their terms. There can be no assurance that we will be the successful bidder on our existing contracts that come up for re-bid.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During the ordinary course of our business, we may become subject to lawsuits or indemnity claims.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have in the past been, and may in the future be, named as a defendant in lawsuits, claims and other legal proceedings that arise in the ordinary course of our business. These actions may seek, among other things, compensation for alleged personal injury, workers’ compensation, employment discrimination, sexual harassment, workplace misconduct and other employment-related damages, breach of contract, property damage, environmental liabilities, multiemployer pension plan withdrawal liabilities, punitive damages, consequential damages, and civil penalties or other losses or injunctive or declaratory relief. In addition, we generally indemnify our customers for claims related to the services we provide and actions we take under our contracts, and, in some instances, we may be allocated risk through our contract terms for actions by our customers, subcontractors or other third parties. Because our services in certain instances may be integral to the operation and performance of our customers’ infrastructure, we have been and may become subject to lawsuits or claims for any failure of the systems that we work on, even if our services are not the cause of such failures, and we could be subject to civil and criminal liabilities to the extent that our services contributed to any property damage, personal injury or system failure. Insurance coverage may not be available or may be insufficient for these lawsuits, claims or legal proceedings. The outcome of any of these lawsuits, claims or legal proceedings could result in significant costs and diversion of management’s attention from our business. Payments of significant amounts, even if reserved, could materially and adversely affect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 may not be realized or may not result in profits and may not accurately represent future revenue.</w:t>
      </w:r>
    </w:p>
    <w:p>
      <w:pPr>
        <w:spacing w:after="0" w:line="148"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Backlog is difficult to determine accurately, and companies within our industry may define backlog differently. Reductions in backlog due to cancellation, termination or scope adjustment by a customer or for other reasons could significantly reduce the revenue and profit we actually receive from contracts in backlog. In the event of a project cancellation, termination or scope adjustment, we typically have no contractual right to the total revenues reflected in our backlog. The timing of contract awards, duration of large new contracts and the mix of services, subcontracted work and material in our contracts can significantly affect backlog reporting. Given these factors and our method of calculating backlog, our backlog at any point in time may not accurately represent the revenue that we expect to realize during any period, and our backlog as of the end of a fiscal year may not be indicative of the revenue we expect to earn in the following fiscal year and should not be viewed or relied upon as a stand-alone indicator. Consequently, we cannot provide assurance as to our customers’ requirements or our estimates of backlog. See “Item 1. Business — Backlog” for a discussion on how we calculate backlog for our business.</w:t>
      </w:r>
    </w:p>
    <w:p>
      <w:pPr>
        <w:spacing w:after="0" w:line="11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0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maintain insurance coverages from third party insurers as part of our overall risk management strategy and most of our customer contracts require us to maintain specific insurance coverage limits. We maintain insurance policies with respect to automobile liability, general liability, employer’s liability, workers’ compensation, our employee group health program, and other types of coverages, but these policies are subject to high deductibles, and we are self-insured up to the amount of those deductibles. Insurance losses are accrued based upon our estimates of the ultimate liability for claims reported and an estimate of claims incurred but not yet reported. Insurance liabilities are difficult to assess and estimate due to unknown factors, including the frequency and severity of injuries, the magnitude of damage to or loss of property or the environment, the determination of our liability in proportion to other parties, estimates of incidents not reported and the effectiveness of our safety programs, and as a result, our actual losses may exceed our estimates. There can be no assurance that our current or past insurance coverages will be sufficient or effective under all circumstances or against all claims and liabilities to which we may be subject.</w:t>
      </w:r>
    </w:p>
    <w:p>
      <w:pPr>
        <w:spacing w:after="0" w:line="107"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We generally renew our insurance policies on an annual basis; therefore, deductibles and levels of insurance coverages may change in future periods. There can be no assurance that any of our existing insurance coverages will be renewed upon the expiration of the coverage period or that future coverage will be available at reasonable and competitive rates or at the required limits. The cost of our insurance has significantly increased and may continue to increase in the future. In addition, insurers may fail, cancel our coverage, increase the cost of coverage, determine to exclude certain items from coverage, or otherwise be unable to provide us with adequate insurance coverage. We may not be able to obtain certain types of insurance or incremental levels of insurance in scope or amount sufficient to cover liabilities we may incur. For example, due to the recent increase in wildfire losses and related insurance claims, insurers have reduced coverage availability and increased the cost of insurance coverage for such events in recent years, and our current levels of coverage may not be sufficient to cover potential losses. If our risk exposure increases as a result of adverse changes in our insurance coverages, we could be subject to increased liabilities that could negatively affect our business, financial condition, results of operations and cash flow.</w:t>
      </w:r>
    </w:p>
    <w:p>
      <w:pPr>
        <w:spacing w:after="0" w:line="12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perform work in hazardous environments and our employees are exposed to a number of hazards. Incidents can occur, regardless of fault, that may be catastrophic and adversely impact our employees and third parties by causing serious personal injury, loss of life, damage to property or the environment, and interruption of operations. Furthermore, we perform a significant amount of services for customers that operate electrical power infrastructure assets in locations and climates that are more susceptible to wildfires or other natural disasters. In locations or environments where claims have become more frequent or severe in recent years, insurance may become difficult or impossible to obtain. Our contracts may require us to indemnify our customers, project owners and other parties for injury, damage or loss arising out of our presence at our customers’ location, or in the performance of our work, in both cases regardless of fault, and provide for warranties for materials and workmanship. We may also be required to name the customer and others as an additional insured under our insurance policies. We maintain limited insurance coverage against these and other risks associated with our business. This insurance may not protect us against liability for certain events, and we cannot guarantee that our insurance will be adequate in risk coverage or policy limits to cover all losses or liabilities that we may incur. Any future damages caused by our services that are not covered by insurance or are in excess of policy limits could have a material adverse effect on our business,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operating in the Canadian market could impact our profitability.</w:t>
      </w:r>
    </w:p>
    <w:p>
      <w:pPr>
        <w:spacing w:after="0" w:line="148"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There are numerous inherent risks in conducting our business in a different country including, but not limited to, potential instability in markets, political, economic or social conditions, and difficult or additional legal and regulatory requirements applicable to our operations. Limits on our ability to repatriate earnings, exchange controls, and complex U.S. and Canadian laws and treaties including laws related to the U.S. Foreign Corrupt Practices Act (“FCPA”) and similar laws could also adversely impact our operations. Changes in the value of the Canadian dollar could increase or decrease the U.S. dollar value of our profits earned or assets held in Canada or potentially limit our ability to reinvest earnings from our operations in Canada to fund the financing requirements of our operations in the United States. These risks could restrict our ability to provide services to Canadian customers or to operate our Canadian business profitably, and could negatively impact our results. We also are exposed to currency risks relating to the translation of certain monetary transactions, assets and liabilities.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our interpretations of tax laws could materially impact our income tax liabilities.</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operations in the United States and Canada and are subject to the jurisdiction of multiple federal and state taxing authorities. The income earned in these various jurisdictions is taxed on different bases which are subject to change by the taxing authorities. The final determination of our income tax liabilities involves the interpretation of local tax laws, tax treaties and related authorities in each jurisdiction, as well as the significant use of estimates and assumptions regarding the scope of future operations and results achieved and the timing and nature of income earned and expenditures incurred. Changes in the operating environment, including changes in tax laws, could materially impact our income tax liabilities The Inflation Reduction Act was enacted on August 16, 2022, and includes a number of provisions that may impact the Company, including a corporate alternative minimum tax on certain large corporations, incentives to address climate change mitigation and other non-income tax provisions, including an excise tax on the repurchase of our stock. We are assessing these impacts on our condensed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nature of our business exposes us to potential liability for warranty claims and faulty engineering, which may reduce our profitability.</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customer contracts typically include a warranty for the services that we provide against certain defects in workmanship and material. Additionally, materials used in construction are often provided by the customer or are warranted against defects from the supplier. Certain projects have longer warranty periods and include facility performance warranties that may be broader than the warranties we generally provide. If warranty claims occurred, it could require us to re-perform the services or to repair or replace the warranted item, at a cost to us, and could also result in other damages if we are not able to adequately satisfy our warranty obligations. In addition, we may be required under contractual arrangements with our customers to warrant any defects or failures in materials we provide that we purchase from third parties. While we generally require suppliers to provide us warranties that are consistent with those we provide to the customers, if any of these suppliers default on their warranty obligations to us, we may incur costs to repair or replace the defective materials for which we are not reimbursed. Costs incurred because of warranty claims could adversely affect our business, financial condition, results of operations and cash flows.</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Our business involves professional judgments regarding the planning, design, development, construction, operations and management of electric power transmission and commercial construction. Because our projects are often technically complex, our failure to make judgments and recommendations in accordance with applicable professional standards, including engineering standards, could result in damages. A significantly adverse or catastrophic event at one of our project sites or completed projects resulting from the services we have performed could result in significant warranty, professional liability, or other claims against us as well as reputational harm, especially if public safety is impacted. These liabilities could exceed our insurance limits or could impact our ability to obtain insurance in the future. In addition, customers, subcontractors or suppliers who have agreed to indemnify us against any such liabilities or losses might refuse or be unable to pay us. An uninsured or underinsured claim could have an adverse impact on our business, financial condition, results of operations and cash flows.</w:t>
      </w:r>
    </w:p>
    <w:p>
      <w:pPr>
        <w:spacing w:after="0" w:line="10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9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Future pandemic outbreaks of disease may further disrupt global supply chains and create significant additional volatility and disruption of financial markets, which may require us to make changes to our business and, implement new health and safety protocols. Any such future health outbreaks could result in higher operating costs and could adversely impact our business, including certain operational, reporting, accounting or other processes. In addition, an extended period of remote work arrangements could impair our ability to effectively manage our business, and introduce additional operational risks, including but not limited to cybersecurity risks and increased vulnerability to security breaches, cyber-attacks, computer viruses, ransomware, or other similar events and intrusions.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40" w:firstLine="324"/>
        <w:spacing w:after="0" w:line="281" w:lineRule="auto"/>
        <w:rPr>
          <w:sz w:val="20"/>
          <w:szCs w:val="20"/>
          <w:color w:val="auto"/>
        </w:rPr>
      </w:pPr>
      <w:r>
        <w:rPr>
          <w:rFonts w:ascii="Times New Roman" w:cs="Times New Roman" w:eastAsia="Times New Roman" w:hAnsi="Times New Roman"/>
          <w:sz w:val="18"/>
          <w:szCs w:val="18"/>
          <w:color w:val="auto"/>
        </w:rPr>
        <w:t>We are unable to predict the ultimate impact of any pandemic outbreak of disease, which could adversely affect our business, financial condition, results of operations and cash flows. Such effects may be material and the potential impacts include, but are not limited to:</w:t>
      </w:r>
    </w:p>
    <w:p>
      <w:pPr>
        <w:spacing w:after="0" w:line="1" w:lineRule="exact"/>
        <w:rPr>
          <w:sz w:val="20"/>
          <w:szCs w:val="20"/>
          <w:color w:val="auto"/>
        </w:rPr>
      </w:pPr>
    </w:p>
    <w:p>
      <w:pPr>
        <w:ind w:left="500" w:right="120" w:hanging="168"/>
        <w:spacing w:after="0" w:line="281"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chain due to transportation delays, travel restrictions, raw material cost increases and shortages, and closures of businesses or facilities;</w:t>
      </w:r>
    </w:p>
    <w:p>
      <w:pPr>
        <w:spacing w:after="0" w:line="1" w:lineRule="exact"/>
        <w:rPr>
          <w:rFonts w:ascii="Times New Roman" w:cs="Times New Roman" w:eastAsia="Times New Roman" w:hAnsi="Times New Roman"/>
          <w:sz w:val="18"/>
          <w:szCs w:val="18"/>
          <w:color w:val="auto"/>
        </w:rPr>
      </w:pPr>
    </w:p>
    <w:p>
      <w:pPr>
        <w:ind w:left="500" w:right="780" w:hanging="168"/>
        <w:spacing w:after="0" w:line="281"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operating effectiveness due to workforce disruptions resulting from “shelter-in-place” and “stay-at-home” orders, and the unavailability of key personnel necessary to conduct our business activities; and</w:t>
      </w:r>
    </w:p>
    <w:p>
      <w:pPr>
        <w:spacing w:after="0" w:line="1" w:lineRule="exact"/>
        <w:rPr>
          <w:rFonts w:ascii="Times New Roman" w:cs="Times New Roman" w:eastAsia="Times New Roman" w:hAnsi="Times New Roman"/>
          <w:sz w:val="18"/>
          <w:szCs w:val="18"/>
          <w:color w:val="auto"/>
        </w:rPr>
      </w:pPr>
    </w:p>
    <w:p>
      <w:pPr>
        <w:ind w:left="500" w:right="240" w:hanging="168"/>
        <w:spacing w:after="0" w:line="282" w:lineRule="auto"/>
        <w:tabs>
          <w:tab w:leader="none" w:pos="44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 which could have a negative impact on our ability to access capital and additional sources of financing in the future.</w:t>
      </w:r>
    </w:p>
    <w:p>
      <w:pPr>
        <w:spacing w:after="0" w:line="81" w:lineRule="exact"/>
        <w:rPr>
          <w:sz w:val="20"/>
          <w:szCs w:val="20"/>
          <w:color w:val="auto"/>
        </w:rPr>
      </w:pPr>
    </w:p>
    <w:p>
      <w:pPr>
        <w:ind w:right="400" w:firstLine="324"/>
        <w:spacing w:after="0" w:line="261" w:lineRule="auto"/>
        <w:rPr>
          <w:sz w:val="20"/>
          <w:szCs w:val="20"/>
          <w:color w:val="auto"/>
        </w:rPr>
      </w:pPr>
      <w:r>
        <w:rPr>
          <w:rFonts w:ascii="Times New Roman" w:cs="Times New Roman" w:eastAsia="Times New Roman" w:hAnsi="Times New Roman"/>
          <w:sz w:val="18"/>
          <w:szCs w:val="18"/>
          <w:color w:val="auto"/>
        </w:rPr>
        <w:t>Should a future health outbreak persist for a prolonged period, any of the above factors and others that are unknown, may have a material adverse effect on our business, financial condition, results of operations and cash flows. In addition, we cannot predict the ultimate impact of any pandemic outbreak of disease will have on our customers and suppliers, and any adverse impacts on these parties may have a material adverse impact on our business.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Party Partner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dependence on suppliers, subcontractors and equipment manufacturers could expose us to the risk of loss in our operations.</w:t>
      </w:r>
    </w:p>
    <w:p>
      <w:pPr>
        <w:spacing w:after="0" w:line="148"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certain projects, we rely on suppliers to obtain the necessary materials and subcontractors to perform portions of our services. We also rely on equipment manufacturers to provide us with the equipment required to conduct our operations. Although we are not dependent on any single supplier, subcontractor or equipment manufacturer, any substantial limitation on the availability of required suppliers, subcontractors or equipment manufacturers could negatively impact our operations. The risk of a lack of available suppliers, subcontractors or equipment manufacturers may be heightened as a result of market and economic conditions. We may experience difficulties in acquiring equipment or materials due to supply chain interruptions, including as a result of natural disasters, weather, labor disputes, pandemic outbreak of disease, fire or explosions and power outages. To the extent we cannot engage subcontractors or acquire equipment or materials, we could experience losses in the performance of our operations. Successful completion of our contracts may depend on whether our subcontractors successfully fulfill their contractual obligations. If our subcontractors fail to perform their contractual obligations as a result of financial or other difficulties, or if our subcontractors fail to meet the expected completion dates or quality standards, we may be required to incur additional costs or provide additional services in order to make up such shortfall and we may suffer damage to our reputation.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participation in joint ventures and other projects with third parties may expose us to liability for failures of our partners.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may enter into joint venture or other strategic arrangements with other parties as part of our business operations. Success on a jointly performed project depends in large part on whether all parties satisfy their contractual obligations. Joint venture partners are generally jointly and severally liable for all liabilities and obligations of the joint venture. If a joint venture partner fails to perform or is financially unable to bear its portion of required capital contributions or other obligations, including liabilities relating to claims or lawsuits, we could be required to make additional investments, provide additional services or pay more than our proportionate or agreed upon share of a liability to compensate for the partner’s shortfall. In addition, if we are unable to adequately address our partner’s performance issues, the customer may terminate the project, which could result in legal liability to us, reduce our profit on the project or damage our reputation.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regulatory actions relating to electricity transmission and clean energy may impact demand for our services.</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Current and future legislative or regulatory actions may impact demand for our services, require utilities to meet reliability standards, and encourage installation of new electric transmission and clean energy generation facilities. However, it is unclear whether these initiatives will create sufficient incentives for projects or result in increased demand for our services.</w:t>
      </w:r>
    </w:p>
    <w:p>
      <w:pPr>
        <w:spacing w:after="0" w:line="9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Because most of our T&amp;D revenue is derived from the electric utility industry, regulatory and environmental requirements affecting that industry could adversely affect our business, financial condition, results of operations and cash flows. Customers in the electric utility industry we serve face stringent regulatory and environmental requirements, as well as permitting processes, as they implement plans for their projects, which may result in delays, reductions and cancellations of some of their projects. These regulatory factors have resulted in decreased demand for our services in the past, and they may do so in the future, potentially impacting our operations and our ability to grow at historical levels, or at all.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while many states have mandates in place that require specified percentages of electricity to be generated from clean energy sources, states could reduce those mandates or make them optional, which could reduce, delay or eliminate clean energy development in the affected states. Additionally, clean energy is generally more expensive to produce and may require additional power generation sources as backup. The locations of clean energy projects are often remote and may not be viable unless new or expanded transmission infrastructure to transport the electricity to demand centers is economically feasible. Furthermore, funding for clean energy initiatives may not be available. These factors could result in fewer clean energy projects and a delay in the construction of these projects and the related infrastructure, which could negatively impact our business.</w:t>
      </w:r>
    </w:p>
    <w:p>
      <w:pPr>
        <w:spacing w:after="0" w:line="10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and suffer negative financial or reputational impacts relating to occupational health and safety matters, including those related to environmental hazards such as wildfires and other natural disasters.</w:t>
      </w:r>
    </w:p>
    <w:p>
      <w:pPr>
        <w:spacing w:after="0" w:line="91"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laws and regulations relating to the maintenance of safe conditions in the workplace. While we have invested, and will continue to invest, substantial resources in our occupational health and safety programs, our industry involves a high degree of operational risk, and there can be no assurance that we will avoid significant liability exposure. Our business is subject to numerous safety risks, including electrocutions, fires, explosions, mechanical failures, weather-related incidents, transportation accidents and damage to equipment. Furthermore, we perform a significant amount of services for customers that operate electrical power infrastructure assets in locations and climates that are more susceptible to wildfires or other natural disasters. These hazards can cause personal injury or loss of life, severe damage to or destruction of property and equipment and other consequential damages and could lead to suspension of operations, large monetary claims and, in extreme cases, criminal liability. Members of our workforce have suffered serious injuries or fatalities in the past and may suffer additional serious injuries or fatalities in the future. Monetary claims for damages to persons, including claims for bodily injury or loss of life, could result in substantial costs and liabilities. In addition, we have in the past, and we may in the future, be subject to criminal penalties relating to occupational health and safety violations, which have resulted in and could in the future result in, substantial costs and liabilities. Any of the foregoing could result in financial loss, which could have a material adverse impact on our business, financial condition, results of operations and cash flows.</w:t>
      </w:r>
    </w:p>
    <w:p>
      <w:pPr>
        <w:spacing w:after="0" w:line="122"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Our customers seek to minimize safety risks on their sites, and they frequently review the safety records of outside contractors during the bidding process. If our safety record were to substantially deteriorate, we could become ineligible to bid on certain work, and our customers could cancel our contracts and not award us future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comply with environmental and other laws and regulations could result in significant liabilities.</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Our past, current and future operations are subject to numerous environmental and other laws and regulations governing our operations, including the use, transport and disposal of non-hazardous and hazardous substances and wastes, as well as emissions and discharges into the environment, including discharges to air, surface water, groundwater and soil. We also are subject to laws and regulations that impose liability and cleanup responsibility for releases of hazardous substances into the environment. Under certain of these laws and regulations, such liabilities can be imposed for cleanup of previously owned or operated properties, or properties to which hazardous substances or wastes were discharged by current or former operations at our facilities, regardless of whether we directly caused the contamination or violated any law at the time of discharge or disposal. The presence of contamination from such substances or wastes could interfere with ongoing operations or adversely affect our ability to sell, lease or otherwise use our properties in ways such as collateral for possible financing. We could also be held liable for significant penalties and damages under certain environmental laws and regulations, which could materially and adversely affect our business, financial condition, results of operations and cash flows.</w:t>
      </w:r>
    </w:p>
    <w:p>
      <w:pPr>
        <w:spacing w:after="0" w:line="121"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addition, new laws and regulations, stricter enforcement of existing laws and regulations, the discovery of previously unknown contamination or leaks, or the imposition of new permitting or cleanup requirements could require us to incur significant costs or become the basis for new or increased liabilities that could harm our business, financial condition, results of operations and cash flows. In certain instances, we have obtained indemnification or covenants from third parties (including our predecessor owners or lessors) for some or all of such cleanup and other obligations and liabilities. However, such third-party indemnities or covenants may not cover all of our costs.</w:t>
      </w:r>
    </w:p>
    <w:p>
      <w:pPr>
        <w:spacing w:after="0" w:line="10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to address greenhouse gas emissions could result in a variety of regulatory programs, additional charges to fund energy efficiency activities, or other regulatory actions. Any of these actions could result in increased costs associated with our operations and impact the prices we charge our customers. If new regulations are adopted regulating greenhouse gas emissions from mobile sources such as cars and trucks, we could experience a significant increase in environmental compliance costs due to our large fleet. In addition, if our operations are perceived to result in high greenhouse gas emissions, our reputation could suffer.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180" w:firstLine="324"/>
        <w:spacing w:after="0" w:line="250" w:lineRule="auto"/>
        <w:rPr>
          <w:sz w:val="20"/>
          <w:szCs w:val="20"/>
          <w:color w:val="auto"/>
        </w:rPr>
      </w:pPr>
      <w:r>
        <w:rPr>
          <w:rFonts w:ascii="Times New Roman" w:cs="Times New Roman" w:eastAsia="Times New Roman" w:hAnsi="Times New Roman"/>
          <w:sz w:val="18"/>
          <w:szCs w:val="18"/>
          <w:color w:val="auto"/>
        </w:rPr>
        <w:t>We are also subject to laws and regulations protecting endangered species, artifacts and archaeological sites. We may incur work stoppages to avoid violating these laws and regulations, or we may risk fines or other sanctions for accidentally or willfully violating these laws and regulations. We are also subject to immigration laws and regulations, for which noncompliance could be material and adversely affect our business, financial condition, results of operations and cash flows.</w:t>
      </w:r>
    </w:p>
    <w:p>
      <w:pPr>
        <w:spacing w:after="0" w:line="110"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Furthermore, failure to obtain permitting, right-of-way access and other tactical considerations prior to the commencement of work could delay the commencement of work on projects or cause modifications of work plans, potentially resulting in lower margins. We generally plan for certain up-front time and other costs to obtain required permitting and right-of-way access and for other tactical challenges prior to the commencement of work on our projects. Delays in obtaining, or the inability to obtain, permits or right-of-way access, could negatively impact our margins due to additional cost and unabsorbed overhead resulting from under-utilized personnel and equipment. Additionally, we may encounter unexpected tactical issues on the site which could lead to unanticipated costs and delays, which we may not be able to recover from our customers.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affected by seasonal and other variations, including severe weather conditions and the nature of our work environment.</w:t>
      </w:r>
    </w:p>
    <w:p>
      <w:pPr>
        <w:spacing w:after="0" w:line="162" w:lineRule="exact"/>
        <w:rPr>
          <w:sz w:val="20"/>
          <w:szCs w:val="20"/>
          <w:color w:val="auto"/>
        </w:rPr>
      </w:pPr>
    </w:p>
    <w:p>
      <w:pPr>
        <w:jc w:val="both"/>
        <w:ind w:right="100" w:firstLine="324"/>
        <w:spacing w:after="0" w:line="257"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can be subject to seasonal variations, particularly in our T&amp;D segment. These variations are influenced by weather, hours of daylight, customer spending patterns, available system outages from utilities and holidays, and can have a significant impact on our gross margins. Our profitability may decrease during the</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winter months and during severe weather conditions because work performed during these periods may be restricted and more costly to complete. Additionally, our T&amp;D customers often cannot remove their T&amp;D lines from service during the summer months when consumer demand for electricity is at its peak, delaying the demand for our maintenance and repair services. Furthermore, our work is performed under a variety of conditions, including but not limited to, difficult terrain, difficult site conditions and large urban centers where delivery of materials and availability of labor may be impacted and sites which may have been exposed to harsh and hazardous conditions. Working capital needs are also influenced by the seasonality of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Opportunities associated with government contracts could lead to increased governmental regulation applicable to us.</w:t>
      </w:r>
    </w:p>
    <w:p>
      <w:pPr>
        <w:spacing w:after="0" w:line="14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Most government contracts are awarded through a regulated competitive bidding process. If we were to be successful in being awarded government contracts, significant costs could be incurred by us before any revenues were realized from these contracts. Government agencies may review a contractor’s performance, cost structure and compliance with applicable laws, regulations and standards. If government agencies determine through these reviews that costs were improperly allocated to specific contracts, they will not reimburse the contractor for those costs or may require the contractor to refund previously reimbursed costs. If government agencies determine that we engaged in improper activity, we may be subject to civil and criminal penalties. Government contracts are also subject to renegotiation of profit and termination by the government prior to the expiration of the term.</w:t>
      </w:r>
    </w:p>
    <w:p>
      <w:pPr>
        <w:spacing w:after="0" w:line="11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9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Climate change may create physical and financial risk. Physical risks from climate change could, among other things, include an increase in extreme weather events (such as floods, wildfires or hurricanes), rising sea levels and limitations on water availability and quality. Such extreme weather conditions may limit the availability of resources, increasing the costs of our projects, or may cause projects to be delayed or cancelled. Certain risks associated with climate change could include but are not limited to:</w:t>
      </w:r>
    </w:p>
    <w:p>
      <w:pPr>
        <w:spacing w:after="0" w:line="18" w:lineRule="exact"/>
        <w:rPr>
          <w:sz w:val="20"/>
          <w:szCs w:val="20"/>
          <w:color w:val="auto"/>
        </w:rPr>
      </w:pPr>
    </w:p>
    <w:p>
      <w:pPr>
        <w:ind w:left="500" w:right="80" w:hanging="168"/>
        <w:spacing w:after="0" w:line="281"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insurance coverage, availability of coverage, availability of adequate insurance limits, higher insurance premiums, and larger self-insured retentions/deductibles,</w:t>
      </w:r>
    </w:p>
    <w:p>
      <w:pPr>
        <w:spacing w:after="0" w:line="1"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demand based on climate change as well as legal and regulatory requirements and trends,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disruptions and accompanying project inefficiencies and delays that may not be recoverable from clients due to severe weather events,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from severe weather events to construction work in progress,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assets from severe weather events,</w:t>
      </w:r>
    </w:p>
    <w:p>
      <w:pPr>
        <w:spacing w:after="0" w:line="63" w:lineRule="exact"/>
        <w:rPr>
          <w:rFonts w:ascii="Times New Roman" w:cs="Times New Roman" w:eastAsia="Times New Roman" w:hAnsi="Times New Roman"/>
          <w:sz w:val="18"/>
          <w:szCs w:val="18"/>
          <w:color w:val="auto"/>
        </w:rPr>
      </w:pPr>
    </w:p>
    <w:p>
      <w:pPr>
        <w:ind w:left="440" w:hanging="108"/>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risk due to perceptions of the company’s sustainability efforts, and</w:t>
      </w:r>
    </w:p>
    <w:p>
      <w:pPr>
        <w:spacing w:after="0" w:line="63" w:lineRule="exact"/>
        <w:rPr>
          <w:rFonts w:ascii="Times New Roman" w:cs="Times New Roman" w:eastAsia="Times New Roman" w:hAnsi="Times New Roman"/>
          <w:sz w:val="18"/>
          <w:szCs w:val="18"/>
          <w:color w:val="auto"/>
        </w:rPr>
      </w:pPr>
    </w:p>
    <w:p>
      <w:pPr>
        <w:ind w:left="500" w:right="440" w:hanging="168"/>
        <w:spacing w:after="0" w:line="282" w:lineRule="auto"/>
        <w:tabs>
          <w:tab w:leader="none" w:pos="4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reporting and compliance costs due to new regulatory requirements, customer, shareholder, and stakeholder requests targeting climate change.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Additionally, legislative and regulatory responses related to climate change and new interpretations of existing laws through climate change litigation may also negatively impact our operations. The cost of additional environmental regulatory requirements could impact the availability of goods and increase our costs. International treaties or accords could also have an impact on our business to the extent they lead to future governmental regulations. Compliance with any new laws or regulations regarding the reduction of greenhouse gases could result in significant changes to our operations and a significant increase in our cost of conducting business.</w:t>
      </w:r>
    </w:p>
    <w:p>
      <w:pPr>
        <w:spacing w:after="0" w:line="10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we establish strategies and expectations related to climate change and other environmental matters. Our ability to achieve any such strategies or expectations is subject to numerous factors and conditions, many of which are outside of our control. Examples of such factors include, but are not limited to, evolving legal, regulatory, and other standards, processes, and assumptions, the pace of scientific and technological developments, increased costs, the availability of requisite financing, and changes in carbon markets. Failures or delays (whether actual or perceived) in achieving our strategies or expectations related to climate change and other environmental matters could adversely affect our business, operations, and reputation, and increase risk of litigation.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percentage-of-completion accounting could result in a reduction or reversal of previously recognized revenues and profits.</w:t>
      </w:r>
    </w:p>
    <w:p>
      <w:pPr>
        <w:spacing w:after="0" w:line="14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 significant portion of our revenues is recognized over the contract term based on costs incurred under the cost-to-cost method. This method is used because management believes costs incurred best represent the amount of work completed and remaining on our projects and is the most common basis for computing percentage of completion in our industry. The percentage-of-completion accounting practice we use results in our recognizing contract revenues and earnings ratably over the contract term in proportion to our incurrence of contract costs. The earnings or losses recognized on individual contracts are based on estimates of contract revenues, costs and profitability. Contract losses are recognized in full when determined, and contract profit estimates are adjusted based on ongoing reviews of contract profitability. In addition, we record adjustments to estimated costs of contracts when we believe the change in estimate is probable and the amounts can be reasonably estimated. These adjustments could result in both increases and decreases in profit margins. Actual results could differ from estimated amounts and could result in a reduction or elimination of previously recognized earnings. See “Item 7. Management’s Discussion and Analysis of Financial Condition and Results from Operations — Critical Accounting Policies” and in the notes to our Financial Statements, for a discussion on how percentage-of-completion accounting impacts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are based upon estimates and assumptions that may differ from actual results.</w:t>
      </w:r>
    </w:p>
    <w:p>
      <w:pPr>
        <w:spacing w:after="0" w:line="162" w:lineRule="exact"/>
        <w:rPr>
          <w:sz w:val="20"/>
          <w:szCs w:val="20"/>
          <w:color w:val="auto"/>
        </w:rPr>
      </w:pPr>
    </w:p>
    <w:p>
      <w:pPr>
        <w:ind w:right="240" w:firstLine="324"/>
        <w:spacing w:after="0" w:line="256" w:lineRule="auto"/>
        <w:rPr>
          <w:sz w:val="20"/>
          <w:szCs w:val="20"/>
          <w:color w:val="auto"/>
        </w:rPr>
      </w:pPr>
      <w:r>
        <w:rPr>
          <w:rFonts w:ascii="Times New Roman" w:cs="Times New Roman" w:eastAsia="Times New Roman" w:hAnsi="Times New Roman"/>
          <w:sz w:val="18"/>
          <w:szCs w:val="18"/>
          <w:color w:val="auto"/>
        </w:rPr>
        <w:t>In preparing our financial statements in conformity with generally accepted accounting principles in the United States (“GAAP”), estimates and assumptions are used by management in determining the reported amounts of assets and liabilities, revenues and expenses recognized during the periods presented and disclosures of contingent assets and liabilities known to exist as of the date of the financial statements. These estimates and assumptions must be made because certain information that is used in the preparation of our financial statements is dependent on future events. These estimates and assumptions cannot be calculated with a high degree of precision from data available or is not capable of being readily calculated. In some cases, these estimates are particularly difficult to determine, and we must exercise significant judgment.</w:t>
      </w:r>
    </w:p>
    <w:p>
      <w:pPr>
        <w:spacing w:after="0" w:line="10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most significant estimates we use are related to costs to complete contracts, pending change orders and claims, shared savings, insurance reserves, income tax reserves, estimates surrounding stock-based compensation, acquisition-related contingent earn-out consideration liabilities, the recoverability of goodwill and intangibles, and accounts receivable reserves.</w:t>
      </w:r>
    </w:p>
    <w:p>
      <w:pPr>
        <w:spacing w:after="0" w:line="108"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Our business, financial condition, results of operations and cash flows could be adversely affected by impairments to goodwill, other intangible assets, receivables, long-lived assets or investments. For example, when we acquire a business, we record goodwill in an amount equal to the amount we paid for the business minus the fair value of the net tangible assets and other intangible assets of the acquired business. Goodwill and other intangible assets that have indefinite useful lives cannot be amortized, but instead must be tested at least annually for impairment. For additional description on this impairment testing, please read Item 7. Management’s Discussion and Analysis of Financial Condition and Results of Operations — Critical Accounting Policies — “Goodwill and Intangibles”. Any future impairments, including impairments of goodwill, intangible assets, long-lived assets or investments, could have a material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and Cost Risks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actual costs may be greater than expected in performing our fixed-price and unit-price contracts.</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generate a significant portion of our revenues and profits under fixed-price and unit-price contracts. We must estimate the costs of completing a particular project when we bid for these types of contracts. The actual cost of labor and materials, however, may vary from the costs we originally estimated and we may not be successful in recouping additional costs from our customers. These variations, along with other risks inherent in performing fixed-price and unit-price contracts, may cause actual revenue and gross profits for a project to differ from those we originally estimated and could result in reduced profitability or losses on projects due to changes in a variety of factors such as:</w:t>
      </w:r>
    </w:p>
    <w:p>
      <w:pPr>
        <w:spacing w:after="0" w:line="21" w:lineRule="exact"/>
        <w:rPr>
          <w:sz w:val="20"/>
          <w:szCs w:val="20"/>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properly estimate costs of engineering, material, equipment or labor;</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inefficient labor performance;</w:t>
      </w:r>
    </w:p>
    <w:p>
      <w:pPr>
        <w:spacing w:after="0" w:line="63" w:lineRule="exact"/>
        <w:rPr>
          <w:rFonts w:ascii="Times New Roman" w:cs="Times New Roman" w:eastAsia="Times New Roman" w:hAnsi="Times New Roman"/>
          <w:sz w:val="18"/>
          <w:szCs w:val="18"/>
          <w:color w:val="auto"/>
        </w:rPr>
      </w:pPr>
    </w:p>
    <w:p>
      <w:pPr>
        <w:ind w:left="500" w:right="240" w:hanging="168"/>
        <w:spacing w:after="0" w:line="281"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technical problems with the materials or services being supplied by us, which may require us to incur additional costs to remedy the problem;</w:t>
      </w:r>
    </w:p>
    <w:p>
      <w:pPr>
        <w:spacing w:after="0" w:line="1"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modifications that create unanticipated costs;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costs or availability of equipment, materials, labor or subcontractors;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suppliers or subcontractors to perform;</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our customers obtaining required governmental permits or approvals;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that differ from those assumed in the original bid;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 in the geographic location of the project;</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cost of fuel or other resources;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laws and regulations;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local weather conditions, third parties or customers;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issues requiring rework.</w:t>
      </w:r>
    </w:p>
    <w:p>
      <w:pPr>
        <w:spacing w:after="0" w:line="15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increase in the cost or availability for items such as materials, parts, commodities, equipment and tooling may also be impacted by trade regulations, tariffs, global relations, taxes, transportation costs and inflation which could adversely affect our business.</w:t>
      </w:r>
    </w:p>
    <w:p>
      <w:pPr>
        <w:spacing w:after="0" w:line="7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For certain contracts, we are exposed to market risks that may cause increases in the cost, or the availability of, parts, commodities, equipment and tooling, utilized in our operations. We have experienced, and may continue to experience, delays and cost volatility of these items due to recent supply chain disruptions, inflationary pressures, tariffs, regulatory slowdowns and the continued market disruption from the COVID-19 pandemic. In addition, our customers’ capital budgets may be impacted by cost increases and reduced customer spending could lead to fewer project awards and more competition. These costs could be materially impacted by general market conditions and other factors, including U.S. trade relationships with other countries or the imposition of tariffs. We are also exposed to increases in energy prices, particularly as they relate to fuel prices for our fleet vehicles. While we believe we can increase our prices to adjust for cost increases, there can be no assurance that future cost increases would be recoverable. Additionally, some of our fixed price contracts do not allow us to adjust our prices and, as a result, increases in the cost of parts, commodities, equipment and tooling or fuel costs could reduce our profitability with respect to such projects and could have a material adverse effect on our business, financial condition, results of operations and cash flows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Credit Risks</w:t>
      </w:r>
    </w:p>
    <w:p>
      <w:pPr>
        <w:spacing w:after="0" w:line="15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compete for, or work on, certain projects if we are not able to obtain necessary bonds, letters of credit, bank guarantees or other financial assurances.</w:t>
      </w:r>
    </w:p>
    <w:p>
      <w:pPr>
        <w:spacing w:after="0" w:line="7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Many of our contracts require that we provide security to our customers for the performance of their projects in the form of bonds, letters of credit, bank guarantees or other financial assurances. Current or future market conditions, including losses incurred in the construction industry or as a result of large corporate bankruptcies, as well as changes in our sureties’ assessment of our operating and financial risk, could cause our surety providers and lenders to decline to issue or renew, or substantially reduce the amount of, bid or performance bonds for our work and could increase our costs associated with collateral. These actions could be taken on short notice. If our surety providers or lenders were to limit or eliminate our access to bonding, letters of credit or guarantees, our alternatives would include seeking capacity from other sureties and lenders, finding more business that does not require bonds or allows for other forms of collateral for project performance, such as cash. We may be unable to secure these alternatives in a timely manner, on acceptable terms, or at all, which could affect our ability to bid for or work on future projects requiring financial assurances.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have also granted security interests in various assets to collateralize our obligations to our sureties and lenders. Furthermore, under standard terms in the surety market, sureties issue or continue bonds on a project-by-project basis and can decline to issue bonds at any time or require the posting of additional collateral as a condition to issuing or renewing any bonds. If we were to experience an interruption or reduction in the availability of bonding capacity as a result of these or any other reasons, we may be unable to compete for or work on certain projects that would require bonding.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Work stoppages or other labor issues with our unionized workforce could adversely affect our business, and we may be subject to unionization attempts.</w:t>
      </w:r>
    </w:p>
    <w:p>
      <w:pPr>
        <w:spacing w:after="0" w:line="17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approximately 86% of our craft labor employees were covered by collective bargaining agreements. Although most of these agreements prohibit strikes and work stoppages, we cannot be certain that strikes or work stoppages will not occur in the future. Strikes or work stoppages could adversely impact our relationships with our customers and could cause us to lose business, resulting in decreased revenues. From time to time, we have experienced attempts to unionize our nonunion businesses. Such efforts often delay work and present the risk of labor unrest. If nonunion employees were to unionize, we could experience higher ongoing labor costs.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Multi-employer pension plan obligations related to our unionized workforce could adversely impact our earnings.</w:t>
      </w:r>
    </w:p>
    <w:p>
      <w:pPr>
        <w:spacing w:after="0" w:line="16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collective bargaining agreements may require us to participate with other companies in various multi-employer pension plans. To the extent that we participate in any multi-employer pension plans that are underfunded, the Employee Retirement Income Security Act of 1974, as amended by the Multi-Employer Pension Plan Amendments Act of 1980, may subject us to substantial liabilities under those plans if we were to withdraw from them, if they were terminated or experience a mass withdrawal. Furthermore, the Pension Protection Act of 2006, as amended, imposes additional funding and operational rules applicable to plan years beginning after 2007 for multi-employer pension plans that are classified as either “endangered,” “seriously endangered” or “critical” status. Plans in these classifications must adopt measures to improve their funded status, which may require additional employer contributions and/or modifications to employee benefits based on future union wages paid.</w:t>
      </w:r>
    </w:p>
    <w:p>
      <w:pPr>
        <w:spacing w:after="0" w:line="121"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Although we are not currently aware of any potential significant liabilities to us as a result of these plans being classified as being in a “critical” or “endangered” status, our future financial results could be impacted by the amended funding rules.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and Information Technology Risks</w:t>
      </w:r>
    </w:p>
    <w:p>
      <w:pPr>
        <w:spacing w:after="0" w:line="158" w:lineRule="exact"/>
        <w:rPr>
          <w:sz w:val="20"/>
          <w:szCs w:val="20"/>
          <w:color w:val="auto"/>
        </w:rPr>
      </w:pPr>
    </w:p>
    <w:p>
      <w:pPr>
        <w:ind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and our business partners are heavily reliant on information and communications technology and related systems to conduct our business. We also rely on third-party software and information technology to run certain of our critical accounting, project management and financial information systems. Furthermore, in connection with our business we may collect and retain personally identifiable and other sensitive information of our customers and personnel, all of which expect that we will adequately protect such information. The failure of these systems to operate effectively or problems with transitioning to upgraded or replacement systems could cause delays and reduce the efficiency of our operations, which could have a material adverse effect on our business, financial position, results of operations and cash flows, and significant costs could be incurred to remediate any problem.</w:t>
      </w:r>
    </w:p>
    <w:p>
      <w:pPr>
        <w:spacing w:after="0" w:line="10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Increased IT security threats and more sophisticated computer crimes, including advanced persistent threats, computer viruses, ransomware, other types of malicious code, hacking, phishing and social engineering schemes designed to provide access to our networks or data, pose a potential risk to the security of our IT systems, networks and services, as well as the confidentiality, availability and integrity of our data. If the IT systems, networks or service providers we rely upon fail to function properly, or if we suffer a loss or disclosure of sensitive information, we may suffer interruptions in our ability to manage operations, be subject to government enforcement actions, litigation, and reputational, competitive and business harm which may adversely impact our business, financial position, results of operations and cash flows, competitive position and reputation.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techniques used to obtain unauthorized access or sabotage systems change frequently and generally are not recognized until launched against a target, we may be unable to anticipate these techniques or implement adequate preventative measures. 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Additionally, due to recent increases in cyber losses by the insurance industry, cyber insurance coverage may be limited and/or subject to a significant increase in cost. Furthermore, our relationships with, and access provided to, third parties and their vendors may create difficulties in anticipating and implementing adequate preventative measures or mitigating harms after an attack or breach occurs.</w:t>
      </w:r>
    </w:p>
    <w:p>
      <w:pPr>
        <w:spacing w:after="0" w:line="111"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During the normal course of business, we have experienced and expect to continue to experience attempts to compromise our information and communications technology and related systems. To date, no cybersecurity incident or attack has had a material impact on our business or results of operations. If a material, actual or perceived breach of our security occurs, the public perception of the effectiveness of our security measures could be harmed and we could lose customers. Any such material disruptions or breaches of security would have a material adverse effect on our business, financial position, results of operations and cash flows.</w:t>
      </w:r>
    </w:p>
    <w:p>
      <w:pPr>
        <w:spacing w:after="0" w:line="11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current and future laws and regulations governing data privacy and the unauthorized disclosure of confidential information may pose complex compliance challenges and/or result in additional costs. A failure to comply with such laws and regulations could result in penalties or fines, legal liabilities and/or harm our reputation. The continuing and evolving threat of cyber-attacks has also resulted in increased regulatory focus on risk management and prevention. New cyber-related regulations or other requirements could cause us to incur significant costs, which could have an adverse effect on our business, financial position, results of operations and cash flows.</w:t>
      </w:r>
    </w:p>
    <w:p>
      <w:pPr>
        <w:spacing w:after="0" w:line="17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4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12121 Grant Street, Suite 610, Thornton, Colorado 80241, the lease term of which expires on November 30, 2029. In addition to our executive offices, certain legal, accounting and other personnel are located in this building. As of December 31, 2022, we owned 18 operating facilities and leased many other properties in various locations throughout our service territories. Most of our properties are used as operational offices or for fleet operations. We believe that our facilities are adequate for our current operating needs. We do not believe that any owned or leased facility is material to our operations and, if necessary, we could obtain replacement facilities for our leased facilities.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lawsuits, claims and other legal proceedings that arise in the ordinary course of business. These actions typically seek, among other things, compensation for alleged personal injury, breach of contract and/or property damages, punitive damages, civil and criminal penalties or other losses, or injunctive or declaratory relief. With respect to all such lawsuits, claims and proceedings, we record reserves when it is probable that a liability has been incurred and the amount of loss can be reasonably estimated. We do not believe that any of these proceedings, separately or in the aggregate, would be expected to have a material adverse effect on our financial position, results of operations, or cash flows.</w:t>
      </w:r>
    </w:p>
    <w:p>
      <w:pPr>
        <w:spacing w:after="0" w:line="11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are routinely subject to other civil claims, litigation and arbitration, and regulatory investigations arising in the ordinary course of our past and present businesses as well as in respect of our divested businesses. Some of these include claims related to our services and operations, and we believe that we have strong defenses to these claims as well as insurance coverage that will contribute to any settlement or liability in the event these claims are not resolved in our favor. These claims have not had a material impact on us to date, and we believe the likelihood that a future material adverse outcome will result from these claims is remote. However, if facts and circumstances change in the future, we cannot be certain that an adverse outcome of one or more of these claims would not have a material adverse effect on our financial condition, results of operations, or cash flows.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Shareholder Matters and Issuer Purchases of Equity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par value $0.01, is listed on The Nasdaq Global Market under the symbol “MYRG.”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Holders of Record</w:t>
      </w:r>
    </w:p>
    <w:p>
      <w:pPr>
        <w:spacing w:after="0" w:line="146"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February 17, 2023, we had 6 holders of record of our common stock. This number does not include shareholders whose shares are held in the names of banks, security brokers, dealers, and registered clearing agencies.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Policy</w:t>
      </w:r>
    </w:p>
    <w:p>
      <w:pPr>
        <w:spacing w:after="0" w:line="16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We have neither declared nor paid any cash dividend on our common stock since our common stock began trading publicly on August 12, 2008. Any future determination to declare cash dividends will be made at the discretion of our Board of Directors, subject to compliance with legal requirements and covenants under any existing financing agreements, which may restrict or limit our ability to declare or pay dividends, and will depend on our financial condition, results of operations, capital requirements, general business conditions, and other factors that our Board of Directors may deem relevant.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Common Stock</w:t>
      </w:r>
    </w:p>
    <w:p>
      <w:pPr>
        <w:spacing w:after="0" w:line="227"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includes all of the Company’s repurchases of common stock for the periods shown. Repurchased shares are retired and returned to authorized but unissued common stock.</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5"/>
                <w:szCs w:val="15"/>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4"/>
        </w:trPr>
        <w:tc>
          <w:tcPr>
            <w:tcW w:w="3840" w:type="dxa"/>
            <w:vAlign w:val="bottom"/>
            <w:gridSpan w:val="2"/>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3"/>
        </w:trPr>
        <w:tc>
          <w:tcPr>
            <w:tcW w:w="3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2022 - October 31,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38,018,311</w:t>
            </w:r>
          </w:p>
        </w:tc>
        <w:tc>
          <w:tcPr>
            <w:tcW w:w="0" w:type="dxa"/>
            <w:vAlign w:val="bottom"/>
          </w:tcPr>
          <w:p>
            <w:pPr>
              <w:spacing w:after="0"/>
              <w:rPr>
                <w:sz w:val="1"/>
                <w:szCs w:val="1"/>
                <w:color w:val="auto"/>
              </w:rPr>
            </w:pP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2022 - November 30, 2022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2022 - December 31, 2022</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64"/>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82.12</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8"/>
        <w:spacing w:after="0" w:line="258"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 2022, the Company announced that its Board of Directors had authorized a new $75.0 million share repurchase program (the "Repurchase Program"), which became effective on November 8, 2022. The Repurchase Program will expire on May 8, 2023, or when the authorized funds are exhausted, whichever is earlier. As of December 31, 2022, the Company had $75.0 million of remaining availability to repurchase shares of the Company’s common stock under the Repurchase Program. The Company’s prior $75.0 million repurchase program that was announced on May 4, 2022 and commenced on May 5, 2022 expired on November 7,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Graph</w:t>
      </w:r>
    </w:p>
    <w:p>
      <w:pPr>
        <w:spacing w:after="0" w:line="144"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Performance Graph and related information shall be deemed “furnished” and not “filed” for purposes of Section 18 of the Exchange Act, and such information shall not be incorporated by reference into any future filing under the Securities Act or the Exchange Act except to the extent that we specifically incorporate it by reference into such filing</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graph compares, for the period from December 31, 2017 to December 31, 2022, the cumulative total shareholder return on our common stock with the cumulative total return on the Standard &amp; Poor’s 500 Index (the “S&amp;P 500 Index”), the Russell 2000 Index, and a peer group index selected by our management that includes eleven publicly traded companies within our industry (the “Peer Group”). The comparison assumes that $100 was invested on December 31, 2017 and further assumes any dividends were reinvested quarterly. The stock price performance reflected on the following graph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right="20" w:firstLine="324"/>
        <w:spacing w:after="0" w:line="289" w:lineRule="auto"/>
        <w:rPr>
          <w:sz w:val="20"/>
          <w:szCs w:val="20"/>
          <w:color w:val="auto"/>
        </w:rPr>
      </w:pPr>
      <w:r>
        <w:rPr>
          <w:rFonts w:ascii="Times New Roman" w:cs="Times New Roman" w:eastAsia="Times New Roman" w:hAnsi="Times New Roman"/>
          <w:sz w:val="17"/>
          <w:szCs w:val="17"/>
          <w:color w:val="auto"/>
        </w:rPr>
        <w:t>The companies in the Peer Group were selected because they comprise a broad group of publicly traded companies, each of which has some operations similar to ours. When taken as a whole, the Peer Group more closely resembles our total business than any individual company in the group while reducing the impact of a significant change in any one of the Peer Group company’s stock price. The Peer Group is composed of the following companies: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Astec Industries,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Granite Construction Incorporated</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Primoris Services Corporation*</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Comfort Systems USA,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IES Holdings, Inc.</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Quanta Services, Inc.*</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Dycom Industries, Inc.</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MasTec, Inc.*</w:t>
            </w:r>
          </w:p>
        </w:tc>
        <w:tc>
          <w:tcPr>
            <w:tcW w:w="3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Tetra Tech, Inc.</w:t>
            </w:r>
          </w:p>
        </w:tc>
      </w:tr>
      <w:tr>
        <w:trPr>
          <w:trHeight w:val="32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EMCOR Group*</w:t>
            </w:r>
          </w:p>
        </w:tc>
        <w:tc>
          <w:tcPr>
            <w:tcW w:w="3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Matrix Service Company</w:t>
            </w:r>
          </w:p>
        </w:tc>
        <w:tc>
          <w:tcPr>
            <w:tcW w:w="3160" w:type="dxa"/>
            <w:vAlign w:val="bottom"/>
          </w:tcPr>
          <w:p>
            <w:pPr>
              <w:spacing w:after="0"/>
              <w:rPr>
                <w:sz w:val="24"/>
                <w:szCs w:val="24"/>
                <w:color w:val="auto"/>
              </w:rPr>
            </w:pPr>
          </w:p>
        </w:tc>
      </w:tr>
      <w:tr>
        <w:trPr>
          <w:trHeight w:val="405"/>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378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pacing w:after="0" w:line="130" w:lineRule="exact"/>
        <w:rPr>
          <w:sz w:val="20"/>
          <w:szCs w:val="20"/>
          <w:color w:val="auto"/>
        </w:rPr>
      </w:pPr>
    </w:p>
    <w:p>
      <w:pPr>
        <w:ind w:left="340" w:hanging="332"/>
        <w:spacing w:after="0" w:line="282" w:lineRule="auto"/>
        <w:tabs>
          <w:tab w:leader="none" w:pos="28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core group of peers with a more significant portion of operations being similar to ours than the overall group. Graph presents entire Peer Group.</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MYR Group, Inc., the S&amp;P 500 Index, the Russell 2000 Index,</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100330</wp:posOffset>
            </wp:positionV>
            <wp:extent cx="5254625" cy="3197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54625"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invested on 12/31/2017 in stock or including reinvestment of dividends.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Fiscal year ending December 31.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2023 Standard &amp; Poor's, a division of S&amp;P Global. All rights reserved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2023 Russell Investment Group. All right reserved.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12/31/2017</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12/31/2022</w:t>
            </w:r>
          </w:p>
        </w:tc>
      </w:tr>
      <w:tr>
        <w:trPr>
          <w:trHeight w:val="23"/>
        </w:trPr>
        <w:tc>
          <w:tcPr>
            <w:tcW w:w="38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MYR Group Inc.</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257.68</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S&amp;P 500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Russell 2000</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Peer Group</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200.51</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6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other sections of this report, including the Financial Statements and related notes contained in Item 8 of this Annual Report on Form 10-K.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“Forward-Looking Statements” and “Risk Factors.” We assume no obligation to update any of these forward-looking statements.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discussion that follows includes a comparison of our results of operations and liquidity and capital resources for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2022. For a discussion of changes from the fiscal year ended December 31, 2020 to the fiscal year ended December 31, 2021, refer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Management’s Discussion and Analysis of Financial Condition and Results of Operations in Part II, Item 7 of our Annual Report on Form 10-K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2021 (filed February 23,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Overview-Introduction</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95"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facility owners and general contractors.</w:t>
      </w:r>
    </w:p>
    <w:p>
      <w:pPr>
        <w:spacing w:after="0" w:line="11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0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had revenues for the year ended December 31, 2022 of $3.01 billion compared to $2.50 billion for the year ended December 31, 2021. For the year ended December 31, 2022, net income was $83.4 million compared to $85.0 million for the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Overview-Segments</w:t>
      </w:r>
    </w:p>
    <w:p>
      <w:pPr>
        <w:spacing w:after="0" w:line="14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Transmission and Distribution segment</w:t>
      </w:r>
      <w:r>
        <w:rPr>
          <w:rFonts w:ascii="Times New Roman" w:cs="Times New Roman" w:eastAsia="Times New Roman" w:hAnsi="Times New Roman"/>
          <w:sz w:val="18"/>
          <w:szCs w:val="18"/>
          <w:color w:val="auto"/>
        </w:rPr>
        <w:t>. Our T&amp;D segment provides comprehensive solutions to providers in the electric utility industry. Our T&amp;D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generally serves the electric utility industry as a prime contractor to customers such as investor-owned utilities, cooperatives, private developers, government-funded utilities, independent power producers, independent transmission companies, industrial facility owners and other contractors. We have long-standing relationships with many of our T&amp;D customers who rely on us to construct and maintain reliable electric and other utility infrastructure. Our T&amp;D segment provides a broad range of services on electric transmission and distribution networks, substation facilities and clean energy projects, which include design, engineering, procurement, construction, upgrade and maintenance and repair services. Our T&amp;D services include the construction and maintenance of high voltage transmission lines, substations, lower voltage underground and overhead distribution systems, clean energy facilities and limited gas construction services. We also provide many services to our customers under multi-year master service agreements (“MSAs”) and other variable-term service agreements.</w:t>
      </w:r>
    </w:p>
    <w:p>
      <w:pPr>
        <w:spacing w:after="0" w:line="123"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For the year ended December 31, 2022, our T&amp;D revenues were $1.75 billion, or 58.0%, of our revenue, compared to $1.30 billion, or 52.1%, of our revenue for the year ended December 31, 2021 and $1.15 billion, or 51.4%, of our revenue for the year ended December 31, 2020. Revenues from transmission projects represented 62.1%, 62.0%, and 64.6% of T&amp;D segment revenue for the years ended December 31, 2022, 2021 and 2020, respectively.</w:t>
      </w:r>
    </w:p>
    <w:p>
      <w:pPr>
        <w:spacing w:after="0" w:line="9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Our T&amp;D segment also provides restoration services in response to hurricanes, ice storms or other storm related events, which accounted for less than 5% of our annual revenues in 2022, 2021 and 2020.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Measured by revenues in our T&amp;D segment, we provided 47.8%, 43.0% and 44.0% of our T&amp;D services under fixed-price contracts during the years ended December 31, 2022, 2021 and 2020, respectively.</w:t>
      </w:r>
    </w:p>
    <w:p>
      <w:pPr>
        <w:spacing w:after="0" w:line="79"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Commercial and Industrial segment</w:t>
      </w:r>
      <w:r>
        <w:rPr>
          <w:rFonts w:ascii="Times New Roman" w:cs="Times New Roman" w:eastAsia="Times New Roman" w:hAnsi="Times New Roman"/>
          <w:sz w:val="18"/>
          <w:szCs w:val="18"/>
          <w:color w:val="auto"/>
        </w:rPr>
        <w:t>. Our C&amp;I segment provides a wide range of services including design, installation, maintenance and repair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and industrial wiring, the installation of intelligent transportation systems, roadway lighting and signalization. In our C&amp;I segment, we generally provide our electric construction and maintenance services as a subcontractor to general contractors in the C&amp;I industry as well as directly to facility owners. We have a diverse customer base with many long-standing relationships. We concentrate our efforts on projects where our technical and project management expertise are critical to successful and timely execution. The majority of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w:t>
      </w:r>
    </w:p>
    <w:p>
      <w:pPr>
        <w:spacing w:after="0" w:line="11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our C&amp;I revenues were $1.26 billion, or 42.0%, of our revenue, compared to $1.20 billion, or 47.9%, of our revenue for the year ended December 31, 2021 and $1.09 billion, or 48.6%, of our revenue for the year ended December 31, 2020.</w:t>
      </w:r>
    </w:p>
    <w:p>
      <w:pPr>
        <w:spacing w:after="0" w:line="94"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Measured by revenues in our C&amp;I segment, we provided 83.3%, 80.5% and 82.7% of our services under fixed-price contracts for the years ended December 31, 2022, 2021 and 2020,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Overview-Revenue and Gross Margins</w:t>
      </w:r>
    </w:p>
    <w:p>
      <w:pPr>
        <w:spacing w:after="0" w:line="16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to depict the transfer of goods or services to customers in an amount that reflects the consideration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be entitled to in exchange for goods or services provided. Revenue associated with contracts with customers is recognized over time as our performance creates or enhances customer controlled assets or creates or enhances an asset with no alternative use, for which we have an enforceable right to receive compensation as defined under the contract. To determine the amount of revenue to recognize over time, we utilize the cost-to-cost method as we believe cost incurred best represents the amount of work completed and remaining on our projects, and is the most common basis for computing percentage of completion in our industry. 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Additionally, 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w:t>
      </w:r>
    </w:p>
    <w:p>
      <w:pPr>
        <w:spacing w:after="0" w:line="122"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Margins. </w:t>
      </w:r>
      <w:r>
        <w:rPr>
          <w:rFonts w:ascii="Times New Roman" w:cs="Times New Roman" w:eastAsia="Times New Roman" w:hAnsi="Times New Roman"/>
          <w:sz w:val="18"/>
          <w:szCs w:val="18"/>
          <w:color w:val="auto"/>
        </w:rPr>
        <w:t>Our gross margin can vary between periods as a result of many factors, some of which are beyond our control. These factors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mix of revenue derived from the industries we serve, the size and duration of our projects, the mix of business conducted in different parts of the United States and Canada, the mix of service and maintenance work compared to new construction work, the amount of work that we subcontract, the amount of material we supply, changes in labor, equipment or insurance costs, seasonal weather patterns, changes in fleet utilization, pricing pressures due to competition, efficiency of work performance, fluctuations in commodity prices of materials, delays in the timing of projects and other factors. The gross margins we record in the current period may not be indicative of margins in future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Overview-Economic, Industry and Market Factors</w:t>
      </w:r>
    </w:p>
    <w:p>
      <w:pPr>
        <w:spacing w:after="0" w:line="14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operate in competitive markets, which can result in pricing pressures for the services we provide. Work is often awarded through a bidding and selection process, where price is always a principal factor. We generally focus on managing our profitability by: selecting projects that we believe will provide attractive margins; actively monitoring the costs of completing our projects; holding customers accountable for costs related to changes to contract specifications and rewarding our employees for controlling costs.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demand for construction and maintenance services from our customers has been, and will likely continue to be, cyclical in nature and vulnerable to downturns in the markets we serve as well as the economy in general. The financial condition of our customers and their access to capital, variations in the margins of projects performed during any particular period, and regional and national economic conditions in the United States and Canada may materially affect results. Project schedules, particularly in connection with larger, multi-year projects, can also create fluctuations in our revenues. Other market and industry factors, such as changes to our customers’ capital spending plans or delays in regulatory approvals can affect project schedules. Changes in technology, tax and other incentives and new or changing regulatory requirements affecting the industries we serve can impact demand for our services. While we actively monitor economic, industry and market factors affecting our business, we cannot predict the impact such factors may have on our future results of operations, liquidity and cash flows. As a result of economic, industry and market factors, our operating results in any particular period or year may not be indicative of the results that can be expected for any other period or for any other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Overview-Seasonality and Nature of Our Work Environment</w:t>
      </w:r>
    </w:p>
    <w:p>
      <w:pPr>
        <w:spacing w:after="0" w:line="148"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Although our revenues are primarily driven by spending patterns in our customers’ industries, our revenues and results of operations, particularly those derived from our T&amp;D segment, can be subject to seasonal variations. These variations are influenced by weather, daylight hours, availability of system outages from utilities, and holidays. During the winter months, demand for our T&amp;D work may be high, but our work can be delayed due to inclement weather. During the summer months, the demand for our T&amp;D work may be affected by fewer available system outages, due to peak electrical demands caused by warmer weather, which limits our ability to perform electrical line service work. During the spring and fall months, the demand for our T&amp;D work may increase due to improved weather conditions and system availability; however, extended periods of rain and other severe weather can affect the deployment of our crews and efficiency of operations. Furthermore, our work is performed under a variety of conditions in different locations, including but not limited to, difficult terrain, sites which may have been exposed to harsh and hazardous conditions, and in large urban centers where delivery of materials and availability of labor may be impacted.</w:t>
      </w:r>
    </w:p>
    <w:p>
      <w:pPr>
        <w:spacing w:after="0" w:line="121"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We also provide storm restoration services to our T&amp;D customers. These services tend to have a higher profit margin. However, storm restoration service work that is performed under an MSA typically has similar rates to other work under the agreement. In addition, deploying employees on storm restoration work may, at times, delay work on other transmission and distribution work. Storm restoration service work is unpredictable and can affect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Our business is directly impacted by the level of spending on T&amp;D infrastructure and the level of C&amp;I electrical construction activity across the United States and Canada. We are optimistic about infrastructure spending and believe that industry activity will continue in both our transmission and distribution market segments and the drivers for utility investment will remain intact. We believe that regulatory reform, state clean energy portfolio standards, the aging of the electric grid, and potential overall improvement of the economy will positively impact the level of spending by our customers in all of the markets we serve. Although competition remains strong, we see these trends as positive factors for us in the future.</w:t>
      </w:r>
    </w:p>
    <w:p>
      <w:pPr>
        <w:spacing w:after="0" w:line="10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transportation and clean energy spending. We believe the legislative actions are likely to provide greater long-term opportunity in both of our reporting segments. However both of our segments and supporting operations may be subject to delays and cost volatility due to supply chain disruptions, inflationary pressures, tariffs and regulatory slowdowns which may result in decelerations in project opportunities and awards.</w:t>
      </w:r>
    </w:p>
    <w:p>
      <w:pPr>
        <w:spacing w:after="0" w:line="11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and connect to new clean energy sources. Consequently, we believe we will continue to see significant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2023 will not likely have a large impact on our 2023 results. Bidding and construction activity for small to medium-size transmission projects and upgrades remain active, and we expect this trend to continue.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As a result of reduced spending by United States utilities on their distribution systems for several years, we believe there is a need for sustained investment by utilities on their distribution systems to properly maintain or meet reliability requirements. In 2022, we continued to see increased bidding activity in some of our electric distribution markets, as economic conditions improved in those areas. We believe the increased storm activity and destruction caused by wildfires will cause a push to strengthen utility distribution systems against catastrophic damage. Several industry and market trends are also prompting customers in the electric utility industry to seek outsourcing partners rather than performing projects internally. These trends include an aging electric utility workforce, increasing costs and staffing constraints. We believe electric utility employee retirements could increase with further economic recovery, which may result in an increase in outsourcing opportunities.</w:t>
      </w:r>
    </w:p>
    <w:p>
      <w:pPr>
        <w:spacing w:after="0" w:line="10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Our C&amp;I bidding opportunities could be impacted by market disruptions, and as a result, the growth of our C&amp;I market will be heavily dependent on the timing and pace of the overall market recovery. We believe that the primary markets we serve, such as health care, transportation, data centers, warehousing, clean energy and water/waste-water projects, may be somewhat less vulnerable to economic slowing.</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the United States has experienced decades of underfunded economic expansion and aging infrastructure which has challenged the capacity of public water and transportation infrastructure forcing states and municipalities to seek creative means to fund needed expansion and repair. We believe the need for expanding public infrastructure will offer opportunity in our C&amp;I segment for several years. We expect the long-term growth in our C&amp;I segment to generally track the overall growth of the regions we serve.</w:t>
      </w:r>
    </w:p>
    <w:p>
      <w:pPr>
        <w:spacing w:after="0" w:line="112"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strive to maintain our status as a preferred provider to our T&amp;D and C&amp;I customers. We continued to implement strategies that further expand our capabilities and effectively allocate capital. We have focused on strengthening our balance sheet by reducing our variable rate outstanding debt in the current higher interest rate environment, which has increased our liquidity and allows us to take advantage of future opportunities as they arise. Additionally, on January 4, 2022, we acquired all issued and outstanding shares of capital stock of Powerline Plus Ltd. and its affiliate (collectively, the “Powerline Plus Companies"), which expanded our distribution operations in Ontario, Canada. During 2022, the Company repurchased 442,167 shares of its common stock under repurchase programs at a weighted-average price of $83.64 per share. As of December 31, 2022, we had $75.0 million of remaining availability to purchase shares under our current program, which continues in effect until May 8, 2023, or until the authorized funds are exhausted.</w:t>
      </w:r>
    </w:p>
    <w:p>
      <w:pPr>
        <w:spacing w:after="0" w:line="111" w:lineRule="exact"/>
        <w:rPr>
          <w:sz w:val="20"/>
          <w:szCs w:val="20"/>
          <w:color w:val="auto"/>
        </w:rPr>
      </w:pPr>
    </w:p>
    <w:p>
      <w:pPr>
        <w:ind w:right="220" w:firstLine="324"/>
        <w:spacing w:after="0" w:line="247"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manage our markets and give us the flexibility to successfully execute our strategies. We continue to invest in developing key management and craft personnel in both our T&amp;D and C&amp;I markets and in procuring the specific specialty equipment and tooling needed to win and execute projects of all sizes and complexity. In 2022 and 2021, we invested in capital expenditures of approximately $77.1 million and $52.4 million, respectively. Most of our capital expenditures supported opportunities in our T&amp;D business. We plan to continue to evaluate our needs for additional equipment and tooling.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Backlog</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define backlog as our estimated revenue on uncompleted contracts, including the amount of revenue on contracts for which work has not begun, less the revenue we have recognized under such contracts.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can all take place within the period. For many of our unit-price, time-and-equipment, time-and-materials and cost-plus contracts, we only include projected revenue for a three-month period in the calculation of backlog, although these types of contracts are generally awarded as part of MSAs that typically have a one- to three-year duration from execution. Additionally, the difference between our backlog and remaining performance obligations is due to the exclusion of a portion of our MSAs under certain contract types from our remaining performance obligations as these contracts can be canceled for convenience at any time by us or the customer without considerable cost incurred by the customer. Our backlog includes projects that have a written award, a letter of intent, a notice to proceed or an agreed upon work order to perform work on mutually accepted terms and conditions. Our estimated backlog also includes our proportionate share of our unconsolidated joint venture contracts.</w:t>
      </w:r>
    </w:p>
    <w:p>
      <w:pPr>
        <w:spacing w:after="0" w:line="12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Changes in backlog from period to period are primarily the result of fluctuations in the timing of awards and revenue recognition of contracts. Backlog should not be relied upon as a stand-alone indicator of future events.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Understanding Gross Margins</w:t>
      </w:r>
    </w:p>
    <w:p>
      <w:pPr>
        <w:spacing w:after="0" w:line="16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gross margin is gross profit expressed as a percentage of revenues. Gross profit is calculated by subtracting contract costs from revenue. Contract costs consist primarily of salaries, wages and benefits to employees, depreciation, fuel and other equipment expenses, equipment rentals, subcontracted services, insurance, facilities expenses, materials and parts and supplies. Various factors affect our gross margins on a quarterly or annual basis, including those listed below.</w:t>
      </w:r>
    </w:p>
    <w:p>
      <w:pPr>
        <w:spacing w:after="0" w:line="9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Risk. </w:t>
      </w:r>
      <w:r>
        <w:rPr>
          <w:rFonts w:ascii="Times New Roman" w:cs="Times New Roman" w:eastAsia="Times New Roman" w:hAnsi="Times New Roman"/>
          <w:sz w:val="18"/>
          <w:szCs w:val="18"/>
          <w:color w:val="auto"/>
        </w:rPr>
        <w:t>Margins may fluctuate because of the volume of work and the impacts of pricing and job productivity, which can be impacted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favorably and negatively by customer decisions and crew productivity, as well as other factors. When comparing a service contract between periods, factors affecting the gross margins associated with the revenues generated by the contract may include pricing under the contract, the volume of work performed under the contract, the mix of the type of work specifically being performed, the availability of labor resources at expected labor rates and the productivity of the crews performing the work. Productivity can be influenced by many factors including the experience level of the crew, whether the work is on an open or encumbered right of way, weather conditions, geographical conditions, trade stacking, performance of other sub-trades, schedule changes, effects of environmental restrictions, equipment availability and regulatory and permitting delays.</w:t>
      </w:r>
    </w:p>
    <w:p>
      <w:pPr>
        <w:spacing w:after="0" w:line="115"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Mix and Contract Terms. </w:t>
      </w:r>
      <w:r>
        <w:rPr>
          <w:rFonts w:ascii="Times New Roman" w:cs="Times New Roman" w:eastAsia="Times New Roman" w:hAnsi="Times New Roman"/>
          <w:sz w:val="18"/>
          <w:szCs w:val="18"/>
          <w:color w:val="auto"/>
        </w:rPr>
        <w:t>The mix of revenue derived from the industries we serve will impact gross margins. Changes in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patterns in each of the industries we serve can cause an imbalance in supply and demand and, therefore, affect margins and mix of revenue by industry served. Storm restoration services typically command higher profit margins than other maintenance services. Seasonal and weather factors, as noted below, can impact the timing at which customers perform maintenance and repairs, which can cause a shift in the revenue mix. Some of our time-and-equipment, time-and-materials and cost-plus contracts include shared savings clauses, in which the contract includes a target price and we agree to share savings from that target price with our customer. Additionally, new construction work has a higher gross margin than maintenance and repair work. New construction work is often obtained on a fixed-price basis, which carries a higher risk than other types of pricing arrangements because a contractor can bear the risk of increased expenses. As such, we generally bid fixed-price contracts with higher profit margins. We typically derive approximately 25% to 45% of our revenue from maintenance and repair work that is performed under pre-established or negotiated prices or cost-plus pricing arrangements which generally allow us a set margin above our costs. Thus, the mix between new construction work, at fixed-price, and maintenance and repair work, at cost-plus, in a given period will impact gross margin in that period. The timing of accounting recognition of such savings can impact our margins. In addition, change orders and claims can impact our margins. Costs related to change orders and claims are recognized in contract costs when incurred, but revenue related to change orders is only recognized when it is probable that the change order will result in an addition to contract value and can be reliably estimated, whereas revenue related to claims is recognized only to the extent that contract costs related to the claim have been incurred and when it is probable that the claim will result in an addition to contract value which can be reliably estimated. Generally, no profit is recognized on a claim until final settlement occurs.</w:t>
      </w:r>
    </w:p>
    <w:p>
      <w:pPr>
        <w:spacing w:after="0" w:line="1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Seasonal, Weather and Geographical. </w:t>
      </w:r>
      <w:r>
        <w:rPr>
          <w:rFonts w:ascii="Times New Roman" w:cs="Times New Roman" w:eastAsia="Times New Roman" w:hAnsi="Times New Roman"/>
          <w:sz w:val="18"/>
          <w:szCs w:val="18"/>
          <w:color w:val="auto"/>
        </w:rPr>
        <w:t>Seasonal patterns, primarily related to weather conditions and the availability of system outages, can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impact on gross margins in a given period. It is typical during the winter months that parts of the country may experience snow or rainfall, which can affect our crews’ ability to work efficiently. Additionally, our T&amp;D customers often cannot remove their T&amp;D lines from service during the summer months, when consumer demand for electricity is at its peak, delaying maintenance and repair services. In both cases, projects may be delayed or temporarily placed on hold. Conversely, in periods when weather remains dry and temperatures are moderate, more work can be done, sometimes with less cost, which would have a favorable impact on gross margins. The mix of business conducted in different parts of the country could also affect margins, as some parts of the country offer the opportunity for higher margins than others due to the geographic characteristics associated with the location where the work is being performed. Such characteristics include whether the project is performed in an urban versus a rural setting; in a mountainous area or in open terrain; or in normal soil conditions or rocky terrain. Site conditions, including unforeseen underground conditions, can also impact margins.</w:t>
      </w:r>
    </w:p>
    <w:p>
      <w:pPr>
        <w:spacing w:after="0" w:line="10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We include depreciation on equipment and finance lease amortization in contract costs. This is common practice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industry, but can make comparability to other companies difficult. We spend a significant amount of capital on property, facilities and equipment, with the majority of such expenditures being used to purchase additional specialized equipment to enhance our fleet and to reduce our reliance on lease arrangements and short term equipment rentals. We believe the investment in specialized equipment helps to reduce our costs, improve our margins and provide us with valuable flexibility to take on additional and complex projects.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Material and Subcontract Costs. </w:t>
      </w:r>
      <w:r>
        <w:rPr>
          <w:rFonts w:ascii="Times New Roman" w:cs="Times New Roman" w:eastAsia="Times New Roman" w:hAnsi="Times New Roman"/>
          <w:sz w:val="18"/>
          <w:szCs w:val="18"/>
          <w:color w:val="auto"/>
        </w:rPr>
        <w:t>Projects that include a greater amount of material or subcontractor costs can experience lower overall project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margins as we typically add a lower mark-up to material and subcontractor costs in our bids than what we would to our labor and equipment cost. In addition, successful completion of our contracts may depend on whether our subcontractors successfully fulfill their contractual obligations. If our subcontractors fail to satisfactorily perform their contractual obligations as a result of financial or other difficulties, we may be required to incur additional costs and provide additional services in order to make up for such shortfalls. Additionally, we are required to allocate more working capital to projects when we are required to provide materials.</w:t>
      </w:r>
    </w:p>
    <w:p>
      <w:pPr>
        <w:spacing w:after="0" w:line="101"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Gross margins could be impacted by fluctuations in insurance accruals related to our deductibles and loss history in the period in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adjustments are made. We carry insurance policies, which are subject to high deductibles, for workers’ compensation, general liability, automobile liability and other coverages. Losses up to the deductible amounts are accrued based upon estimates of the ultimate liability for claims reported and an estimate of claims incurred but not yet reported.</w:t>
      </w:r>
    </w:p>
    <w:p>
      <w:pPr>
        <w:spacing w:after="0" w:line="112"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Fleet Availability, Cost, Utilization, Estimation, and Bidding. </w:t>
      </w:r>
      <w:r>
        <w:rPr>
          <w:rFonts w:ascii="Times New Roman" w:cs="Times New Roman" w:eastAsia="Times New Roman" w:hAnsi="Times New Roman"/>
          <w:sz w:val="18"/>
          <w:szCs w:val="18"/>
          <w:color w:val="auto"/>
        </w:rPr>
        <w:t>We operate a centrally-managed fleet in the United States in an effort to control rising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and achieve efficient equipment utilization. We also develop internal equipment rates which provide our business units with appropriate cost information to estimate bids for new projects. Availability of equipment for a particular contract is determined by our internal fleet ordering process which is designed to optimize the use of internal fleet assets and allocate equipment costs to individual contracts. We believe these processes allow us to utilize our equipment efficiently, which leads to improved gross margins. Transmission and distribution projects can require different types of equipment. A significant shift in project mix or timing could impact fleet utilization, causing gross margins to vary.</w:t>
      </w:r>
    </w:p>
    <w:p>
      <w:pPr>
        <w:spacing w:after="0" w:line="115"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Material. </w:t>
      </w:r>
      <w:r>
        <w:rPr>
          <w:rFonts w:ascii="Times New Roman" w:cs="Times New Roman" w:eastAsia="Times New Roman" w:hAnsi="Times New Roman"/>
          <w:sz w:val="18"/>
          <w:szCs w:val="18"/>
          <w:color w:val="auto"/>
        </w:rPr>
        <w:t>On fixed-price contracts where we are required to provide materials, our overall gross margin may be affected if we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increases in the quantity or costs of materials. Projects that include a greater amount of material cost can experience lower overall project gross margins as we typically add a lower mark-up to material cost in our bids than what we would add to our labor and equipment cost.</w:t>
      </w:r>
    </w:p>
    <w:p>
      <w:pPr>
        <w:spacing w:after="0" w:line="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team of trained estimators helps us to determine potential costs and revenues and make informed decisions on whether to bid for a project and, if bid, the rates to use in estimating the costs for that bid. The ability to accurately estimate labor, equipment, subcontracting and material costs in connection with a new project may affect the gross margins achieved for the project.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62"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primarily of compensation, related benefits and employee costs for management and administrative personnel, office rent and utilities, stock compensation, communications, professional fees, depreciation, IT expenses, marketing costs and bad debt expense.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 w:right="41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selected statements of operations data and such data as a percentage of revenues for the years indicated: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the Year Ended December 31, 2021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tcBorders>
            <w:gridSpan w:val="2"/>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114,204</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116,306</w:t>
            </w: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7"/>
        </w:trPr>
        <w:tc>
          <w:tcPr>
            <w:tcW w:w="55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00" w:type="dxa"/>
            <w:vAlign w:val="bottom"/>
            <w:tcBorders>
              <w:top w:val="single" w:sz="8" w:color="CCEEFF"/>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520" w:type="dxa"/>
            <w:vAlign w:val="bottom"/>
            <w:tcBorders>
              <w:top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top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100" w:type="dxa"/>
            <w:vAlign w:val="bottom"/>
            <w:tcBorders>
              <w:top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6160135</wp:posOffset>
            </wp:positionH>
            <wp:positionV relativeFrom="paragraph">
              <wp:posOffset>-1782445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-1782445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4380230" cy="1797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380230" cy="17970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4380230" cy="1797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80230" cy="17970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-2828290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-2828290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9"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increased $510.2 million, or 20.4%, to $3.01 billion for the year ended December 31, 2022 from $2.50 billion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2021. The increase was primarily due to an increase in revenue on transmission projects, an increase in revenues on distribution projects, including incremental distribution revenues from the Powerline Plus Companies, and an increase in C&amp;I revenue in certain geographical areas.</w:t>
      </w:r>
    </w:p>
    <w:p>
      <w:pPr>
        <w:spacing w:after="0" w:line="106"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Gross margin decreased to 11.4% for the year ended December 31, 2022 from 13.0% for the year ended December 31,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gross margin was primarily due to overall cost increases mainly associated with supply chain disruptions and inflation. Gross margin was also negatively impacted by labor and equipment inefficiencies, unfavorable change order adjustments and inclement weather experienced on certain projects. These margin decreases were partially offset by favorable job close outs, better-than-anticipated productivity on certain projects and favorable change order adjustments on certain projects. Changes in estimates of gross profit on certain projects resulted in a gross margin decrease of 0.4% and an increase of 0.4% for the years ended December 31, 2022 and 2021, respectively.</w:t>
      </w:r>
    </w:p>
    <w:p>
      <w:pPr>
        <w:spacing w:after="0" w:line="114" w:lineRule="exact"/>
        <w:rPr>
          <w:sz w:val="20"/>
          <w:szCs w:val="20"/>
          <w:color w:val="auto"/>
        </w:rPr>
      </w:pPr>
    </w:p>
    <w:p>
      <w:pPr>
        <w:ind w:right="36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increased $19.0 million, or 5.8%, to $344.0 million for year ended December 31, 2022 from $325.0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2021, due to higher revenues, partially offset by lower margins.</w:t>
      </w:r>
    </w:p>
    <w:p>
      <w:pPr>
        <w:spacing w:after="0" w:line="91" w:lineRule="exact"/>
        <w:rPr>
          <w:sz w:val="20"/>
          <w:szCs w:val="20"/>
          <w:color w:val="auto"/>
        </w:rPr>
      </w:pPr>
    </w:p>
    <w:p>
      <w:pPr>
        <w:jc w:val="both"/>
        <w:ind w:right="20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SG&amp;A, was $222.4 million for the year ended December 31, 2022, an increase of $15.2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$207.2 million for the year ended December 31, 2021. The year-over-year increase was primarily due to the acquisition of the Powerline Plus Companies and an increase in employee-related expenses to support the growth in our operations, partially offset by a decrease in employee incentive compensation costs.</w:t>
      </w:r>
    </w:p>
    <w:p>
      <w:pPr>
        <w:spacing w:after="0" w:line="112" w:lineRule="exact"/>
        <w:rPr>
          <w:sz w:val="20"/>
          <w:szCs w:val="20"/>
          <w:color w:val="auto"/>
        </w:rPr>
      </w:pPr>
    </w:p>
    <w:p>
      <w:pPr>
        <w:ind w:right="14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Amortization of intangible assets was $9.0 million for the year ended December 31, 2022 compared to $2.3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2021. The period-over-period increase of $6.7 million was primarily due to amortization related to certain intangibles acquired with the Powerline Plus Companies.</w:t>
      </w:r>
    </w:p>
    <w:p>
      <w:pPr>
        <w:spacing w:after="0" w:line="92"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property and equipment. </w:t>
      </w:r>
      <w:r>
        <w:rPr>
          <w:rFonts w:ascii="Times New Roman" w:cs="Times New Roman" w:eastAsia="Times New Roman" w:hAnsi="Times New Roman"/>
          <w:sz w:val="18"/>
          <w:szCs w:val="18"/>
          <w:color w:val="auto"/>
        </w:rPr>
        <w:t>Gains from the sale of property and equipment in the year ended December 31, 2022 were $2.4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$3.1 million in the year ended December 31, 2021. Gains from the sale of property and equipment are attributable to routine sales of property and equipment that is no longer useful or valuable to our ongoing operations.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was $3.6 million for the year ended December 31, 2022 compared to $1.8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This increase was primarily attributable to higher outstanding debt and interest rates during the year ended December 31, 2022 as compared to the year ended December 31, 2021.</w:t>
      </w:r>
    </w:p>
    <w:p>
      <w:pPr>
        <w:spacing w:after="0" w:line="9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Other income was $2.7 million for the year ended December 31, 2022 compared to other expense of $0.5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2021. The change was largely due to funds received under the Canadian Emergency Wage Subsidy program, which were attributable to a C&amp;I segment company. Other income was also positively impacted by an adjustment to contingent earn-out consideration related to the acquisition of the Powerline Plus Companies.</w:t>
      </w:r>
    </w:p>
    <w:p>
      <w:pPr>
        <w:spacing w:after="0" w:line="11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Income tax expense was $30.8 million for the year ended December 31, 2022, with an effective tax rate of 27.0%,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$31.3 million for the year ended December 31, 2021, with an effective tax rate of 26.9%. The increase in the tax rate for the year ended December 31, 2022 was primarily due to adjustments associated with the prior year global intangible low tax income (“GILTI”), partially offset by a favorable impact from stock compensation excess tax benefits.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decreased to $83.4 million for the year ended December 31, 2022 from $85.0 million for the year ended December 31,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for the reasons stated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48" w:lineRule="exact"/>
        <w:rPr>
          <w:sz w:val="20"/>
          <w:szCs w:val="20"/>
          <w:color w:val="auto"/>
        </w:rPr>
      </w:pPr>
    </w:p>
    <w:p>
      <w:pPr>
        <w:ind w:right="160" w:firstLine="324"/>
        <w:spacing w:after="0" w:line="278"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a percentage of total net sales and segment operating income as a percentage of segment net sales:</w:t>
      </w: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6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6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3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182,045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187,156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4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year ended December 31, 2022 were $1.75 billion compared to $1.30 billion for the year ended December 31, 2021, an increase of $444.2 million, or 34.1%. The increase in revenue was primarily related to an increase in revenue on transmission projects, and an increase in revenues on distribution projects, including incremental distribution revenues from the Powerline Plus Companies.</w:t>
      </w:r>
    </w:p>
    <w:p>
      <w:pPr>
        <w:spacing w:after="0" w:line="10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Operating income for our T&amp;D segment for the year ended December 31, 2022 was $138.9 million compared to $132.7 million for the year ended December 31, 2021, an increase of $6.2 million, or 4.6%. The increase in T&amp;D operating income from the prior year was primarily due to higher revenues and a favorable job close-out. These increases were partially offset by the additional $6.7 million of amortization related to certain intangibles acquired with the Powerline Plus Companies and an unfavorable change order adjustment on a project. Operating income was also negatively impacted by overall cost increases from supply chain disruptions, labor inefficiencies, inflation and inclement weather experienced on certain projects. Operating income, as a percentage of revenues, for our T&amp;D segment decreased to 8.0% for the year ended December 31, 2022 from 10.2% for the year ended December 31, 2021.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46"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Revenues for our C&amp;I segment for the year ended December 31, 2022 were $1.26 billion compared to $1.20 billion for the year ended December 31, 2021, an increase of $66.1 million, or 5.5%, primarily due to an increase in revenue in certain geographic areas.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Operating income for our C&amp;I segment for the year ended December 31, 2022 was $43.2 million compared to $54.4 million for the year ended December 31, 2021, a decrease of $11.2 million, or 20.7%. The year-over-year decrease in operating income was primarily due to overall cost increases mainly associated with supply chain disruptions and inflation. Operating income was also negatively impacted by labor inefficiencies on certain projects and an unfavorable change order adjustment on a project. The decrease in operating income was partially offset by better-than-anticipated productivity on various projects, favorable change order adjustments on certain projects and a favorable job close out. Operating income, as a percentage of revenues, for our C&amp;I segment decreased to 3.4% for the year ended December 31, 2022 from 4.5% for the year ended December 31, 2021.</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w:t>
      </w:r>
    </w:p>
    <w:p>
      <w:pPr>
        <w:spacing w:after="0" w:line="160" w:lineRule="exact"/>
        <w:rPr>
          <w:sz w:val="20"/>
          <w:szCs w:val="20"/>
          <w:color w:val="auto"/>
        </w:rPr>
      </w:pPr>
    </w:p>
    <w:p>
      <w:pPr>
        <w:ind w:right="980" w:firstLine="324"/>
        <w:spacing w:after="0" w:line="282" w:lineRule="auto"/>
        <w:rPr>
          <w:sz w:val="20"/>
          <w:szCs w:val="20"/>
          <w:color w:val="auto"/>
        </w:rPr>
      </w:pPr>
      <w:r>
        <w:rPr>
          <w:rFonts w:ascii="Times New Roman" w:cs="Times New Roman" w:eastAsia="Times New Roman" w:hAnsi="Times New Roman"/>
          <w:sz w:val="18"/>
          <w:szCs w:val="18"/>
          <w:color w:val="auto"/>
        </w:rPr>
        <w:t>The decrease in corporate expenses for the year ended December 31, 2022 was primarily attributable to a decrease in employee incentive compensation costs, partially offset by an increase in employee-related expenses to support the growth in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EBITDA is a non-GAAP measure used by management that we define as net income attributable to MYR Group Inc. plus net income from noncontrolling interests, interest expense net of interest income, income tax expense and depreciation and amortization, as shown in the following table. EBITDA does not purport to be an alternative to net income attributable to MYR Group Inc.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book value of assets, useful lives placed on assets, capital structure and the method by which assets were acquired. Because not all companies define EBITDA as we do,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2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necessary elements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attributable to MYR Group Inc.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MYR Group Inc.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loss - noncontrolling interests</w:t>
            </w:r>
          </w:p>
        </w:tc>
        <w:tc>
          <w:tcPr>
            <w:tcW w:w="2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175,750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164,240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132,392</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as defined in the Credit Agreement. Non-compliance with these financial covenants under the Credit Agreement — our interest coverage ratio which is defined in the Credit Agreement as Consolidated EBITDA (as defined in the Credit Agreement) divided by interest expense (as defined in the Credit Agreement) and our leverage ratio, which is defined in the Credit Agreement as Consolidated Total Indebtedness (as defined in the Credit Agreement), divided by Consolidated EBITDA (as defined in the Credit Agreement) — could result in our lenders requiring us to immediately repay all amounts borrowed.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6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flows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175,167</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4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w:t>
            </w:r>
          </w:p>
        </w:tc>
        <w:tc>
          <w:tcPr>
            <w:tcW w:w="0" w:type="dxa"/>
            <w:vAlign w:val="bottom"/>
          </w:tcPr>
          <w:p>
            <w:pPr>
              <w:spacing w:after="0"/>
              <w:rPr>
                <w:sz w:val="1"/>
                <w:szCs w:val="1"/>
                <w:color w:val="auto"/>
              </w:rPr>
            </w:pPr>
          </w:p>
        </w:tc>
      </w:tr>
      <w:tr>
        <w:trPr>
          <w:trHeight w:val="26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175,750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164,240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132,392</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Working capital is a non-GAAP measure. We believe working capital is useful to investors and other external users of our Consolidated Financial Statements in evaluating our operating performance. The Company defines working capital as total current assets less total current liabilities. The following table provides the Company’s calculation of working capital: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4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890,291</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748,390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636,684</w:t>
            </w:r>
          </w:p>
        </w:tc>
        <w:tc>
          <w:tcPr>
            <w:tcW w:w="0" w:type="dxa"/>
            <w:vAlign w:val="bottom"/>
          </w:tcPr>
          <w:p>
            <w:pPr>
              <w:spacing w:after="0"/>
              <w:rPr>
                <w:sz w:val="1"/>
                <w:szCs w:val="1"/>
                <w:color w:val="auto"/>
              </w:rPr>
            </w:pPr>
          </w:p>
        </w:tc>
      </w:tr>
      <w:tr>
        <w:trPr>
          <w:trHeight w:val="243"/>
        </w:trPr>
        <w:tc>
          <w:tcPr>
            <w:tcW w:w="7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300" w:type="dxa"/>
            <w:vAlign w:val="bottom"/>
          </w:tcPr>
          <w:p>
            <w:pPr>
              <w:spacing w:after="0"/>
              <w:rPr>
                <w:sz w:val="21"/>
                <w:szCs w:val="21"/>
                <w:color w:val="auto"/>
              </w:rPr>
            </w:pPr>
          </w:p>
        </w:tc>
        <w:tc>
          <w:tcPr>
            <w:tcW w:w="92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(666,960)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center"/>
              <w:ind w:left="35"/>
              <w:spacing w:after="0"/>
              <w:rPr>
                <w:sz w:val="20"/>
                <w:szCs w:val="20"/>
                <w:color w:val="auto"/>
              </w:rPr>
            </w:pPr>
            <w:r>
              <w:rPr>
                <w:rFonts w:ascii="Times New Roman" w:cs="Times New Roman" w:eastAsia="Times New Roman" w:hAnsi="Times New Roman"/>
                <w:sz w:val="18"/>
                <w:szCs w:val="18"/>
                <w:color w:val="auto"/>
                <w:w w:val="99"/>
              </w:rPr>
              <w:t>(498,599)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rPr>
              <w:t>(443,400)</w:t>
            </w:r>
          </w:p>
        </w:tc>
        <w:tc>
          <w:tcPr>
            <w:tcW w:w="0" w:type="dxa"/>
            <w:vAlign w:val="bottom"/>
          </w:tcPr>
          <w:p>
            <w:pPr>
              <w:spacing w:after="0"/>
              <w:rPr>
                <w:sz w:val="1"/>
                <w:szCs w:val="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Working capital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223,331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249,791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w w:val="99"/>
              </w:rPr>
              <w:t>193,284</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2022 and 2021, we had working capital of $223.3 million and $249.8 million, respectively. During the year ended December 31, 2022, our operating activities provided cash of $167.5 million, compared to $137.2 million for the year ended December 31, 2021. Cash flow from operations is primarily influenced by demand for our services, operating margins, timing of contract performance and the type of services we provide to our customers. The $30.3 million year-over-year increase in cash provided by operating activities was primarily due to favorable net changes in operating assets and liabilities of $15.1 million, partially offset by a $1.6 million decrease in net income. The favorable change in operating assets and liabilities was primarily due to the favorable change of $27.0 million in prepaid expenses and other assets, partially offset by the net unfavorable changes of $16.6 million in other liabilities. The favorable change in prepaid expenses and other assets was primarily due to the timing of insurance payments and the prepayment of materials required for certain projects. The unfavorable change in other liabilities was primarily due to lower bonus and profit sharing accruals, and payments related to our deferral under the Coronavirus Aid, Relief, and Economic Security Act ("CARES Act") partially offset by the timing of other employee related wage and tax payments. In addition, the net favorable year-over-year changes in various working capital accounts that relate primarily to the timing of costs incurred on work performed that does not coincide with the billing terms (accounts receivable, contract assets, accounts payable and contract liabilities) was $0.3 million.</w:t>
      </w:r>
    </w:p>
    <w:p>
      <w:pPr>
        <w:spacing w:after="0" w:line="10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2022 and 2021, we used net cash of $185.7 million and $49.3 million, respectively, in investing activities. The $185.7 million of cash used in investing activities in the year ended December 31, 2022 consisted of $110.7 million to acquire the Powerline Plus Companies, $77.1 million for capital expenditures, partially offset by $2.0 million of proceeds from the sale of equipment. The $49.3 million of cash used in investing activities in the year ended December 31, 2021 consisted of $52.4 million for capital expenditures, partially offset by $3.1 million of proceeds from the sale of equipment.</w:t>
      </w:r>
    </w:p>
    <w:p>
      <w:pPr>
        <w:spacing w:after="0" w:line="11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During the years ended December 31, 2022 and 2021, we used cash of $9.3 million, and $28.1 million, respectively in financing activities. The $9.3 million of cash used in financing activities in the year ended December 31, 2022 consisted primarily of $37.0 million of shares repurchases under our share repurchase program, $6.8 million of shares repurchased to satisfy tax obligations under our stock compensation programs, $1.6 million of repayments of finance lease obligations and $1.0 million of net repayments under our master equipment loan agreements. These uses of cash during the year ended December 31, 2022, were partially offset by $24.2 million of borrowing under our equipment notes and $12.9 million of net borrowing under our revolving line of credit. The $28.1 million of cash used in financing activities in the year ended December 31, 2021 consisted primarily of $24.9 million of net repayments under our master equipment loan agreements, and $3.4 million of cash used to purchase shares surrendered by employees to satisfy tax obligations under our stock compensation programs.</w:t>
      </w:r>
    </w:p>
    <w:p>
      <w:pPr>
        <w:spacing w:after="0" w:line="124"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believe our $349.3 million borrowing availability under our revolving line of credit at December 31, 2022, future cash flow from operations and our ability to utilize short-term and long-term leases will provide sufficient liquidity for our short-tern and long-term needs. Our primary short-term liquidity needs include cash for operations, debt service requirements, capital expenditures,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markets and in procuring the specific specialty equipment and tooling needed to win and execute projects of all sizes and complexity.</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6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On September 13, 2019, we entered into a five-year amended and restated credit agreement (the “Credit Agreement”) with a syndicate of banks led by JPMorgan Chase Bank, N.A. and Bank of America, N.A. The Credit Agreement provides for a facility of $375 million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We have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our assets and the assets of our domestic subsidiaries and by a pledge of substantially all of the capital stock of our domestic subsidiaries and 65% of the capital stock of our direct foreign subsidiaries. Additionally, subject to certain exceptions, our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Facility are used for refinancing existing debt, working capital, capital expenditures, acquisitions, share repurchases and other general corporate purposes.</w:t>
      </w:r>
    </w:p>
    <w:p>
      <w:pPr>
        <w:spacing w:after="0" w:line="12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Amounts borrowed under the Credit Agreement bear interest, at our option, at a rate equal to either (1) the Alternate Base Rate (as defined in the Credit Agreement), plus an applicable margin ranging from 0.00% to 0.75%; or (2) Adjusted LIBO Rate (as defined in the Credit Agreement) plus an applicable margin ranging from 1.00% to 1.75%. Once LIBOR is no longer available, we will amend the Credit Agreement to transition from LIBOR to the Secured Overnight Financing Rate (“SOFR”) or will elect the Alternate Base Rate. The applicable margin is determined based on our consolidated leverage ratio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1.75% for non-performance letters of credit or 0.50% to 0.875% for performance letters of credit, based on our consolidated Leverage Ratio. We are subject to a commitment fee of 0.15% to 0.25%, based on our consolidated Leverage Ratio, on any unused portion of the Facility. The Credit Agreement restricts certain types of payments when our consolidated Leverage Ratio exceeds 2.50 or our consolidated Liquidity (as defined in the Credit Agreement) is less than $50 million.</w:t>
      </w:r>
    </w:p>
    <w:p>
      <w:pPr>
        <w:spacing w:after="0" w:line="108"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Under the Credit Agreement, we are subject to certain financial covenants and are limited to a maximum consolidated Leverage Ratio of 3.0 and a minimum interest coverage ratio of 3.0. The minimum interest coverage ratio is defined in the Credit Agreement as Consolidated EBITDA (as defined in the Credit Agreement) divided by interest expense (as defined in the Credit Agreement). The Credit Agreement also contains a number of covenants, including limitations on asset sales, investments, indebtedness and liens. We were in compliance with all of the financial covenants under the Credit Agreement as of December 31, 2022.</w:t>
      </w:r>
    </w:p>
    <w:p>
      <w:pPr>
        <w:spacing w:after="0" w:line="11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$12.9 million debt outstanding under the Facility. We had no debt outstanding under the Facility as of December 31, 2021.</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ensure payment to our subcontractors and vendors and guarantee performance under our contracts. Such letters of credit are generally issued by a bank or similar financial institution typically pursuant to our senior credit facility. Each letter of credit commits the issuer to pay specified amounts to the holder of the letter of credit if the holder claims that we have failed to perform specified actions. If this were to occur, we would be required to reimburse the issuer of the letter of credit. Depending on the circumstances of such a reimbursement, we may also have to record a charge to earnings for the reimbursement.</w:t>
      </w:r>
    </w:p>
    <w:p>
      <w:pPr>
        <w:spacing w:after="0" w:line="10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and 2021 we had $12.8 million and $12.3 million, respectively, in nonperformance letters of credit outstanding under our Credit Agreement which were almost entirely related to the Company's payment obligation under its insurance programs. These are irrevocable, standby letters of credit with maturities expiring at various times throughout 2023. We expect to renew the letters of credit related to the insurance programs for subsequent one-year periods upon their maturity. We are not aware of any claims currently asserted or threatened under any of these letters of credit that are material, individually or in the aggregate. However, to the extent payment is required for any of such claims, the amount paid could be material and could adversely affect cash flows.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6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banks.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9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2022, we had two outstanding Equipment Notes collateralized by equipment and vehicles owned by us. As of December 31, 2022, we also had one other equipment note outstanding collateralized by a vehicle owned by us. The outstanding balance of all Equipment Notes was $27.6 million as of December 31, 2022, of which $5.1 million was due in the next twelve months. As of December 31, 2021, we had one outstanding Equipment Note collateralized by equipment and vehicles owned by us. The outstanding balance of these Equipment Notes was $4.5 million as of December 31, 2021, of which $1.0 million was due in the next twelve months.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12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$30.5 million as of December 31, 2022. As of December 31, 2022, we had outstanding short-term and long-term operating lease obligations of approximately $9.7 million and $20.8 million, respectively. The outstanding balance of operating lease obligations was $21.0 million as of December 31, 2021. As of December 31, 2021, we had outstanding short-term and long-term operating lease obligations of approximately $7.8 million and $13.2 million, respectively.</w:t>
      </w:r>
    </w:p>
    <w:p>
      <w:pPr>
        <w:spacing w:after="0" w:line="9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$3.4 million outstanding finance lease obligations, consisting of short-term and long-term finance lease obligations of approximately $1.1 million and $2.3 million, respectively. As of December 31, 2021, we had no outstanding finance lease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we had approximately $14.1 million in outstanding purchase obligations for certain construction equipment to be paid with cash outlays scheduled to occur over the first four months of 2023.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46"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our sureties, with the consent of our lenders under the Credit Agreement, we have granted security interests in certain of our assets to collateralize our obligations to the surety. We may be required to post letters of credit or other collateral in favor of the surety or our customers. Posting letters of credit in favor of the surety or our customers reduces the borrowing availability under the Credit Agreement. To date, we have not been required to make any reimbursements to any of our sureties for bond-related costs. We believe that it is unlikely that we will have to fund significant claims under our surety arrangements. As of December 31, 2022, an aggregate of approximately $1.97 billion in original face amount of bonds issued by our sureties were outstanding. Our estimated remaining cost to complete these bonded projects was approximately $880.2 million as of December 31, 2022.</w:t>
      </w:r>
    </w:p>
    <w:p>
      <w:pPr>
        <w:spacing w:after="0" w:line="1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wholly-owned subsidiaries, which reduces the borrowing availability under our credit facility.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6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grant trade credit under contractual payment terms, generally without collateral, to our customers, which include high credit quality electric utilities, governmental entities, general contractors and builders, owners and managers of commercial and industrial properties. Consequently, we are subject to potential credit risk related to changes in business and economic factors. However, we generally have certain statutory lien rights with respect to services provided. Under certain circumstances such as foreclosures or negotiated settlements, we may take title to the underlying assets in lieu of cash in settlement of receivables. As of December 31, 2022 and 2021, none of our customers individually exceeded 10.0% of our accounts receivable.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4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 Organization, Business and Significant Accounting Policies in the Notes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62" w:lineRule="exact"/>
        <w:rPr>
          <w:sz w:val="20"/>
          <w:szCs w:val="20"/>
          <w:color w:val="auto"/>
        </w:rPr>
      </w:pPr>
    </w:p>
    <w:p>
      <w:pPr>
        <w:ind w:right="180" w:firstLine="324"/>
        <w:spacing w:after="0" w:line="274"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on our Financial Statements, which have been prepared in accordance with GAAP. The preparation of these Financial Statements requires us to make estimates and assumptions that affect the reported amounts of assets and liabilities, disclosures of contingent assets and liabilities known to exist at the date of the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 We believe the following accounting policies affect our more significant judgments and estimates used in the preparation of our Financial Statements:</w:t>
      </w:r>
    </w:p>
    <w:p>
      <w:pPr>
        <w:spacing w:after="0" w:line="10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We recognize revenue to depict the transfer of goods or services to customers in an amount that reflects the consideration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to be entitled to in exchange for goods or services provided. Revenue associated with contracts with customers is recognized over time as our performance creates or enhances customer-controlled assets or creates or enhances an asset with no alternative use, for which we have an enforceable right to receive compensation as defined under the contract. To determine the amount of revenue to recognize over time, we estimate profit by determining the difference between total estimated revenue and total estimated cost of a contract. In addition, we estimate a cost accrual every quarter that represents unbilled invoicing activity for services performed by subcontractors and suppliers during the quarter, and estimate revenue from the contract cost portion of this accrual based on current gross margin rates to be consistent with our cost method of revenue recognition. The estimated value of unbilled amounts are determined using a regression analysis that estimates value based on our historical experience, and is adjusted for large individual projects. The profit and corresponding revenue is recognized over the contract term based on costs incurred under the cost-to-cost method. We utilized the cost-to-cost method as we believe cost incurred best represents the amount of work completed and remaining on our projects, and is the most common basis for</w:t>
      </w:r>
    </w:p>
    <w:p>
      <w:pPr>
        <w:spacing w:after="0" w:line="7"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8"/>
          <w:szCs w:val="18"/>
          <w:color w:val="auto"/>
        </w:rPr>
        <w:t>computing percentage of completion in our industry. For purposes of recognizing revenue, we follow the five-step approach outlined in Accounting Standards Codification (“ASC”) 606-10-25.</w:t>
      </w:r>
    </w:p>
    <w:p>
      <w:pPr>
        <w:spacing w:after="0" w:line="100"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the cost-to-cost method is driven by incurred cost, we calculate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our billings are based on contract terms and do not coincide with our progress in a project, revenue recognition also includes an amount related to our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we estimate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we seek to collect from our clients or others for client-caused delays, errors in specifications and designs, contract terminations, change orders that are either in dispute or are unapproved as to both scope and price, or other causes. We include these estimated amounts of variable consideration to the extent that it is probable there will not be a significant reversal of revenue. As of December 31, 2022 and 2021, we recognized revenues of $19.6 million and $2.4 million, respectively, related to significant change orders and/or claims that had been included as contract price adjustments on certain contracts, some of which are multi-year projects.</w:t>
      </w:r>
    </w:p>
    <w:p>
      <w:pPr>
        <w:spacing w:after="0" w:line="98"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7"/>
          <w:szCs w:val="17"/>
          <w:color w:val="auto"/>
        </w:rPr>
        <w:t>Some of our contracts may have contract terms that include variable consideration such as safety or performance bonuses or liquidated damages. In accordance with ASC 606-10-32, we estimate the variable consideration using one of two methods. In contracts in which there is a binary outcome, the most likely amount method is used. In instances in which there is a range of possible outcomes, the expected value method is used. In accordance with ASC 606-10-32-11, we include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we use constraint in recognizing revenue on variable consideration. Although we often enter into contracts that contain liquidated damage clauses, we rarely incur them, and as such, we do not include amounts associated with liquidated damage clauses until it is probable that liquidated damages will occur. These items are continually monitored by multiple levels of management throughout the reporting period.</w:t>
      </w:r>
    </w:p>
    <w:p>
      <w:pPr>
        <w:spacing w:after="0" w:line="10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we perform requires financial assurances in the form of performance and payment bonds or letters of credit at the time of execution of the contract. Many of our contracts include retention provisions of up to 10%, which are generally withheld from each progress payment as retainage until the contract work has been completed and approved.</w:t>
      </w:r>
    </w:p>
    <w:p>
      <w:pPr>
        <w:spacing w:after="0" w:line="108"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accuracy of our revenue and profit recognition in a given period is dependent on the accuracy of our estimates of the cost to complete each project. Cost estimates for all of our significant projects use a detailed “bottoms up” approach and we believe our experience typically allows us to provide materially reliable estimates. There are a number of factors that can contribute to changes in estimates of contract cost and profitability. The most significant of these include, among others:</w:t>
      </w:r>
    </w:p>
    <w:p>
      <w:pPr>
        <w:spacing w:after="0" w:line="18" w:lineRule="exact"/>
        <w:rPr>
          <w:sz w:val="20"/>
          <w:szCs w:val="20"/>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and accuracy of the original bid;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scope changes, change orders or claims;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 and/or materials;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overhead due to owner, weather and other delays;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subcontractor performance issues;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productivity expectations;</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 conditions that differ from those assumed in the original bid (to the extent contract remedies are unavailable);</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skill level of workers in the geographic location of the project; and</w:t>
      </w:r>
    </w:p>
    <w:p>
      <w:pPr>
        <w:spacing w:after="0" w:line="6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availability and proximity of equipment and materials.</w:t>
      </w:r>
    </w:p>
    <w:p>
      <w:pPr>
        <w:spacing w:after="0" w:line="144"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foregoing factors as well as the stage of completion of contracts in process and the mix of contracts at different margins may cause fluctuations in gross profit between periods. During the year ended December 31, 2022, changes in estimates pertaining to certain projects decreased consolidated gross margin by 0.4%. During the year ended December 31, 2021, changes in estimates pertaining to certain projects increased consolidated gross margin by 0.4%. During the year ended December 31, 2020, changes in estimates pertaining to certain projects decreased consolidated gross margin by 0.8%.</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provide warranties to customers on a basis customary to the industry; however, the warranty period does not typically exceed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warranty claims have not been material.</w:t>
      </w:r>
    </w:p>
    <w:p>
      <w:pPr>
        <w:spacing w:after="0" w:line="13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Total revenues do not include sales tax as we consider ourselves a pass-through conduit for collecting and remitting sales taxes. Sales tax and value added tax collected from customers is included in other current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carry insurance policies, which are subject to certain deductibles, for workers’ compensation, general liability, automobile liability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coverages. Our deductible for each line of coverage is up to $1.0 million, except for wildfire coverage which has a deductible of $2.0 million. Certain health benefit plans are subject to stop-loss limits of up to $0.2 million, for qualified individuals. Losses up to the deductible and stop-loss amounts are accrued based upon our estimates of the ultimate liability for claims reported and an estimate of claims incurred but not yet reported.</w:t>
      </w:r>
    </w:p>
    <w:p>
      <w:pPr>
        <w:spacing w:after="0" w:line="101"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our consolidated balance sheets.</w:t>
      </w:r>
    </w:p>
    <w:p>
      <w:pPr>
        <w:spacing w:after="0" w:line="10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We determine compensation expense for stock-based awards based on the estimated fair values at the grant date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the related compensation expense ratably over the vesting period. We use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We recognize compensation expense related to performance awards that vest based on internal performance metrics and service conditions on a straight-line basis over the service period, but adjust inception-to-date expense based upon our determination of the expected achievement of the performance target at each reporting date which may vary from zero to 200% of the target performance awards. We recognize compensation expense related to performance awards with market-based performance metrics on a straight-line basis over the requisite service period. We recognize forfeitures as they occur. Shares issued under the Company’s stock-based compensation program are taken out of authorized but unissued shares.</w:t>
      </w:r>
    </w:p>
    <w:p>
      <w:pPr>
        <w:spacing w:after="0" w:line="121"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Intangibles. </w:t>
      </w:r>
      <w:r>
        <w:rPr>
          <w:rFonts w:ascii="Times New Roman" w:cs="Times New Roman" w:eastAsia="Times New Roman" w:hAnsi="Times New Roman"/>
          <w:sz w:val="18"/>
          <w:szCs w:val="18"/>
          <w:color w:val="auto"/>
        </w:rPr>
        <w:t>Goodwill and intangible assets with indefinite lives are not amortized. Intangible assets with finite lives are amortized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straight-line basis over their estimated useful lives. We perform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10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12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annual qualitative review process in 2022 and 2020, we determined it was not necessary to perform a qualitative assessment. In 2021, we performed a quantitative assessment on our goodwill and intangible assets with indefinite lives, this assessment did not indicate that our goodwill or indefinite lived intangible assets were impaired.</w:t>
      </w:r>
    </w:p>
    <w:p>
      <w:pPr>
        <w:spacing w:after="0" w:line="106" w:lineRule="exact"/>
        <w:rPr>
          <w:sz w:val="20"/>
          <w:szCs w:val="20"/>
          <w:color w:val="auto"/>
        </w:rPr>
      </w:pPr>
    </w:p>
    <w:p>
      <w:pPr>
        <w:ind w:firstLine="324"/>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Accounts Receivable and Allowance for Doubtful Accounts. </w:t>
      </w:r>
      <w:r>
        <w:rPr>
          <w:rFonts w:ascii="Times New Roman" w:cs="Times New Roman" w:eastAsia="Times New Roman" w:hAnsi="Times New Roman"/>
          <w:sz w:val="17"/>
          <w:szCs w:val="17"/>
          <w:color w:val="auto"/>
        </w:rPr>
        <w:t>We do not generally charge interest to our customers, and we carry our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receivables at their face amounts, less an allowance for doubtful accounts. Based on our experience in recent years, the majority of customer balances at each balance sheet date are collected within twelve months. As is common practice in the industry, we classify all accounts receivable as current assets. The allowance for doubtful accounts associated with account receivables was $2.1 million as of December 31, 2022 and $2.4 million as of December 31, 2021.</w:t>
      </w:r>
    </w:p>
    <w:p>
      <w:pPr>
        <w:spacing w:after="0" w:line="8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grant trade credit, on a non-collateralized basis (with the exception of lien rights against the property in certain cases) to our customers, and we are subject to potential credit risk related to changes in business and overall economic activity. We analyze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were not parties to any derivative instruments and had no derivative financial instruments during the years ended December 31, 2022, 2021 or 2020.</w:t>
      </w:r>
    </w:p>
    <w:p>
      <w:pPr>
        <w:spacing w:after="0" w:line="8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federal funds effective rate, the NYFRB overnight bank funding rate, CDOR, and LIBOR (or any interest rate replacing LIBOR). If the prime rate, Canadian prime rate, federal funds effective rate, the NYFRB overnight bank funding rate, CDOR, or LIBOR (or any interest rate replacing LIBOR) rises, any interest payment obligations would increase and have a negative effect on our cash flow and financial condition. We currently do not maintain any hedging contracts that would limit our exposure to variable rates of interest when we have outstanding borrowings. As of December 31, 2022, we had $12.9 million of borrowings under our Facility. If market rates of interest on all our revolving debt as of December 31, 2022, which is subject to variable rates, permanently increased by 1%, the increase in interest expense on all revolving debt would decrease future income before provision for income taxes and cash flows by approximately $0.1 million annually. If market rates of interest on all our revolving debt, which is subject to variable rates as of December 31, 2022, permanently decreased by 1%, the decrease in interest expense on all debt would increase future income before provision for income taxes and cash flows by approximately $0.1 million annually.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Borrowings under our Equipment Notes are at fixed rates established on the date the note was executed.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Management’s Report on Internal Control Over Financial Reporting</w:t>
            </w:r>
          </w:p>
        </w:tc>
        <w:tc>
          <w:tcPr>
            <w:tcW w:w="5000" w:type="dxa"/>
            <w:vAlign w:val="bottom"/>
            <w:gridSpan w:val="4"/>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89"/>
              </w:rPr>
              <w:t>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w w:val="98"/>
              </w:rPr>
              <w:t>Report of Independent Registered Public Accounting Firm</w:t>
            </w:r>
          </w:p>
        </w:tc>
        <w:tc>
          <w:tcPr>
            <w:tcW w:w="160" w:type="dxa"/>
            <w:vAlign w:val="bottom"/>
            <w:tcBorders>
              <w:bottom w:val="single" w:sz="8" w:color="0000FF"/>
            </w:tcBorders>
          </w:tcPr>
          <w:p>
            <w:pPr>
              <w:jc w:val="right"/>
              <w:spacing w:after="0" w:line="102" w:lineRule="exact"/>
              <w:rPr>
                <w:sz w:val="20"/>
                <w:szCs w:val="20"/>
                <w:color w:val="auto"/>
              </w:rPr>
            </w:pPr>
            <w:r>
              <w:rPr>
                <w:rFonts w:ascii="Times New Roman" w:cs="Times New Roman" w:eastAsia="Times New Roman" w:hAnsi="Times New Roman"/>
                <w:sz w:val="11"/>
                <w:szCs w:val="11"/>
                <w:color w:val="0000FF"/>
              </w:rPr>
              <w:t>(1)</w:t>
            </w:r>
          </w:p>
        </w:tc>
        <w:tc>
          <w:tcPr>
            <w:tcW w:w="600" w:type="dxa"/>
            <w:vAlign w:val="bottom"/>
            <w:gridSpan w:val="2"/>
            <w:vMerge w:val="restart"/>
          </w:tcPr>
          <w:p>
            <w:pPr>
              <w:spacing w:after="0"/>
              <w:rPr>
                <w:sz w:val="10"/>
                <w:szCs w:val="10"/>
                <w:color w:val="auto"/>
              </w:rPr>
            </w:pPr>
          </w:p>
        </w:tc>
        <w:tc>
          <w:tcPr>
            <w:tcW w:w="2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rPr>
              <w:t>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6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Borders>
              <w:top w:val="single" w:sz="8" w:color="0000FF"/>
            </w:tcBorders>
          </w:tcPr>
          <w:p>
            <w:pPr>
              <w:spacing w:after="0"/>
              <w:rPr>
                <w:sz w:val="5"/>
                <w:szCs w:val="5"/>
                <w:color w:val="auto"/>
              </w:rPr>
            </w:pPr>
          </w:p>
        </w:tc>
        <w:tc>
          <w:tcPr>
            <w:tcW w:w="2260" w:type="dxa"/>
            <w:vAlign w:val="bottom"/>
            <w:tcBorders>
              <w:top w:val="single" w:sz="8" w:color="0000FF"/>
            </w:tcBorders>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0400" w:type="dxa"/>
            <w:vAlign w:val="bottom"/>
            <w:gridSpan w:val="9"/>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FF"/>
              </w:rPr>
              <w:t>Consolidated Balance Sheets as of December 31, 2022 and 2021</w:t>
            </w:r>
          </w:p>
        </w:tc>
        <w:tc>
          <w:tcPr>
            <w:tcW w:w="800" w:type="dxa"/>
            <w:vAlign w:val="bottom"/>
            <w:gridSpan w:val="2"/>
            <w:shd w:val="clear" w:color="auto" w:fill="CCEEFF"/>
          </w:tcPr>
          <w:p>
            <w:pPr>
              <w:jc w:val="right"/>
              <w:spacing w:after="0" w:line="183" w:lineRule="exact"/>
              <w:rPr>
                <w:sz w:val="20"/>
                <w:szCs w:val="20"/>
                <w:color w:val="auto"/>
              </w:rPr>
            </w:pPr>
            <w:r>
              <w:rPr>
                <w:rFonts w:ascii="Times New Roman" w:cs="Times New Roman" w:eastAsia="Times New Roman" w:hAnsi="Times New Roman"/>
                <w:sz w:val="20"/>
                <w:szCs w:val="20"/>
                <w:color w:val="0000FF"/>
              </w:rPr>
              <w:t>49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Borders>
              <w:top w:val="single" w:sz="8" w:color="CCEEFF"/>
            </w:tcBorders>
            <w:shd w:val="clear" w:color="auto" w:fill="CCEEFF"/>
          </w:tcPr>
          <w:p>
            <w:pPr>
              <w:spacing w:after="0"/>
              <w:rPr>
                <w:sz w:val="5"/>
                <w:szCs w:val="5"/>
                <w:color w:val="auto"/>
              </w:rPr>
            </w:pPr>
          </w:p>
        </w:tc>
        <w:tc>
          <w:tcPr>
            <w:tcW w:w="2380" w:type="dxa"/>
            <w:vAlign w:val="bottom"/>
            <w:tcBorders>
              <w:top w:val="single" w:sz="8" w:color="0000FF"/>
            </w:tcBorders>
            <w:shd w:val="clear" w:color="auto" w:fill="CCEEFF"/>
          </w:tcPr>
          <w:p>
            <w:pPr>
              <w:spacing w:after="0"/>
              <w:rPr>
                <w:sz w:val="5"/>
                <w:szCs w:val="5"/>
                <w:color w:val="auto"/>
              </w:rPr>
            </w:pPr>
          </w:p>
        </w:tc>
        <w:tc>
          <w:tcPr>
            <w:tcW w:w="22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800" w:type="dxa"/>
            <w:vAlign w:val="bottom"/>
            <w:gridSpan w:val="8"/>
          </w:tcPr>
          <w:p>
            <w:pPr>
              <w:spacing w:after="0" w:line="183" w:lineRule="exact"/>
              <w:rPr>
                <w:sz w:val="20"/>
                <w:szCs w:val="20"/>
                <w:color w:val="auto"/>
              </w:rPr>
            </w:pPr>
            <w:r>
              <w:rPr>
                <w:rFonts w:ascii="Times New Roman" w:cs="Times New Roman" w:eastAsia="Times New Roman" w:hAnsi="Times New Roman"/>
                <w:sz w:val="20"/>
                <w:szCs w:val="20"/>
                <w:color w:val="0000FF"/>
                <w:w w:val="98"/>
              </w:rPr>
              <w:t>Consolidated Statements of Operations and Comprehensive Income for the years ended December 31, 2022, 2021 and 2020</w:t>
            </w:r>
          </w:p>
        </w:tc>
        <w:tc>
          <w:tcPr>
            <w:tcW w:w="600" w:type="dxa"/>
            <w:vAlign w:val="bottom"/>
          </w:tcPr>
          <w:p>
            <w:pPr>
              <w:spacing w:after="0"/>
              <w:rPr>
                <w:sz w:val="18"/>
                <w:szCs w:val="18"/>
                <w:color w:val="auto"/>
              </w:rPr>
            </w:pPr>
          </w:p>
        </w:tc>
        <w:tc>
          <w:tcPr>
            <w:tcW w:w="8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20"/>
                <w:szCs w:val="20"/>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Borders>
              <w:top w:val="single" w:sz="8" w:color="0000FF"/>
            </w:tcBorders>
          </w:tcPr>
          <w:p>
            <w:pPr>
              <w:spacing w:after="0"/>
              <w:rPr>
                <w:sz w:val="5"/>
                <w:szCs w:val="5"/>
                <w:color w:val="auto"/>
              </w:rPr>
            </w:pPr>
          </w:p>
        </w:tc>
        <w:tc>
          <w:tcPr>
            <w:tcW w:w="22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200" w:type="dxa"/>
            <w:vAlign w:val="bottom"/>
            <w:tcBorders>
              <w:top w:val="single" w:sz="8" w:color="0000FF"/>
            </w:tcBorders>
          </w:tcPr>
          <w:p>
            <w:pPr>
              <w:spacing w:after="0"/>
              <w:rPr>
                <w:sz w:val="5"/>
                <w:szCs w:val="5"/>
                <w:color w:val="auto"/>
              </w:rPr>
            </w:pPr>
          </w:p>
        </w:tc>
        <w:tc>
          <w:tcPr>
            <w:tcW w:w="740" w:type="dxa"/>
            <w:vAlign w:val="bottom"/>
            <w:tcBorders>
              <w:top w:val="single" w:sz="8" w:color="0000FF"/>
            </w:tcBorders>
          </w:tcPr>
          <w:p>
            <w:pPr>
              <w:spacing w:after="0"/>
              <w:rPr>
                <w:sz w:val="5"/>
                <w:szCs w:val="5"/>
                <w:color w:val="auto"/>
              </w:rPr>
            </w:pPr>
          </w:p>
        </w:tc>
        <w:tc>
          <w:tcPr>
            <w:tcW w:w="1460" w:type="dxa"/>
            <w:vAlign w:val="bottom"/>
            <w:tcBorders>
              <w:top w:val="single" w:sz="8" w:color="0000FF"/>
            </w:tcBorders>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340" w:type="dxa"/>
            <w:vAlign w:val="bottom"/>
            <w:gridSpan w:val="7"/>
            <w:shd w:val="clear" w:color="auto" w:fill="CCEEFF"/>
          </w:tcPr>
          <w:p>
            <w:pPr>
              <w:spacing w:after="0" w:line="183" w:lineRule="exact"/>
              <w:rPr>
                <w:sz w:val="20"/>
                <w:szCs w:val="20"/>
                <w:color w:val="auto"/>
              </w:rPr>
            </w:pPr>
            <w:r>
              <w:rPr>
                <w:rFonts w:ascii="Times New Roman" w:cs="Times New Roman" w:eastAsia="Times New Roman" w:hAnsi="Times New Roman"/>
                <w:sz w:val="20"/>
                <w:szCs w:val="20"/>
                <w:color w:val="0000FF"/>
                <w:w w:val="98"/>
              </w:rPr>
              <w:t>Consolidated Statements of Shareholders’ Equity for the years ended December 31, 2022, 2021 and 2020</w:t>
            </w:r>
          </w:p>
        </w:tc>
        <w:tc>
          <w:tcPr>
            <w:tcW w:w="2060" w:type="dxa"/>
            <w:vAlign w:val="bottom"/>
            <w:gridSpan w:val="2"/>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Borders>
              <w:top w:val="single" w:sz="8" w:color="CCEEFF"/>
            </w:tcBorders>
            <w:shd w:val="clear" w:color="auto" w:fill="CCEEFF"/>
          </w:tcPr>
          <w:p>
            <w:pPr>
              <w:spacing w:after="0"/>
              <w:rPr>
                <w:sz w:val="5"/>
                <w:szCs w:val="5"/>
                <w:color w:val="auto"/>
              </w:rPr>
            </w:pPr>
          </w:p>
        </w:tc>
        <w:tc>
          <w:tcPr>
            <w:tcW w:w="2380" w:type="dxa"/>
            <w:vAlign w:val="bottom"/>
            <w:tcBorders>
              <w:top w:val="single" w:sz="8" w:color="0000FF"/>
            </w:tcBorders>
            <w:shd w:val="clear" w:color="auto" w:fill="CCEEFF"/>
          </w:tcPr>
          <w:p>
            <w:pPr>
              <w:spacing w:after="0"/>
              <w:rPr>
                <w:sz w:val="5"/>
                <w:szCs w:val="5"/>
                <w:color w:val="auto"/>
              </w:rPr>
            </w:pPr>
          </w:p>
        </w:tc>
        <w:tc>
          <w:tcPr>
            <w:tcW w:w="2260" w:type="dxa"/>
            <w:vAlign w:val="bottom"/>
            <w:tcBorders>
              <w:top w:val="single" w:sz="8" w:color="0000FF"/>
            </w:tcBorders>
            <w:shd w:val="clear" w:color="auto" w:fill="CCEEFF"/>
          </w:tcPr>
          <w:p>
            <w:pPr>
              <w:spacing w:after="0"/>
              <w:rPr>
                <w:sz w:val="5"/>
                <w:szCs w:val="5"/>
                <w:color w:val="auto"/>
              </w:rPr>
            </w:pPr>
          </w:p>
        </w:tc>
        <w:tc>
          <w:tcPr>
            <w:tcW w:w="16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2200" w:type="dxa"/>
            <w:vAlign w:val="bottom"/>
            <w:tcBorders>
              <w:top w:val="single" w:sz="8" w:color="0000FF"/>
            </w:tcBorders>
            <w:shd w:val="clear" w:color="auto" w:fill="CCEEFF"/>
          </w:tcPr>
          <w:p>
            <w:pPr>
              <w:spacing w:after="0"/>
              <w:rPr>
                <w:sz w:val="5"/>
                <w:szCs w:val="5"/>
                <w:color w:val="auto"/>
              </w:rPr>
            </w:pPr>
          </w:p>
        </w:tc>
        <w:tc>
          <w:tcPr>
            <w:tcW w:w="740" w:type="dxa"/>
            <w:vAlign w:val="bottom"/>
            <w:tcBorders>
              <w:top w:val="single" w:sz="8" w:color="0000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0" w:type="dxa"/>
            <w:vAlign w:val="bottom"/>
            <w:gridSpan w:val="9"/>
          </w:tcPr>
          <w:p>
            <w:pPr>
              <w:spacing w:after="0" w:line="183" w:lineRule="exact"/>
              <w:rPr>
                <w:sz w:val="20"/>
                <w:szCs w:val="20"/>
                <w:color w:val="auto"/>
              </w:rPr>
            </w:pPr>
            <w:r>
              <w:rPr>
                <w:rFonts w:ascii="Times New Roman" w:cs="Times New Roman" w:eastAsia="Times New Roman" w:hAnsi="Times New Roman"/>
                <w:sz w:val="20"/>
                <w:szCs w:val="20"/>
                <w:color w:val="0000FF"/>
              </w:rPr>
              <w:t>Consolidated Statements of Cash Flows for the years ended December 31, 2022, 2021 and 2020</w:t>
            </w:r>
          </w:p>
        </w:tc>
        <w:tc>
          <w:tcPr>
            <w:tcW w:w="80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20"/>
                <w:szCs w:val="20"/>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380" w:type="dxa"/>
            <w:vAlign w:val="bottom"/>
            <w:tcBorders>
              <w:top w:val="single" w:sz="8" w:color="0000FF"/>
            </w:tcBorders>
          </w:tcPr>
          <w:p>
            <w:pPr>
              <w:spacing w:after="0"/>
              <w:rPr>
                <w:sz w:val="5"/>
                <w:szCs w:val="5"/>
                <w:color w:val="auto"/>
              </w:rPr>
            </w:pPr>
          </w:p>
        </w:tc>
        <w:tc>
          <w:tcPr>
            <w:tcW w:w="2260" w:type="dxa"/>
            <w:vAlign w:val="bottom"/>
            <w:tcBorders>
              <w:top w:val="single" w:sz="8" w:color="0000FF"/>
            </w:tcBorders>
          </w:tcPr>
          <w:p>
            <w:pPr>
              <w:spacing w:after="0"/>
              <w:rPr>
                <w:sz w:val="5"/>
                <w:szCs w:val="5"/>
                <w:color w:val="auto"/>
              </w:rPr>
            </w:pPr>
          </w:p>
        </w:tc>
        <w:tc>
          <w:tcPr>
            <w:tcW w:w="160" w:type="dxa"/>
            <w:vAlign w:val="bottom"/>
            <w:tcBorders>
              <w:top w:val="single" w:sz="8" w:color="0000FF"/>
            </w:tcBorders>
          </w:tcPr>
          <w:p>
            <w:pPr>
              <w:spacing w:after="0"/>
              <w:rPr>
                <w:sz w:val="5"/>
                <w:szCs w:val="5"/>
                <w:color w:val="auto"/>
              </w:rPr>
            </w:pPr>
          </w:p>
        </w:tc>
        <w:tc>
          <w:tcPr>
            <w:tcW w:w="320" w:type="dxa"/>
            <w:vAlign w:val="bottom"/>
            <w:tcBorders>
              <w:top w:val="single" w:sz="8" w:color="0000FF"/>
            </w:tcBorders>
          </w:tcPr>
          <w:p>
            <w:pPr>
              <w:spacing w:after="0"/>
              <w:rPr>
                <w:sz w:val="5"/>
                <w:szCs w:val="5"/>
                <w:color w:val="auto"/>
              </w:rPr>
            </w:pPr>
          </w:p>
        </w:tc>
        <w:tc>
          <w:tcPr>
            <w:tcW w:w="280" w:type="dxa"/>
            <w:vAlign w:val="bottom"/>
            <w:tcBorders>
              <w:top w:val="single" w:sz="8" w:color="0000FF"/>
            </w:tcBorders>
          </w:tcPr>
          <w:p>
            <w:pPr>
              <w:spacing w:after="0"/>
              <w:rPr>
                <w:sz w:val="5"/>
                <w:szCs w:val="5"/>
                <w:color w:val="auto"/>
              </w:rPr>
            </w:pPr>
          </w:p>
        </w:tc>
        <w:tc>
          <w:tcPr>
            <w:tcW w:w="2200" w:type="dxa"/>
            <w:vAlign w:val="bottom"/>
            <w:tcBorders>
              <w:top w:val="single" w:sz="8" w:color="0000FF"/>
            </w:tcBorders>
          </w:tcPr>
          <w:p>
            <w:pPr>
              <w:spacing w:after="0"/>
              <w:rPr>
                <w:sz w:val="5"/>
                <w:szCs w:val="5"/>
                <w:color w:val="auto"/>
              </w:rPr>
            </w:pPr>
          </w:p>
        </w:tc>
        <w:tc>
          <w:tcPr>
            <w:tcW w:w="7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Borders>
              <w:top w:val="single" w:sz="8" w:color="0000FF"/>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0400" w:type="dxa"/>
            <w:vAlign w:val="bottom"/>
            <w:gridSpan w:val="9"/>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Notes to Financial Statements</w:t>
            </w:r>
          </w:p>
        </w:tc>
        <w:tc>
          <w:tcPr>
            <w:tcW w:w="80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20"/>
                <w:szCs w:val="20"/>
                <w:color w:val="0000FF"/>
              </w:rPr>
              <w:t>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2380" w:type="dxa"/>
            <w:vAlign w:val="bottom"/>
            <w:tcBorders>
              <w:top w:val="single" w:sz="8" w:color="0000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46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17" w:lineRule="exact"/>
        <w:rPr>
          <w:sz w:val="20"/>
          <w:szCs w:val="20"/>
          <w:color w:val="auto"/>
        </w:rPr>
      </w:pPr>
    </w:p>
    <w:p>
      <w:pPr>
        <w:ind w:left="340" w:right="60" w:hanging="332"/>
        <w:spacing w:after="0" w:line="282"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MYR Group’s independent registered public accounting firm (PCAOB ID:173) with respect to the above-referenced financial statements and their report on internal control over financial reporting are included in Item 8 of this Form 10-K at the page number referenced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our Financial Statements for external purposes in accordance with GAAP.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140" w:firstLine="324"/>
        <w:spacing w:after="0" w:line="277" w:lineRule="auto"/>
        <w:rPr>
          <w:sz w:val="20"/>
          <w:szCs w:val="20"/>
          <w:color w:val="auto"/>
        </w:rPr>
      </w:pPr>
      <w:r>
        <w:rPr>
          <w:rFonts w:ascii="Times New Roman" w:cs="Times New Roman" w:eastAsia="Times New Roman" w:hAnsi="Times New Roman"/>
          <w:sz w:val="17"/>
          <w:szCs w:val="17"/>
          <w:color w:val="auto"/>
        </w:rPr>
        <w:t xml:space="preserve">Under the supervision and with the participation of our management, including our Chief Executive Officer and Chief Financial Officer, we have conducted an evaluation of the effectiveness of our internal control over financial reporting based upon the criteria established in </w:t>
      </w:r>
      <w:r>
        <w:rPr>
          <w:rFonts w:ascii="Times New Roman" w:cs="Times New Roman" w:eastAsia="Times New Roman" w:hAnsi="Times New Roman"/>
          <w:sz w:val="17"/>
          <w:szCs w:val="17"/>
          <w:i w:val="1"/>
          <w:iCs w:val="1"/>
          <w:color w:val="auto"/>
        </w:rPr>
        <w:t>Internal Control —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Integrated Framework </w:t>
      </w:r>
      <w:r>
        <w:rPr>
          <w:rFonts w:ascii="Times New Roman" w:cs="Times New Roman" w:eastAsia="Times New Roman" w:hAnsi="Times New Roman"/>
          <w:sz w:val="17"/>
          <w:szCs w:val="17"/>
          <w:color w:val="auto"/>
        </w:rPr>
        <w:t>issued by the Committee of Sponsoring Organizations of the Treadway Commission (2013 framework). Based on this evaluation,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management has concluded that our internal control over financial reporting was effective as of December 31, 2022 in providing reasonable assurance regarding the reliability of financial reporting and the preparation of financial statements for external reporting purposes in accordance with GAAP.</w:t>
      </w:r>
    </w:p>
    <w:p>
      <w:pPr>
        <w:spacing w:after="0" w:line="100"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a system of internal control over financial reporting can provide only reasonable assurances and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108"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Management’s assessment of and conclusion on the Company’s internal control over financial reporting as of December 31, 2022 excluded the internal control over financial reporting of Powerline Plus Ltd. and its affiliate PLP Redimix Ltd. (collectively, the “Powerline Plus Companies"), which were acquired on January 4, 2022. The Powerline Plus Companies represented a total of approximately 3.2% and 1.1% of total out of scope assets and net assets, respectively as of December 31, 2022, and 2.6% and 6.7% of contract revenues and out of scope income before income taxes, respectively, for the year then ended. Such exclusion is in accordance with Securities and Exchange Commission guidance that the assessment of a recently acquired business may be omitted in management’s report on internal controls over financial reporting, provided the acquisition took place during the fiscal year being assessed.</w:t>
      </w:r>
    </w:p>
    <w:p>
      <w:pPr>
        <w:spacing w:after="0" w:line="9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Crowe LLP, the independent registered public accounting firm that audited and reported on the 2022 Financial Statements included in this Annual Report on Form 10-K, has audited the effectiveness of MYR Group’s internal control over financial reporting as of December 31, 2022 and has issued an attestation report on MYR Group’s internal control over financial reporting which appears herein.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MYR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Thornton, CO</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MYR Group Inc. (the “Company”) as of December 31, 2022 and 2021, the related consolidated statements of operations and comprehensive income, shareholders’ equity, and cash flows for each of the years in the three-year period ended December 31, 2022, and the related notes (collectively referred to as the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As permitted, the Company has excluded the operations of Powerline Plus Ltd. and its affiliate PLP Redimix Ltd. acquired during 2022, which is described in Note 2 of the consolidated financial statements, from the scope of management’s report on internal control over financial reporting. As such, it has also been excluded from the scope of our audit of internal control over financial reporting. Our audits also included performing such other procedures as we considered necessary in the circumstances. We believe that our audits provide a reasonable basis for our opinions.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estimated costs to complete and variable consideration for fixed price construction contracts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1 of the Company’s consolidated financial statements, Organization, Business, and Significant Accounting Policies, and Note 12, Revenue Recognition, the Company recognizes revenue on fixed price construction projects over time using the cost-to-cost method. The amount of contract revenues and gross profit recognized on fixed price construction contracts is dependent on the contract price, the actual contract costs incurred, and the forecasted contract revenues and contract costs for construction projects. The recognition of revenue on fixed price construction contracts involves significant estimates due to the unique complexities of each construction project, uncertainty about estimates of costs to complete, and uncertainty in the outcome of discussions with customers on the valuation of change orders and claims. The Company measures progress towards completion using the cost-to-cost method, which measures the progress as the ratio of actual contract costs incurred to date to the estimated costs at completion. The Company recognizes revenue related to change orders only when it is probable that the change order will result in an addition to contract value and can be reliably estimated. The Company evaluates change orders and claims based on historical experience with the customer, similar contracts, and on an individual basis, which involves significant judgment. The Company recognizes these estimated amounts of variable consideration in transaction price to the extent that it is probable there will not be a significant reversal of revenue.</w:t>
      </w:r>
    </w:p>
    <w:p>
      <w:pPr>
        <w:spacing w:after="0" w:line="1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identified auditing management’s estimates of variable consideration for change orders and claims and estimated costs to complete on select fixed price construction contracts to be a critical audit matter. The critical audit matter relates to select fixed price construction contracts, based on the magnitude of estimated costs to complete and the stage of completion of the contract. These estimates require management to make assumptions about future events and, as a result, a high degree of auditor judgment is involved in auditing these estimates. Due to the factors above, auditing management’s estimates of costs to complete and variable consideration required extensive audit procedures.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to address the critical audit matter included the following:</w:t>
      </w:r>
    </w:p>
    <w:p>
      <w:pPr>
        <w:spacing w:after="0" w:line="63" w:lineRule="exact"/>
        <w:rPr>
          <w:sz w:val="20"/>
          <w:szCs w:val="20"/>
          <w:color w:val="auto"/>
        </w:rPr>
      </w:pPr>
    </w:p>
    <w:p>
      <w:pPr>
        <w:ind w:left="660" w:right="20" w:hanging="324"/>
        <w:spacing w:after="0" w:line="281" w:lineRule="auto"/>
        <w:rPr>
          <w:sz w:val="20"/>
          <w:szCs w:val="20"/>
          <w:color w:val="auto"/>
        </w:rPr>
      </w:pPr>
      <w:r>
        <w:rPr>
          <w:rFonts w:ascii="Times New Roman" w:cs="Times New Roman" w:eastAsia="Times New Roman" w:hAnsi="Times New Roman"/>
          <w:sz w:val="18"/>
          <w:szCs w:val="18"/>
          <w:color w:val="auto"/>
        </w:rPr>
        <w:t>– Tested the design, implementation, and operating effectiveness of controls that are designed to address the reasonableness of estimates of costs to complete contracts and estimates of variable consideration recognized on contracts;</w:t>
      </w:r>
    </w:p>
    <w:p>
      <w:pPr>
        <w:spacing w:after="0" w:line="1" w:lineRule="exact"/>
        <w:rPr>
          <w:sz w:val="20"/>
          <w:szCs w:val="20"/>
          <w:color w:val="auto"/>
        </w:rPr>
      </w:pPr>
    </w:p>
    <w:p>
      <w:pPr>
        <w:ind w:left="660" w:hanging="324"/>
        <w:spacing w:after="0" w:line="281" w:lineRule="auto"/>
        <w:rPr>
          <w:sz w:val="20"/>
          <w:szCs w:val="20"/>
          <w:color w:val="auto"/>
        </w:rPr>
      </w:pPr>
      <w:r>
        <w:rPr>
          <w:rFonts w:ascii="Times New Roman" w:cs="Times New Roman" w:eastAsia="Times New Roman" w:hAnsi="Times New Roman"/>
          <w:sz w:val="18"/>
          <w:szCs w:val="18"/>
          <w:color w:val="auto"/>
        </w:rPr>
        <w:t>– Evaluated the reasonableness of management’s estimates of cost to complete for a sample of fixed price construction contracts through testing the key components of the estimated costs to complete, including materials, labor, and subcontractor costs;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Agreed a sample of contract costs incurred to supporting documentation;</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Performed inquiries of management and project personnel regarding facts and circumstances relevant to the accounting for such contracts;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Recalculated revenue recognition based on the percentage of completion of projects;</w:t>
      </w:r>
    </w:p>
    <w:p>
      <w:pPr>
        <w:spacing w:after="0" w:line="63" w:lineRule="exact"/>
        <w:rPr>
          <w:sz w:val="20"/>
          <w:szCs w:val="20"/>
          <w:color w:val="auto"/>
        </w:rPr>
      </w:pPr>
    </w:p>
    <w:p>
      <w:pPr>
        <w:ind w:left="660" w:hanging="324"/>
        <w:spacing w:after="0" w:line="266" w:lineRule="auto"/>
        <w:rPr>
          <w:sz w:val="20"/>
          <w:szCs w:val="20"/>
          <w:color w:val="auto"/>
        </w:rPr>
      </w:pPr>
      <w:r>
        <w:rPr>
          <w:rFonts w:ascii="Times New Roman" w:cs="Times New Roman" w:eastAsia="Times New Roman" w:hAnsi="Times New Roman"/>
          <w:sz w:val="18"/>
          <w:szCs w:val="18"/>
          <w:color w:val="auto"/>
        </w:rPr>
        <w:t>– Evaluated variable consideration recognized related to construction projects by comparing estimates made by management to subsequent actual data, evaluating the contracts and other documents that support estimates made by management, and obtaining legal opinions from internal and external counsel; and</w:t>
      </w:r>
    </w:p>
    <w:p>
      <w:pPr>
        <w:spacing w:after="0" w:line="13"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Performed retrospective review procedures to assess management’s historical ability to accurately estimate the transaction price and cost to complete of construction contracts.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contingent earn-out consideration and customer relationships acquired associated with the acquisition of Powerline Plus Companies</w:t>
      </w:r>
    </w:p>
    <w:p>
      <w:pPr>
        <w:spacing w:after="0" w:line="14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As described in Note 2 to the financial statements, the Company completed the acquisition of Powerline Plus Ltd. and its affiliate PLP Redimix Ltd. (collectively, the “Powerline Plus Companies") in 2022 for total consideration of approximately $111.5 million, net of cash acquired. Total consideration</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approximately $0.9 million of contingent earn-out consideration measured at fair value as of the acquisition date. Assets acquired included approximately $39.8 million of customer relationships (intangible assets) that were valued at fair value as of the acquisition date. Auditing the valuation of contingent earn-out consideration and customer relationships acquired involved a high degree of subjectivity. Significant auditor judgment was involved in evaluating the valuation methodology (used in estimating the contingent earn-out consideration and the significant assumptions used in the valuations of</w:t>
      </w:r>
    </w:p>
    <w:p>
      <w:pPr>
        <w:jc w:val="both"/>
        <w:spacing w:after="0" w:line="282" w:lineRule="auto"/>
        <w:rPr>
          <w:sz w:val="20"/>
          <w:szCs w:val="20"/>
          <w:color w:val="auto"/>
        </w:rPr>
      </w:pPr>
      <w:r>
        <w:rPr>
          <w:rFonts w:ascii="Times New Roman" w:cs="Times New Roman" w:eastAsia="Times New Roman" w:hAnsi="Times New Roman"/>
          <w:sz w:val="18"/>
          <w:szCs w:val="18"/>
          <w:color w:val="auto"/>
        </w:rPr>
        <w:t>both the contingent earn-out consideration and customer relationships intangible asset. The estimates included certain assumptions that involved a high degree of subjectivity and auditor judgment. As a result, extensive audit procedures were involved in auditing the estimates and significant assumptions.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testing the valuation of contingent earn-out consideration and customer relationships acquired included the following:</w:t>
      </w:r>
    </w:p>
    <w:p>
      <w:pPr>
        <w:spacing w:after="0" w:line="77" w:lineRule="exact"/>
        <w:rPr>
          <w:sz w:val="20"/>
          <w:szCs w:val="20"/>
          <w:color w:val="auto"/>
        </w:rPr>
      </w:pPr>
    </w:p>
    <w:p>
      <w:pPr>
        <w:ind w:left="660" w:hanging="324"/>
        <w:spacing w:after="0" w:line="281" w:lineRule="auto"/>
        <w:rPr>
          <w:sz w:val="20"/>
          <w:szCs w:val="20"/>
          <w:color w:val="auto"/>
        </w:rPr>
      </w:pPr>
      <w:r>
        <w:rPr>
          <w:rFonts w:ascii="Times New Roman" w:cs="Times New Roman" w:eastAsia="Times New Roman" w:hAnsi="Times New Roman"/>
          <w:sz w:val="18"/>
          <w:szCs w:val="18"/>
          <w:color w:val="auto"/>
        </w:rPr>
        <w:t>– Tested controls over the accounting for the acquisition, including controls over the recognition and measurement of customer relationships and contingent earn-out consideration;</w:t>
      </w:r>
    </w:p>
    <w:p>
      <w:pPr>
        <w:spacing w:after="0" w:line="1" w:lineRule="exact"/>
        <w:rPr>
          <w:sz w:val="20"/>
          <w:szCs w:val="20"/>
          <w:color w:val="auto"/>
        </w:rPr>
      </w:pPr>
    </w:p>
    <w:p>
      <w:pPr>
        <w:ind w:left="660" w:hanging="324"/>
        <w:spacing w:after="0" w:line="281" w:lineRule="auto"/>
        <w:rPr>
          <w:sz w:val="20"/>
          <w:szCs w:val="20"/>
          <w:color w:val="auto"/>
        </w:rPr>
      </w:pPr>
      <w:r>
        <w:rPr>
          <w:rFonts w:ascii="Times New Roman" w:cs="Times New Roman" w:eastAsia="Times New Roman" w:hAnsi="Times New Roman"/>
          <w:sz w:val="18"/>
          <w:szCs w:val="18"/>
          <w:color w:val="auto"/>
        </w:rPr>
        <w:t>– Read the purchase agreement and compared the terms of the purchase agreement to management’s application of purchase accounting for this acquisition;</w:t>
      </w:r>
    </w:p>
    <w:p>
      <w:pPr>
        <w:spacing w:after="0" w:line="1" w:lineRule="exact"/>
        <w:rPr>
          <w:sz w:val="20"/>
          <w:szCs w:val="20"/>
          <w:color w:val="auto"/>
        </w:rPr>
      </w:pPr>
    </w:p>
    <w:p>
      <w:pPr>
        <w:ind w:left="660" w:hanging="324"/>
        <w:spacing w:after="0" w:line="281" w:lineRule="auto"/>
        <w:rPr>
          <w:sz w:val="20"/>
          <w:szCs w:val="20"/>
          <w:color w:val="auto"/>
        </w:rPr>
      </w:pPr>
      <w:r>
        <w:rPr>
          <w:rFonts w:ascii="Times New Roman" w:cs="Times New Roman" w:eastAsia="Times New Roman" w:hAnsi="Times New Roman"/>
          <w:sz w:val="18"/>
          <w:szCs w:val="18"/>
          <w:color w:val="auto"/>
        </w:rPr>
        <w:t>– Evaluated the methods used in developing the fair value estimates and tested the recognition of the contingent earn-out consideration and customer relationships at fair value;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Assessed whether all intangible assets were properly identified;</w:t>
      </w:r>
    </w:p>
    <w:p>
      <w:pPr>
        <w:spacing w:after="0" w:line="63"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Evaluated the reasonableness of the significant assumptions used in valuing the contingent earn-out considerations and customer relationships, including estimated revenue and revenue growth rates, attrition rate, income tax rate, projected profit margins, and discount rates. Specifically, we considered the past performance of the Powerline Plus Companies and considered whether significant assumptions used were consistent with evidence obtained in other areas of the audit;</w:t>
      </w:r>
    </w:p>
    <w:p>
      <w:pPr>
        <w:spacing w:after="0" w:line="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Assessed the terms of the contingent earn-out consideration, which included projected revenue and operating profit projection criteria; and</w:t>
      </w:r>
    </w:p>
    <w:p>
      <w:pPr>
        <w:spacing w:after="0" w:line="63" w:lineRule="exact"/>
        <w:rPr>
          <w:sz w:val="20"/>
          <w:szCs w:val="20"/>
          <w:color w:val="auto"/>
        </w:rPr>
      </w:pPr>
    </w:p>
    <w:p>
      <w:pPr>
        <w:ind w:left="660" w:hanging="324"/>
        <w:spacing w:after="0" w:line="282" w:lineRule="auto"/>
        <w:rPr>
          <w:sz w:val="20"/>
          <w:szCs w:val="20"/>
          <w:color w:val="auto"/>
        </w:rPr>
      </w:pPr>
      <w:r>
        <w:rPr>
          <w:rFonts w:ascii="Times New Roman" w:cs="Times New Roman" w:eastAsia="Times New Roman" w:hAnsi="Times New Roman"/>
          <w:sz w:val="18"/>
          <w:szCs w:val="18"/>
          <w:color w:val="auto"/>
        </w:rPr>
        <w:t>– Evaluated management’s classification of earn-out payments to continuing employees as either contingent consideration in the business combination or employee compensation.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FFFFFF"/>
        </w:rPr>
        <w:t>/</w:t>
      </w:r>
      <w:r>
        <w:rPr>
          <w:rFonts w:ascii="Times New Roman" w:cs="Times New Roman" w:eastAsia="Times New Roman" w:hAnsi="Times New Roman"/>
          <w:sz w:val="18"/>
          <w:szCs w:val="18"/>
          <w:color w:val="000000"/>
        </w:rPr>
        <w:t>s/ Crowe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2023</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39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allowances of $2,073 and $2,441, respectively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472,543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assets, net of allowances of $499 and $385, respectively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300,615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receivable for insurance claims in excess of deductibles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Refundable income taxes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47,824</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45,564</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890,291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748,390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$351,753 and $322,128, respectively</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233,175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196,092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30,544</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20,971</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115,847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$25,439 and $16,779, respectively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49,054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32,443</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joint venture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1,398,858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1,121,092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gridSpan w:val="2"/>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5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5,074</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315,323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200,744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Contract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227,055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167,931</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accrued self-insurance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28,752</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Accrued income taxes</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79,918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94,857</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666,960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498,599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45,775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24,620</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self-insurance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51,287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50,816</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obligations, net of current maturities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obligations, net of current maturities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15,999</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11,261</w:t>
            </w: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838,658</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601,990</w:t>
            </w:r>
          </w:p>
        </w:tc>
        <w:tc>
          <w:tcPr>
            <w:tcW w:w="0" w:type="dxa"/>
            <w:vAlign w:val="bottom"/>
          </w:tcPr>
          <w:p>
            <w:pPr>
              <w:spacing w:after="0"/>
              <w:rPr>
                <w:sz w:val="1"/>
                <w:szCs w:val="1"/>
                <w:color w:val="auto"/>
              </w:rPr>
            </w:pPr>
          </w:p>
        </w:tc>
      </w:tr>
      <w:tr>
        <w:trPr>
          <w:trHeight w:val="21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Preferred stock – $0.01 par value per share; 4,000,000 authorized shares; none issued and outstanding at December 31, 2022</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5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and December 31, 2021</w:t>
            </w:r>
          </w:p>
        </w:tc>
        <w:tc>
          <w:tcPr>
            <w:tcW w:w="2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 $0.01 par value per share; 100,000,000 authorized shares; 16,563,767 and 16,870,636 shares issued and</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outstanding at December 31, 2022 and December 31, 2021, respectively</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161,427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163,754</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404,908</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355,007</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560,200</w:t>
            </w:r>
          </w:p>
        </w:tc>
        <w:tc>
          <w:tcPr>
            <w:tcW w:w="12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519,102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1,398,858</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1,121,092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40" w:type="dxa"/>
            <w:vAlign w:val="bottom"/>
            <w:gridSpan w:val="6"/>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2,664,580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2,173,308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1,971,539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343,962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275,853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222,424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114,204</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 attributable to MYR Group Inc.:</w:t>
            </w:r>
          </w:p>
        </w:tc>
        <w:tc>
          <w:tcPr>
            <w:tcW w:w="3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44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Basic</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Diluted</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4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37"/>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 attributable to MYR Group Inc.</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76,908</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85,160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59,228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MYR</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5"/>
            <w:vMerge w:val="continue"/>
          </w:tcPr>
          <w:p>
            <w:pPr>
              <w:spacing w:after="0"/>
              <w:rPr>
                <w:sz w:val="9"/>
                <w:szCs w:val="9"/>
                <w:color w:val="auto"/>
              </w:rPr>
            </w:pPr>
          </w:p>
        </w:tc>
        <w:tc>
          <w:tcPr>
            <w:tcW w:w="900" w:type="dxa"/>
            <w:vAlign w:val="bottom"/>
            <w:gridSpan w:val="2"/>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9"/>
                <w:szCs w:val="9"/>
                <w:color w:val="auto"/>
              </w:rPr>
            </w:pPr>
          </w:p>
        </w:tc>
        <w:tc>
          <w:tcPr>
            <w:tcW w:w="860" w:type="dxa"/>
            <w:vAlign w:val="bottom"/>
            <w:gridSpan w:val="2"/>
            <w:vMerge w:val="restart"/>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Group Inc.</w:t>
            </w: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gridSpan w:val="3"/>
            <w:vMerge w:val="continue"/>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vMerge w:val="continue"/>
          </w:tcPr>
          <w:p>
            <w:pPr>
              <w:spacing w:after="0"/>
              <w:rPr>
                <w:sz w:val="12"/>
                <w:szCs w:val="12"/>
                <w:color w:val="auto"/>
              </w:rPr>
            </w:pPr>
          </w:p>
        </w:tc>
        <w:tc>
          <w:tcPr>
            <w:tcW w:w="98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40" w:type="dxa"/>
            <w:vAlign w:val="bottom"/>
            <w:gridSpan w:val="3"/>
            <w:vMerge w:val="continue"/>
          </w:tcPr>
          <w:p>
            <w:pPr>
              <w:spacing w:after="0"/>
              <w:rPr>
                <w:sz w:val="12"/>
                <w:szCs w:val="12"/>
                <w:color w:val="auto"/>
              </w:rPr>
            </w:pPr>
          </w:p>
        </w:tc>
        <w:tc>
          <w:tcPr>
            <w:tcW w:w="8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7"/>
                <w:szCs w:val="17"/>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$ 152,532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$ 212,219</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364,471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$ 364,475</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to adopt ASC 326</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176"/>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21"/>
                <w:szCs w:val="21"/>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related to tax</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for stock-based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21"/>
                <w:szCs w:val="21"/>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issued – other</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6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158,618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270,480</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429,288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429,292</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related to tax</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for stock-based</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 other</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163,754</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355,007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519,102</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519,102</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 issued under compensation</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plans, net</w:t>
            </w:r>
          </w:p>
        </w:tc>
        <w:tc>
          <w:tcPr>
            <w:tcW w:w="160" w:type="dxa"/>
            <w:vAlign w:val="bottom"/>
          </w:tcPr>
          <w:p>
            <w:pPr>
              <w:spacing w:after="0"/>
              <w:rPr>
                <w:sz w:val="21"/>
                <w:szCs w:val="21"/>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7,922</w:t>
            </w:r>
          </w:p>
        </w:tc>
        <w:tc>
          <w:tcPr>
            <w:tcW w:w="0" w:type="dxa"/>
            <w:vAlign w:val="bottom"/>
          </w:tcPr>
          <w:p>
            <w:pPr>
              <w:spacing w:after="0"/>
              <w:rPr>
                <w:sz w:val="1"/>
                <w:szCs w:val="1"/>
                <w:color w:val="auto"/>
              </w:rPr>
            </w:pPr>
          </w:p>
        </w:tc>
      </w:tr>
      <w:tr>
        <w:trPr>
          <w:trHeight w:val="175"/>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repurchased related to tax</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withholding for stock-based</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21"/>
                <w:szCs w:val="21"/>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175"/>
        </w:trPr>
        <w:tc>
          <w:tcPr>
            <w:tcW w:w="29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Settlement of stock repurchase</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w:t>
            </w: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(36,981)</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0" w:type="dxa"/>
            <w:vAlign w:val="bottom"/>
          </w:tcPr>
          <w:p>
            <w:pPr>
              <w:spacing w:after="0"/>
              <w:rPr>
                <w:sz w:val="1"/>
                <w:szCs w:val="1"/>
                <w:color w:val="auto"/>
              </w:rPr>
            </w:pPr>
          </w:p>
        </w:tc>
      </w:tr>
      <w:tr>
        <w:trPr>
          <w:trHeight w:val="248"/>
        </w:trPr>
        <w:tc>
          <w:tcPr>
            <w:tcW w:w="2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$ 161,427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$ 404,908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$ 560,200</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4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210"/>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83,381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85,006</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58,759</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42,867</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5,688</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(2,813)</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non-cash items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0" w:type="dxa"/>
            <w:vAlign w:val="bottom"/>
          </w:tcPr>
          <w:p>
            <w:pPr>
              <w:spacing w:after="0"/>
              <w:rPr>
                <w:sz w:val="1"/>
                <w:szCs w:val="1"/>
                <w:color w:val="auto"/>
              </w:rPr>
            </w:pPr>
          </w:p>
        </w:tc>
      </w:tr>
      <w:tr>
        <w:trPr>
          <w:trHeight w:val="233"/>
        </w:trPr>
        <w:tc>
          <w:tcPr>
            <w:tcW w:w="7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(39,266)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31,360</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0" w:type="dxa"/>
            <w:vAlign w:val="bottom"/>
          </w:tcPr>
          <w:p>
            <w:pPr>
              <w:spacing w:after="0"/>
              <w:rPr>
                <w:sz w:val="1"/>
                <w:szCs w:val="1"/>
                <w:color w:val="auto"/>
              </w:rPr>
            </w:pPr>
          </w:p>
        </w:tc>
      </w:tr>
      <w:tr>
        <w:trPr>
          <w:trHeight w:val="233"/>
        </w:trPr>
        <w:tc>
          <w:tcPr>
            <w:tcW w:w="7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(15,458)</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109,008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34,348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(43,079)</w:t>
            </w:r>
          </w:p>
        </w:tc>
        <w:tc>
          <w:tcPr>
            <w:tcW w:w="0" w:type="dxa"/>
            <w:vAlign w:val="bottom"/>
          </w:tcPr>
          <w:p>
            <w:pPr>
              <w:spacing w:after="0"/>
              <w:rPr>
                <w:sz w:val="1"/>
                <w:szCs w:val="1"/>
                <w:color w:val="auto"/>
              </w:rPr>
            </w:pPr>
          </w:p>
        </w:tc>
      </w:tr>
      <w:tr>
        <w:trPr>
          <w:trHeight w:val="233"/>
        </w:trPr>
        <w:tc>
          <w:tcPr>
            <w:tcW w:w="774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52,918</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(13,752)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37,627</w:t>
            </w:r>
          </w:p>
        </w:tc>
        <w:tc>
          <w:tcPr>
            <w:tcW w:w="0" w:type="dxa"/>
            <w:vAlign w:val="bottom"/>
          </w:tcPr>
          <w:p>
            <w:pPr>
              <w:spacing w:after="0"/>
              <w:rPr>
                <w:sz w:val="1"/>
                <w:szCs w:val="1"/>
                <w:color w:val="auto"/>
              </w:rPr>
            </w:pPr>
          </w:p>
        </w:tc>
      </w:tr>
      <w:tr>
        <w:trPr>
          <w:trHeight w:val="243"/>
        </w:trPr>
        <w:tc>
          <w:tcPr>
            <w:tcW w:w="7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167,484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175,167</w:t>
            </w:r>
          </w:p>
        </w:tc>
        <w:tc>
          <w:tcPr>
            <w:tcW w:w="0" w:type="dxa"/>
            <w:vAlign w:val="bottom"/>
          </w:tcPr>
          <w:p>
            <w:pPr>
              <w:spacing w:after="0"/>
              <w:rPr>
                <w:sz w:val="1"/>
                <w:szCs w:val="1"/>
                <w:color w:val="auto"/>
              </w:rPr>
            </w:pPr>
          </w:p>
        </w:tc>
      </w:tr>
      <w:tr>
        <w:trPr>
          <w:trHeight w:val="21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(77,056)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(44,355)</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(185,726)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(49,299)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(40,926)</w:t>
            </w:r>
          </w:p>
        </w:tc>
        <w:tc>
          <w:tcPr>
            <w:tcW w:w="0" w:type="dxa"/>
            <w:vAlign w:val="bottom"/>
          </w:tcPr>
          <w:p>
            <w:pPr>
              <w:spacing w:after="0"/>
              <w:rPr>
                <w:sz w:val="1"/>
                <w:szCs w:val="1"/>
                <w:color w:val="auto"/>
              </w:rPr>
            </w:pPr>
          </w:p>
        </w:tc>
      </w:tr>
      <w:tr>
        <w:trPr>
          <w:trHeight w:val="230"/>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Net borrowings (repayments) under revolving lines of credit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(103,820)</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(32,584)</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under equipment notes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0" w:type="dxa"/>
            <w:vAlign w:val="bottom"/>
          </w:tcPr>
          <w:p>
            <w:pPr>
              <w:spacing w:after="0"/>
              <w:rPr>
                <w:sz w:val="1"/>
                <w:szCs w:val="1"/>
                <w:color w:val="auto"/>
              </w:rPr>
            </w:pPr>
          </w:p>
        </w:tc>
      </w:tr>
      <w:tr>
        <w:trPr>
          <w:trHeight w:val="246"/>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13,249</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(28,095)</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(124,296)</w:t>
            </w:r>
          </w:p>
        </w:tc>
        <w:tc>
          <w:tcPr>
            <w:tcW w:w="0" w:type="dxa"/>
            <w:vAlign w:val="bottom"/>
          </w:tcPr>
          <w:p>
            <w:pPr>
              <w:spacing w:after="0"/>
              <w:rPr>
                <w:sz w:val="1"/>
                <w:szCs w:val="1"/>
                <w:color w:val="auto"/>
              </w:rPr>
            </w:pPr>
          </w:p>
        </w:tc>
      </w:tr>
      <w:tr>
        <w:trPr>
          <w:trHeight w:val="237"/>
        </w:trPr>
        <w:tc>
          <w:tcPr>
            <w:tcW w:w="77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12,397</w:t>
            </w:r>
          </w:p>
        </w:tc>
        <w:tc>
          <w:tcPr>
            <w:tcW w:w="0" w:type="dxa"/>
            <w:vAlign w:val="bottom"/>
          </w:tcPr>
          <w:p>
            <w:pPr>
              <w:spacing w:after="0"/>
              <w:rPr>
                <w:sz w:val="1"/>
                <w:szCs w:val="1"/>
                <w:color w:val="auto"/>
              </w:rPr>
            </w:pPr>
          </w:p>
        </w:tc>
      </w:tr>
      <w:tr>
        <w:trPr>
          <w:trHeight w:val="268"/>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82,092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22,668</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gridSpan w:val="2"/>
            <w:vMerge w:val="restart"/>
          </w:tcPr>
          <w:p>
            <w:pPr>
              <w:ind w:left="2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74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Income taxes payments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30,009</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24,185</w:t>
            </w: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Interest payments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w:t>
            </w:r>
          </w:p>
        </w:tc>
        <w:tc>
          <w:tcPr>
            <w:tcW w:w="0" w:type="dxa"/>
            <w:vAlign w:val="bottom"/>
          </w:tcPr>
          <w:p>
            <w:pPr>
              <w:spacing w:after="0"/>
              <w:rPr>
                <w:sz w:val="1"/>
                <w:szCs w:val="1"/>
                <w:color w:val="auto"/>
              </w:rPr>
            </w:pPr>
          </w:p>
        </w:tc>
      </w:tr>
      <w:tr>
        <w:trPr>
          <w:trHeight w:val="233"/>
        </w:trPr>
        <w:tc>
          <w:tcPr>
            <w:tcW w:w="7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Acquisition of property and equipment for which payment is pending</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25" w:lineRule="exact"/>
        <w:rPr>
          <w:sz w:val="20"/>
          <w:szCs w:val="20"/>
          <w:color w:val="auto"/>
        </w:rPr>
      </w:pPr>
    </w:p>
    <w:p>
      <w:pPr>
        <w:ind w:right="6520" w:firstLine="8"/>
        <w:spacing w:after="0" w:line="417" w:lineRule="auto"/>
        <w:tabs>
          <w:tab w:leader="none" w:pos="1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Significant Accounting Policies Organization and Business</w:t>
      </w: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MYR Group Inc. (the “Company”) is a holding company of specialty electrical construction service providers and is currently conducting operations through wholly-owned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and clean energy projects include design, engineering, procurement, construction, upgrade, maintenance and repair services. C&amp;I customers include general contractors, commercial and industrial facility owners, government agencies and developers. C&amp;I provides a broad range of services, which include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and signalization.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4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include the results of operations of the Company and its subsidiaries. Significant intercompany transactions and balances have been eliminated. Certain reclassifications were made to prior year amounts to conform to the current year presentation.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Company recognizes revenue to depict the transfer of goods or services to customers in an amount that reflects the consideration the Company expects to be entitled to in exchange for goods or services provided. Revenue associated with contracts with customers is recognized over time as the Company’s performance creates or enhances customer-controlled assets or creates or enhances an asset with no alternative use, for which the Company has an enforceable right to receive compensation as defined under the contract. To determine the amount of revenue to recognize over time, the Company estimates profit by determining the difference between total estimated revenue and total estimated cost of a contract. In addition, the Company estimates a cost accrual every quarter that represents unbilled invoicing activity for services performed by subcontractors and suppliers during the quarter, and estimates revenue from the contract cost portion of this accrual based on current gross margin rates to be consistent with its cost method of revenue recognition. The estimated value of unbilled amounts are determined using a regression analysis that estimates value based on the Company’s historical experience, and is adjusted for large individual projects. The profit and corresponding revenue is recognized over the contract term based on costs incurred under the cost-to-cost method. The Company utilizes the cost-to-cost method as it believes cost incurred best represents the amount of work completed and remaining on projects, and is the most common basis for computing percentage of completion in the industry. For purposes of recognizing revenue, the Company follows the five-step approach outlined in Accounting Standards Codification (“ASC”) 606-10-25.</w:t>
      </w:r>
    </w:p>
    <w:p>
      <w:pPr>
        <w:spacing w:after="0" w:line="10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the cost-to-cost method is driven by incurred cost, the Company calculates the percentage of completion by dividing costs incurred to date by the total estimated cost. The percentage of completion is then multiplied by estimated revenues to determine inception-to-date revenue. Revenue recognized for the period is the current inception-to-date recognized revenue less the prior period inception-to-date recognized revenue. If a contract is projected to result in a loss, the entire contract loss is recognized in the period when the loss was first determined and the amount of the loss is updated in subsequent reporting periods. Because the Company’s billings are based on contract terms and do not coincide with our progress in a project, revenue recognition also includes an amount related to a contract asset or contract liability. If the recognized revenue is greater than the amount billed to the customer, a contract asset is recorded. Additionally, the contract asset includes retainage billed to the customer that cannot be collected until the contract work has been completed and approved. Conversely, if the amount billed to the customer is greater than the recognized revenue, a contract liability is recorded. Additionally, the contract liability includes a liability for the excess of costs over revenues for all contracts that are in a loss position.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Contract costs incurred to date and expected total contract costs are continuously monitored during the term of the contract. Changes in the job performance, job conditions and final contract settlements are factors that influence management’s assessment of total contract value and the total estimated costs to complete those contracts, and therefore, profit and revenue recognition. Additionally, 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also measured based on our historical experience with individual customers and similar contracts, and are evaluated by management individually. A change order is a modification to a contract that changes the provisions of the contract, typically resulting from changes in scope, specifications, design, manner of performance, facilities, equipment, materials, sites, or period of completion of the work under the contract. A claim is an amount in excess of the agreed-upon contract price that the Company seeks to collect from its clients or others for client-caused delays, errors in specifications and designs, contract terminations, change orders that are either in dispute or are unapproved as to both scope and price, or other causes. The Company includes these estimated amounts of variable consideration to the extent that it is probable there will not be a significant reversal of revenue.</w:t>
      </w:r>
    </w:p>
    <w:p>
      <w:pPr>
        <w:spacing w:after="0" w:line="9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Some of the Company’s contracts may have contract terms that include variable consideration such as safety or performance bonuses or liquidated damages. In accordance with ASC 606-10-32, the Company estimates the variable consideration using one of two methods. In contracts in which there is a binary outcome, the most likely amount method is used. In instances in which there is a range of possible outcomes, the expected value method is used. In accordance with ASC 606-10-32-11,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Although the Company often enters into contracts that contain liquidated damage clauses, the Company rarely incurs them, and as such, the Company does not include amounts associated with liquidated damage clauses until it is probable that liquidated damages will occur. These items are continually monitored by multiple levels of management throughout the reporting period.</w:t>
      </w:r>
    </w:p>
    <w:p>
      <w:pPr>
        <w:spacing w:after="0" w:line="94"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A portion of the work the Company performs requires financial assurances in the form of performance and payment bonds or letters of credit at the time of execution of the contract. Many of the Company’s contracts include retention provisions of up to 10%, which are generally withheld from each progress payment as retainage until the contract work has been completed and approved.</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provides warranties to customers on a basis customary to the industry; however, the warranty period does not typically exceed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warranty claims have not been material to the Company.</w:t>
      </w:r>
    </w:p>
    <w:p>
      <w:pPr>
        <w:spacing w:after="0" w:line="112" w:lineRule="exact"/>
        <w:rPr>
          <w:sz w:val="20"/>
          <w:szCs w:val="20"/>
          <w:color w:val="auto"/>
        </w:rPr>
      </w:pPr>
    </w:p>
    <w:p>
      <w:pPr>
        <w:ind w:right="540" w:firstLine="324"/>
        <w:spacing w:after="0" w:line="282" w:lineRule="auto"/>
        <w:rPr>
          <w:sz w:val="20"/>
          <w:szCs w:val="20"/>
          <w:color w:val="auto"/>
        </w:rPr>
      </w:pPr>
      <w:r>
        <w:rPr>
          <w:rFonts w:ascii="Times New Roman" w:cs="Times New Roman" w:eastAsia="Times New Roman" w:hAnsi="Times New Roman"/>
          <w:sz w:val="18"/>
          <w:szCs w:val="18"/>
          <w:color w:val="auto"/>
        </w:rPr>
        <w:t>Total revenues do not include sales tax as the Company considers itself a pass-through conduit for collecting and remitting sales taxes. Sales tax collected from customers is included in other current liabilities on the Company’s consolidated balance sheets.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Ventures and Noncontrolling Interests</w:t>
      </w:r>
    </w:p>
    <w:p>
      <w:pPr>
        <w:spacing w:after="0" w:line="148"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accounts for investments in joint ventures using the proportionate consolidation method for income statement reporting and under the equity method for balance sheet reporting, unless the Company has a controlling interest causing the joint venture to be consolidated with equity owned by other joint venture partners recorded as noncontrolling interests. Under the proportionate consolidation method, joint venture activity is allocated to the appropriate line items found on the consolidated statements of operations in proportion to the percentage of participation the Company has in the joint venture. During the years ended December 31, 2022, 2021 and 2020, the Company recognized its proportionate share of joint venture revenues of $11.3 million, $26.1 million, and $27.2 million, respectively. Under the equity method the net investment in joint ventures is stated as a single item on the Company’s consolidated balance sheets. If an investment in a joint venture contains a recourse or unfunded commitments to provide additional equity, distributions and/or losses in excess of the investment a liability is recorded in other current liabilities on the Company’s consolidated balance sheets. For joint ventures which the Company does not have a controlling interest, the Company’s share of any profits and assets and its share of any losses and liabilities are recognized based on the Company’s stated percentage partnership interest in the joint venture, and are normally recorded by the Company one month in arrears. The investments in joint ventures are recorded at cost and the carrying amounts are adjusted to recognize the Company’s proportionate share of cumulative income or loss, additional contributions made and dividends and capital distributions received. The Company records the effect of any impairment or any other-than-temporary decrease in the value of the joint venture investment as incurred, which may or may not be one month in arrears, depending on when the Company obtains the joint venture activity information. Additionally, the Company continually assesses the fair value of its investment in unconsolidated joint ventures despite using information that is one month in arrears for regular reporting purposes. The Company includes only its percentage ownership of each joint venture in its backlog.</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48"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7"/>
          <w:szCs w:val="17"/>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year ended December 31, 2022, were not significant.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260" w:firstLine="324"/>
        <w:spacing w:after="0" w:line="289"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revenues and expenses during the period reported. Actual results could differ from those estimates.</w:t>
      </w:r>
    </w:p>
    <w:p>
      <w:pPr>
        <w:spacing w:after="0" w:line="7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on contracts, pending change orders and claims, shared savings, insurance reserves, income tax reserves, estimates surrounding stock-based compensation, acquisition-related contingent earn-out consideration liabilities, the recoverability of goodwill and intangibles and allowance for doubtful accounts. The Company estimates a cost accrual every period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16"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 recognized revenues of $19.6 million and $2.4 million, respectively, related to significant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 These aggregate amounts, which were included in “Contract assets” in the accompanying consolidated balance sheets, represent the Company’s estimates of additional contract revenues that were earned and probable of collection, however, the amount ultimately realized could be significantly higher or lower than the estimated amount.</w:t>
      </w:r>
    </w:p>
    <w:p>
      <w:pPr>
        <w:spacing w:after="0" w:line="12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year ended December 31, 2022, changes in estimates pertaining to certain projects decreased consolidated gross margin by 0.4%, which resulted in decreases in operating income of $9.8 million, net income of $6.9 million and diluted earnings per common share attributable to MYR Group Inc. of $0.41. The estimates are reviewed and revised quarterly, as needed.</w:t>
      </w:r>
    </w:p>
    <w:p>
      <w:pPr>
        <w:spacing w:after="0" w:line="9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changes in estimates pertaining to certain projects increased consolidated gross margin by 0.4%, which resulted in increases in operating income of $9.2 million, net income of $6.6 million and diluted earnings per common share attributable to MYR Group Inc. of $0.39.</w:t>
      </w:r>
    </w:p>
    <w:p>
      <w:pPr>
        <w:spacing w:after="0" w:line="10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changes in estimates pertaining to certain projects decreased consolidated gross margin by 0.8%, which resulted in decreases in operating income of $18.0 million, net income attributable to MYR Group Inc. of $12.8 million and diluted earnings per common share attributable to MYR Group Inc. of $0.76.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48"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Advertising costs are expensed when incurred. Advertising costs, included in selling, general and administrative expenses, were $1.2 million, $0.8 million and $0.7 million for the years ended December 31, 2022, 2021 and 2020,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follows the liability method of accounting for income taxes. Under this method, deferred tax assets and liabilities are recorded for future tax consequences of temporary differences between the financial reporting and tax basis of assets and liabilities, and are measured using the enacted tax rates and laws that are expected to be in effect when the underlying assets or liabilities are recovered or settled. The Company also evaluates whether the recorded deferred tax assets and valuation allowances can be realized and, when necessary, reduces the amounts to what is expected to be realized.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Interest and penalties related to uncertain income tax positions are included in income tax expense on the Company’s consolidated statements of operations. Interest and penalties actually incurred are charged to the interest expense and the “other income (expense), net” line,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determines compensation expense for stock-based awards based on the estimated fair values at the grant date and recognize the related compensation expense over the vesting period. The Company uses the straight-line amortization method to recognize compensation expense related to stock-based awards, such as restricted stock and restricted stock units, that have only service conditions. This method recognizes stock compensation expense on a straight-line basis over the requisite service period for the entire award. The Company recognizes compensation expense related to performance awards that vest based on internal performance metrics and service conditions on a straight-line basis over the service period, but adjust inception-to-date expense based upon our determination of the potential achievement of the performance target at each reporting date. The Company recognizes compensation expense related to performance awards with market-based performance metrics on a straight-line basis over the requisite service period. The Company recognizes forfeitures as they occur. Shares issued under the Company’s stock-based compensation program are taken out of authorized but unissued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4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62"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As of December 31, 2022 and 2021, the Company held its cash in checking accounts or in highly liquid money market funds. The Company’s banking arrangements allow the Company to fund outstanding checks when presented to financial institutions for payment. The Company funds all intraday bank balances overdrafts during the same business day. Checks issued and outstanding in excess of bank balance are recorded in accounts payable on the Company’s consolidated balance sheets and are reflected as a financing activity on the Company’s Consolidated Statements of Cash Flows.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62"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charge interest to its customers and carries its customer receivables at their face amounts, net of contract retainage, less an allowance for doubtful accounts. Based on the Company’s experience in recent years, the majority of customer balances at each balance sheet date are collected within twelve months. As is common practice in the industry, the Company classifies all accounts receivable as current assets.</w:t>
      </w:r>
    </w:p>
    <w:p>
      <w:pPr>
        <w:spacing w:after="0" w:line="10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grants trade credit, on a non-collateralized basis (with the exception of lien rights against the property in certain cases), to its customers and is subject to potential credit risk related to changes in business and overall economic activity. The Company analyzes specific accounts receivable balances, historical bad debts, customer credit-worthiness, current economic trends and changes in customer payment terms when evaluating the adequacy of the allowance for doubtful accounts. In the event that a customer balance is deemed to be uncollectible, the account balance is written-off against the allowance for doubtful accounts.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Classification of Contract Assets and Liabilities</w:t>
      </w:r>
    </w:p>
    <w:p>
      <w:pPr>
        <w:spacing w:after="0" w:line="162" w:lineRule="exact"/>
        <w:rPr>
          <w:sz w:val="20"/>
          <w:szCs w:val="20"/>
          <w:color w:val="auto"/>
        </w:rPr>
      </w:pPr>
    </w:p>
    <w:p>
      <w:pPr>
        <w:jc w:val="both"/>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revenue associated with its contracts with customers over time, for which the Company has an enforceable right to receive compensation. Many of our contracts contain specific provisions that determine when the Company can bill for its work performed under these contracts.</w:t>
      </w:r>
    </w:p>
    <w:p>
      <w:pPr>
        <w:spacing w:after="0" w:line="94"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Any revenue earned on a contract that has not yet been billed to the customer is recorded as a contract asset on the Company’s consolidated balance sheets. Contract retainages associated with contract work that has been completed and billed but not paid by its customers until the contracts are substantially complete, pursuant to contract retainage provisions under the contract, are also included in contract assets.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that represent any costs incurred on contracts in process for which revenue has not yet been recognized. Additionally, accruals for contracts in a loss provision are included in contract liabilities.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6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Property and equipment is carried at cost, except for assets acquired in a business combination which are recorded at fair value at the date of acquisition. Depreciation is computed using the straight-line method over estimated useful lives. Major modifications or refurbishments which extend the useful life of the assets are capitalized and depreciated over the adjusted remaining useful life of the assets. Upon retirement or disposition of property and equipment, the cost and related accumulated depreciation are removed and any resulting gain or loss is recognized in income from operations. The cost of maintenance and repairs is charged to expense as incurred. Property and equipment is reviewed for impairment and tested for recoverability whenever events or changes in circumstances indicate that the carrying amount may not be recoverable. If the carrying value of property and equipment exceeds its fair value, an impairment charge would be recorded in the statement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As of December 31, 2022, the Company had several leases with residual value guarantees. The total amount probable of being owed of residual leases guarantees is not significant. Typically, the Company has purchase options on the equipment underlying its long-term leases and many of its short-term rental arrangements. The Company may exercise some of these purchase options when the need for equipment is ongoing and the purchase option price is attractive. Nonperformance-related default covenants, cross-default provisions, subjective default provisions and material adverse change clauses contained in material lease agreements, if any, are also evaluated to determine whether those clauses affect lease classification in accordance with ASC Topic 842-10-25. Leases are accounted for as operating or finance leases, depending on the terms of the lease.</w:t>
      </w:r>
    </w:p>
    <w:p>
      <w:pPr>
        <w:spacing w:after="0" w:line="12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Finance Leases. </w:t>
      </w:r>
      <w:r>
        <w:rPr>
          <w:rFonts w:ascii="Times New Roman" w:cs="Times New Roman" w:eastAsia="Times New Roman" w:hAnsi="Times New Roman"/>
          <w:sz w:val="18"/>
          <w:szCs w:val="18"/>
          <w:color w:val="auto"/>
        </w:rPr>
        <w:t>The Company leases some vehicles and certain equipment under finance leases. The economic substance of the leases is a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for acquisition of the vehicles and equipment. Accordingly, the right-of-use assets for these leases are included on the Company’s consolidated balance sheets in property and equipment, net of accumulated depreciation, with a corresponding amount recorded in current portion of finance lease obligations or finance lease obligations, net of current maturities, as appropriate. The finance lease assets are amortized over the life of the lease or, if shorter, the life of the leased asset, on a straight-line basis and included in depreciation expense. The financing component associated with finance lease obligations is included in interest expense. Generally, for the Company’s finance leases an implicit rate to calculate present value is provided in the lease agreement. However, if a rate in not provided the Company determines this rate by estimating the Company’s incremental borrowing rate, utilizing the borrowing rates associated with the Company’s various debt instruments.</w:t>
      </w:r>
    </w:p>
    <w:p>
      <w:pPr>
        <w:spacing w:after="0" w:line="117"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Operating Right-of-Use Leases. </w:t>
      </w:r>
      <w:r>
        <w:rPr>
          <w:rFonts w:ascii="Times New Roman" w:cs="Times New Roman" w:eastAsia="Times New Roman" w:hAnsi="Times New Roman"/>
          <w:sz w:val="17"/>
          <w:szCs w:val="17"/>
          <w:color w:val="auto"/>
        </w:rPr>
        <w:t>Operating right-of-use leases are included in operating lease right-of-use assets, current portion of operating lease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and operating lease obligations, net of current maturities on the Company’s consolidated balance sheets, as appropriate. Operating lease right-of-use assets and operating lease liabilities are recognized based on the present value of the future minimum lease payments over the lease term at commencement date. As most of the Company’s leases do not provide an implicit rate to calculate present value, the Company determines this rate by estimating the Company’s incremental borrowing rate, utilizing the borrowing rates associated with the Company’s various debt instruments. The operating lease right-of-use asset also includes any lease payments made and initial direct costs incurred and excludes lease incentives. Our lease terms may include options to extend or terminate the lease, which are considered in the present value calculations when it is reasonably certain we will exercise those options.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4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for workers’ compensation, general liability, automobile liability and other coverages. The deductible for each line of coverage is up to $1.0 million, except for wildfire coverage which has a deductible of $2.0 million. Certain health benefit plans are subject to a stop-loss limit of up to $0.2 million, for qualified individuals. Losses up to the deductible amounts are accrued based upon the Company’s estimates of the ultimate liability for claims reported and an estimate of claims incurred but not yet reported.</w:t>
      </w:r>
    </w:p>
    <w:p>
      <w:pPr>
        <w:spacing w:after="0" w:line="112"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assets on the Company’s consolidated balance sheets.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4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Goodwill and intangible assets with indefinite lives are not amortized. Intangible assets with finite lives are amortized on a straight-line basis over their estimated useful lives. The Company performs either a qualitative or quantitative assessment to review goodwill and intangible assets with indefinite lives for impairment on an annual basis. This assessment is performed at the beginning of the fourth quarter, or when circumstances change, such as a significant adverse change in the business climate or the decision to sell a business, both of which would indicate that impairment may have occurred. Intangible assets with finite lives are also reviewed for impairment and tested for recoverability whenever events or changes in circumstances indicate that the carrying amount may not be recoverable.</w:t>
      </w:r>
    </w:p>
    <w:p>
      <w:pPr>
        <w:spacing w:after="0" w:line="120"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 qualitative assessment considers financial, industry, segment and macroeconomic factors, if the qualitative assessment indicates a potential for impairment, a quantitative assessment is performed to determine if impairment exists. The quantitative assessment begins with a comparison of the fair value of the reporting unit or intangible asset with its carrying value. If the carrying amount of the reporting unit or intangible asset exceeds its fair value, an impairment loss would be recognized in an amount equal to that excess, limited to the total amount of the goodwill allocated to the reporting unit or intangible asset. If the carrying value of goodwill or other indefinite lived assets exceeds its implied fair value, an impairment charge would be recorded in the statement of operations.</w:t>
      </w:r>
    </w:p>
    <w:p>
      <w:pPr>
        <w:spacing w:after="0" w:line="120"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annual qualitative review process in 2022 and 2020, the Company determined it was not necessary to perform a quantitative assessment. In 2021, the Company performed a quantitative assessment on goodwill and intangible assets with indefinite lives, this assessment did not indicate that the Company’s goodwill or indefinite lived intangible assets were impaired.</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principally of cash and cash equivalents and accounts receivable. The Company maintains substantially all of its cash and cash equivalent balances with large financial institutions which are believed to be high quality institutions.</w:t>
      </w:r>
    </w:p>
    <w:p>
      <w:pPr>
        <w:spacing w:after="0" w:line="10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a concentration of risk because it derives a significant portion of its revenues from a few customers. The Company’s top ten customers accounted for approximately 35.4%, 34.9%, and 32.7% of consolidated revenues for the years ended December 31, 2022, 2021 and 2020, respectively. For the years ended December 31, 2022, 2021 and 2020, no single customer accounted for more than 10.0% of annual revenues.</w:t>
      </w:r>
    </w:p>
    <w:p>
      <w:pPr>
        <w:spacing w:after="0" w:line="9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Company grants trade credit under contractual payment terms, generally without collateral, to its customers, which include high credit quality electric utilities, governmental entities, general contractors and builders, owners and managers of commercial and industrial properties. Consequently, the Company is subject to potential credit risk related to changes in business and economic factors. However, the Company generally has certain statutory lien rights with respect to services provided. Under certain circumstances such as foreclosures or negotiated settlements, the Company may take title to the underlying assets in lieu of cash in settlement of receivables. As of December 31, 2022 and 2021, none of the Company’s customers individually exceeded 10.0% of accounts receivable. The Company believes the terms and conditions in its contracts, billing and collection policies are adequate to minimize the potential credit risk.</w:t>
      </w:r>
    </w:p>
    <w:p>
      <w:pPr>
        <w:spacing w:after="0" w:line="121"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2022, approximately 86% of the Company’s craft labor employees were covered by collective bargaining agreements. Although the majority of these agreements prohibit strikes and work stoppages, the Company cannot be certain that strikes or work stoppages will not occur in the future.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Emergency Wage Subsidy (CEWS)</w:t>
      </w:r>
    </w:p>
    <w:p>
      <w:pPr>
        <w:spacing w:after="0" w:line="14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2020 and 2021, certain C&amp;I segment Canadian operations of the Company qualified for and applied for a wage subsidy under the Canada Emergency Wage Subsidy (“CEWS”) program. Payroll subsidies received under CEWS totaled $2.3 million and were initially recorded in the "other current liabilities" line on the Company’s consolidated balance sheets. Once the qualification criteria was met in 2022, these funds were recorded to the “other income (expense), net” line on the Company’s consolidated statements of operations. The Company does not have any outstanding applications for further government assistance.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Changes to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may have minimal impact on its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which is intended to improve the accounting for acquired revenue contracts with customers in a business combination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addressing diversity in practice and inconsistency related to the recognition of an acquired contract liability and payment terms and their effect on subsequent revenue recognized by the acquirer. Under the new guidance the acquirer is required to recognize contract assets and contract liabilities acquired in a business combination in accordance with Topic 606 as if the acquirer had originated the contracts. The update is effective for fiscal years beginning after December 15, 2022, including interim periods within those fiscal years.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adopted this ASU in January 2022 and there was no material effect on the consolidated financial statements or disclosures.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Powerline Plus Ltd</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4, 2022, the Company acquired all issued and outstanding shares of capital stock of Powerline Plus Ltd. and its affiliate PLP Redimix Ltd. (collectively, the “Powerline Plus Companies"), a full-service electrical distribution construction company based in Toronto, Ontario. Cash consideration paid, funded through a combination of cash on hand and borrowings under the Facility (as defined below), including $0.1 million of net asset and other adjustments, was $110.7 million, net of cash acquired. The addition of the Powerline Plus Companies expanded our distribution operations in Ontario, Canada.</w:t>
      </w:r>
    </w:p>
    <w:p>
      <w:pPr>
        <w:spacing w:after="0" w:line="11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Additionally, the acquisition includes contingent earn-out consideration that may be payable if the Powerline Plus Companies achieve certain performance targets over a three-year post-acquisition period. As of the acquisition date, the fair value of the contingent earn-out consideration was $0.9 million. The future payout of the contingent earn-out consideration, if any, is unlimited and could be significantly higher than the acquisition date fair value. If the minimum thresholds of the performance targets are achieved the contingent earn-out consideration payment will be approximately $16.6 million. Changes in contingent earn-out consideration, subsequent to the acquisition, of approximately $0.7 million were recorded in other income, for the year ended December 31, 2022. The results of the Powerline Plus Companies are included in the Company’s consolidated financial statements beginning on the transaction date. During the year ended December 31, 2022, the Company recognized approximately $0.5 million, of acquisition-related costs associated with this acquisition.</w:t>
      </w:r>
    </w:p>
    <w:p>
      <w:pPr>
        <w:spacing w:after="0" w:line="11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purchase agreement also includes contingent consideration provisions for down-side margin guarantee adjustments based upon certain contract performance subsequent to the acquisition. The contracts were valued at fair value at the acquisition date, causing no margin guarantee estimate or adjustments for fair value. Unfavorable changes in contract estimates, such as modified costs to complete or change order recognition, will result in changes to these margin guarantee estimates. No changes in margin guarantee adjustments on contracts, subsequent to the acquisition, have been recorded for the year ended December 31, 2022. Future margin guarantee adjustments, if any, will be recognized in other income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allocation of the opening balance sheet as of the date of the Powerline Plus Companies acquisition:</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January 4, 2022</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acquisition date (initial</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 w:type="dxa"/>
            <w:vAlign w:val="bottom"/>
          </w:tcPr>
          <w:p>
            <w:pPr>
              <w:spacing w:after="0"/>
              <w:rPr>
                <w:sz w:val="14"/>
                <w:szCs w:val="14"/>
                <w:color w:val="auto"/>
              </w:rPr>
            </w:pPr>
          </w:p>
        </w:tc>
        <w:tc>
          <w:tcPr>
            <w:tcW w:w="12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Final Acquisition</w:t>
            </w:r>
          </w:p>
        </w:tc>
      </w:tr>
      <w:tr>
        <w:trPr>
          <w:trHeight w:val="204"/>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estimates)</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2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Allocation</w:t>
            </w:r>
          </w:p>
        </w:tc>
      </w:tr>
      <w:tr>
        <w:trPr>
          <w:trHeight w:val="37"/>
        </w:trPr>
        <w:tc>
          <w:tcPr>
            <w:tcW w:w="6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114,429</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 fair value at acquisition date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 and other adjustments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net of estimated net asset adjustments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115,378</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Acquired cash</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64"/>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consideration less cash acquired, net of net asset and other adjustments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111,525</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12,079</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12,591</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Refundable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6,120</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50,246</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(15,349)</w:t>
            </w:r>
          </w:p>
        </w:tc>
      </w:tr>
      <w:tr>
        <w:trPr>
          <w:trHeight w:val="27"/>
        </w:trPr>
        <w:tc>
          <w:tcPr>
            <w:tcW w:w="6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r>
      <w:tr>
        <w:trPr>
          <w:trHeight w:val="24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7"/>
        </w:trPr>
        <w:tc>
          <w:tcPr>
            <w:tcW w:w="6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6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identifiable assets and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37"/>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 intangible assets</w:t>
            </w:r>
          </w:p>
        </w:tc>
        <w:tc>
          <w:tcPr>
            <w:tcW w:w="1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(56,650)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acquired assets and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62,362</w:t>
            </w:r>
          </w:p>
        </w:tc>
      </w:tr>
      <w:tr>
        <w:trPr>
          <w:trHeight w:val="263"/>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43,805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53,016</w:t>
            </w:r>
          </w:p>
        </w:tc>
      </w:tr>
      <w:tr>
        <w:trPr>
          <w:trHeight w:val="20"/>
        </w:trPr>
        <w:tc>
          <w:tcPr>
            <w:tcW w:w="6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identifiable intangible assets and the related weighted average amortization periods as of the acquisition date of the Powerline Plus Companies.</w:t>
      </w:r>
    </w:p>
    <w:p>
      <w:pPr>
        <w:spacing w:after="0" w:line="209" w:lineRule="exact"/>
        <w:rPr>
          <w:sz w:val="20"/>
          <w:szCs w:val="20"/>
          <w:color w:val="auto"/>
        </w:rPr>
      </w:pPr>
    </w:p>
    <w:tbl>
      <w:tblPr>
        <w:tblLayout w:type="fixed"/>
        <w:tblInd w:w="720" w:type="dxa"/>
        <w:tblCellMar>
          <w:top w:w="0" w:type="dxa"/>
          <w:left w:w="0" w:type="dxa"/>
          <w:bottom w:w="0" w:type="dxa"/>
          <w:right w:w="0" w:type="dxa"/>
        </w:tblCellMar>
      </w:tblPr>
      <w:tr>
        <w:trPr>
          <w:trHeight w:val="175"/>
        </w:trPr>
        <w:tc>
          <w:tcPr>
            <w:tcW w:w="7260" w:type="dxa"/>
            <w:vAlign w:val="bottom"/>
          </w:tcPr>
          <w:p>
            <w:pPr>
              <w:spacing w:after="0"/>
              <w:rPr>
                <w:sz w:val="15"/>
                <w:szCs w:val="15"/>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Fair Value at</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 Period at</w:t>
            </w:r>
          </w:p>
        </w:tc>
        <w:tc>
          <w:tcPr>
            <w:tcW w:w="0" w:type="dxa"/>
            <w:vAlign w:val="bottom"/>
          </w:tcPr>
          <w:p>
            <w:pPr>
              <w:spacing w:after="0"/>
              <w:rPr>
                <w:sz w:val="1"/>
                <w:szCs w:val="1"/>
                <w:color w:val="auto"/>
              </w:rPr>
            </w:pPr>
          </w:p>
        </w:tc>
      </w:tr>
      <w:tr>
        <w:trPr>
          <w:trHeight w:val="204"/>
        </w:trPr>
        <w:tc>
          <w:tcPr>
            <w:tcW w:w="7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12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 Date</w:t>
            </w:r>
          </w:p>
        </w:tc>
        <w:tc>
          <w:tcPr>
            <w:tcW w:w="0" w:type="dxa"/>
            <w:vAlign w:val="bottom"/>
          </w:tcPr>
          <w:p>
            <w:pPr>
              <w:spacing w:after="0"/>
              <w:rPr>
                <w:sz w:val="1"/>
                <w:szCs w:val="1"/>
                <w:color w:val="auto"/>
              </w:rPr>
            </w:pPr>
          </w:p>
        </w:tc>
      </w:tr>
      <w:tr>
        <w:trPr>
          <w:trHeight w:val="23"/>
        </w:trPr>
        <w:tc>
          <w:tcPr>
            <w:tcW w:w="7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0" w:type="dxa"/>
            <w:vAlign w:val="bottom"/>
          </w:tcPr>
          <w:p>
            <w:pPr>
              <w:spacing w:after="0"/>
              <w:rPr>
                <w:sz w:val="1"/>
                <w:szCs w:val="1"/>
                <w:color w:val="auto"/>
              </w:rPr>
            </w:pPr>
          </w:p>
        </w:tc>
      </w:tr>
      <w:tr>
        <w:trPr>
          <w:trHeight w:val="257"/>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39,757</w:t>
            </w:r>
          </w:p>
        </w:tc>
        <w:tc>
          <w:tcPr>
            <w:tcW w:w="1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1.0</w:t>
            </w:r>
          </w:p>
        </w:tc>
        <w:tc>
          <w:tcPr>
            <w:tcW w:w="0" w:type="dxa"/>
            <w:vAlign w:val="bottom"/>
          </w:tcPr>
          <w:p>
            <w:pPr>
              <w:spacing w:after="0"/>
              <w:rPr>
                <w:sz w:val="1"/>
                <w:szCs w:val="1"/>
                <w:color w:val="auto"/>
              </w:rPr>
            </w:pPr>
          </w:p>
        </w:tc>
      </w:tr>
      <w:tr>
        <w:trPr>
          <w:trHeight w:val="243"/>
        </w:trPr>
        <w:tc>
          <w:tcPr>
            <w:tcW w:w="7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Below market lease</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5.0</w:t>
            </w:r>
          </w:p>
        </w:tc>
        <w:tc>
          <w:tcPr>
            <w:tcW w:w="0" w:type="dxa"/>
            <w:vAlign w:val="bottom"/>
          </w:tcPr>
          <w:p>
            <w:pPr>
              <w:spacing w:after="0"/>
              <w:rPr>
                <w:sz w:val="1"/>
                <w:szCs w:val="1"/>
                <w:color w:val="auto"/>
              </w:rPr>
            </w:pPr>
          </w:p>
        </w:tc>
      </w:tr>
      <w:tr>
        <w:trPr>
          <w:trHeight w:val="27"/>
        </w:trPr>
        <w:tc>
          <w:tcPr>
            <w:tcW w:w="7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63"/>
        </w:trPr>
        <w:tc>
          <w:tcPr>
            <w:tcW w:w="7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50,246</w:t>
            </w: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acquisition date fair values of intangible assets were determined using the income approach, which discounts the projected future cash flows using a discount rate that appropriately reflects the risks associated with the projected cash flows. Under the income approach, the acquisition date fair value of the customer relationships and backlog were estimated using a multi-period excess earnings valuation method and the acquisition date fair value of the trade names was estimated using a relief from royalty valuation method. The fair value of the acquired operating lease obligation and operating right of use asset was estimated by applying the income approach. The fair value of the operating lease obligation was determined by comparing the difference between the annual lease contract rent over the remaining contractual term to a market rate cash flow stream, discounted to the present value. The Company calculated the fair value of the operating right of use asset based on the fair values of the operating lease obligation adjusted for a below market lease positions. The contractual value of the acquired accounts receivable is equal to the fair market value.</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Company has developed estimates of fair value of the assets acquired and liabilities assumed for the purposes of allocating the purchase price. During the year ended December 31, 2022, the Company recorded certain measurement period adjustments related to various working capital, property and equipment, intangible asset and deferred tax accounts determined during our purchase price allocation procedures. The goodwill to be recognized, which represents the excess of the purchase price over the net amount of the fair values assigned to assets acquired and liabilities assumed, is primarily attributable to the value of an assembled workforce and other non-identifiable assets. No synergies were anticipated in the acquisition as the Powerline Plus Companies will function as an individual business within the Company’s operating structure. Per applicable Canadian Revenue Authority regulations, $42.4 million of the goodwill and intangibles for tax purposes related to the acquisition of the Powerline Plus Companies will be tax deductible.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Contract Assets and Liabilities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which frequently include retention provisions contained in each contract.</w:t>
      </w:r>
    </w:p>
    <w:p>
      <w:pPr>
        <w:spacing w:after="0" w:line="95"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December 31, 2022 and $0.4 million as of December 31, 2021.</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22,079</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53,461</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consolidated balance sheets present contract liabilities which contain deferred revenue and an accrual for contracts in a loss provision.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 liabilities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57,955</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167,931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75,540</w:t>
            </w: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center"/>
              <w:ind w:left="275"/>
              <w:spacing w:after="0"/>
              <w:rPr>
                <w:sz w:val="20"/>
                <w:szCs w:val="20"/>
                <w:color w:val="auto"/>
              </w:rPr>
            </w:pPr>
            <w:r>
              <w:rPr>
                <w:rFonts w:ascii="Times New Roman" w:cs="Times New Roman" w:eastAsia="Times New Roman" w:hAnsi="Times New Roman"/>
                <w:sz w:val="18"/>
                <w:szCs w:val="18"/>
                <w:color w:val="auto"/>
                <w:w w:val="97"/>
              </w:rPr>
              <w:t>(59,124)</w:t>
            </w: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rPr>
              <w:t>16,416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right="60" w:firstLine="324"/>
        <w:spacing w:after="0" w:line="261"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revenues recognized in the period that were included in the opening contract liability balances were $117.3 million and $116.5 million for the year ended December 31, 2022 and 2021, respectively. This revenue consists primarily of work performed on previous billings to customers.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5,390,535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4,130,621</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300" w:type="dxa"/>
            <w:vAlign w:val="bottom"/>
          </w:tcPr>
          <w:p>
            <w:pPr>
              <w:spacing w:after="0"/>
              <w:rPr>
                <w:sz w:val="21"/>
                <w:szCs w:val="21"/>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5,457,923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4,162,133</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 at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(223,654)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(165,699)</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 Obligations</w:t>
      </w:r>
    </w:p>
    <w:p>
      <w:pPr>
        <w:spacing w:after="0" w:line="16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one to seven years, some of which may include options to extend the leases for up to five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December 31, 2022,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1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1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3"/>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5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20,971</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3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5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7,765</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4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35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5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13,230</w:t>
            </w:r>
          </w:p>
        </w:tc>
      </w:tr>
      <w:tr>
        <w:trPr>
          <w:trHeight w:val="263"/>
        </w:trPr>
        <w:tc>
          <w:tcPr>
            <w:tcW w:w="3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20,995</w:t>
            </w:r>
          </w:p>
        </w:tc>
      </w:tr>
      <w:tr>
        <w:trPr>
          <w:trHeight w:val="21"/>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51"/>
        </w:trPr>
        <w:tc>
          <w:tcPr>
            <w:tcW w:w="82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 years</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years</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 years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years</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432"/>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6"/>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13,428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7"/>
        </w:trPr>
        <w:tc>
          <w:tcPr>
            <w:tcW w:w="82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5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15,109</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8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6"/>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8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5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13,287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10,451</w:t>
            </w:r>
          </w:p>
        </w:tc>
        <w:tc>
          <w:tcPr>
            <w:tcW w:w="0" w:type="dxa"/>
            <w:vAlign w:val="bottom"/>
          </w:tcPr>
          <w:p>
            <w:pPr>
              <w:spacing w:after="0"/>
              <w:rPr>
                <w:sz w:val="1"/>
                <w:szCs w:val="1"/>
                <w:color w:val="auto"/>
              </w:rPr>
            </w:pPr>
          </w:p>
        </w:tc>
      </w:tr>
      <w:tr>
        <w:trPr>
          <w:trHeight w:val="243"/>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5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21,663</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500" w:type="dxa"/>
            <w:vAlign w:val="bottom"/>
            <w:gridSpan w:val="3"/>
          </w:tcPr>
          <w:p>
            <w:pPr>
              <w:spacing w:after="0"/>
              <w:rPr>
                <w:sz w:val="2"/>
                <w:szCs w:val="2"/>
                <w:color w:val="auto"/>
              </w:rPr>
            </w:pPr>
          </w:p>
        </w:tc>
        <w:tc>
          <w:tcPr>
            <w:tcW w:w="1040" w:type="dxa"/>
            <w:vAlign w:val="bottom"/>
            <w:gridSpan w:val="2"/>
          </w:tcPr>
          <w:p>
            <w:pPr>
              <w:spacing w:after="0"/>
              <w:rPr>
                <w:sz w:val="2"/>
                <w:szCs w:val="2"/>
                <w:color w:val="auto"/>
              </w:rPr>
            </w:pPr>
          </w:p>
        </w:tc>
        <w:tc>
          <w:tcPr>
            <w:tcW w:w="280" w:type="dxa"/>
            <w:vAlign w:val="bottom"/>
            <w:gridSpan w:val="3"/>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finance lease obligations</w:t>
            </w:r>
          </w:p>
        </w:tc>
        <w:tc>
          <w:tcPr>
            <w:tcW w:w="50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517</w:t>
            </w:r>
          </w:p>
        </w:tc>
        <w:tc>
          <w:tcPr>
            <w:tcW w:w="2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Information on operating and financing lease right of use assets and corresponding lease obligations acquired with the Powerline Plus Companies is provided in Note 2–Acquisitions to the Financial Statements.</w:t>
      </w:r>
    </w:p>
    <w:p>
      <w:pPr>
        <w:spacing w:after="0" w:line="54"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current portion of operating lease obligations and operating lease obligations, net of current maturities, as of December 31, 2022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2"/>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20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40" w:type="dxa"/>
            <w:vAlign w:val="bottom"/>
          </w:tcPr>
          <w:p>
            <w:pPr>
              <w:spacing w:after="0"/>
              <w:rPr>
                <w:sz w:val="17"/>
                <w:szCs w:val="17"/>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37"/>
        </w:trPr>
        <w:tc>
          <w:tcPr>
            <w:tcW w:w="6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4"/>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14,022</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r>
      <w:tr>
        <w:trPr>
          <w:trHeight w:val="27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w:t>
            </w:r>
          </w:p>
        </w:tc>
      </w:tr>
      <w:tr>
        <w:trPr>
          <w:trHeight w:val="27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r>
      <w:tr>
        <w:trPr>
          <w:trHeight w:val="27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w:t>
            </w:r>
          </w:p>
        </w:tc>
      </w:tr>
      <w:tr>
        <w:trPr>
          <w:trHeight w:val="264"/>
        </w:trPr>
        <w:tc>
          <w:tcPr>
            <w:tcW w:w="6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38,529</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42,098</w:t>
            </w:r>
          </w:p>
        </w:tc>
      </w:tr>
      <w:tr>
        <w:trPr>
          <w:trHeight w:val="27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r>
      <w:tr>
        <w:trPr>
          <w:trHeight w:val="264"/>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33,996</w:t>
            </w:r>
          </w:p>
        </w:tc>
      </w:tr>
      <w:tr>
        <w:trPr>
          <w:trHeight w:val="270"/>
        </w:trPr>
        <w:tc>
          <w:tcPr>
            <w:tcW w:w="6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obligations</w:t>
            </w: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(9,711)</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w:t>
            </w:r>
          </w:p>
        </w:tc>
      </w:tr>
      <w:tr>
        <w:trPr>
          <w:trHeight w:val="28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financing component for operating lease obligations represents the effect of discounting the lease payments to their present value.</w:t>
      </w:r>
    </w:p>
    <w:p>
      <w:pPr>
        <w:spacing w:after="0" w:line="144"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Certain subsidiaries of the Company have operating leases for facilities from third party companies that are owned, in whole or part, by employees of the subsidiaries. The terms and rental rates of these leases are at market rental rates. As of December 31, 2022, the minimum lease payments required under these leases totaled $7.1 million, which are due over the next 4.0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1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2022 and 2021, the Company determined that the carrying value of cash and cash equivalents approximated fair value based on Level 1 inputs. As of December 31, 2022 and 2021, the fair value of the Company’s long-term debt and finance lease obligations were based on Level 2 inputs. The Company’s long-term debt was based on variable and fixed interest rates at December 31, 2022 and 2021. Long-term debt, if any, with variable interest rates are based on rates for new issues with similar remaining maturities, and approximated carrying value. In addition, based on borrowing rates currently available to the Company for borrowings with similar terms, the carrying values of the Company’s long term debt with fixed interest rates also approximated fair value.</w:t>
      </w:r>
    </w:p>
    <w:p>
      <w:pPr>
        <w:spacing w:after="0" w:line="106"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2022, the fair values of the Company’s contingent earn-out consideration liability associated with the acquisition of the Powerline Plus Companies was based on Level 3 inputs. The contingent earn-out consideration recorded represents the estimated fair values of future amounts potentially payable to the former owners of the acquired Powerline Plus Companies and was initially determined using a Monte Carlo simulation valuation methodology based on probability-weighted performance projections and other inputs, including a discount rate and an expected volatility factor. The fair value of this contingent earn-out consideration liability will be evaluated on an ongoing basis by management. Accordingly, the level of inputs used for these fair value measurements is the lowest level (Level 3). Significant changes in any of these assumptions could result in a significantly higher or lower potential liability.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Accounts Receivable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at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receivables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374,826</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377,794</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472,543</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375,353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roll-forward of activity in the allowance for doubtful accounts was as follows for the years ended December 31: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6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82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2,441</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1,696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70"/>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Less: reduction in (provision for) allowances</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70"/>
        </w:trPr>
        <w:tc>
          <w:tcPr>
            <w:tcW w:w="7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write offs, net of recoveries</w:t>
            </w:r>
          </w:p>
        </w:tc>
        <w:tc>
          <w:tcPr>
            <w:tcW w:w="82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0"/>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w:t>
            </w:r>
          </w:p>
        </w:tc>
        <w:tc>
          <w:tcPr>
            <w:tcW w:w="8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7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82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-187960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-882015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-882015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Prepaid Expenses and Other Current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 and other current assets consisted of the following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100" w:type="dxa"/>
            <w:vAlign w:val="bottom"/>
            <w:gridSpan w:val="2"/>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consisted of the following at December 31:</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5"/>
                <w:szCs w:val="15"/>
                <w:color w:val="auto"/>
              </w:rPr>
            </w:pPr>
          </w:p>
        </w:tc>
        <w:tc>
          <w:tcPr>
            <w:tcW w:w="98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0"/>
        </w:trPr>
        <w:tc>
          <w:tcPr>
            <w:tcW w:w="7100" w:type="dxa"/>
            <w:vAlign w:val="bottom"/>
            <w:gridSpan w:val="2"/>
            <w:vMerge w:val="continue"/>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10,226</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39</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equipment</w:t>
            </w: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12</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455,011</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10</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518,220</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(351,753)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(322,128)</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196,092</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Construction equipment includes assets under finance leases — see additional information provided in Note 4 — Lease Obligations to the Financial Statements.</w:t>
      </w:r>
    </w:p>
    <w:p>
      <w:pPr>
        <w:spacing w:after="0" w:line="81"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of property and equipment for the years ended December 31, 2022, 2021 and 2020 was $49.2 million, $43.9 million and $42.9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and intangible assets consisted of the following at December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0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3"/>
                <w:szCs w:val="13"/>
                <w:color w:val="auto"/>
              </w:rPr>
            </w:pPr>
          </w:p>
        </w:tc>
        <w:tc>
          <w:tcPr>
            <w:tcW w:w="11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74"/>
              <w:spacing w:after="0" w:line="158"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106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30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40,224</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goodwill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66,065</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 Intangible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Backlog</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20,202</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Below market lease</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0" w:type="dxa"/>
            <w:vAlign w:val="bottom"/>
          </w:tcPr>
          <w:p>
            <w:pPr>
              <w:spacing w:after="0"/>
              <w:rPr>
                <w:sz w:val="1"/>
                <w:szCs w:val="1"/>
                <w:color w:val="auto"/>
              </w:rPr>
            </w:pPr>
          </w:p>
        </w:tc>
      </w:tr>
      <w:tr>
        <w:trPr>
          <w:trHeight w:val="243"/>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0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49,054</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The increase in goodwill as of December 31, 2022 compared to December 31, 2021 was primarily due to the allocation of $53.0 million of goodwill related to the acquisition of the Powerline Plus Companies identified during the purchase accounting. The increase in intangible assets also related to the acquisition of the Powerline Plus Companies and are being amortized on a straight-line basis over periods ranging up to 15 years. Additional financial information related to this acquisition is provided in Note 2–Acquisitions to the Financial Statements.</w:t>
      </w:r>
    </w:p>
    <w:p>
      <w:pPr>
        <w:spacing w:after="0" w:line="9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Customer relationships, amortizable trade names and backlog are being amortized on a straight-line method over an estimated useful life ranging up to 15 years and the remaining life of the contract, respectively, and have been determined to have no residual value. Certain trade names have indefinite lives and, therefore, are not being amortized. Intangible asset amortization expense was $9.0 million, $2.3 million and $3.6 million for the years ended December 31, 2022, 2021 and 2020, respectively.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estimated future intangible asset amortization expense for the each of the next five years and thereafter was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75"/>
        </w:trPr>
        <w:tc>
          <w:tcPr>
            <w:tcW w:w="53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7"/>
        </w:trPr>
        <w:tc>
          <w:tcPr>
            <w:tcW w:w="534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Liabilities</w:t>
            </w:r>
          </w:p>
        </w:tc>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0"/>
        </w:trPr>
        <w:tc>
          <w:tcPr>
            <w:tcW w:w="534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liabilities consisted of the following at December 31:</w:t>
            </w: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34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incentive compensation</w:t>
            </w:r>
          </w:p>
        </w:tc>
        <w:tc>
          <w:tcPr>
            <w:tcW w:w="348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31,355</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Union dues and benefits</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3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 sharing and thrift plan</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318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3060" w:type="dxa"/>
            <w:vAlign w:val="bottom"/>
            <w:vMerge w:val="restart"/>
          </w:tcPr>
          <w:p>
            <w:pPr>
              <w:jc w:val="right"/>
              <w:ind w:right="259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0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53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equipment notes: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5"/>
                <w:szCs w:val="15"/>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Inception</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3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0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5"/>
                <w:szCs w:val="15"/>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3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4"/>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annum)</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7"/>
                <w:szCs w:val="17"/>
                <w:color w:val="auto"/>
              </w:rPr>
            </w:pPr>
          </w:p>
        </w:tc>
        <w:tc>
          <w:tcPr>
            <w:tcW w:w="110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9/13/2019</w:t>
            </w:r>
          </w:p>
        </w:tc>
        <w:tc>
          <w:tcPr>
            <w:tcW w:w="120" w:type="dxa"/>
            <w:vAlign w:val="bottom"/>
          </w:tcPr>
          <w:p>
            <w:pPr>
              <w:spacing w:after="0"/>
              <w:rPr>
                <w:sz w:val="21"/>
                <w:szCs w:val="21"/>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Variable</w:t>
            </w: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Equipment Note 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12/27/2019</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2.75%</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8/26/2022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20" w:type="dxa"/>
            <w:vAlign w:val="bottom"/>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37"/>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0" w:type="dxa"/>
            <w:vAlign w:val="bottom"/>
          </w:tcPr>
          <w:p>
            <w:pPr>
              <w:spacing w:after="0"/>
              <w:rPr>
                <w:sz w:val="1"/>
                <w:szCs w:val="1"/>
                <w:color w:val="auto"/>
              </w:rPr>
            </w:pPr>
          </w:p>
        </w:tc>
      </w:tr>
      <w:tr>
        <w:trPr>
          <w:trHeight w:val="26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48"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On September 13, 2019, the Company entered into a five-year amended and restated credit agreement (the “Credit Agreement”) with a syndicate of banks led by JPMorgan Chase Bank, N.A. and Bank of America, N.A, that provides for a $375 million facility (the “Facility”), subject to certain financial covenants as defined in the Credit Agreement, that may be used for revolving loans of which $150 million may be used for letters of credit. The Facility also allows for revolving loans and letters of credit in Canadian dollars and other currencies, up to the U.S. dollar equivalent of $75 million.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for refinancing existing indebtedness, working capital, capital expenditures, acquisitions, share repurchases, and other general corporate purposes.</w:t>
      </w:r>
    </w:p>
    <w:p>
      <w:pPr>
        <w:spacing w:after="0" w:line="122"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0.00% to 0.75%; or (2) Adjusted LIBO Rate (as defined in the Credit Agreement) plus an applicable margin ranging from 1.00% to 1.75%. Once LIBOR is no longer available, the Company will amend the Credit Agreement to transition from LIBOR to the Secured Overnight Financing Rate (“SOFR”) or will elect the Alternate Base Rate. The applicable margin is determined based on the Company’s consolidated leverage ratio (the “Leverage Ratio”) which is defined in the Credit Agreement as Consolidated Total Indebtedness (as defined in the Credit Agreement) divided by Consolidated EBITDA (as defined in the Credit Agreement). Letters of credit issued under the Facility are subject to a letter of credit fee of 1.00% to 1.75% for non-performance letters of credit or 0.50% to 0.875% for performance letters of credit, based on the Company’s consolidated Leverage Ratio. The Company is subject to a commitment fee of 0.15% to 0.25%, based on the Company’s consolidated Leverage Ratio, on any unused portion of the Facility. The Credit Agreement restricts certain types of payments when the Company’s consolidated Leverage Ratio exceeds 2.50 or the Company’s consolidated Liquidity (as defined in the Credit Agreement) is less than $50 million. The weighted average interest rate on borrowings outstanding on the Facility for the year ended December 31, 2022, was 3.06% per annum.</w:t>
      </w:r>
    </w:p>
    <w:p>
      <w:pPr>
        <w:spacing w:after="0" w:line="124"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and is limited to a maximum consolidated Leverage Ratio of 3.0 and a minimum interest coverage ratio of 3.0, which is defined in the Credit Agreement as Consolidated EBITDA (as defined in the Credit Agreement) divided by interest expense (as defined in the Credit Agreement). The Credit Agreement also contains covenants including limitations on asset sales, investments, indebtedness and liens. The Company was in compliance with all of its financial covenants under the Credit Agreement as of December 31, 2022.</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$12.9 million debt outstanding under the Facility and letters of credit outstanding under the Facility of approximately $12.8 million, which were almost entirely related to the Company's payment obligation under its insurance programs.</w:t>
      </w:r>
    </w:p>
    <w:p>
      <w:pPr>
        <w:spacing w:after="0" w:line="121" w:lineRule="exact"/>
        <w:rPr>
          <w:sz w:val="20"/>
          <w:szCs w:val="20"/>
          <w:color w:val="auto"/>
        </w:rPr>
      </w:pPr>
    </w:p>
    <w:p>
      <w:pPr>
        <w:ind w:right="1080" w:firstLine="324"/>
        <w:spacing w:after="0" w:line="297" w:lineRule="auto"/>
        <w:rPr>
          <w:sz w:val="20"/>
          <w:szCs w:val="20"/>
          <w:color w:val="auto"/>
        </w:rPr>
      </w:pPr>
      <w:r>
        <w:rPr>
          <w:rFonts w:ascii="Times New Roman" w:cs="Times New Roman" w:eastAsia="Times New Roman" w:hAnsi="Times New Roman"/>
          <w:sz w:val="18"/>
          <w:szCs w:val="18"/>
          <w:color w:val="auto"/>
        </w:rPr>
        <w:t>As of December 31, 2021, the Company had no debt outstanding under the Facility and letters of credit outstanding under the Facility of approximately $12.3 million, which were almost entirely related to the Company's payment obligation under its insurance programs.</w:t>
      </w:r>
    </w:p>
    <w:p>
      <w:pPr>
        <w:spacing w:after="0" w:line="68"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totaling $0.5 million as of December 31, 2022, related to the line of credit. As permitted, debt issuance costs have been deferred and are presented as an asset within other assets, which is amortized as interest expense over the term of the line of credit.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148"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11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had two Equipment Notes outstanding under the Master Loan Agreements that are collateralized by equipment and vehicles owned by the Company. As of December 31, 2022, the Company had one other equipment note outstanding that is collateralized by a vehicle owned by the Company. The following table sets forth our remaining principal payments for the Company’s outstanding Equipment Note as of December 31, 2022:</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62"/>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4"/>
                <w:szCs w:val="14"/>
                <w:color w:val="auto"/>
              </w:rPr>
            </w:pPr>
          </w:p>
        </w:tc>
        <w:tc>
          <w:tcPr>
            <w:tcW w:w="118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Equipment Notes</w:t>
            </w:r>
          </w:p>
        </w:tc>
        <w:tc>
          <w:tcPr>
            <w:tcW w:w="0" w:type="dxa"/>
            <w:vAlign w:val="bottom"/>
          </w:tcPr>
          <w:p>
            <w:pPr>
              <w:spacing w:after="0"/>
              <w:rPr>
                <w:sz w:val="1"/>
                <w:szCs w:val="1"/>
                <w:color w:val="auto"/>
              </w:rPr>
            </w:pPr>
          </w:p>
        </w:tc>
      </w:tr>
      <w:tr>
        <w:trPr>
          <w:trHeight w:val="189"/>
        </w:trPr>
        <w:tc>
          <w:tcPr>
            <w:tcW w:w="98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Payments</w:t>
            </w:r>
          </w:p>
        </w:tc>
        <w:tc>
          <w:tcPr>
            <w:tcW w:w="0" w:type="dxa"/>
            <w:vAlign w:val="bottom"/>
          </w:tcPr>
          <w:p>
            <w:pPr>
              <w:spacing w:after="0"/>
              <w:rPr>
                <w:sz w:val="1"/>
                <w:szCs w:val="1"/>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0" w:type="dxa"/>
            <w:vAlign w:val="bottom"/>
          </w:tcPr>
          <w:p>
            <w:pPr>
              <w:spacing w:after="0"/>
              <w:rPr>
                <w:sz w:val="1"/>
                <w:szCs w:val="1"/>
                <w:color w:val="auto"/>
              </w:rPr>
            </w:pPr>
          </w:p>
        </w:tc>
      </w:tr>
      <w:tr>
        <w:trPr>
          <w:trHeight w:val="229"/>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0" w:type="dxa"/>
            <w:vAlign w:val="bottom"/>
          </w:tcPr>
          <w:p>
            <w:pPr>
              <w:spacing w:after="0"/>
              <w:rPr>
                <w:sz w:val="1"/>
                <w:szCs w:val="1"/>
                <w:color w:val="auto"/>
              </w:rPr>
            </w:pP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0" w:type="dxa"/>
            <w:vAlign w:val="bottom"/>
          </w:tcPr>
          <w:p>
            <w:pPr>
              <w:spacing w:after="0"/>
              <w:rPr>
                <w:sz w:val="1"/>
                <w:szCs w:val="1"/>
                <w:color w:val="auto"/>
              </w:rPr>
            </w:pP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0" w:type="dxa"/>
            <w:vAlign w:val="bottom"/>
          </w:tcPr>
          <w:p>
            <w:pPr>
              <w:spacing w:after="0"/>
              <w:rPr>
                <w:sz w:val="1"/>
                <w:szCs w:val="1"/>
                <w:color w:val="auto"/>
              </w:rPr>
            </w:pPr>
          </w:p>
        </w:tc>
      </w:tr>
      <w:tr>
        <w:trPr>
          <w:trHeight w:val="234"/>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0"/>
        </w:trPr>
        <w:tc>
          <w:tcPr>
            <w:tcW w:w="9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27,638</w:t>
            </w:r>
          </w:p>
        </w:tc>
        <w:tc>
          <w:tcPr>
            <w:tcW w:w="0" w:type="dxa"/>
            <w:vAlign w:val="bottom"/>
          </w:tcPr>
          <w:p>
            <w:pPr>
              <w:spacing w:after="0"/>
              <w:rPr>
                <w:sz w:val="1"/>
                <w:szCs w:val="1"/>
                <w:color w:val="auto"/>
              </w:rPr>
            </w:pPr>
          </w:p>
        </w:tc>
      </w:tr>
      <w:tr>
        <w:trPr>
          <w:trHeight w:val="135"/>
        </w:trPr>
        <w:tc>
          <w:tcPr>
            <w:tcW w:w="9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vMerge w:val="continue"/>
            <w:shd w:val="clear" w:color="auto" w:fill="CCEEFF"/>
          </w:tcPr>
          <w:p>
            <w:pPr>
              <w:spacing w:after="0"/>
              <w:rPr>
                <w:sz w:val="11"/>
                <w:szCs w:val="11"/>
                <w:color w:val="auto"/>
              </w:rPr>
            </w:pPr>
          </w:p>
        </w:tc>
        <w:tc>
          <w:tcPr>
            <w:tcW w:w="11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2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0" w:type="dxa"/>
            <w:vAlign w:val="bottom"/>
          </w:tcPr>
          <w:p>
            <w:pPr>
              <w:spacing w:after="0"/>
              <w:rPr>
                <w:sz w:val="1"/>
                <w:szCs w:val="1"/>
                <w:color w:val="auto"/>
              </w:rPr>
            </w:pPr>
          </w:p>
        </w:tc>
      </w:tr>
      <w:tr>
        <w:trPr>
          <w:trHeight w:val="130"/>
        </w:trPr>
        <w:tc>
          <w:tcPr>
            <w:tcW w:w="98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4"/>
        </w:trPr>
        <w:tc>
          <w:tcPr>
            <w:tcW w:w="9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22,564</w:t>
            </w:r>
          </w:p>
        </w:tc>
        <w:tc>
          <w:tcPr>
            <w:tcW w:w="0" w:type="dxa"/>
            <w:vAlign w:val="bottom"/>
          </w:tcPr>
          <w:p>
            <w:pPr>
              <w:spacing w:after="0"/>
              <w:rPr>
                <w:sz w:val="1"/>
                <w:szCs w:val="1"/>
                <w:color w:val="auto"/>
              </w:rPr>
            </w:pPr>
          </w:p>
        </w:tc>
      </w:tr>
      <w:tr>
        <w:trPr>
          <w:trHeight w:val="123"/>
        </w:trPr>
        <w:tc>
          <w:tcPr>
            <w:tcW w:w="98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vMerge w:val="continue"/>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62"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guaranteed not-to-exceed maximum price.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17–Segment Information to the Financial Statements.</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were as follows for the year ended December 31:</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3"/>
        </w:trPr>
        <w:tc>
          <w:tcPr>
            <w:tcW w:w="2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0"/>
        </w:trPr>
        <w:tc>
          <w:tcPr>
            <w:tcW w:w="2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60" w:type="dxa"/>
            <w:vAlign w:val="bottom"/>
          </w:tcPr>
          <w:p>
            <w:pPr>
              <w:spacing w:after="0"/>
              <w:rPr>
                <w:sz w:val="16"/>
                <w:szCs w:val="16"/>
                <w:color w:val="auto"/>
              </w:rPr>
            </w:pPr>
          </w:p>
        </w:tc>
        <w:tc>
          <w:tcPr>
            <w:tcW w:w="17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40" w:type="dxa"/>
            <w:vAlign w:val="bottom"/>
          </w:tcPr>
          <w:p>
            <w:pPr>
              <w:spacing w:after="0"/>
              <w:rPr>
                <w:sz w:val="16"/>
                <w:szCs w:val="16"/>
                <w:color w:val="auto"/>
              </w:rPr>
            </w:pPr>
          </w:p>
        </w:tc>
        <w:tc>
          <w:tcPr>
            <w:tcW w:w="17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0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8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10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Percent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835,288</w:t>
            </w:r>
          </w:p>
        </w:tc>
        <w:tc>
          <w:tcPr>
            <w:tcW w:w="1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1,051,428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1,886,716</w:t>
            </w:r>
          </w:p>
        </w:tc>
        <w:tc>
          <w:tcPr>
            <w:tcW w:w="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62.7 %</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475,276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553,990</w:t>
            </w:r>
          </w:p>
        </w:tc>
        <w:tc>
          <w:tcPr>
            <w:tcW w:w="15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T&amp;E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567,836</w:t>
            </w:r>
          </w:p>
        </w:tc>
        <w:tc>
          <w:tcPr>
            <w:tcW w:w="15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1,745,792</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1,262,750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94"/>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89"/>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559,861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963,477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1,523,338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61.0 %</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443,536</w:t>
            </w:r>
          </w:p>
        </w:tc>
        <w:tc>
          <w:tcPr>
            <w:tcW w:w="15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T&amp;E</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531,415</w:t>
            </w:r>
          </w:p>
        </w:tc>
        <w:tc>
          <w:tcPr>
            <w:tcW w:w="1540" w:type="dxa"/>
            <w:vAlign w:val="bottom"/>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1,301,587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1,196,702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80"/>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3"/>
        </w:trPr>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r>
      <w:tr>
        <w:trPr>
          <w:trHeight w:val="190"/>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C&amp;I</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135"/>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96"/>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7"/>
                <w:szCs w:val="17"/>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29"/>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507,634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904,024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62.8 %</w:t>
            </w:r>
          </w:p>
        </w:tc>
      </w:tr>
      <w:tr>
        <w:trPr>
          <w:trHeight w:val="230"/>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415,942</w:t>
            </w:r>
          </w:p>
        </w:tc>
        <w:tc>
          <w:tcPr>
            <w:tcW w:w="15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26"/>
                <w:szCs w:val="26"/>
                <w:color w:val="auto"/>
                <w:vertAlign w:val="subscript"/>
              </w:rPr>
              <w:t>T&amp;E</w:t>
            </w:r>
            <w:r>
              <w:rPr>
                <w:rFonts w:ascii="Times New Roman" w:cs="Times New Roman" w:eastAsia="Times New Roman" w:hAnsi="Times New Roman"/>
                <w:sz w:val="10"/>
                <w:szCs w:val="10"/>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111,659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419,792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w:t>
            </w:r>
          </w:p>
        </w:tc>
      </w:tr>
      <w:tr>
        <w:trPr>
          <w:trHeight w:val="263"/>
        </w:trPr>
        <w:tc>
          <w:tcPr>
            <w:tcW w:w="2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340" w:right="3060" w:hanging="332"/>
        <w:spacing w:after="0" w:line="435" w:lineRule="auto"/>
        <w:tabs>
          <w:tab w:leader="none" w:pos="27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T&amp;E contract type includes time-and-equipment, time-and-materials and cost-plus contracts. The components of the Company’s revenue by market type were as follows for the year ended December 31:</w:t>
      </w:r>
    </w:p>
    <w:tbl>
      <w:tblPr>
        <w:tblLayout w:type="fixed"/>
        <w:tblInd w:w="0" w:type="dxa"/>
        <w:tblCellMar>
          <w:top w:w="0" w:type="dxa"/>
          <w:left w:w="0" w:type="dxa"/>
          <w:bottom w:w="0" w:type="dxa"/>
          <w:right w:w="0" w:type="dxa"/>
        </w:tblCellMar>
      </w:tblPr>
      <w:tr>
        <w:trPr>
          <w:trHeight w:val="190"/>
        </w:trPr>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20" w:type="dxa"/>
            <w:vAlign w:val="bottom"/>
            <w:gridSpan w:val="3"/>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2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4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1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Transmission</w:t>
            </w: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1,083,415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745,599</w:t>
            </w:r>
          </w:p>
        </w:tc>
        <w:tc>
          <w:tcPr>
            <w:tcW w:w="15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43"/>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Distribution</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408,779</w:t>
            </w:r>
          </w:p>
        </w:tc>
        <w:tc>
          <w:tcPr>
            <w:tcW w:w="152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
        </w:trPr>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Electrical construction</w:t>
            </w:r>
          </w:p>
        </w:tc>
        <w:tc>
          <w:tcPr>
            <w:tcW w:w="8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1520" w:type="dxa"/>
            <w:vAlign w:val="bottom"/>
            <w:tcBorders>
              <w:bottom w:val="single" w:sz="8" w:color="CCEEFF"/>
            </w:tcBorders>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64"/>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4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On December 31, 2022, the Company had $2.33 billion of remaining performance obligations. The Company’s remaining performance obligations include projects that have a written award, a letter of intent, a notice to proceed or an agreed upon work order to perform work on mutually accepted terms and conditions.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0" w:firstLine="324"/>
        <w:spacing w:after="0" w:line="312" w:lineRule="auto"/>
        <w:rPr>
          <w:sz w:val="20"/>
          <w:szCs w:val="20"/>
          <w:color w:val="auto"/>
        </w:rPr>
      </w:pPr>
      <w:r>
        <w:rPr>
          <w:rFonts w:ascii="Times New Roman" w:cs="Times New Roman" w:eastAsia="Times New Roman" w:hAnsi="Times New Roman"/>
          <w:sz w:val="17"/>
          <w:szCs w:val="17"/>
          <w:color w:val="auto"/>
        </w:rPr>
        <w:t>The following table summarizes the amount of remaining performance obligations as of December 31, 2022 that the Company expects to be realized and the amount of the remaining performance obligations that the Company reasonably estimates will not be recognized within the next twelve months.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0" w:type="dxa"/>
            <w:vAlign w:val="bottom"/>
            <w:gridSpan w:val="4"/>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as of December 31, 2022</w:t>
            </w: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1"/>
                <w:szCs w:val="11"/>
                <w:color w:val="auto"/>
              </w:rPr>
            </w:pPr>
          </w:p>
        </w:tc>
        <w:tc>
          <w:tcPr>
            <w:tcW w:w="212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1"/>
                <w:szCs w:val="11"/>
                <w:color w:val="auto"/>
              </w:rPr>
            </w:pPr>
          </w:p>
        </w:tc>
        <w:tc>
          <w:tcPr>
            <w:tcW w:w="2100" w:type="dxa"/>
            <w:vAlign w:val="bottom"/>
          </w:tcPr>
          <w:p>
            <w:pPr>
              <w:jc w:val="right"/>
              <w:ind w:right="217"/>
              <w:spacing w:after="0" w:line="131" w:lineRule="exact"/>
              <w:rPr>
                <w:sz w:val="20"/>
                <w:szCs w:val="20"/>
                <w:color w:val="auto"/>
              </w:rPr>
            </w:pPr>
            <w:r>
              <w:rPr>
                <w:rFonts w:ascii="Times New Roman" w:cs="Times New Roman" w:eastAsia="Times New Roman" w:hAnsi="Times New Roman"/>
                <w:sz w:val="14"/>
                <w:szCs w:val="14"/>
                <w:b w:val="1"/>
                <w:bCs w:val="1"/>
                <w:color w:val="auto"/>
              </w:rPr>
              <w:t>Amount estimated to not be</w:t>
            </w:r>
          </w:p>
        </w:tc>
        <w:tc>
          <w:tcPr>
            <w:tcW w:w="0" w:type="dxa"/>
            <w:vAlign w:val="bottom"/>
          </w:tcPr>
          <w:p>
            <w:pPr>
              <w:spacing w:after="0"/>
              <w:rPr>
                <w:sz w:val="1"/>
                <w:szCs w:val="1"/>
                <w:color w:val="auto"/>
              </w:rPr>
            </w:pPr>
          </w:p>
        </w:tc>
      </w:tr>
      <w:tr>
        <w:trPr>
          <w:trHeight w:val="195"/>
        </w:trPr>
        <w:tc>
          <w:tcPr>
            <w:tcW w:w="65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0" w:type="dxa"/>
            <w:vAlign w:val="bottom"/>
          </w:tcPr>
          <w:p>
            <w:pPr>
              <w:spacing w:after="0"/>
              <w:rPr>
                <w:sz w:val="1"/>
                <w:szCs w:val="1"/>
                <w:color w:val="auto"/>
              </w:rPr>
            </w:pPr>
          </w:p>
        </w:tc>
      </w:tr>
      <w:tr>
        <w:trPr>
          <w:trHeight w:val="228"/>
        </w:trPr>
        <w:tc>
          <w:tcPr>
            <w:tcW w:w="6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898,617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115,881</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28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1,428,257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335,935</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451,816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expects a vast majority of the remaining performance obligations to be recognized within twenty-four months, although the timing of the Company’s performance is not always under its control.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7. Management’s Discussion and Analysis of Financial Condition and Results of Operations” of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before income taxes by geographic area was, for the years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3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13,948</w:t>
            </w:r>
          </w:p>
        </w:tc>
        <w:tc>
          <w:tcPr>
            <w:tcW w:w="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6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6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62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differences between the U.S. federal statutory tax rate and the Company’s effective tax rate for operations were as follows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138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3"/>
        </w:trPr>
        <w:tc>
          <w:tcPr>
            <w:tcW w:w="68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taxes, net of U.S. federal income tax expense</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differential on foreign earnings</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meals and entertainment</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excess tax benefits</w:t>
            </w:r>
          </w:p>
        </w:tc>
        <w:tc>
          <w:tcPr>
            <w:tcW w:w="13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to return adjustments, net</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 intangible low tax income</w:t>
            </w: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Section 162(m) limitation</w:t>
            </w:r>
          </w:p>
        </w:tc>
        <w:tc>
          <w:tcPr>
            <w:tcW w:w="13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Effective rate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27.8 %</w:t>
            </w:r>
          </w:p>
        </w:tc>
      </w:tr>
      <w:tr>
        <w:trPr>
          <w:trHeight w:val="21"/>
        </w:trPr>
        <w:tc>
          <w:tcPr>
            <w:tcW w:w="68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39"/>
        </w:trPr>
        <w:tc>
          <w:tcPr>
            <w:tcW w:w="83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The net deferred tax assets and (liabilities) arising from temporary differences was as follows at December 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Self-insurance reserves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2,979</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loss reserves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awards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Bonus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8,373</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vacation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profit sharing</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operating loss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assets before valuation allowances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29,010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27,879</w:t>
            </w:r>
          </w:p>
        </w:tc>
      </w:tr>
      <w:tr>
        <w:trPr>
          <w:trHeight w:val="230"/>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valuation allowances</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w:t>
            </w:r>
          </w:p>
        </w:tc>
      </w:tr>
      <w:tr>
        <w:trPr>
          <w:trHeight w:val="223"/>
        </w:trPr>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w:t>
            </w:r>
          </w:p>
        </w:tc>
      </w:tr>
      <w:tr>
        <w:trPr>
          <w:trHeight w:val="20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 tax over book depreciation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(42,413)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7"/>
              </w:rPr>
              <w:t>(36,856)</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Non-U.S. intangible assets — tax over book amortization</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 tax over book amortization</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w:t>
            </w:r>
          </w:p>
        </w:tc>
      </w:tr>
      <w:tr>
        <w:trPr>
          <w:trHeight w:val="229"/>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 deferred income tax liabilities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Contract revenue adjustment</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r>
      <w:tr>
        <w:trPr>
          <w:trHeight w:val="230"/>
        </w:trPr>
        <w:tc>
          <w:tcPr>
            <w:tcW w:w="6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6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deferred income tax liabilities</w:t>
            </w:r>
          </w:p>
        </w:tc>
        <w:tc>
          <w:tcPr>
            <w:tcW w:w="13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7"/>
              </w:rPr>
              <w:t>(49,906)</w:t>
            </w:r>
          </w:p>
        </w:tc>
      </w:tr>
      <w:tr>
        <w:trPr>
          <w:trHeight w:val="248"/>
        </w:trPr>
        <w:tc>
          <w:tcPr>
            <w:tcW w:w="68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7"/>
              </w:rPr>
              <w:t>(24,620)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that it is more-likely-than-not that it will not realize certain deferred tax assets related to net operating loss carryforwards on certain Canadian subsidiaries and therefore recorded a valuation allowance against the deferred tax assets for those entities.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2022, the Company had no undistributed earnings of our Canadian subsidiaries. We expect future earnings to be reinvested.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as of December 31, 2022, no expense for U.S. income taxes or foreign withholding taxes was recorded.</w:t>
      </w:r>
    </w:p>
    <w:p>
      <w:pPr>
        <w:spacing w:after="0" w:line="12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2019 through 2021 tax returns are subject to examination by U. S. federal authorities. The Company’s tax returns are subject to examination by various state authorities for the years 2018 through 2021.</w:t>
      </w:r>
    </w:p>
    <w:p>
      <w:pPr>
        <w:spacing w:after="0" w:line="94" w:lineRule="exact"/>
        <w:rPr>
          <w:sz w:val="20"/>
          <w:szCs w:val="20"/>
          <w:color w:val="auto"/>
        </w:rPr>
      </w:pPr>
    </w:p>
    <w:p>
      <w:pPr>
        <w:ind w:right="20" w:firstLine="324"/>
        <w:spacing w:after="0" w:line="26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related to tax positions taken on its various income tax returns. If recognized, the entire amount of unrecognized tax benefits would favorably impact the effective tax rate that is reported in future periods. The decrease in the unrecognized tax benefits as of December 31, 2022 was primarily due to the lapses in the applicable statutes of limitations. The total unrecognized tax benefits is expected to be reduced by less than $0.2 million within the next 12 months. Interest and penalties related to uncertain income tax positions are included as a component of income tax expense in the Financial Statements.</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beginning and ending liability for unrecognized tax benefits at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4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increases in current period tax positions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in tax positions due to lapse of statutory limitations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7"/>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 and penalties at end of period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6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liability for unrecognized tax benefits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liability for unrecognized tax benefits, including accrued interest and penalties, was included in other liabilities on the accompanying consolidated balance sheets. The amount of interest and penalties charged or credited to income tax expense as a result of the unrecognized tax benefits was not significant in the years ended December 31, 2022, 2021 and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48"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approximately $14.1 million in outstanding purchase orders for certain construction equipment, with cash payments scheduled to occur over the next four months.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except for wildfire coverage which has a deductible of $2.0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0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total assets on the Company’s consolidated balance sheets. The following table includes the Company’s accrued short- and long-term insurance liabilities at December 31:</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4"/>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75,058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6"/>
              </w:rPr>
              <w:t>69,823</w:t>
            </w:r>
          </w:p>
        </w:tc>
      </w:tr>
      <w:tr>
        <w:trPr>
          <w:trHeight w:val="243"/>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increases in accrued self-insurance</w:t>
            </w:r>
          </w:p>
        </w:tc>
        <w:tc>
          <w:tcPr>
            <w:tcW w:w="300" w:type="dxa"/>
            <w:vAlign w:val="bottom"/>
          </w:tcPr>
          <w:p>
            <w:pPr>
              <w:spacing w:after="0"/>
              <w:rPr>
                <w:sz w:val="21"/>
                <w:szCs w:val="21"/>
                <w:color w:val="auto"/>
              </w:rPr>
            </w:pPr>
          </w:p>
        </w:tc>
        <w:tc>
          <w:tcPr>
            <w:tcW w:w="100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rPr>
              <w:t>76,299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6"/>
              </w:rPr>
              <w:t>62,819</w:t>
            </w: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payments made</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w w:val="97"/>
              </w:rPr>
              <w:t>(71,318)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(57,584)</w:t>
            </w:r>
          </w:p>
        </w:tc>
      </w:tr>
      <w:tr>
        <w:trPr>
          <w:trHeight w:val="264"/>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rPr>
              <w:t>80,039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6"/>
              </w:rPr>
              <w:t>75,058</w:t>
            </w: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Insurance expense, including premiums, for workers’ compensation, general liability, automobile liability, employee health benefits, and other coverages for the years ended December 31, 2022, 2021 and 2020 was $77.1 million, $65.1 million and $56.4 million,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16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December 31, 2022, an aggregate of approximately $1.97 billion in original face amount of bonds issued by the Company’s sureties were outstanding. The Company estimated the remaining cost to complete these bonded projects was approximately $880.2 million as of December 31, 2022.</w:t>
      </w:r>
    </w:p>
    <w:p>
      <w:pPr>
        <w:spacing w:after="0" w:line="112"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From time to time the Company guarantees the obligations of wholly-owned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its wholly-owned subsidiaries, which reduces the borrowing availability under the Facility.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162"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14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 See Note 16 — Employee Benefit Plans to the Financial Statements for further information related to the Company’s participation in multi-employer plans.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 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position, results of operations or cash flows.</w:t>
      </w:r>
    </w:p>
    <w:p>
      <w:pPr>
        <w:spacing w:after="0" w:line="106"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our present business as well as in respect of our divested businesses. Some of these claims and litigations include claims related to the Company’s current services and operations, the Company believes that it has strong defenses to these claims as well as insurance coverages that could contribute to any settlement or liability in the event claims are not resolved in our favor. These claims have not had a material impact on the Company to date, and the Company believes that the likelihood that a future material adverse outcome will result from these claims is remote. However, if facts and circumstances change in the future, the Company cannot be certain that an adverse outcome of one or more of these claims would not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4" w:name="page75"/>
    <w:bookmarkEnd w:id="7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4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maintains two equity compensation plans under which stock-based compensation has been granted, the 2017 Long-Term Incentive Plan (Amended and Restated as of April 23, 2020) (the “LTIP”) and the 2007 Long-Term Incentive Plan (Amended and Restated as of May 1, 2014) (the “2007 LTIP” and, collectively with the LTIP, the “Long-Term Incentive Plans”). Upon the initial adoption of the LTIP in 2017, awards were no longer granted under the 2007 LTIP. The LTIP was approved by our shareholders and provides for grants of (a) incentive stock options qualified as such under U.S. federal income tax laws, (b) stock options that do not qualify as incentive stock options, (c) stock appreciation rights, (d) restricted stock awards, (e) restricted stock units, (f) performance awards, (g) phantom stock, (h) stock bonuses, (i) dividend equivalents, or (j) any combination of such awards. The LTIP permits the granting of up to 1,500,000 shares to directors, officers and other employees of the Company. Grants of awards to employees are approved by the Compensation Committee of the Board of Directors and grants to independent members of the Board of Directors are approved by the Board of Directors. All awards are made with an exercise price or base price, as the case may be, that is not less than the full fair market value per share on the date of grant. No stock option or stock appreciation right may be exercised more than 10 years from the date of grant.</w:t>
      </w:r>
    </w:p>
    <w:p>
      <w:pPr>
        <w:spacing w:after="0" w:line="1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Shares issued as a result of stock option exercises or stock grants are made available from authorized unissued shares of common stock or treasury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4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awarded any stock options since 2013. Stock options granted to the Company’s employees or directors were granted with an exercise price equal to the market price of the Company’s stock on the date of grant. The Company used the Black-Scholes-Merton option-pricing model to estimate the fair value of options as of the date of grant. All stock options were fully expensed as of December 31, 2016.</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stock option activity for the three-year period ended December 31, 2022:</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5"/>
        </w:trPr>
        <w:tc>
          <w:tcPr>
            <w:tcW w:w="5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5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5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4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0"/>
        </w:trPr>
        <w:tc>
          <w:tcPr>
            <w:tcW w:w="572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6"/>
                <w:szCs w:val="16"/>
                <w:color w:val="auto"/>
              </w:rPr>
            </w:pPr>
          </w:p>
        </w:tc>
        <w:tc>
          <w:tcPr>
            <w:tcW w:w="11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7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(34,388)</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63"/>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2020</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1.9 years</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r>
      <w:tr>
        <w:trPr>
          <w:trHeight w:val="244"/>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6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2021</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 years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3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6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December 31, 2022</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Pr>
          <w:p>
            <w:pPr>
              <w:spacing w:after="0"/>
              <w:rPr>
                <w:sz w:val="22"/>
                <w:szCs w:val="22"/>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0.2 years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the intrinsic value of stock options exercised was $0.1 million, $1.2 million and $0.7 million, respectively.</w:t>
      </w:r>
    </w:p>
    <w:p>
      <w:pPr>
        <w:spacing w:after="0" w:line="94" w:lineRule="exact"/>
        <w:rPr>
          <w:sz w:val="20"/>
          <w:szCs w:val="20"/>
          <w:color w:val="auto"/>
        </w:rPr>
      </w:pPr>
    </w:p>
    <w:p>
      <w:pPr>
        <w:ind w:right="280" w:firstLine="324"/>
        <w:spacing w:after="0" w:line="270"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under the Company’s plans at December 31, 2022:</w:t>
      </w: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Outstanding and Exercisable</w:t>
            </w:r>
          </w:p>
        </w:tc>
        <w:tc>
          <w:tcPr>
            <w:tcW w:w="0" w:type="dxa"/>
            <w:vAlign w:val="bottom"/>
          </w:tcPr>
          <w:p>
            <w:pPr>
              <w:spacing w:after="0"/>
              <w:rPr>
                <w:sz w:val="1"/>
                <w:szCs w:val="1"/>
                <w:color w:val="auto"/>
              </w:rPr>
            </w:pPr>
          </w:p>
        </w:tc>
      </w:tr>
      <w:tr>
        <w:trPr>
          <w:trHeight w:val="23"/>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7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Exercise Price</w:t>
            </w: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400" w:type="dxa"/>
            <w:vAlign w:val="bottom"/>
            <w:gridSpan w:val="3"/>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03"/>
        </w:trPr>
        <w:tc>
          <w:tcPr>
            <w:tcW w:w="7100" w:type="dxa"/>
            <w:vAlign w:val="bottom"/>
            <w:gridSpan w:val="2"/>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223"/>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$24.68 – $24.68</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 years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Stock Awards</w:t>
      </w:r>
    </w:p>
    <w:p>
      <w:pPr>
        <w:spacing w:after="0" w:line="14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grants time-vested stock awards under the LTIP in the form of restricted stock awards, restricted stock units or equity-settled phantom stock. The grant date fair value of the time-vested stock awards is equal to the closing market price of the Company’s common stock on the date of grant. Time-vested stock awards granted under the LTIP to eligible employees in 2022 vest ratably on an annual basis, over three years. Time-vested stock awards granted under the LTIP to non-employee directors in 2022 vest over a one year period.</w:t>
      </w:r>
    </w:p>
    <w:p>
      <w:pPr>
        <w:spacing w:after="0" w:line="11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awards and restricted stock units based on the grant date fair value, which was the closing price of the Company’s stock on the date of grant. The fair value is expensed over the service period, which is generally three years for time-vested stock awards granted to eligible employees and one year for non-employee directors.</w:t>
      </w:r>
    </w:p>
    <w:p>
      <w:pPr>
        <w:spacing w:after="0" w:line="108"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time-vested stock vesting activity settled in common stock had an intrinsic value, at the time of vesting, of $7.0 million, $5.7 million and $2.5 million, respectively.</w:t>
      </w:r>
    </w:p>
    <w:p>
      <w:pPr>
        <w:spacing w:after="0" w:line="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time-vested stock awards activity for the three-year period ended 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520" w:type="dxa"/>
            <w:vAlign w:val="bottom"/>
          </w:tcPr>
          <w:p>
            <w:pPr>
              <w:spacing w:after="0"/>
              <w:rPr>
                <w:sz w:val="12"/>
                <w:szCs w:val="12"/>
                <w:color w:val="auto"/>
              </w:rPr>
            </w:pP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53"/>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6"/>
        </w:trPr>
        <w:tc>
          <w:tcPr>
            <w:tcW w:w="85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January 1,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104,857</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(93,669)</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165,789</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57,196</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29"/>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40.60</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132,497</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45,992</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(73,373)</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0" w:type="dxa"/>
            <w:vAlign w:val="bottom"/>
          </w:tcPr>
          <w:p>
            <w:pPr>
              <w:spacing w:after="0"/>
              <w:rPr>
                <w:sz w:val="1"/>
                <w:szCs w:val="1"/>
                <w:color w:val="auto"/>
              </w:rPr>
            </w:pPr>
          </w:p>
        </w:tc>
      </w:tr>
      <w:tr>
        <w:trPr>
          <w:trHeight w:val="248"/>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102,616</w:t>
            </w:r>
          </w:p>
        </w:tc>
        <w:tc>
          <w:tcPr>
            <w:tcW w:w="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4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grants performance awards under the LTIP. Under these awards, shares of the Company’s common stock may be earned based on the Company’s performance compared to defined metrics. The number of shares earned under a performance award may vary from zero to 200% of the target shares awarded, based upon the Company’s performance compared to the metrics. The metrics used for the grant are determined by the Compensation Committee of the Board of Directors and may be either based on internal measures such as the Company’s financial performance compared to target or on a market-based metric such as the Company’s stock performance compared to a peer group. Performance awards cliff vest upon attainment of at least the minimum stated performance targets and minimum service requirements and are paid in the Company’s common stock.</w:t>
      </w:r>
    </w:p>
    <w:p>
      <w:pPr>
        <w:spacing w:after="0" w:line="12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granted in 2022 are expensed over the service period of approximately 2.8 years. The Company adjusts the stock-based compensation expense related to internal metric-based performance awards according to its determination of the shares expected to vest at each reporting date. Stock-based compensation expense related to market metric-based performance awards is expensed at their grant date fair value regardless of performance.</w:t>
      </w:r>
    </w:p>
    <w:p>
      <w:pPr>
        <w:spacing w:after="0" w:line="12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performance award vesting activity settled in common stock had an intrinsic value, at the time of vesting, of $15.7 million, $12.7 million and $4.8 million,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6" w:name="page77"/>
    <w:bookmarkEnd w:id="7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Following is a summary of performance share award activity for the three-year period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37"/>
        </w:trPr>
        <w:tc>
          <w:tcPr>
            <w:tcW w:w="85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8520" w:type="dxa"/>
            <w:vAlign w:val="bottom"/>
          </w:tcPr>
          <w:p>
            <w:pPr>
              <w:spacing w:after="0"/>
              <w:rPr>
                <w:sz w:val="12"/>
                <w:szCs w:val="12"/>
                <w:color w:val="auto"/>
              </w:rPr>
            </w:pP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85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January 1, 2020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Earned for performance above target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(78,260)</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2020</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150,339</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0" w:type="dxa"/>
            <w:vAlign w:val="bottom"/>
          </w:tcPr>
          <w:p>
            <w:pPr>
              <w:spacing w:after="0"/>
              <w:rPr>
                <w:sz w:val="1"/>
                <w:szCs w:val="1"/>
                <w:color w:val="auto"/>
              </w:rPr>
            </w:pPr>
          </w:p>
        </w:tc>
      </w:tr>
      <w:tr>
        <w:trPr>
          <w:trHeight w:val="230"/>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42,091</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c>
          <w:tcPr>
            <w:tcW w:w="0" w:type="dxa"/>
            <w:vAlign w:val="bottom"/>
          </w:tcPr>
          <w:p>
            <w:pPr>
              <w:spacing w:after="0"/>
              <w:rPr>
                <w:sz w:val="1"/>
                <w:szCs w:val="1"/>
                <w:color w:val="auto"/>
              </w:rPr>
            </w:pPr>
          </w:p>
        </w:tc>
      </w:tr>
      <w:tr>
        <w:trPr>
          <w:trHeight w:val="229"/>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Earned for performance above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58,461</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(128,920)</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tcBorders>
              <w:bottom w:val="single" w:sz="8" w:color="CCEEFF"/>
            </w:tcBorders>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23"/>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121,327</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 at target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31,603</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Earned for performance above target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78,684</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(157,368)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3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23"/>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unvested at December 31, 2022</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73,508</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96.75</w:t>
            </w:r>
          </w:p>
        </w:tc>
        <w:tc>
          <w:tcPr>
            <w:tcW w:w="0" w:type="dxa"/>
            <w:vAlign w:val="bottom"/>
          </w:tcPr>
          <w:p>
            <w:pPr>
              <w:spacing w:after="0"/>
              <w:rPr>
                <w:sz w:val="1"/>
                <w:szCs w:val="1"/>
                <w:color w:val="auto"/>
              </w:rPr>
            </w:pPr>
          </w:p>
        </w:tc>
      </w:tr>
      <w:tr>
        <w:trPr>
          <w:trHeight w:val="21"/>
        </w:trPr>
        <w:tc>
          <w:tcPr>
            <w:tcW w:w="85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approximately $7.9 million, $7.5 million and $5.7 million for the years ended December 31, 2022, 2021 and 2020, respectively, in selling, general and administrative expenses on the Company’s consolidated statements of operations. As of December 31, 2022, there was approximately $8.8 million of unrecognized stock-based compensation expense related to awards granted under the Long-Term Incentive Plans. This included $4.3 million of unrecognized compensation cost related to unvested time-vested stock awards expected to be recognized over a remaining weighted average vesting period of approximately 1.2 years and $4.5 million of unrecognized compensation cost related to unvested performance awards, expected to be recognized over a remaining weighted average vesting period of approximately 1.4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148"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Company sponsors multiple defined contribution plans for eligible employees not covered by collective bargaining agreements. The plans include various features such as voluntary employee pre-tax and Roth-based contributions and matching contributions made by the Company. In addition, at the discretion of our Board of Directors, we may make additional profit sharing contributions to the plans. Company contributions under these defined contribution plans are based upon a percentage of income with limitations as defined by each plan. Total contributions for the years ended December 31, 2022, 2021 and 2020 amounted to $15.7 million, $17.8 million, and $16.8 million, respectively.</w:t>
      </w:r>
    </w:p>
    <w:p>
      <w:pPr>
        <w:spacing w:after="0" w:line="11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Company contributes to a number of multiemployer defined benefit pension plans under the terms of collective-bargaining agreements that cover its union-represented employees, who are represented by more than 300 local unions. The related collective-bargaining agreements between those organizations and the Company, which specify the rate at which the Company must contribute to the multi-employer defined pension plan, expire at different times between 2023 and 2025.</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risks of participating in these multiemployer defined benefit pension plans are different from single-employer plans in the following aspects:</w:t>
      </w:r>
    </w:p>
    <w:p>
      <w:pPr>
        <w:spacing w:after="0" w:line="6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contributed to the multiemployer plan by one employer may be used to provide benefits to employees of other participating employers.</w:t>
      </w:r>
    </w:p>
    <w:p>
      <w:pPr>
        <w:spacing w:after="0" w:line="63"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a plan, the unfunded obligations of the plan may be borne by the remaining participating employers.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right="380" w:hanging="328"/>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chooses to stop participating in a multiemployer plan, it may be required to pay the plan an amount based on the underfunded status of the plan, referred to as a withdrawal liability.</w:t>
      </w:r>
    </w:p>
    <w:p>
      <w:pPr>
        <w:spacing w:after="0" w:line="94"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spacing w:after="0" w:line="9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summarizes plan information relating to the Company’s participation in multi-employer defined benefit pension plans, including company contributions for the last three years, the status under the Pension Protection Act of 2006, as amended by the Consolidated and Further Continuing Appropriations Act of 2015 (“PPA”) of the plans and whether the plans are subject to a funding improvement or rehabilitation plan, or contribution surcharges. The most recent zone status is for the plan’s year-end indicated in the table. The zone status is based on information that the Company received from the plan, as well as from publicly available information on the U.S. Department of Labor website. The PPA zone status for the plan year ended on December 31, 2022 has not been listed because Forms 5500 were not yet available. Among other factors, plans in the red “critical” zone are generally less than 65 percent funded, plans in the yellow “endangered” zone are between 65 and 80 percent funded, and plans in the green zone are at least 80 percent funded. Also listed in the table below are the Company’s contributions to defined contribution plans. Information in the table has been presented separately for individually significant plans and in the aggregate for all other plans.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Pension Fund</w:t>
            </w:r>
          </w:p>
        </w:tc>
        <w:tc>
          <w:tcPr>
            <w:tcW w:w="100" w:type="dxa"/>
            <w:vAlign w:val="bottom"/>
            <w:vMerge w:val="restart"/>
          </w:tcPr>
          <w:p>
            <w:pPr>
              <w:spacing w:after="0"/>
              <w:rPr>
                <w:sz w:val="14"/>
                <w:szCs w:val="14"/>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EIN/Pension</w:t>
            </w:r>
          </w:p>
        </w:tc>
        <w:tc>
          <w:tcPr>
            <w:tcW w:w="740" w:type="dxa"/>
            <w:vAlign w:val="bottom"/>
          </w:tcPr>
          <w:p>
            <w:pPr>
              <w:spacing w:after="0"/>
              <w:rPr>
                <w:sz w:val="14"/>
                <w:szCs w:val="14"/>
                <w:color w:val="auto"/>
              </w:rPr>
            </w:pPr>
          </w:p>
        </w:tc>
        <w:tc>
          <w:tcPr>
            <w:tcW w:w="2000" w:type="dxa"/>
            <w:vAlign w:val="bottom"/>
            <w:gridSpan w:val="6"/>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w w:val="97"/>
              </w:rPr>
              <w:t>Pension Protection Act Zone Status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7"/>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Contributions to Plan for the Year ended</w:t>
            </w: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Funding</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Surcharge</w:t>
            </w:r>
          </w:p>
        </w:tc>
        <w:tc>
          <w:tcPr>
            <w:tcW w:w="0" w:type="dxa"/>
            <w:vAlign w:val="bottom"/>
          </w:tcPr>
          <w:p>
            <w:pPr>
              <w:spacing w:after="0"/>
              <w:rPr>
                <w:sz w:val="1"/>
                <w:szCs w:val="1"/>
                <w:color w:val="auto"/>
              </w:rPr>
            </w:pPr>
          </w:p>
        </w:tc>
      </w:tr>
      <w:tr>
        <w:trPr>
          <w:trHeight w:val="176"/>
        </w:trPr>
        <w:tc>
          <w:tcPr>
            <w:tcW w:w="22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Plan Number</w:t>
            </w: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Plan</w:t>
            </w:r>
          </w:p>
        </w:tc>
        <w:tc>
          <w:tcPr>
            <w:tcW w:w="10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Imposed</w:t>
            </w:r>
          </w:p>
        </w:tc>
        <w:tc>
          <w:tcPr>
            <w:tcW w:w="0" w:type="dxa"/>
            <w:vAlign w:val="bottom"/>
          </w:tcPr>
          <w:p>
            <w:pPr>
              <w:spacing w:after="0"/>
              <w:rPr>
                <w:sz w:val="1"/>
                <w:szCs w:val="1"/>
                <w:color w:val="auto"/>
              </w:rPr>
            </w:pPr>
          </w:p>
        </w:tc>
      </w:tr>
      <w:tr>
        <w:trPr>
          <w:trHeight w:val="169"/>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Plan Year</w:t>
            </w:r>
          </w:p>
        </w:tc>
        <w:tc>
          <w:tcPr>
            <w:tcW w:w="940" w:type="dxa"/>
            <w:vAlign w:val="bottom"/>
            <w:gridSpan w:val="3"/>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Status</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2"/>
              </w:rPr>
              <w:t>Plan Year</w:t>
            </w:r>
          </w:p>
        </w:tc>
        <w:tc>
          <w:tcPr>
            <w:tcW w:w="100" w:type="dxa"/>
            <w:vAlign w:val="bottom"/>
          </w:tcPr>
          <w:p>
            <w:pPr>
              <w:spacing w:after="0"/>
              <w:rPr>
                <w:sz w:val="14"/>
                <w:szCs w:val="14"/>
                <w:color w:val="auto"/>
              </w:rPr>
            </w:pPr>
          </w:p>
        </w:tc>
        <w:tc>
          <w:tcPr>
            <w:tcW w:w="62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restart"/>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2020</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End</w:t>
            </w:r>
          </w:p>
        </w:tc>
        <w:tc>
          <w:tcPr>
            <w:tcW w:w="940" w:type="dxa"/>
            <w:vAlign w:val="bottom"/>
            <w:gridSpan w:val="3"/>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End</w:t>
            </w: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thousands)</w:t>
            </w: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Defined Benefit Plans:</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Southern California IBEW-NECA</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40,810</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39,529</w:t>
            </w:r>
          </w:p>
        </w:tc>
        <w:tc>
          <w:tcPr>
            <w:tcW w:w="120" w:type="dxa"/>
            <w:vAlign w:val="bottom"/>
          </w:tcPr>
          <w:p>
            <w:pPr>
              <w:spacing w:after="0"/>
              <w:rPr>
                <w:sz w:val="11"/>
                <w:szCs w:val="11"/>
                <w:color w:val="auto"/>
              </w:rPr>
            </w:pPr>
          </w:p>
        </w:tc>
        <w:tc>
          <w:tcPr>
            <w:tcW w:w="1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32,791</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8"/>
              </w:rPr>
              <w:t>Yes</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Pension Trust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95-6392774 001</w:t>
            </w:r>
          </w:p>
        </w:tc>
        <w:tc>
          <w:tcPr>
            <w:tcW w:w="1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Yellow</w:t>
            </w: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6/30/2021</w:t>
            </w:r>
          </w:p>
        </w:tc>
        <w:tc>
          <w:tcPr>
            <w:tcW w:w="10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Times New Roman" w:cs="Times New Roman" w:eastAsia="Times New Roman" w:hAnsi="Times New Roman"/>
                <w:sz w:val="13"/>
                <w:szCs w:val="13"/>
                <w:color w:val="auto"/>
              </w:rPr>
              <w:t>Yellow</w:t>
            </w: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8"/>
              </w:rPr>
              <w:t>6/30/2020</w:t>
            </w: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Eighth District Electrical Pension</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10,998</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8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84-6100393 001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4"/>
              </w:rPr>
              <w:t>3/31/2022</w:t>
            </w:r>
          </w:p>
        </w:tc>
        <w:tc>
          <w:tcPr>
            <w:tcW w:w="100" w:type="dxa"/>
            <w:vAlign w:val="bottom"/>
            <w:shd w:val="clear" w:color="auto" w:fill="CCEEFF"/>
          </w:tcPr>
          <w:p>
            <w:pPr>
              <w:spacing w:after="0"/>
              <w:rPr>
                <w:sz w:val="15"/>
                <w:szCs w:val="15"/>
                <w:color w:val="auto"/>
              </w:rPr>
            </w:pPr>
          </w:p>
        </w:tc>
        <w:tc>
          <w:tcPr>
            <w:tcW w:w="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8"/>
              </w:rPr>
              <w:t>3/31/2021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National Electrical Benefit Fund</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53-0181657 001</w:t>
            </w:r>
          </w:p>
        </w:tc>
        <w:tc>
          <w:tcPr>
            <w:tcW w:w="120" w:type="dxa"/>
            <w:vAlign w:val="bottom"/>
          </w:tcPr>
          <w:p>
            <w:pPr>
              <w:spacing w:after="0"/>
              <w:rPr>
                <w:sz w:val="16"/>
                <w:szCs w:val="16"/>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12/31/2021</w:t>
            </w:r>
          </w:p>
        </w:tc>
        <w:tc>
          <w:tcPr>
            <w:tcW w:w="100" w:type="dxa"/>
            <w:vAlign w:val="bottom"/>
          </w:tcPr>
          <w:p>
            <w:pPr>
              <w:spacing w:after="0"/>
              <w:rPr>
                <w:sz w:val="16"/>
                <w:szCs w:val="16"/>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10,850</w:t>
            </w:r>
          </w:p>
        </w:tc>
        <w:tc>
          <w:tcPr>
            <w:tcW w:w="100" w:type="dxa"/>
            <w:vAlign w:val="bottom"/>
          </w:tcPr>
          <w:p>
            <w:pPr>
              <w:spacing w:after="0"/>
              <w:rPr>
                <w:sz w:val="16"/>
                <w:szCs w:val="16"/>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211"/>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332 Pension Plan Part A</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94-2688032 004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7"/>
              </w:rPr>
              <w:t>12/31/2021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30"/>
        </w:trPr>
        <w:tc>
          <w:tcPr>
            <w:tcW w:w="23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IBEW Local 769 Management Pension</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5,061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3,446</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3,866</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Plan A</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86-6049763 001</w:t>
            </w:r>
          </w:p>
        </w:tc>
        <w:tc>
          <w:tcPr>
            <w:tcW w:w="120" w:type="dxa"/>
            <w:vAlign w:val="bottom"/>
          </w:tcPr>
          <w:p>
            <w:pPr>
              <w:spacing w:after="0"/>
              <w:rPr>
                <w:sz w:val="14"/>
                <w:szCs w:val="14"/>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6/30/2021</w:t>
            </w:r>
          </w:p>
        </w:tc>
        <w:tc>
          <w:tcPr>
            <w:tcW w:w="100" w:type="dxa"/>
            <w:vAlign w:val="bottom"/>
          </w:tcPr>
          <w:p>
            <w:pPr>
              <w:spacing w:after="0"/>
              <w:rPr>
                <w:sz w:val="14"/>
                <w:szCs w:val="14"/>
                <w:color w:val="auto"/>
              </w:rPr>
            </w:pPr>
          </w:p>
        </w:tc>
        <w:tc>
          <w:tcPr>
            <w:tcW w:w="940" w:type="dxa"/>
            <w:vAlign w:val="bottom"/>
            <w:gridSpan w:val="3"/>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8"/>
              </w:rPr>
              <w:t>6/30/2020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IBEW Local Union 1249 Pension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15-6035161 001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Green</w:t>
            </w:r>
          </w:p>
        </w:tc>
        <w:tc>
          <w:tcPr>
            <w:tcW w:w="960" w:type="dxa"/>
            <w:vAlign w:val="bottom"/>
            <w:gridSpan w:val="2"/>
            <w:shd w:val="clear" w:color="auto" w:fill="CCEEFF"/>
          </w:tcPr>
          <w:p>
            <w:pPr>
              <w:jc w:val="center"/>
              <w:ind w:left="37"/>
              <w:spacing w:after="0"/>
              <w:rPr>
                <w:sz w:val="20"/>
                <w:szCs w:val="20"/>
                <w:color w:val="auto"/>
              </w:rPr>
            </w:pPr>
            <w:r>
              <w:rPr>
                <w:rFonts w:ascii="Times New Roman" w:cs="Times New Roman" w:eastAsia="Times New Roman" w:hAnsi="Times New Roman"/>
                <w:sz w:val="13"/>
                <w:szCs w:val="13"/>
                <w:color w:val="auto"/>
                <w:w w:val="97"/>
              </w:rPr>
              <w:t>12/31/2021</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Green</w:t>
            </w:r>
          </w:p>
        </w:tc>
        <w:tc>
          <w:tcPr>
            <w:tcW w:w="76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7"/>
              </w:rPr>
              <w:t>12/31/2020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0" w:type="dxa"/>
            <w:vAlign w:val="bottom"/>
          </w:tcPr>
          <w:p>
            <w:pPr>
              <w:spacing w:after="0"/>
              <w:rPr>
                <w:sz w:val="1"/>
                <w:szCs w:val="1"/>
                <w:color w:val="auto"/>
              </w:rPr>
            </w:pPr>
          </w:p>
        </w:tc>
      </w:tr>
      <w:tr>
        <w:trPr>
          <w:trHeight w:val="171"/>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Defined Contribution Plans:</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National Electrical Annuity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52-6132372 001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30"/>
        </w:trPr>
        <w:tc>
          <w:tcPr>
            <w:tcW w:w="23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Eighth District Electrical Pension Fund</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5,097</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4,915</w:t>
            </w:r>
          </w:p>
        </w:tc>
        <w:tc>
          <w:tcPr>
            <w:tcW w:w="100" w:type="dxa"/>
            <w:vAlign w:val="bottom"/>
          </w:tcPr>
          <w:p>
            <w:pPr>
              <w:spacing w:after="0"/>
              <w:rPr>
                <w:sz w:val="11"/>
                <w:szCs w:val="11"/>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72"/>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Annuity Plan</w:t>
            </w: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84-6100393 002</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300" w:type="dxa"/>
            <w:vAlign w:val="bottom"/>
            <w:gridSpan w:val="2"/>
            <w:shd w:val="clear" w:color="auto" w:fill="CCEEFF"/>
          </w:tcPr>
          <w:p>
            <w:pPr>
              <w:ind w:left="20"/>
              <w:spacing w:after="0" w:line="138" w:lineRule="exact"/>
              <w:rPr>
                <w:sz w:val="20"/>
                <w:szCs w:val="20"/>
                <w:color w:val="auto"/>
              </w:rPr>
            </w:pPr>
            <w:r>
              <w:rPr>
                <w:rFonts w:ascii="Times New Roman" w:cs="Times New Roman" w:eastAsia="Times New Roman" w:hAnsi="Times New Roman"/>
                <w:sz w:val="13"/>
                <w:szCs w:val="13"/>
                <w:color w:val="auto"/>
              </w:rPr>
              <w:t>San Mateo Country Electrical</w:t>
            </w: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3,202</w:t>
            </w: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80"/>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Construction Industry Retirement Plan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51-6052127 001</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87"/>
              </w:rPr>
              <w:t>n/a</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3"/>
                <w:szCs w:val="13"/>
                <w:color w:val="auto"/>
              </w:rPr>
              <w:t>n/a</w:t>
            </w:r>
          </w:p>
        </w:tc>
        <w:tc>
          <w:tcPr>
            <w:tcW w:w="100" w:type="dxa"/>
            <w:vAlign w:val="bottom"/>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All other plans:</w:t>
            </w:r>
          </w:p>
        </w:tc>
        <w:tc>
          <w:tcPr>
            <w:tcW w:w="1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28,270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30,131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24,647</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contributions:</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155,838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121,850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446595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465955" cy="137160"/>
                    </a:xfrm>
                    <a:prstGeom prst="rect">
                      <a:avLst/>
                    </a:prstGeom>
                    <a:noFill/>
                  </pic:spPr>
                </pic:pic>
              </a:graphicData>
            </a:graphic>
          </wp:anchor>
        </w:drawing>
      </w:r>
    </w:p>
    <w:p>
      <w:pPr>
        <w:spacing w:after="0" w:line="205"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Total contributions to these plans, at any given time, correspond to the number of union employees employed and the plans in which they participate, which varies depending upon location, the number of ongoing projects and the need for union resources in connection with such projects at a given time. The PPA data presented in the table above represents data available to us for the two most recent plan years.</w:t>
      </w:r>
    </w:p>
    <w:p>
      <w:pPr>
        <w:spacing w:after="0" w:line="95"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One of the Company’s subsidiaries was listed in the Eighth District Electrical Pension Fund’s Form 5500 as providing more than five percent of the total contributions to that plan for the plan years ended March 31, 2022, 2021 and 2020 and in the IBEW local 769 Management Pension Plan A’s Form 5500 as providing more than five percent of the total contributions to that plan for the plan years ended June 30, 2021, 2020 and 2019. Another of the company’s subsidiaries was listed in the Southern California IBEW-NECA Pension Trust Fund Plan’s Form 5500 as providing more than 5 percent of the total contributions to that plan for the plan year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Information</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Performance measurement and resource allocation for the reporting segments are based on many factors. The primary financial measures used to evaluate the segment information are contract revenues and income from operations, excluding general corporate expenses. General corporate expenses include corporate facility and staffing costs, which includes safety costs, professional fees, IT expenses and management fees.</w:t>
      </w:r>
    </w:p>
    <w:p>
      <w:pPr>
        <w:spacing w:after="0" w:line="100"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Transmission and Distribution: </w:t>
      </w:r>
      <w:r>
        <w:rPr>
          <w:rFonts w:ascii="Times New Roman" w:cs="Times New Roman" w:eastAsia="Times New Roman" w:hAnsi="Times New Roman"/>
          <w:sz w:val="18"/>
          <w:szCs w:val="18"/>
          <w:color w:val="auto"/>
        </w:rPr>
        <w:t>The T&amp;D segment provides a broad range of services on electric transmission and distribution networks and substation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and clean energy projects. The T&amp;D segment also provides emergency restoration services in response to hurricane, wildfire, ice or other damage. T&amp;D customers include investor-owned utilities, cooperatives, private developers, government-funded utilities, independent power producers, independent transmission companies, industrial facility owners and other contractors.</w:t>
      </w:r>
    </w:p>
    <w:p>
      <w:pPr>
        <w:spacing w:after="0" w:line="115" w:lineRule="exact"/>
        <w:rPr>
          <w:sz w:val="20"/>
          <w:szCs w:val="20"/>
          <w:color w:val="auto"/>
        </w:rPr>
      </w:pPr>
    </w:p>
    <w:p>
      <w:pPr>
        <w:jc w:val="both"/>
        <w:ind w:right="60" w:firstLine="32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Commercial and Industrial: </w:t>
      </w:r>
      <w:r>
        <w:rPr>
          <w:rFonts w:ascii="Times New Roman" w:cs="Times New Roman" w:eastAsia="Times New Roman" w:hAnsi="Times New Roman"/>
          <w:sz w:val="17"/>
          <w:szCs w:val="17"/>
          <w:color w:val="auto"/>
        </w:rPr>
        <w:t>The C&amp;I segment provides services such as the design, installation, maintenance and repair of commercial and industrial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wiring, the installation of intelligent transportation systems, roadway lighting and signalization.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1,745,792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1,301,587</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1,154,378</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1,262,750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1,196,702</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1,093,014</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3,008,542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2,498,289</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2,247,392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138,886</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520" w:firstLine="324"/>
        <w:spacing w:after="0" w:line="266" w:lineRule="auto"/>
        <w:rPr>
          <w:sz w:val="20"/>
          <w:szCs w:val="20"/>
          <w:color w:val="auto"/>
        </w:rPr>
      </w:pPr>
      <w:r>
        <w:rPr>
          <w:rFonts w:ascii="Times New Roman" w:cs="Times New Roman" w:eastAsia="Times New Roman" w:hAnsi="Times New Roman"/>
          <w:sz w:val="18"/>
          <w:szCs w:val="18"/>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for each segment are as follows as of December 31: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303,685</w:t>
            </w:r>
          </w:p>
        </w:tc>
      </w:tr>
      <w:tr>
        <w:trPr>
          <w:trHeight w:val="243"/>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408,896</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408,511</w:t>
            </w:r>
          </w:p>
        </w:tc>
      </w:tr>
      <w:tr>
        <w:trPr>
          <w:trHeight w:val="237"/>
        </w:trPr>
        <w:tc>
          <w:tcPr>
            <w:tcW w:w="8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1,398,858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1,121,092</w:t>
            </w: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allocation of total depreciation, including depreciation of shared construction equipment, and amortization to each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38,668</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and 2021, there were $146.1 million and $23.1 million, respectively, of identifiable assets attributable to Canadian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Earnings Per Share</w:t>
      </w:r>
    </w:p>
    <w:p>
      <w:pPr>
        <w:spacing w:after="0" w:line="14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attributable to MYR Group Inc. are computed by dividing net income attributable to MYR Group Inc. by the weighted average number of common shares outstanding during the period. Diluted earnings per share attributable to MYR Group Inc. are computed by dividing net income attributable to MYR Group Inc. by the weighted average number of common shares outstanding during the period plus all potentially dilutive common stock equivalents, except in cases where the effect of the common stock equivalent would be anti-dilutive.</w:t>
      </w:r>
    </w:p>
    <w:p>
      <w:pPr>
        <w:spacing w:after="0" w:line="116"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Net income attributable to MYR Group Inc. and the weighted average number of common shares used to compute basic and diluted earnings per share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1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37"/>
        </w:trPr>
        <w:tc>
          <w:tcPr>
            <w:tcW w:w="7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attributable to MYR Group Inc.</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83,381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85,010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58,759</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64"/>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17,161</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16,890</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MYR Group Inc.:</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2022, 2021 and 2020, certain common stock equivalents were excluded from the calculation of dilutive securities because their inclusion would either have been anti-dilutive or, for stock options, the exercise prices of those stock options were greater than the average market price of the Company’s common stock for the period. All of the Company’s non-participating unvested restricted shares were included in the computation of weighted average dilutive securities. The following table summarizes the shares of common stock underlying the Company’s unvested performance awards that were excluded from the calculation of dilutive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37"/>
        </w:trPr>
        <w:tc>
          <w:tcPr>
            <w:tcW w:w="7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37"/>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9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7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November 2, 2022, the Company announced that its Board of Directors had authorized a new $75.0 million share repurchase program (the "Repurchase Program") which became effective on November 8, 2022. The Repurchase Program will expire on May 8, 2023, or when the authorized funds are exhausted, whichever is earlier. The Company’s prior $75.0 million repurchase program that commenced on May 5, 2022 expired on November 7,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During 2022 the Company repurchased 442,167 shares of its common stock under its repurchase programs at a weighted-average price of $83.64 per share. All of the shares repurchased were retired. The shares repurchased resulted in no change to authorized shares and an increase to unissued shares. As of December 31, 2022, the Company had $75.0 million of remaining availability to repurchase shares of the Company’s common stock under the Repurchase Program.</w:t>
      </w:r>
    </w:p>
    <w:p>
      <w:pPr>
        <w:spacing w:after="0" w:line="9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2022 and 2021, the Company repurchased 68,675 and 51,113 shares of stock, respectively, for approximately $6.8 million and $3.4 million, respectively, from its employees to satisfy tax obligations on shares vested under the Long-Term Incentive Plans. All of the shares repurchased were retired and returned to authorized but unissued stock.</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the reports we file or submit pursuant to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9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Management, together with our Chief Executive Officer and Chief Financial Officer, has evaluated the effectiveness of our disclosure controls and procedures (as defined in Exchange Act Rules 13a-15(e) and 15d-15(e)) as of the end of the period covered by this Annual Report on Form 10-K. Based upon that evaluation, the Chief Executive Officer and Chief Financial Officer concluded that our disclosure controls and procedures were effective and provided reasonable assurance related to the matters stated in the above paragraph as of December 31, 2022.</w:t>
      </w:r>
    </w:p>
    <w:p>
      <w:pPr>
        <w:spacing w:after="0" w:line="11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completed our acquisition of the Powerline Plus Companies on January 4, 2022 and have not yet included the Powerline Plus Companies in our assessment of the effectiveness of our internal control over financial reporting. We are currently integrating the Powerline Plus Companies into our operations, compliance programs and internal control processes. Accordingly, pursuant to the SEC's general guidance that an assessment of a recently acquired business may be omitted from the scope of an assessment in the year of acquisition, the scope of our assessment of the effectiveness of our disclosure controls and procedures does not include the Powerline Plus Companies. As of December 31, 2022, the Powerline Plus Companies represented a total of approximately 3.2% and 1.1% of out of scope total assets and net assets, respectively, and 2.6% and 6.7% of contract revenues and out of scope income before income taxes, respectively, for the year then 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Internal Control over Financial Reporting</w:t>
      </w:r>
    </w:p>
    <w:p>
      <w:pPr>
        <w:spacing w:after="0" w:line="16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set forth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(2013) issued by the Committee of Sponsoring Organizations of the Treadway Commission. Based on this evaluation,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management has concluded that our internal control over financial reporting was effective, as of December 31, 2022, in providing reasonable assurance regarding the reliability of financial reporting and the preparation of financial statements for external reporting purposes in accordance with GAAP. Management’s annual report on internal control over financial reporting is included in “Item 8. Financial Statements and Supplementary Data” of this Annual Report on Form 10-K.</w:t>
      </w:r>
    </w:p>
    <w:p>
      <w:pPr>
        <w:spacing w:after="0" w:line="111"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2022, management’s assessment of our internal control over financial reporting excluded the internal control over financial reporting of the Powerline Plus Companies, which was acquired on January 4, 2022. Pursuant to the SEC’s general guidance that a recently acquired business may be omitted from the scope of an assessment in the year of the acquisition, the scope of our assessment does not include the Powerline Plus Companies. As of December 31, 2022, the Powerline Plus Companies represented a total of approximately 3.2% and 1.1% of out of scope total assets and net assets, respectively, and 2.6% and 6.7% of contract revenues and out of scope income before income taxes, respectively, for the year then ended.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In addition, Crowe LLP, an independent registered public accounting firm, audited and reported on the 2022 Financial Statements included in this Annual Report on Form 10-K, and has issued an attestation report on our internal control over financial reporting. The report is included in “Item 8. Financial Statements and Supplementary Data”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4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fourth quarter ended December 31, 2022 that have materially affected, or that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 over financial reporting will detect or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8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2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Information required by this Item 10 related to our directors is incorporated by reference to the information to be included under “Proposal 1. Election of Three Class I Director Nominees for Three-Year Terms” of our definitive Proxy Statement for our Annual Meeting of Shareholders scheduled expected to be held April 20, 2023 (the “2023 Proxy Statement”). Information regarding the procedures by which our shareholders may recommend nominees to our Board of Directors is incorporated by reference to the information to be included under the heading “Nominating, Environmental, Social and Corporate Governance Committee Matters and “2024 Annual Meeting of Shareholders” in the 2023 Proxy Statement. There were no material changes to the procedures by which security holders may recommend nominees to our board of directors in 2022. Information about our Audit Committee, including its members, and our Audit Committee financial experts, is incorporated by reference to the information to be included under the headings “Corporate Governance—Committee Membership and Meeting Attendance” and “Audit Committee Matters” in the 2023 Proxy Statement. Information related to our executive officers is contained in the section entitled “Information about our Executive Officers” in Part I of this Annual Report on Form 10-K.</w:t>
      </w:r>
    </w:p>
    <w:p>
      <w:pPr>
        <w:spacing w:after="0" w:line="8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ethics that applies to all of our directors, officers and other employees, including our principal executive officer, principal financial officer and principal accounting officer. This code is publicly available on our website at </w:t>
      </w:r>
      <w:r>
        <w:rPr>
          <w:rFonts w:ascii="Times New Roman" w:cs="Times New Roman" w:eastAsia="Times New Roman" w:hAnsi="Times New Roman"/>
          <w:sz w:val="18"/>
          <w:szCs w:val="18"/>
          <w:i w:val="1"/>
          <w:iCs w:val="1"/>
          <w:color w:val="auto"/>
        </w:rPr>
        <w:t>www.myrgroup.com</w:t>
      </w:r>
      <w:r>
        <w:rPr>
          <w:rFonts w:ascii="Times New Roman" w:cs="Times New Roman" w:eastAsia="Times New Roman" w:hAnsi="Times New Roman"/>
          <w:sz w:val="18"/>
          <w:szCs w:val="18"/>
          <w:color w:val="auto"/>
        </w:rPr>
        <w:t>. Amendments to the code of ethics or any grant of a waiver from a provision of the code that applies to our principal executive officer, principal financial officer and principal accounting officer requiring disclosure under applicable SEC and Nasdaq Stock Market rules will be disclosed on our website. The information on our website is not a part of this Annual Report on Form 10-K or incorporated into any other filings we make with the SEC.</w:t>
      </w:r>
    </w:p>
    <w:p>
      <w:pPr>
        <w:spacing w:after="0" w:line="17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is incorporated by reference to the information to be included in the 2023 Proxy Statement under the headings “Proposal 1. Election of Three Class I Director Nominees for Three-Year Terms - Non Employee Director Compensation,” “Compensation Discussion and Analysis,” “Executive Compensation Tables” and “Compensation Committee Matters”.</w:t>
      </w:r>
    </w:p>
    <w:p>
      <w:pPr>
        <w:spacing w:after="0" w:line="172" w:lineRule="exact"/>
        <w:rPr>
          <w:sz w:val="20"/>
          <w:szCs w:val="20"/>
          <w:color w:val="auto"/>
        </w:rPr>
      </w:pPr>
    </w:p>
    <w:p>
      <w:pPr>
        <w:ind w:right="2600"/>
        <w:spacing w:after="0" w:line="401"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Owners and Management and Related Shareholder Matters </w:t>
      </w:r>
      <w:r>
        <w:rPr>
          <w:rFonts w:ascii="Times New Roman" w:cs="Times New Roman" w:eastAsia="Times New Roman" w:hAnsi="Times New Roman"/>
          <w:sz w:val="18"/>
          <w:szCs w:val="18"/>
          <w:b w:val="1"/>
          <w:bCs w:val="1"/>
          <w:i w:val="1"/>
          <w:iCs w:val="1"/>
          <w:color w:val="auto"/>
        </w:rPr>
        <w:t>Equity Compensation Plan Information</w:t>
      </w:r>
    </w:p>
    <w:p>
      <w:pPr>
        <w:spacing w:after="0" w:line="1"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our 2007 Long-Term Incentive Plan (Amended and Restated as of May 1, 2014) (the “2007 Plan”) and our 2017 Long-Term Incentive Plan (Amended and Restated as of April 23, 2020) (the “LTIP”) as of December 31, 2022. At December 31, 2022, our only active equity compensation plan was the LTIP.</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640" w:type="dxa"/>
            <w:vAlign w:val="bottom"/>
          </w:tcPr>
          <w:p>
            <w:pPr>
              <w:spacing w:after="0"/>
              <w:rPr>
                <w:sz w:val="16"/>
                <w:szCs w:val="16"/>
                <w:color w:val="auto"/>
              </w:rPr>
            </w:pPr>
          </w:p>
        </w:tc>
        <w:tc>
          <w:tcPr>
            <w:tcW w:w="456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1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4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4560" w:type="dxa"/>
            <w:vAlign w:val="bottom"/>
            <w:vMerge w:val="restart"/>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920" w:type="dxa"/>
            <w:vAlign w:val="bottom"/>
          </w:tcPr>
          <w:p>
            <w:pPr>
              <w:spacing w:after="0"/>
              <w:rPr>
                <w:sz w:val="15"/>
                <w:szCs w:val="15"/>
                <w:color w:val="auto"/>
              </w:rPr>
            </w:pPr>
          </w:p>
        </w:tc>
        <w:tc>
          <w:tcPr>
            <w:tcW w:w="17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456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456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1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4560" w:type="dxa"/>
            <w:vAlign w:val="bottom"/>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1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15"/>
                <w:szCs w:val="15"/>
                <w:color w:val="auto"/>
              </w:rPr>
            </w:pPr>
          </w:p>
        </w:tc>
        <w:tc>
          <w:tcPr>
            <w:tcW w:w="4560" w:type="dxa"/>
            <w:vAlign w:val="bottom"/>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 outstanding</w:t>
            </w:r>
          </w:p>
        </w:tc>
        <w:tc>
          <w:tcPr>
            <w:tcW w:w="172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(excluding shares</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4560" w:type="dxa"/>
            <w:vAlign w:val="bottom"/>
          </w:tcPr>
          <w:p>
            <w:pPr>
              <w:jc w:val="center"/>
              <w:ind w:left="2128"/>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9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4560" w:type="dxa"/>
            <w:vAlign w:val="bottom"/>
          </w:tcPr>
          <w:p>
            <w:pPr>
              <w:jc w:val="center"/>
              <w:ind w:left="214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9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72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column(a))</w:t>
            </w:r>
          </w:p>
        </w:tc>
        <w:tc>
          <w:tcPr>
            <w:tcW w:w="0" w:type="dxa"/>
            <w:vAlign w:val="bottom"/>
          </w:tcPr>
          <w:p>
            <w:pPr>
              <w:spacing w:after="0"/>
              <w:rPr>
                <w:sz w:val="1"/>
                <w:szCs w:val="1"/>
                <w:color w:val="auto"/>
              </w:rPr>
            </w:pPr>
          </w:p>
        </w:tc>
      </w:tr>
      <w:tr>
        <w:trPr>
          <w:trHeight w:val="204"/>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560" w:type="dxa"/>
            <w:vAlign w:val="bottom"/>
          </w:tcPr>
          <w:p>
            <w:pPr>
              <w:jc w:val="center"/>
              <w:ind w:left="216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7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407,869</w:t>
            </w:r>
          </w:p>
        </w:tc>
      </w:tr>
      <w:tr>
        <w:trPr>
          <w:trHeight w:val="27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407,869</w:t>
            </w:r>
          </w:p>
        </w:tc>
      </w:tr>
      <w:tr>
        <w:trPr>
          <w:trHeight w:val="20"/>
        </w:trPr>
        <w:tc>
          <w:tcPr>
            <w:tcW w:w="50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96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tabs>
          <w:tab w:leader="none" w:pos="420" w:val="left"/>
          <w:tab w:leader="none" w:pos="156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24.68</w:t>
      </w:r>
    </w:p>
    <w:p>
      <w:pPr>
        <w:spacing w:after="0" w:line="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7"/>
          <w:szCs w:val="17"/>
          <w:color w:val="auto"/>
        </w:rPr>
        <w:t>24.68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67310</wp:posOffset>
            </wp:positionV>
            <wp:extent cx="10369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591,881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591,881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60325</wp:posOffset>
            </wp:positionV>
            <wp:extent cx="10541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541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9" w:lineRule="exact"/>
        <w:rPr>
          <w:sz w:val="20"/>
          <w:szCs w:val="20"/>
          <w:color w:val="auto"/>
        </w:rPr>
      </w:pPr>
    </w:p>
    <w:p>
      <w:pPr>
        <w:sectPr>
          <w:pgSz w:w="11900" w:h="16838" w:orient="portrait"/>
          <w:cols w:equalWidth="0" w:num="5">
            <w:col w:w="6720" w:space="20"/>
            <w:col w:w="1980" w:space="100"/>
            <w:col w:w="700" w:space="720"/>
            <w:col w:w="600" w:space="80"/>
            <w:col w:w="320"/>
          </w:cols>
          <w:pgMar w:left="320" w:top="13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3" w:lineRule="exact"/>
        <w:rPr>
          <w:sz w:val="20"/>
          <w:szCs w:val="20"/>
          <w:color w:val="auto"/>
        </w:rPr>
      </w:pPr>
    </w:p>
    <w:p>
      <w:pPr>
        <w:jc w:val="both"/>
        <w:ind w:left="340" w:hanging="332"/>
        <w:spacing w:after="0" w:line="261" w:lineRule="auto"/>
        <w:tabs>
          <w:tab w:leader="none" w:pos="40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869 shares subject to outstanding option awards granted under the 2007 Plan, (ii) 304,384 shares subject to outstanding performance share awards granted in 2020, 2021 and 2022 under the LTIP (actual performance for 2020 which vested on December 31, 2022 and were issued on February 15, 2023 and assumes maximum performance for 2021 and 2022) and (iii) 102,616 shares subject to outstanding restricted stock units granted under the LTIP.</w:t>
      </w:r>
    </w:p>
    <w:p>
      <w:pPr>
        <w:spacing w:after="0" w:line="17" w:lineRule="exact"/>
        <w:rPr>
          <w:rFonts w:ascii="Times New Roman" w:cs="Times New Roman" w:eastAsia="Times New Roman" w:hAnsi="Times New Roman"/>
          <w:sz w:val="18"/>
          <w:szCs w:val="18"/>
          <w:color w:val="auto"/>
        </w:rPr>
      </w:pPr>
    </w:p>
    <w:p>
      <w:pPr>
        <w:ind w:left="340" w:right="180" w:hanging="332"/>
        <w:spacing w:after="0" w:line="312" w:lineRule="auto"/>
        <w:tabs>
          <w:tab w:leader="none" w:pos="402"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weighted-average exercise price in this column includes only option awards because the shares underlying other outstanding awards will be issued upon vesting or satisfaction of relevant performance criteria or time-based conditions without any cash consideration payable for those shares.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securities remaining available for future issuance under our LTIP. No further awards will be granted under the 2007 Plan.</w:t>
      </w:r>
    </w:p>
    <w:p>
      <w:pPr>
        <w:spacing w:after="0" w:line="117"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Other information required by this Item 12 is incorporated by reference to the information to be included in the 2023 Proxy Statement under the headings “Ownership of Equity Securities.”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62" w:lineRule="exact"/>
        <w:rPr>
          <w:sz w:val="20"/>
          <w:szCs w:val="20"/>
          <w:color w:val="auto"/>
        </w:rPr>
      </w:pPr>
    </w:p>
    <w:p>
      <w:pPr>
        <w:ind w:right="6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incorporated by reference to the information to be included in the 2023 Proxy Statement under the headings “Certain Relationships and Related Person Transactions” and “Corporate Governance — Director Independence.”</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4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is incorporated by reference to the information to be included in the 2023 Proxy Statement under the heading “Audit Committee Matters.”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84" w:name="page85"/>
    <w:bookmarkEnd w:id="8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 and Financial Statement Schedules</w:t>
      </w:r>
    </w:p>
    <w:p>
      <w:pPr>
        <w:spacing w:after="0" w:line="162" w:lineRule="exact"/>
        <w:rPr>
          <w:sz w:val="20"/>
          <w:szCs w:val="20"/>
          <w:color w:val="auto"/>
        </w:rPr>
      </w:pPr>
    </w:p>
    <w:p>
      <w:pPr>
        <w:ind w:left="700" w:hanging="287"/>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part of this Report</w:t>
      </w:r>
    </w:p>
    <w:p>
      <w:pPr>
        <w:spacing w:after="0" w:line="144" w:lineRule="exact"/>
        <w:rPr>
          <w:rFonts w:ascii="Times New Roman" w:cs="Times New Roman" w:eastAsia="Times New Roman" w:hAnsi="Times New Roman"/>
          <w:sz w:val="18"/>
          <w:szCs w:val="18"/>
          <w:color w:val="auto"/>
        </w:rPr>
      </w:pPr>
    </w:p>
    <w:p>
      <w:pPr>
        <w:ind w:left="1120" w:hanging="383"/>
        <w:spacing w:after="0"/>
        <w:tabs>
          <w:tab w:leader="none" w:pos="11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are filed herewith in Item 8 of Part II above.</w:t>
      </w:r>
    </w:p>
    <w:p>
      <w:pPr>
        <w:spacing w:after="0" w:line="157"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Management</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Firms</w:t>
      </w:r>
    </w:p>
    <w:p>
      <w:pPr>
        <w:spacing w:after="0" w:line="144"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Balance Sheets</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w:t>
      </w:r>
    </w:p>
    <w:p>
      <w:pPr>
        <w:spacing w:after="0" w:line="157"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w:t>
      </w:r>
    </w:p>
    <w:p>
      <w:pPr>
        <w:spacing w:after="0" w:line="144"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Shareholders’ Equity</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Cash Flows</w:t>
      </w:r>
    </w:p>
    <w:p>
      <w:pPr>
        <w:spacing w:after="0" w:line="157"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Financial Statements</w:t>
      </w:r>
    </w:p>
    <w:p>
      <w:pPr>
        <w:spacing w:after="0" w:line="144" w:lineRule="exact"/>
        <w:rPr>
          <w:rFonts w:ascii="Times New Roman" w:cs="Times New Roman" w:eastAsia="Times New Roman" w:hAnsi="Times New Roman"/>
          <w:sz w:val="18"/>
          <w:szCs w:val="18"/>
          <w:color w:val="auto"/>
        </w:rPr>
      </w:pPr>
    </w:p>
    <w:p>
      <w:pPr>
        <w:ind w:left="760" w:hanging="347"/>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5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other supplemental schedules are omitted because of the absence of conditions under which they are required, or the required information is shown in the notes to the Financial Statements.</w:t>
      </w:r>
    </w:p>
    <w:p>
      <w:pPr>
        <w:spacing w:after="0" w:line="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Exhibit List</w:t>
      </w:r>
    </w:p>
    <w:p>
      <w:pPr>
        <w:spacing w:after="0" w:line="140"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380"/>
        <w:spacing w:after="0"/>
        <w:tabs>
          <w:tab w:leader="none" w:pos="1080" w:val="left"/>
        </w:tabs>
        <w:rPr>
          <w:rFonts w:ascii="Times New Roman" w:cs="Times New Roman" w:eastAsia="Times New Roman" w:hAnsi="Times New Roman"/>
          <w:sz w:val="17"/>
          <w:szCs w:val="17"/>
          <w:u w:val="single" w:color="auto"/>
          <w:color w:val="0000FF"/>
        </w:rPr>
      </w:pPr>
      <w:hyperlink r:id="rId131">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31">
        <w:r>
          <w:rPr>
            <w:rFonts w:ascii="Times New Roman" w:cs="Times New Roman" w:eastAsia="Times New Roman" w:hAnsi="Times New Roman"/>
            <w:sz w:val="17"/>
            <w:szCs w:val="17"/>
            <w:u w:val="single" w:color="auto"/>
            <w:color w:val="0000FF"/>
          </w:rPr>
          <w:t>Restated Certificate of Incorporation, incorporated by reference to exhibit 3.1 of the Company’s Current Report on Form 8-K (File No. 001-</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08325), filed with the SEC on May 7, 2014</w:t>
        </w:r>
      </w:hyperlink>
    </w:p>
    <w:p>
      <w:pPr>
        <w:spacing w:after="0" w:line="45" w:lineRule="exact"/>
        <w:rPr>
          <w:sz w:val="20"/>
          <w:szCs w:val="20"/>
          <w:color w:val="auto"/>
        </w:rPr>
      </w:pPr>
    </w:p>
    <w:p>
      <w:pPr>
        <w:ind w:left="380"/>
        <w:spacing w:after="0"/>
        <w:tabs>
          <w:tab w:leader="none" w:pos="1080" w:val="left"/>
        </w:tabs>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32">
        <w:r>
          <w:rPr>
            <w:rFonts w:ascii="Times New Roman" w:cs="Times New Roman" w:eastAsia="Times New Roman" w:hAnsi="Times New Roman"/>
            <w:sz w:val="17"/>
            <w:szCs w:val="17"/>
            <w:u w:val="single" w:color="auto"/>
            <w:color w:val="0000FF"/>
          </w:rPr>
          <w:t>Amended and Restated By-Laws, incorporated by reference to exhibit 3.1 of the Company’s Current Report on Form 8-K (File No. 001-</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08325), filed with the SEC on December 22, 2015</w:t>
        </w:r>
      </w:hyperlink>
    </w:p>
    <w:p>
      <w:pPr>
        <w:spacing w:after="0" w:line="45" w:lineRule="exact"/>
        <w:rPr>
          <w:sz w:val="20"/>
          <w:szCs w:val="20"/>
          <w:color w:val="auto"/>
        </w:rPr>
      </w:pPr>
    </w:p>
    <w:p>
      <w:pPr>
        <w:ind w:left="1100" w:right="320" w:hanging="717"/>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33">
        <w:r>
          <w:rPr>
            <w:rFonts w:ascii="Times New Roman" w:cs="Times New Roman" w:eastAsia="Times New Roman" w:hAnsi="Times New Roman"/>
            <w:sz w:val="18"/>
            <w:szCs w:val="18"/>
            <w:u w:val="single" w:color="auto"/>
            <w:color w:val="0000FF"/>
          </w:rPr>
          <w:t>Specimen Common Stock Certificate, incorporated by reference to exhibit 4.2 of the Company’s Registration Statement on Form S-1/A</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(File No. 333-148864), filed with the SEC on July 14, 2008</w:t>
        </w:r>
      </w:hyperlink>
    </w:p>
    <w:p>
      <w:pPr>
        <w:spacing w:after="0" w:line="1" w:lineRule="exact"/>
        <w:rPr>
          <w:rFonts w:ascii="Times New Roman" w:cs="Times New Roman" w:eastAsia="Times New Roman" w:hAnsi="Times New Roman"/>
          <w:sz w:val="18"/>
          <w:szCs w:val="18"/>
          <w:u w:val="single" w:color="auto"/>
          <w:color w:val="0000FF"/>
        </w:rPr>
      </w:pPr>
    </w:p>
    <w:p>
      <w:pPr>
        <w:ind w:left="1100" w:right="540" w:hanging="717"/>
        <w:spacing w:after="0" w:line="273" w:lineRule="auto"/>
        <w:tabs>
          <w:tab w:leader="none" w:pos="1080" w:val="left"/>
        </w:tabs>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4.2</w:t>
        </w:r>
      </w:hyperlink>
      <w:r>
        <w:rPr>
          <w:rFonts w:ascii="Times New Roman" w:cs="Times New Roman" w:eastAsia="Times New Roman" w:hAnsi="Times New Roman"/>
          <w:sz w:val="18"/>
          <w:szCs w:val="18"/>
          <w:u w:val="single" w:color="auto"/>
          <w:color w:val="0000FF"/>
        </w:rPr>
        <w:tab/>
      </w:r>
      <w:hyperlink r:id="rId134">
        <w:r>
          <w:rPr>
            <w:rFonts w:ascii="Times New Roman" w:cs="Times New Roman" w:eastAsia="Times New Roman" w:hAnsi="Times New Roman"/>
            <w:sz w:val="18"/>
            <w:szCs w:val="18"/>
            <w:u w:val="single" w:color="auto"/>
            <w:color w:val="0000FF"/>
          </w:rPr>
          <w:t>Description of Securities incorporated by reference to exhibit 4.2 of the Company’s Annual Report on Form 10-K for the year ended</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December 31, 2019 (File No. 001-08325), filed with the SEC on March 4, 2020</w:t>
        </w:r>
      </w:hyperlink>
    </w:p>
    <w:p>
      <w:pPr>
        <w:spacing w:after="0" w:line="2" w:lineRule="exact"/>
        <w:rPr>
          <w:rFonts w:ascii="Times New Roman" w:cs="Times New Roman" w:eastAsia="Times New Roman" w:hAnsi="Times New Roman"/>
          <w:sz w:val="18"/>
          <w:szCs w:val="18"/>
          <w:u w:val="single" w:color="auto"/>
          <w:color w:val="0000FF"/>
        </w:rPr>
      </w:pPr>
    </w:p>
    <w:p>
      <w:pPr>
        <w:ind w:left="1100" w:right="10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35">
        <w:r>
          <w:rPr>
            <w:rFonts w:ascii="Times New Roman" w:cs="Times New Roman" w:eastAsia="Times New Roman" w:hAnsi="Times New Roman"/>
            <w:sz w:val="18"/>
            <w:szCs w:val="18"/>
            <w:u w:val="single" w:color="auto"/>
            <w:color w:val="0000FF"/>
          </w:rPr>
          <w:t>MYR Group Inc. 2007 Long-Term Incentive Plan (Amended and Restated as of May 1, 2014), incorporated by reference to exhibit 10.1 of</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 xml:space="preserve">the Company’s </w:t>
        </w:r>
      </w:hyperlink>
      <w:hyperlink r:id="rId131">
        <w:r>
          <w:rPr>
            <w:rFonts w:ascii="Times New Roman" w:cs="Times New Roman" w:eastAsia="Times New Roman" w:hAnsi="Times New Roman"/>
            <w:sz w:val="18"/>
            <w:szCs w:val="18"/>
            <w:u w:val="single" w:color="auto"/>
            <w:color w:val="0000FF"/>
          </w:rPr>
          <w:t xml:space="preserve">Current Report on </w:t>
        </w:r>
      </w:hyperlink>
      <w:hyperlink r:id="rId135">
        <w:r>
          <w:rPr>
            <w:rFonts w:ascii="Times New Roman" w:cs="Times New Roman" w:eastAsia="Times New Roman" w:hAnsi="Times New Roman"/>
            <w:sz w:val="18"/>
            <w:szCs w:val="18"/>
            <w:u w:val="single" w:color="auto"/>
            <w:color w:val="0000FF"/>
          </w:rPr>
          <w:t>Form 8-K (File No. 001-08325), filed with the SEC on May 7, 2014+</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100" w:hanging="762"/>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136">
        <w:r>
          <w:rPr>
            <w:rFonts w:ascii="Times New Roman" w:cs="Times New Roman" w:eastAsia="Times New Roman" w:hAnsi="Times New Roman"/>
            <w:sz w:val="18"/>
            <w:szCs w:val="18"/>
            <w:u w:val="single" w:color="auto"/>
            <w:color w:val="0000FF"/>
          </w:rPr>
          <w:t>Form of Named Executive Officer Nonqualified Stock Option Award under the 2007 Long-Term Incentive Plan, incorporated by reference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to exhibit 10.1 of the Company’s Quarterly Report on Form 10-Q for the quarter ended March 31, 2010 (File No. 001-08325), filed with the</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SEC on May 10, 2010+</w:t>
        </w:r>
      </w:hyperlink>
    </w:p>
    <w:p>
      <w:pPr>
        <w:spacing w:after="0" w:line="14" w:lineRule="exact"/>
        <w:rPr>
          <w:rFonts w:ascii="Times New Roman" w:cs="Times New Roman" w:eastAsia="Times New Roman" w:hAnsi="Times New Roman"/>
          <w:sz w:val="18"/>
          <w:szCs w:val="18"/>
          <w:u w:val="single" w:color="auto"/>
          <w:color w:val="0000FF"/>
        </w:rPr>
      </w:pPr>
    </w:p>
    <w:p>
      <w:pPr>
        <w:ind w:left="1100" w:hanging="762"/>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37">
        <w:r>
          <w:rPr>
            <w:rFonts w:ascii="Times New Roman" w:cs="Times New Roman" w:eastAsia="Times New Roman" w:hAnsi="Times New Roman"/>
            <w:sz w:val="18"/>
            <w:szCs w:val="18"/>
            <w:u w:val="single" w:color="auto"/>
            <w:color w:val="0000FF"/>
          </w:rPr>
          <w:t>Form of Employment Agreement, dated March 11, 2010, between the Registrant and Executive Officer, incorporated by reference to exhibit</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10.5 of the Company’s Quarterly Report on Form 10-Q for the quarter ended March 31, 2010 (File No. 001-08325), filed with the SEC on</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May 10, 2010+</w:t>
        </w:r>
      </w:hyperlink>
    </w:p>
    <w:p>
      <w:pPr>
        <w:spacing w:after="0" w:line="14" w:lineRule="exact"/>
        <w:rPr>
          <w:rFonts w:ascii="Times New Roman" w:cs="Times New Roman" w:eastAsia="Times New Roman" w:hAnsi="Times New Roman"/>
          <w:sz w:val="18"/>
          <w:szCs w:val="18"/>
          <w:u w:val="single" w:color="auto"/>
          <w:color w:val="0000FF"/>
        </w:rPr>
      </w:pPr>
    </w:p>
    <w:p>
      <w:pPr>
        <w:ind w:left="1100" w:right="8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138">
        <w:r>
          <w:rPr>
            <w:rFonts w:ascii="Times New Roman" w:cs="Times New Roman" w:eastAsia="Times New Roman" w:hAnsi="Times New Roman"/>
            <w:sz w:val="18"/>
            <w:szCs w:val="18"/>
            <w:u w:val="single" w:color="auto"/>
            <w:color w:val="0000FF"/>
          </w:rPr>
          <w:t>Form of Indemnification Agreement for Directors and Officers, incorporated by reference to exhibit 10.1 of the Company’s Current Report</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on Form 8-K (File No. 001-08325), filed with the SEC on May 11, 2011+</w:t>
        </w:r>
      </w:hyperlink>
    </w:p>
    <w:p>
      <w:pPr>
        <w:spacing w:after="0" w:line="1" w:lineRule="exact"/>
        <w:rPr>
          <w:rFonts w:ascii="Times New Roman" w:cs="Times New Roman" w:eastAsia="Times New Roman" w:hAnsi="Times New Roman"/>
          <w:sz w:val="18"/>
          <w:szCs w:val="18"/>
          <w:u w:val="single" w:color="auto"/>
          <w:color w:val="0000FF"/>
        </w:rPr>
      </w:pPr>
    </w:p>
    <w:p>
      <w:pPr>
        <w:ind w:left="110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139">
        <w:r>
          <w:rPr>
            <w:rFonts w:ascii="Times New Roman" w:cs="Times New Roman" w:eastAsia="Times New Roman" w:hAnsi="Times New Roman"/>
            <w:sz w:val="18"/>
            <w:szCs w:val="18"/>
            <w:u w:val="single" w:color="auto"/>
            <w:color w:val="0000FF"/>
          </w:rPr>
          <w:t>MYR Group Senior Management Incentive Plan, Amended and Restated as of May 1, 2014, incorporated by reference to exhibit 10.2 of the</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Company’s Current Report on Form 8-K (File No. 001-08325), filed with the SEC on May 7, 2014+</w:t>
        </w:r>
      </w:hyperlink>
    </w:p>
    <w:p>
      <w:pPr>
        <w:spacing w:after="0" w:line="1" w:lineRule="exact"/>
        <w:rPr>
          <w:rFonts w:ascii="Times New Roman" w:cs="Times New Roman" w:eastAsia="Times New Roman" w:hAnsi="Times New Roman"/>
          <w:sz w:val="18"/>
          <w:szCs w:val="18"/>
          <w:u w:val="single" w:color="auto"/>
          <w:color w:val="0000FF"/>
        </w:rPr>
      </w:pPr>
    </w:p>
    <w:p>
      <w:pPr>
        <w:ind w:left="1100" w:right="20" w:hanging="762"/>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140">
        <w:r>
          <w:rPr>
            <w:rFonts w:ascii="Times New Roman" w:cs="Times New Roman" w:eastAsia="Times New Roman" w:hAnsi="Times New Roman"/>
            <w:sz w:val="18"/>
            <w:szCs w:val="18"/>
            <w:u w:val="single" w:color="auto"/>
            <w:color w:val="0000FF"/>
          </w:rPr>
          <w:t>Employment agreement with Betty R. Johnson, incorporated by reference to exhibit 10.1 of the Company’s Quarterly Report on Form 10-Q</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for the quarter ended September 30, 2015 (File No. 001-08325), filed with the SEC on November 4, 2015+</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100" w:right="300" w:hanging="762"/>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141">
        <w:r>
          <w:rPr>
            <w:rFonts w:ascii="Times New Roman" w:cs="Times New Roman" w:eastAsia="Times New Roman" w:hAnsi="Times New Roman"/>
            <w:sz w:val="18"/>
            <w:szCs w:val="18"/>
            <w:u w:val="single" w:color="auto"/>
            <w:color w:val="0000FF"/>
          </w:rPr>
          <w:t>Employment Agreement, dated April 29, 2015 between the Company and Tod Cooper, incorporated by reference to exhibit 10.21 of the</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Company’s Annual Report on Form 10-K for the year ended December 31, 2015 (File No. 001- 08325), filed with the SEC on March 3,</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2016+</w:t>
        </w:r>
      </w:hyperlink>
    </w:p>
    <w:p>
      <w:pPr>
        <w:sectPr>
          <w:pgSz w:w="11900" w:h="16838" w:orient="portrait"/>
          <w:cols w:equalWidth="0" w:num="1">
            <w:col w:w="11180"/>
          </w:cols>
          <w:pgMar w:left="320" w:top="130" w:right="399" w:bottom="1440" w:gutter="0" w:footer="0" w:header="0"/>
        </w:sect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56" w:lineRule="exact"/>
        <w:rPr>
          <w:rFonts w:ascii="Times New Roman" w:cs="Times New Roman" w:eastAsia="Times New Roman" w:hAnsi="Times New Roman"/>
          <w:sz w:val="18"/>
          <w:szCs w:val="18"/>
          <w:u w:val="single" w:color="auto"/>
          <w:color w:val="0000FF"/>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100" w:right="60" w:hanging="762"/>
        <w:spacing w:after="0" w:line="261" w:lineRule="auto"/>
        <w:tabs>
          <w:tab w:leader="none" w:pos="1080" w:val="left"/>
        </w:tabs>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144">
        <w:r>
          <w:rPr>
            <w:rFonts w:ascii="Times New Roman" w:cs="Times New Roman" w:eastAsia="Times New Roman" w:hAnsi="Times New Roman"/>
            <w:sz w:val="18"/>
            <w:szCs w:val="18"/>
            <w:u w:val="single" w:color="auto"/>
            <w:color w:val="0000FF"/>
          </w:rPr>
          <w:t>Agreement, dated March 22, 2016, by and among MYR Group Inc., Engine Capital Management, LLC, Engine Capital, L.P., Engine Jet</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Capital, L.P., Engine Airflow Capital, L.P., Engine Investments, LLC, Engine Investments II, LLC, Arnaud Ajdler and John P. Schauerman,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incorporated by reference to exhibit 10.1 of the Company’s Current Report on Form 8-K (File No. 001-08325), filed with the SEC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March 23, 2016</w:t>
        </w:r>
      </w:hyperlink>
    </w:p>
    <w:p>
      <w:pPr>
        <w:spacing w:after="0" w:line="18" w:lineRule="exact"/>
        <w:rPr>
          <w:rFonts w:ascii="Times New Roman" w:cs="Times New Roman" w:eastAsia="Times New Roman" w:hAnsi="Times New Roman"/>
          <w:sz w:val="18"/>
          <w:szCs w:val="18"/>
          <w:u w:val="single" w:color="auto"/>
          <w:color w:val="0000FF"/>
        </w:rPr>
      </w:pPr>
    </w:p>
    <w:p>
      <w:pPr>
        <w:ind w:left="1100" w:right="340" w:hanging="762"/>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145">
        <w:r>
          <w:rPr>
            <w:rFonts w:ascii="Times New Roman" w:cs="Times New Roman" w:eastAsia="Times New Roman" w:hAnsi="Times New Roman"/>
            <w:sz w:val="18"/>
            <w:szCs w:val="18"/>
            <w:u w:val="single" w:color="auto"/>
            <w:color w:val="0000FF"/>
          </w:rPr>
          <w:t>Amendment to the Employment Agreement, dated January 1, 2017, between the Company and Richard S. Swartz, Jr., incorporated by</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reference to exhibit 10.25 of the Company’s Annual Report on Form 10-K for the year ended December 31, 2016 (File No. 001-08325),</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filed with the SEC on March 9, 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4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146">
        <w:r>
          <w:rPr>
            <w:rFonts w:ascii="Times New Roman" w:cs="Times New Roman" w:eastAsia="Times New Roman" w:hAnsi="Times New Roman"/>
            <w:sz w:val="18"/>
            <w:szCs w:val="18"/>
            <w:u w:val="single" w:color="auto"/>
            <w:color w:val="0000FF"/>
          </w:rPr>
          <w:t>Amendment to the Employment Agreement, dated January 1, 2017, between the Company and Tod M. Cooper, incorporated by reference to</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exhibit 10.26 of the Company’s Annual Report on Form 10-K for the year ended December 31, 2016 (File No. 001-08325), filed with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SEC on March 9, 2017+</w:t>
        </w:r>
      </w:hyperlink>
    </w:p>
    <w:p>
      <w:pPr>
        <w:spacing w:after="0" w:line="14" w:lineRule="exact"/>
        <w:rPr>
          <w:rFonts w:ascii="Times New Roman" w:cs="Times New Roman" w:eastAsia="Times New Roman" w:hAnsi="Times New Roman"/>
          <w:sz w:val="18"/>
          <w:szCs w:val="18"/>
          <w:u w:val="single" w:color="auto"/>
          <w:color w:val="0000FF"/>
        </w:rPr>
      </w:pPr>
    </w:p>
    <w:p>
      <w:pPr>
        <w:jc w:val="both"/>
        <w:ind w:left="1100" w:right="40" w:hanging="803"/>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u w:val="single" w:color="auto"/>
          <w:color w:val="0000FF"/>
        </w:rPr>
        <w:tab/>
      </w:r>
      <w:hyperlink r:id="rId147">
        <w:r>
          <w:rPr>
            <w:rFonts w:ascii="Times New Roman" w:cs="Times New Roman" w:eastAsia="Times New Roman" w:hAnsi="Times New Roman"/>
            <w:sz w:val="18"/>
            <w:szCs w:val="18"/>
            <w:u w:val="single" w:color="auto"/>
            <w:color w:val="0000FF"/>
          </w:rPr>
          <w:t>Employment Agreement, dated January 1, 2017, between the Company and Jeffrey J. Waneka, incorporated by reference to exhibit 10.27 of</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the Company’s Annual Report on Form 10-K for the year ended December 31, 2016 (File No. 001-08325), filed with the SEC on March 9,</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220" w:hanging="807"/>
        <w:spacing w:after="0" w:line="261" w:lineRule="auto"/>
        <w:tabs>
          <w:tab w:leader="none" w:pos="1080" w:val="left"/>
        </w:tabs>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u w:val="single" w:color="auto"/>
          <w:color w:val="0000FF"/>
        </w:rPr>
        <w:tab/>
      </w:r>
      <w:hyperlink r:id="rId148">
        <w:r>
          <w:rPr>
            <w:rFonts w:ascii="Times New Roman" w:cs="Times New Roman" w:eastAsia="Times New Roman" w:hAnsi="Times New Roman"/>
            <w:sz w:val="18"/>
            <w:szCs w:val="18"/>
            <w:u w:val="single" w:color="auto"/>
            <w:color w:val="0000FF"/>
          </w:rPr>
          <w:t>Agreement, dated January 30, 2017, by and among MYR Group Inc., Engine Capital Management, LLC, Engine Capital, L.P., Engine Jet</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Capital, L.P., Engine Airflow Capital, L.P., Engine Investments, LLC, Engine Investments II, LLC and Bradley Favreau,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10.28 of the Company’s Annual Report on Form 10-K for the year ended December 31, 2016 (File No. 001-08325),</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filed with the SEC on March 9, 2017</w:t>
        </w:r>
      </w:hyperlink>
    </w:p>
    <w:p>
      <w:pPr>
        <w:spacing w:after="0" w:line="18" w:lineRule="exact"/>
        <w:rPr>
          <w:rFonts w:ascii="Times New Roman" w:cs="Times New Roman" w:eastAsia="Times New Roman" w:hAnsi="Times New Roman"/>
          <w:sz w:val="18"/>
          <w:szCs w:val="18"/>
          <w:u w:val="single" w:color="auto"/>
          <w:color w:val="0000FF"/>
        </w:rPr>
      </w:pPr>
    </w:p>
    <w:p>
      <w:pPr>
        <w:ind w:left="1100" w:right="32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49">
        <w:r>
          <w:rPr>
            <w:rFonts w:ascii="Times New Roman" w:cs="Times New Roman" w:eastAsia="Times New Roman" w:hAnsi="Times New Roman"/>
            <w:sz w:val="18"/>
            <w:szCs w:val="18"/>
            <w:u w:val="single" w:color="auto"/>
            <w:color w:val="0000FF"/>
          </w:rPr>
          <w:t>10.13</w:t>
        </w:r>
      </w:hyperlink>
      <w:r>
        <w:rPr>
          <w:rFonts w:ascii="Times New Roman" w:cs="Times New Roman" w:eastAsia="Times New Roman" w:hAnsi="Times New Roman"/>
          <w:sz w:val="18"/>
          <w:szCs w:val="18"/>
          <w:u w:val="single" w:color="auto"/>
          <w:color w:val="0000FF"/>
        </w:rPr>
        <w:tab/>
      </w:r>
      <w:hyperlink r:id="rId149">
        <w:r>
          <w:rPr>
            <w:rFonts w:ascii="Times New Roman" w:cs="Times New Roman" w:eastAsia="Times New Roman" w:hAnsi="Times New Roman"/>
            <w:sz w:val="17"/>
            <w:szCs w:val="17"/>
            <w:u w:val="single" w:color="auto"/>
            <w:color w:val="0000FF"/>
          </w:rPr>
          <w:t>Form of Restricted Stock Units Award Agreement (Non-Employee Director) under the 2017 Long-Term Incentive Plan, incorporated by</w:t>
        </w:r>
      </w:hyperlink>
      <w:r>
        <w:rPr>
          <w:rFonts w:ascii="Times New Roman" w:cs="Times New Roman" w:eastAsia="Times New Roman" w:hAnsi="Times New Roman"/>
          <w:sz w:val="17"/>
          <w:szCs w:val="17"/>
          <w:u w:val="single" w:color="auto"/>
          <w:color w:val="0000FF"/>
        </w:rPr>
        <w:t xml:space="preserve"> </w:t>
      </w:r>
      <w:hyperlink r:id="rId149">
        <w:r>
          <w:rPr>
            <w:rFonts w:ascii="Times New Roman" w:cs="Times New Roman" w:eastAsia="Times New Roman" w:hAnsi="Times New Roman"/>
            <w:sz w:val="17"/>
            <w:szCs w:val="17"/>
            <w:u w:val="single" w:color="auto"/>
            <w:color w:val="0000FF"/>
          </w:rPr>
          <w:t>reference to exhibit 10.3 of the Company’s Current Report on Form 8-K (File No. 001-08325), filed with the SEC on April 28, 2017+</w:t>
        </w:r>
      </w:hyperlink>
    </w:p>
    <w:p>
      <w:pPr>
        <w:spacing w:after="0" w:line="1" w:lineRule="exact"/>
        <w:rPr>
          <w:rFonts w:ascii="Times New Roman" w:cs="Times New Roman" w:eastAsia="Times New Roman" w:hAnsi="Times New Roman"/>
          <w:sz w:val="18"/>
          <w:szCs w:val="18"/>
          <w:u w:val="single" w:color="auto"/>
          <w:color w:val="0000FF"/>
        </w:rPr>
      </w:pPr>
    </w:p>
    <w:p>
      <w:pPr>
        <w:ind w:left="280"/>
        <w:spacing w:after="0"/>
        <w:tabs>
          <w:tab w:leader="none" w:pos="1080" w:val="left"/>
        </w:tabs>
        <w:rPr>
          <w:rFonts w:ascii="Times New Roman" w:cs="Times New Roman" w:eastAsia="Times New Roman" w:hAnsi="Times New Roman"/>
          <w:sz w:val="17"/>
          <w:szCs w:val="17"/>
          <w:u w:val="single" w:color="auto"/>
          <w:color w:val="0000FF"/>
        </w:rPr>
      </w:pPr>
      <w:hyperlink r:id="rId150">
        <w:r>
          <w:rPr>
            <w:rFonts w:ascii="Times New Roman" w:cs="Times New Roman" w:eastAsia="Times New Roman" w:hAnsi="Times New Roman"/>
            <w:sz w:val="18"/>
            <w:szCs w:val="18"/>
            <w:u w:val="single" w:color="auto"/>
            <w:color w:val="0000FF"/>
          </w:rPr>
          <w:t>10.14</w:t>
        </w:r>
      </w:hyperlink>
      <w:r>
        <w:rPr>
          <w:rFonts w:ascii="Times New Roman" w:cs="Times New Roman" w:eastAsia="Times New Roman" w:hAnsi="Times New Roman"/>
          <w:sz w:val="18"/>
          <w:szCs w:val="18"/>
          <w:u w:val="single" w:color="auto"/>
          <w:color w:val="0000FF"/>
        </w:rPr>
        <w:tab/>
      </w:r>
      <w:hyperlink r:id="rId150">
        <w:r>
          <w:rPr>
            <w:rFonts w:ascii="Times New Roman" w:cs="Times New Roman" w:eastAsia="Times New Roman" w:hAnsi="Times New Roman"/>
            <w:sz w:val="17"/>
            <w:szCs w:val="17"/>
            <w:u w:val="single" w:color="auto"/>
            <w:color w:val="0000FF"/>
          </w:rPr>
          <w:t>Form of Restricted Stock Units Award Agreement (Director) under the 2017 Long-Term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10.4 of the Company’s Current Report on Form 8-K (File No. 001-08325), filed with the SEC on April 28, 2017+</w:t>
        </w:r>
      </w:hyperlink>
    </w:p>
    <w:p>
      <w:pPr>
        <w:spacing w:after="0" w:line="45" w:lineRule="exact"/>
        <w:rPr>
          <w:sz w:val="20"/>
          <w:szCs w:val="20"/>
          <w:color w:val="auto"/>
        </w:rPr>
      </w:pPr>
    </w:p>
    <w:p>
      <w:pPr>
        <w:ind w:left="1100" w:right="4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10.15</w:t>
        </w:r>
      </w:hyperlink>
      <w:r>
        <w:rPr>
          <w:rFonts w:ascii="Times New Roman" w:cs="Times New Roman" w:eastAsia="Times New Roman" w:hAnsi="Times New Roman"/>
          <w:sz w:val="18"/>
          <w:szCs w:val="18"/>
          <w:u w:val="single" w:color="auto"/>
          <w:color w:val="0000FF"/>
        </w:rPr>
        <w:tab/>
      </w:r>
      <w:hyperlink r:id="rId151">
        <w:r>
          <w:rPr>
            <w:rFonts w:ascii="Times New Roman" w:cs="Times New Roman" w:eastAsia="Times New Roman" w:hAnsi="Times New Roman"/>
            <w:sz w:val="18"/>
            <w:szCs w:val="18"/>
            <w:u w:val="single" w:color="auto"/>
            <w:color w:val="0000FF"/>
          </w:rPr>
          <w:t>Amendment to the Amended and Restated Employment Agreement, dated April 11, 2017, between the Company and Richard S. Swartz, Jr.,</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incorporated by reference to exhibit 10.1 of the Company’s Quarterly Report on Form 10-Q (File No. 001-08325), filed with the SEC on</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May 3, 2017+</w:t>
        </w:r>
      </w:hyperlink>
    </w:p>
    <w:p>
      <w:pPr>
        <w:spacing w:after="0" w:line="14" w:lineRule="exact"/>
        <w:rPr>
          <w:rFonts w:ascii="Times New Roman" w:cs="Times New Roman" w:eastAsia="Times New Roman" w:hAnsi="Times New Roman"/>
          <w:sz w:val="18"/>
          <w:szCs w:val="18"/>
          <w:u w:val="single" w:color="auto"/>
          <w:color w:val="0000FF"/>
        </w:rPr>
      </w:pPr>
    </w:p>
    <w:p>
      <w:pPr>
        <w:ind w:left="1100" w:right="28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52">
        <w:r>
          <w:rPr>
            <w:rFonts w:ascii="Times New Roman" w:cs="Times New Roman" w:eastAsia="Times New Roman" w:hAnsi="Times New Roman"/>
            <w:sz w:val="18"/>
            <w:szCs w:val="18"/>
            <w:u w:val="single" w:color="auto"/>
            <w:color w:val="0000FF"/>
          </w:rPr>
          <w:t>10.16</w:t>
        </w:r>
      </w:hyperlink>
      <w:r>
        <w:rPr>
          <w:rFonts w:ascii="Times New Roman" w:cs="Times New Roman" w:eastAsia="Times New Roman" w:hAnsi="Times New Roman"/>
          <w:sz w:val="18"/>
          <w:szCs w:val="18"/>
          <w:u w:val="single" w:color="auto"/>
          <w:color w:val="0000FF"/>
        </w:rPr>
        <w:tab/>
      </w:r>
      <w:hyperlink r:id="rId152">
        <w:r>
          <w:rPr>
            <w:rFonts w:ascii="Times New Roman" w:cs="Times New Roman" w:eastAsia="Times New Roman" w:hAnsi="Times New Roman"/>
            <w:sz w:val="17"/>
            <w:szCs w:val="17"/>
            <w:u w:val="single" w:color="auto"/>
            <w:color w:val="0000FF"/>
          </w:rPr>
          <w:t>Form of Restricted Stock Unit Award Agreement (Named Executive Officer) under the 2017 Long-Term Incentive Plan, incorporated by</w:t>
        </w:r>
      </w:hyperlink>
      <w:r>
        <w:rPr>
          <w:rFonts w:ascii="Times New Roman" w:cs="Times New Roman" w:eastAsia="Times New Roman" w:hAnsi="Times New Roman"/>
          <w:sz w:val="17"/>
          <w:szCs w:val="17"/>
          <w:u w:val="single" w:color="auto"/>
          <w:color w:val="0000FF"/>
        </w:rPr>
        <w:t xml:space="preserve"> </w:t>
      </w:r>
      <w:hyperlink r:id="rId152">
        <w:r>
          <w:rPr>
            <w:rFonts w:ascii="Times New Roman" w:cs="Times New Roman" w:eastAsia="Times New Roman" w:hAnsi="Times New Roman"/>
            <w:sz w:val="17"/>
            <w:szCs w:val="17"/>
            <w:u w:val="single" w:color="auto"/>
            <w:color w:val="0000FF"/>
          </w:rPr>
          <w:t>reference to exhibit 10.1 of the Company’s Quarterly Report on Form 10-Q (File No. 001-08325), filed with the SEC on May 2, 2018+</w:t>
        </w:r>
      </w:hyperlink>
    </w:p>
    <w:p>
      <w:pPr>
        <w:spacing w:after="0" w:line="1" w:lineRule="exact"/>
        <w:rPr>
          <w:rFonts w:ascii="Times New Roman" w:cs="Times New Roman" w:eastAsia="Times New Roman" w:hAnsi="Times New Roman"/>
          <w:sz w:val="18"/>
          <w:szCs w:val="18"/>
          <w:u w:val="single" w:color="auto"/>
          <w:color w:val="0000FF"/>
        </w:rPr>
      </w:pPr>
    </w:p>
    <w:p>
      <w:pPr>
        <w:jc w:val="right"/>
        <w:ind w:left="280" w:right="400"/>
        <w:spacing w:after="0" w:line="281"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10.17     Form of Performance Shares Award Agreement (Named Executive Officer) under the 2017 Long-Term Incentive Plan, incorporated by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reference to exhibit 10.2 of the Company’s Quarterly Report on Form 10-Q (File No. 001-08325), filed with the SEC on May 2, 2018+</w:t>
        </w:r>
      </w:hyperlink>
    </w:p>
    <w:p>
      <w:pPr>
        <w:spacing w:after="0" w:line="1" w:lineRule="exact"/>
        <w:rPr>
          <w:sz w:val="20"/>
          <w:szCs w:val="20"/>
          <w:color w:val="auto"/>
        </w:rPr>
      </w:pPr>
    </w:p>
    <w:p>
      <w:pPr>
        <w:ind w:left="1100" w:right="200" w:hanging="806"/>
        <w:spacing w:after="0" w:line="281" w:lineRule="auto"/>
        <w:tabs>
          <w:tab w:leader="none" w:pos="1080" w:val="left"/>
        </w:tabs>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u w:val="single" w:color="auto"/>
          <w:color w:val="0000FF"/>
        </w:rPr>
        <w:tab/>
      </w:r>
      <w:hyperlink r:id="rId154">
        <w:r>
          <w:rPr>
            <w:rFonts w:ascii="Times New Roman" w:cs="Times New Roman" w:eastAsia="Times New Roman" w:hAnsi="Times New Roman"/>
            <w:sz w:val="18"/>
            <w:szCs w:val="18"/>
            <w:u w:val="single" w:color="auto"/>
            <w:color w:val="0000FF"/>
          </w:rPr>
          <w:t>Employment Agreement, dated January 21, 2019, between the Company and William F. Fry, incorporated by reference to exhibit 10.33 of</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the Company’s Annual Report on Form 10-K (File No. 001-08325), filed with the SEC on March 6, 2019+</w:t>
        </w:r>
      </w:hyperlink>
    </w:p>
    <w:p>
      <w:pPr>
        <w:spacing w:after="0" w:line="1" w:lineRule="exact"/>
        <w:rPr>
          <w:rFonts w:ascii="Times New Roman" w:cs="Times New Roman" w:eastAsia="Times New Roman" w:hAnsi="Times New Roman"/>
          <w:sz w:val="18"/>
          <w:szCs w:val="18"/>
          <w:u w:val="single" w:color="auto"/>
          <w:color w:val="0000FF"/>
        </w:rPr>
      </w:pPr>
    </w:p>
    <w:p>
      <w:pPr>
        <w:jc w:val="right"/>
        <w:ind w:left="280" w:right="400"/>
        <w:spacing w:after="0" w:line="281" w:lineRule="auto"/>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10.19     Form of Performance Shares Award Agreement (Named Executive Officer) under the 2017 Long-Term Incentive Plan, incorporated by</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reference to exhibit 10.1 of the Company’s Quarterly Report on Form 10-Q (File No. 001-08325), filed with the SEC on May 1, 2019+</w:t>
        </w:r>
      </w:hyperlink>
    </w:p>
    <w:p>
      <w:pPr>
        <w:spacing w:after="0" w:line="1" w:lineRule="exact"/>
        <w:rPr>
          <w:sz w:val="20"/>
          <w:szCs w:val="20"/>
          <w:color w:val="auto"/>
        </w:rPr>
      </w:pPr>
    </w:p>
    <w:p>
      <w:pPr>
        <w:ind w:left="1100" w:right="360" w:hanging="807"/>
        <w:spacing w:after="0" w:line="298" w:lineRule="auto"/>
        <w:tabs>
          <w:tab w:leader="none" w:pos="1080" w:val="left"/>
        </w:tabs>
        <w:rPr>
          <w:rFonts w:ascii="Times New Roman" w:cs="Times New Roman" w:eastAsia="Times New Roman" w:hAnsi="Times New Roman"/>
          <w:sz w:val="17"/>
          <w:szCs w:val="17"/>
          <w:u w:val="single" w:color="auto"/>
          <w:color w:val="0000FF"/>
        </w:rPr>
      </w:pPr>
      <w:hyperlink r:id="rId156">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u w:val="single" w:color="auto"/>
          <w:color w:val="0000FF"/>
        </w:rPr>
        <w:tab/>
      </w:r>
      <w:hyperlink r:id="rId156">
        <w:r>
          <w:rPr>
            <w:rFonts w:ascii="Times New Roman" w:cs="Times New Roman" w:eastAsia="Times New Roman" w:hAnsi="Times New Roman"/>
            <w:sz w:val="17"/>
            <w:szCs w:val="17"/>
            <w:u w:val="single" w:color="auto"/>
            <w:color w:val="0000FF"/>
          </w:rPr>
          <w:t>Form of Non-Employee Directors Restricted Stock Unit Award Agreement under the 2017 Long-Term Incentive Plan, incorporated by</w:t>
        </w:r>
      </w:hyperlink>
      <w:r>
        <w:rPr>
          <w:rFonts w:ascii="Times New Roman" w:cs="Times New Roman" w:eastAsia="Times New Roman" w:hAnsi="Times New Roman"/>
          <w:sz w:val="17"/>
          <w:szCs w:val="17"/>
          <w:u w:val="single" w:color="auto"/>
          <w:color w:val="0000FF"/>
        </w:rPr>
        <w:t xml:space="preserve"> </w:t>
      </w:r>
      <w:hyperlink r:id="rId156">
        <w:r>
          <w:rPr>
            <w:rFonts w:ascii="Times New Roman" w:cs="Times New Roman" w:eastAsia="Times New Roman" w:hAnsi="Times New Roman"/>
            <w:sz w:val="17"/>
            <w:szCs w:val="17"/>
            <w:u w:val="single" w:color="auto"/>
            <w:color w:val="0000FF"/>
          </w:rPr>
          <w:t>reference to exhibit 10.1 of the Company’s Quarterly Report on Form 10-Q (File No. 001-08325), filed with the SEC on July 31, 2019+</w:t>
        </w:r>
      </w:hyperlink>
    </w:p>
    <w:p>
      <w:pPr>
        <w:spacing w:after="0" w:line="1" w:lineRule="exact"/>
        <w:rPr>
          <w:rFonts w:ascii="Times New Roman" w:cs="Times New Roman" w:eastAsia="Times New Roman" w:hAnsi="Times New Roman"/>
          <w:sz w:val="18"/>
          <w:szCs w:val="18"/>
          <w:u w:val="single" w:color="auto"/>
          <w:color w:val="0000FF"/>
        </w:rPr>
      </w:pPr>
    </w:p>
    <w:p>
      <w:pPr>
        <w:ind w:left="1100" w:hanging="807"/>
        <w:spacing w:after="0" w:line="266" w:lineRule="auto"/>
        <w:tabs>
          <w:tab w:leader="none" w:pos="1080" w:val="left"/>
        </w:tabs>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u w:val="single" w:color="auto"/>
          <w:color w:val="0000FF"/>
        </w:rPr>
        <w:tab/>
      </w:r>
      <w:hyperlink r:id="rId157">
        <w:r>
          <w:rPr>
            <w:rFonts w:ascii="Times New Roman" w:cs="Times New Roman" w:eastAsia="Times New Roman" w:hAnsi="Times New Roman"/>
            <w:sz w:val="18"/>
            <w:szCs w:val="18"/>
            <w:u w:val="single" w:color="auto"/>
            <w:color w:val="0000FF"/>
          </w:rPr>
          <w:t>Asset Purchase Agreement, dated as of July 15, 2019, by and among MYR Group, Inc., certain subsidiaries of MYR Group, Inc., as</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purchasers, and CSI Electrical Contractors, Inc., incorporated by reference to exhibit 10.3 of the Company’s Quarterly Report on Form 10-Q</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(File No. 001-08325), filed with the SEC on July 31, 2019</w:t>
        </w:r>
      </w:hyperlink>
    </w:p>
    <w:p>
      <w:pPr>
        <w:spacing w:after="0" w:line="14" w:lineRule="exact"/>
        <w:rPr>
          <w:rFonts w:ascii="Times New Roman" w:cs="Times New Roman" w:eastAsia="Times New Roman" w:hAnsi="Times New Roman"/>
          <w:sz w:val="18"/>
          <w:szCs w:val="18"/>
          <w:u w:val="single" w:color="auto"/>
          <w:color w:val="0000FF"/>
        </w:rPr>
      </w:pPr>
    </w:p>
    <w:p>
      <w:pPr>
        <w:ind w:left="1100" w:right="300" w:hanging="806"/>
        <w:spacing w:after="0" w:line="261" w:lineRule="auto"/>
        <w:tabs>
          <w:tab w:leader="none" w:pos="1080" w:val="left"/>
        </w:tabs>
        <w:rPr>
          <w:rFonts w:ascii="Times New Roman" w:cs="Times New Roman" w:eastAsia="Times New Roman" w:hAnsi="Times New Roman"/>
          <w:sz w:val="18"/>
          <w:szCs w:val="18"/>
          <w:u w:val="single" w:color="auto"/>
          <w:color w:val="0000FF"/>
        </w:rPr>
      </w:pPr>
      <w:hyperlink r:id="rId158">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u w:val="single" w:color="auto"/>
          <w:color w:val="0000FF"/>
        </w:rPr>
        <w:tab/>
      </w:r>
      <w:hyperlink r:id="rId158">
        <w:r>
          <w:rPr>
            <w:rFonts w:ascii="Times New Roman" w:cs="Times New Roman" w:eastAsia="Times New Roman" w:hAnsi="Times New Roman"/>
            <w:sz w:val="18"/>
            <w:szCs w:val="18"/>
            <w:u w:val="single" w:color="auto"/>
            <w:color w:val="0000FF"/>
          </w:rPr>
          <w:t>Second Amended and Restated Credit Agreement, dated September 13, 2019, by and among MYR Group Inc., the lenders party thereto,</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Bank of Montreal and Wells Fargo Bank, National Association, as Co-Documentation Agents, Bank of America, N.A., as Syndication</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Agent and JPMorgan Chase Bank, N.A., as Administrative Agent, incorporated by reference to exhibit 10.1 of the Company’s Quarterly</w:t>
        </w:r>
      </w:hyperlink>
      <w:r>
        <w:rPr>
          <w:rFonts w:ascii="Times New Roman" w:cs="Times New Roman" w:eastAsia="Times New Roman" w:hAnsi="Times New Roman"/>
          <w:sz w:val="18"/>
          <w:szCs w:val="18"/>
          <w:u w:val="single" w:color="auto"/>
          <w:color w:val="0000FF"/>
        </w:rPr>
        <w:t xml:space="preserve"> </w:t>
      </w:r>
      <w:hyperlink r:id="rId158">
        <w:r>
          <w:rPr>
            <w:rFonts w:ascii="Times New Roman" w:cs="Times New Roman" w:eastAsia="Times New Roman" w:hAnsi="Times New Roman"/>
            <w:sz w:val="18"/>
            <w:szCs w:val="18"/>
            <w:u w:val="single" w:color="auto"/>
            <w:color w:val="0000FF"/>
          </w:rPr>
          <w:t>Report on Form 10-Q (File No. 001-08325), filed with the SEC on October 30, 2019</w:t>
        </w:r>
      </w:hyperlink>
    </w:p>
    <w:p>
      <w:pPr>
        <w:spacing w:after="0" w:line="18" w:lineRule="exact"/>
        <w:rPr>
          <w:rFonts w:ascii="Times New Roman" w:cs="Times New Roman" w:eastAsia="Times New Roman" w:hAnsi="Times New Roman"/>
          <w:sz w:val="18"/>
          <w:szCs w:val="18"/>
          <w:u w:val="single" w:color="auto"/>
          <w:color w:val="0000FF"/>
        </w:rPr>
      </w:pPr>
    </w:p>
    <w:p>
      <w:pPr>
        <w:ind w:left="1100" w:hanging="806"/>
        <w:spacing w:after="0" w:line="282" w:lineRule="auto"/>
        <w:tabs>
          <w:tab w:leader="none" w:pos="1080" w:val="left"/>
        </w:tabs>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u w:val="single" w:color="auto"/>
          <w:color w:val="0000FF"/>
        </w:rPr>
        <w:tab/>
      </w:r>
      <w:hyperlink r:id="rId159">
        <w:r>
          <w:rPr>
            <w:rFonts w:ascii="Times New Roman" w:cs="Times New Roman" w:eastAsia="Times New Roman" w:hAnsi="Times New Roman"/>
            <w:sz w:val="18"/>
            <w:szCs w:val="18"/>
            <w:u w:val="single" w:color="auto"/>
            <w:color w:val="0000FF"/>
          </w:rPr>
          <w:t>MYR Group Inc. 2017 Long-Term Incentive Plan (Amended and Restated as of April 23, 2020), incorporated by reference to exhibit 10.1 of</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the Company’s Current Report on Form 8-K (File No. 001-08325), filed with the SEC on April 27, 2020+</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29"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380" w:type="dxa"/>
            <w:vAlign w:val="bottom"/>
            <w:gridSpan w:val="9"/>
          </w:tcPr>
          <w:p>
            <w:pPr>
              <w:ind w:left="28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96"/>
        </w:trPr>
        <w:tc>
          <w:tcPr>
            <w:tcW w:w="320" w:type="dxa"/>
            <w:vAlign w:val="bottom"/>
          </w:tcPr>
          <w:p>
            <w:pPr>
              <w:spacing w:after="0"/>
              <w:rPr>
                <w:sz w:val="17"/>
                <w:szCs w:val="17"/>
                <w:color w:val="auto"/>
              </w:rPr>
            </w:pPr>
          </w:p>
        </w:tc>
        <w:tc>
          <w:tcPr>
            <w:tcW w:w="640" w:type="dxa"/>
            <w:vAlign w:val="bottom"/>
            <w:gridSpan w:val="2"/>
          </w:tcPr>
          <w:p>
            <w:pPr>
              <w:jc w:val="center"/>
              <w:ind w:right="280"/>
              <w:spacing w:after="0" w:line="196" w:lineRule="exact"/>
              <w:rPr>
                <w:rFonts w:ascii="Times New Roman" w:cs="Times New Roman" w:eastAsia="Times New Roman" w:hAnsi="Times New Roman"/>
                <w:sz w:val="18"/>
                <w:szCs w:val="18"/>
                <w:color w:val="0000FF"/>
                <w:w w:val="88"/>
              </w:rPr>
            </w:pPr>
            <w:hyperlink r:id="rId161">
              <w:r>
                <w:rPr>
                  <w:rFonts w:ascii="Times New Roman" w:cs="Times New Roman" w:eastAsia="Times New Roman" w:hAnsi="Times New Roman"/>
                  <w:sz w:val="18"/>
                  <w:szCs w:val="18"/>
                  <w:color w:val="0000FF"/>
                  <w:w w:val="88"/>
                </w:rPr>
                <w:t>10.</w:t>
              </w:r>
            </w:hyperlink>
            <w:r>
              <w:rPr>
                <w:rFonts w:ascii="Times New Roman" w:cs="Times New Roman" w:eastAsia="Times New Roman" w:hAnsi="Times New Roman"/>
                <w:sz w:val="18"/>
                <w:szCs w:val="18"/>
                <w:u w:val="single" w:color="auto"/>
                <w:color w:val="0000FF"/>
                <w:w w:val="88"/>
              </w:rPr>
              <w:t>24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40" w:type="dxa"/>
            <w:vAlign w:val="bottom"/>
            <w:gridSpan w:val="11"/>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Form of Performance Shares Award Agreement (Named Executive Officer) under the 2017 Long-Term Incentive Plan, incorporated by</w:t>
              </w:r>
            </w:hyperlink>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reference to exhibit 10.1 of the Company’s Quarterly Report on Form 10-Q (File No. 001-08325), filed with the SEC on April 28, 2021+</w:t>
              </w:r>
            </w:hyperlink>
          </w:p>
        </w:tc>
        <w:tc>
          <w:tcPr>
            <w:tcW w:w="28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640" w:type="dxa"/>
            <w:vAlign w:val="bottom"/>
            <w:gridSpan w:val="2"/>
          </w:tcPr>
          <w:p>
            <w:pPr>
              <w:jc w:val="center"/>
              <w:ind w:right="280"/>
              <w:spacing w:after="0"/>
              <w:rPr>
                <w:rFonts w:ascii="Times New Roman" w:cs="Times New Roman" w:eastAsia="Times New Roman" w:hAnsi="Times New Roman"/>
                <w:sz w:val="18"/>
                <w:szCs w:val="18"/>
                <w:color w:val="0000FF"/>
                <w:w w:val="88"/>
              </w:rPr>
            </w:pPr>
            <w:hyperlink r:id="rId162">
              <w:r>
                <w:rPr>
                  <w:rFonts w:ascii="Times New Roman" w:cs="Times New Roman" w:eastAsia="Times New Roman" w:hAnsi="Times New Roman"/>
                  <w:sz w:val="18"/>
                  <w:szCs w:val="18"/>
                  <w:color w:val="0000FF"/>
                  <w:w w:val="88"/>
                </w:rPr>
                <w:t>10.</w:t>
              </w:r>
            </w:hyperlink>
            <w:r>
              <w:rPr>
                <w:rFonts w:ascii="Times New Roman" w:cs="Times New Roman" w:eastAsia="Times New Roman" w:hAnsi="Times New Roman"/>
                <w:sz w:val="18"/>
                <w:szCs w:val="18"/>
                <w:u w:val="single" w:color="auto"/>
                <w:color w:val="0000FF"/>
                <w:w w:val="88"/>
              </w:rPr>
              <w:t>25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Restricted Stock Unit Award Agreement (Named Executive Officer) under the 2017 Long-Term Incentive Plan, incorporated by</w:t>
              </w:r>
            </w:hyperlink>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reference to exhibit 10.1 of the Company’s Quarterly Report on Form 10-Q (File No. 001-08325), filed with the SEC on April 27, 2022+</w:t>
              </w:r>
            </w:hyperlink>
          </w:p>
        </w:tc>
        <w:tc>
          <w:tcPr>
            <w:tcW w:w="280" w:type="dxa"/>
            <w:vAlign w:val="bottom"/>
          </w:tcPr>
          <w:p>
            <w:pPr>
              <w:spacing w:after="0"/>
              <w:rPr>
                <w:sz w:val="17"/>
                <w:szCs w:val="17"/>
                <w:color w:val="auto"/>
              </w:rPr>
            </w:pPr>
          </w:p>
        </w:tc>
      </w:tr>
      <w:tr>
        <w:trPr>
          <w:trHeight w:val="250"/>
        </w:trPr>
        <w:tc>
          <w:tcPr>
            <w:tcW w:w="320" w:type="dxa"/>
            <w:vAlign w:val="bottom"/>
          </w:tcPr>
          <w:p>
            <w:pPr>
              <w:spacing w:after="0"/>
              <w:rPr>
                <w:sz w:val="21"/>
                <w:szCs w:val="21"/>
                <w:color w:val="auto"/>
              </w:rPr>
            </w:pPr>
          </w:p>
        </w:tc>
        <w:tc>
          <w:tcPr>
            <w:tcW w:w="640" w:type="dxa"/>
            <w:vAlign w:val="bottom"/>
            <w:gridSpan w:val="2"/>
          </w:tcPr>
          <w:p>
            <w:pPr>
              <w:jc w:val="center"/>
              <w:ind w:right="280"/>
              <w:spacing w:after="0"/>
              <w:rPr>
                <w:rFonts w:ascii="Times New Roman" w:cs="Times New Roman" w:eastAsia="Times New Roman" w:hAnsi="Times New Roman"/>
                <w:sz w:val="18"/>
                <w:szCs w:val="18"/>
                <w:color w:val="0000FF"/>
                <w:w w:val="88"/>
              </w:rPr>
            </w:pPr>
            <w:hyperlink r:id="rId163">
              <w:r>
                <w:rPr>
                  <w:rFonts w:ascii="Times New Roman" w:cs="Times New Roman" w:eastAsia="Times New Roman" w:hAnsi="Times New Roman"/>
                  <w:sz w:val="18"/>
                  <w:szCs w:val="18"/>
                  <w:color w:val="0000FF"/>
                  <w:w w:val="88"/>
                </w:rPr>
                <w:t>10.</w:t>
              </w:r>
            </w:hyperlink>
            <w:r>
              <w:rPr>
                <w:rFonts w:ascii="Times New Roman" w:cs="Times New Roman" w:eastAsia="Times New Roman" w:hAnsi="Times New Roman"/>
                <w:sz w:val="18"/>
                <w:szCs w:val="18"/>
                <w:u w:val="single" w:color="auto"/>
                <w:color w:val="0000FF"/>
                <w:w w:val="88"/>
              </w:rPr>
              <w:t>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Form of Performance Shares Award Agreement (Named Executive Officer) under the 2017 Long-Term Incentive Plan, incorporated by</w:t>
              </w:r>
            </w:hyperlink>
          </w:p>
        </w:tc>
      </w:tr>
      <w:tr>
        <w:trPr>
          <w:trHeight w:val="20"/>
        </w:trPr>
        <w:tc>
          <w:tcPr>
            <w:tcW w:w="32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3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reference to exhibit 10.2 of the Company’s Quarterly Report on Form 10-Q (File No. 001-08325), filed with the SEC on April 27, 2022+</w:t>
              </w:r>
            </w:hyperlink>
          </w:p>
        </w:tc>
        <w:tc>
          <w:tcPr>
            <w:tcW w:w="280" w:type="dxa"/>
            <w:vAlign w:val="bottom"/>
          </w:tcPr>
          <w:p>
            <w:pPr>
              <w:spacing w:after="0"/>
              <w:rPr>
                <w:sz w:val="17"/>
                <w:szCs w:val="17"/>
                <w:color w:val="auto"/>
              </w:rPr>
            </w:pPr>
          </w:p>
        </w:tc>
      </w:tr>
      <w:tr>
        <w:trPr>
          <w:trHeight w:val="250"/>
        </w:trPr>
        <w:tc>
          <w:tcPr>
            <w:tcW w:w="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Employment Agreement, dated January 9, 2023 between the Company and Kelly M. Huntington†+</w:t>
            </w:r>
          </w:p>
        </w:tc>
      </w:tr>
      <w:tr>
        <w:trPr>
          <w:trHeight w:val="250"/>
        </w:trPr>
        <w:tc>
          <w:tcPr>
            <w:tcW w:w="320" w:type="dxa"/>
            <w:vAlign w:val="bottom"/>
          </w:tcPr>
          <w:p>
            <w:pPr>
              <w:spacing w:after="0"/>
              <w:rPr>
                <w:sz w:val="21"/>
                <w:szCs w:val="21"/>
                <w:color w:val="auto"/>
              </w:rPr>
            </w:pPr>
          </w:p>
        </w:tc>
        <w:tc>
          <w:tcPr>
            <w:tcW w:w="32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1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List of Subsidiaries†</w:t>
            </w:r>
          </w:p>
        </w:tc>
        <w:tc>
          <w:tcPr>
            <w:tcW w:w="3000" w:type="dxa"/>
            <w:vAlign w:val="bottom"/>
            <w:gridSpan w:val="4"/>
          </w:tcPr>
          <w:p>
            <w:pPr>
              <w:spacing w:after="0"/>
              <w:rPr>
                <w:sz w:val="21"/>
                <w:szCs w:val="2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r>
      <w:tr>
        <w:trPr>
          <w:trHeight w:val="250"/>
        </w:trPr>
        <w:tc>
          <w:tcPr>
            <w:tcW w:w="320" w:type="dxa"/>
            <w:vAlign w:val="bottom"/>
          </w:tcPr>
          <w:p>
            <w:pPr>
              <w:spacing w:after="0"/>
              <w:rPr>
                <w:sz w:val="21"/>
                <w:szCs w:val="21"/>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23.</w:t>
            </w:r>
            <w:r>
              <w:rPr>
                <w:rFonts w:ascii="Times New Roman" w:cs="Times New Roman" w:eastAsia="Times New Roman" w:hAnsi="Times New Roman"/>
                <w:sz w:val="18"/>
                <w:szCs w:val="18"/>
                <w:u w:val="single" w:color="auto"/>
                <w:color w:val="0000FF"/>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Consent of Crowe LLP†</w:t>
            </w:r>
          </w:p>
        </w:tc>
        <w:tc>
          <w:tcPr>
            <w:tcW w:w="8380" w:type="dxa"/>
            <w:vAlign w:val="bottom"/>
            <w:gridSpan w:val="9"/>
          </w:tcPr>
          <w:p>
            <w:pPr>
              <w:spacing w:after="0"/>
              <w:rPr>
                <w:sz w:val="21"/>
                <w:szCs w:val="21"/>
                <w:color w:val="auto"/>
              </w:rPr>
            </w:pPr>
          </w:p>
        </w:tc>
      </w:tr>
      <w:tr>
        <w:trPr>
          <w:trHeight w:val="250"/>
        </w:trPr>
        <w:tc>
          <w:tcPr>
            <w:tcW w:w="6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rPr>
              <w:t>24.</w:t>
            </w:r>
            <w:r>
              <w:rPr>
                <w:rFonts w:ascii="Times New Roman" w:cs="Times New Roman" w:eastAsia="Times New Roman" w:hAnsi="Times New Roman"/>
                <w:sz w:val="18"/>
                <w:szCs w:val="18"/>
                <w:u w:val="single" w:color="auto"/>
                <w:color w:val="0000FF"/>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r>
      <w:tr>
        <w:trPr>
          <w:trHeight w:val="250"/>
        </w:trPr>
        <w:tc>
          <w:tcPr>
            <w:tcW w:w="6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 Rule 13a-14(a)/15d-14(a)†</w:t>
            </w:r>
          </w:p>
        </w:tc>
      </w:tr>
      <w:tr>
        <w:trPr>
          <w:trHeight w:val="250"/>
        </w:trPr>
        <w:tc>
          <w:tcPr>
            <w:tcW w:w="6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 Rule 13a-14(a)/15d-14(a)†</w:t>
            </w:r>
          </w:p>
        </w:tc>
        <w:tc>
          <w:tcPr>
            <w:tcW w:w="40" w:type="dxa"/>
            <w:vAlign w:val="bottom"/>
            <w:tcBorders>
              <w:top w:val="single" w:sz="8" w:color="0000FF"/>
            </w:tcBorders>
          </w:tcPr>
          <w:p>
            <w:pPr>
              <w:spacing w:after="0"/>
              <w:rPr>
                <w:sz w:val="21"/>
                <w:szCs w:val="21"/>
                <w:color w:val="auto"/>
              </w:rPr>
            </w:pPr>
          </w:p>
        </w:tc>
        <w:tc>
          <w:tcPr>
            <w:tcW w:w="4080" w:type="dxa"/>
            <w:vAlign w:val="bottom"/>
            <w:gridSpan w:val="5"/>
          </w:tcPr>
          <w:p>
            <w:pPr>
              <w:spacing w:after="0"/>
              <w:rPr>
                <w:sz w:val="21"/>
                <w:szCs w:val="21"/>
                <w:color w:val="auto"/>
              </w:rPr>
            </w:pPr>
          </w:p>
        </w:tc>
      </w:tr>
      <w:tr>
        <w:trPr>
          <w:trHeight w:val="250"/>
        </w:trPr>
        <w:tc>
          <w:tcPr>
            <w:tcW w:w="6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§1350†</w:t>
            </w:r>
          </w:p>
        </w:tc>
        <w:tc>
          <w:tcPr>
            <w:tcW w:w="5080" w:type="dxa"/>
            <w:vAlign w:val="bottom"/>
            <w:gridSpan w:val="7"/>
          </w:tcPr>
          <w:p>
            <w:pPr>
              <w:spacing w:after="0"/>
              <w:rPr>
                <w:sz w:val="21"/>
                <w:szCs w:val="21"/>
                <w:color w:val="auto"/>
              </w:rPr>
            </w:pPr>
          </w:p>
        </w:tc>
      </w:tr>
      <w:tr>
        <w:trPr>
          <w:trHeight w:val="250"/>
        </w:trPr>
        <w:tc>
          <w:tcPr>
            <w:tcW w:w="6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291"/>
        </w:trPr>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20" w:type="dxa"/>
            <w:vAlign w:val="bottom"/>
          </w:tcPr>
          <w:p>
            <w:pPr>
              <w:spacing w:after="0"/>
              <w:rPr>
                <w:sz w:val="24"/>
                <w:szCs w:val="24"/>
                <w:color w:val="auto"/>
              </w:rPr>
            </w:pPr>
          </w:p>
        </w:tc>
        <w:tc>
          <w:tcPr>
            <w:tcW w:w="50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140" w:type="dxa"/>
            <w:vAlign w:val="bottom"/>
            <w:gridSpan w:val="8"/>
          </w:tcPr>
          <w:p>
            <w:pPr>
              <w:spacing w:after="0"/>
              <w:rPr>
                <w:sz w:val="24"/>
                <w:szCs w:val="24"/>
                <w:color w:val="auto"/>
              </w:rPr>
            </w:pP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20" w:type="dxa"/>
            <w:vAlign w:val="bottom"/>
          </w:tcPr>
          <w:p>
            <w:pPr>
              <w:spacing w:after="0"/>
              <w:rPr>
                <w:sz w:val="23"/>
                <w:szCs w:val="23"/>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101.CAL</w:t>
            </w:r>
          </w:p>
        </w:tc>
        <w:tc>
          <w:tcPr>
            <w:tcW w:w="20" w:type="dxa"/>
            <w:vAlign w:val="bottom"/>
          </w:tcPr>
          <w:p>
            <w:pPr>
              <w:spacing w:after="0"/>
              <w:rPr>
                <w:sz w:val="23"/>
                <w:szCs w:val="23"/>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3"/>
                <w:szCs w:val="23"/>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10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7"/>
              </w:rPr>
              <w:t>101.LAB</w:t>
            </w:r>
          </w:p>
        </w:tc>
        <w:tc>
          <w:tcPr>
            <w:tcW w:w="20" w:type="dxa"/>
            <w:vAlign w:val="bottom"/>
          </w:tcPr>
          <w:p>
            <w:pPr>
              <w:spacing w:after="0"/>
              <w:rPr>
                <w:sz w:val="23"/>
                <w:szCs w:val="23"/>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0"/>
        </w:trPr>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20" w:type="dxa"/>
            <w:vAlign w:val="bottom"/>
          </w:tcPr>
          <w:p>
            <w:pPr>
              <w:spacing w:after="0"/>
              <w:rPr>
                <w:sz w:val="23"/>
                <w:szCs w:val="23"/>
                <w:color w:val="auto"/>
              </w:rPr>
            </w:pPr>
          </w:p>
        </w:tc>
        <w:tc>
          <w:tcPr>
            <w:tcW w:w="101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36" w:lineRule="exact"/>
        <w:rPr>
          <w:sz w:val="20"/>
          <w:szCs w:val="20"/>
          <w:color w:val="auto"/>
        </w:rPr>
      </w:pPr>
    </w:p>
    <w:p>
      <w:pPr>
        <w:ind w:left="1100" w:hanging="748"/>
        <w:spacing w:after="0"/>
        <w:tabs>
          <w:tab w:leader="none" w:pos="11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document and contained in Exhibit 101)</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___________________________________________</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ind w:right="5920" w:firstLine="8"/>
        <w:spacing w:after="0" w:line="407" w:lineRule="auto"/>
        <w:tabs>
          <w:tab w:leader="none" w:pos="28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 Electronically filed.</w:t>
      </w:r>
    </w:p>
    <w:p>
      <w:pPr>
        <w:spacing w:after="0" w:line="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34290</wp:posOffset>
            </wp:positionV>
            <wp:extent cx="33343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5980" w:val="left"/>
          <w:tab w:leader="none" w:pos="6700" w:val="left"/>
        </w:tabs>
        <w:rPr>
          <w:sz w:val="20"/>
          <w:szCs w:val="20"/>
          <w:color w:val="auto"/>
        </w:rPr>
      </w:pP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Betty R. Wynn (née Johnson)</w:t>
      </w:r>
    </w:p>
    <w:p>
      <w:pPr>
        <w:spacing w:after="0" w:line="75" w:lineRule="exact"/>
        <w:rPr>
          <w:sz w:val="20"/>
          <w:szCs w:val="20"/>
          <w:color w:val="auto"/>
        </w:rPr>
      </w:pPr>
    </w:p>
    <w:p>
      <w:pPr>
        <w:ind w:left="6000"/>
        <w:spacing w:after="0"/>
        <w:tabs>
          <w:tab w:leader="none" w:pos="67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Senior Vice President and Chief Financial</w:t>
      </w:r>
    </w:p>
    <w:p>
      <w:pPr>
        <w:spacing w:after="0" w:line="2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61"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4" w:lineRule="exact"/>
        <w:rPr>
          <w:sz w:val="20"/>
          <w:szCs w:val="20"/>
          <w:color w:val="auto"/>
        </w:rPr>
      </w:pPr>
    </w:p>
    <w:p>
      <w:pPr>
        <w:ind w:left="1600"/>
        <w:spacing w:after="0"/>
        <w:tabs>
          <w:tab w:leader="none" w:pos="6480" w:val="left"/>
          <w:tab w:leader="none" w:pos="102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1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S. Swartz</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Betty R. Wynn (née Johnson)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Kenneth M. Hartwick</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Bradley T. Favreau</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Ajoy H. Karna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Jennifer E. Lowry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3">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Donald C.I. Lucky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Shirin S. O'Connor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Maurice E. Moore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4003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 D. Patterson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President, Chief Executive Officer and Director (Principal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360" w:lineRule="exact"/>
        <w:rPr>
          <w:sz w:val="20"/>
          <w:szCs w:val="20"/>
          <w:color w:val="auto"/>
        </w:rPr>
      </w:pPr>
    </w:p>
    <w:p>
      <w:pPr>
        <w:sectPr>
          <w:pgSz w:w="11900" w:h="16838" w:orient="portrait"/>
          <w:cols w:equalWidth="0" w:num="3">
            <w:col w:w="3200" w:space="720"/>
            <w:col w:w="5260" w:space="720"/>
            <w:col w:w="1320"/>
          </w:cols>
          <w:pgMar w:left="320" w:top="130" w:right="359" w:bottom="1440" w:gutter="0" w:footer="0" w:header="0"/>
          <w:type w:val="continuous"/>
        </w:sectPr>
      </w:pPr>
    </w:p>
    <w:p>
      <w:pPr>
        <w:spacing w:after="0" w:line="14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7"/>
          <w:szCs w:val="17"/>
          <w:color w:val="auto"/>
        </w:rPr>
        <w:t>*By:</w:t>
        <w:tab/>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41910</wp:posOffset>
            </wp:positionV>
            <wp:extent cx="23831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(Betty R. Wynn (née Johnson))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22, 2023</w:t>
      </w:r>
    </w:p>
    <w:p>
      <w:pPr>
        <w:spacing w:after="0" w:line="567" w:lineRule="exact"/>
        <w:rPr>
          <w:sz w:val="20"/>
          <w:szCs w:val="20"/>
          <w:color w:val="auto"/>
        </w:rPr>
      </w:pPr>
    </w:p>
    <w:p>
      <w:pPr>
        <w:sectPr>
          <w:pgSz w:w="11900" w:h="16838" w:orient="portrait"/>
          <w:cols w:equalWidth="0" w:num="2">
            <w:col w:w="9180" w:space="720"/>
            <w:col w:w="1320"/>
          </w:cols>
          <w:pgMar w:left="320" w:top="130" w:right="359" w:bottom="1440" w:gutter="0" w:footer="0" w:header="0"/>
          <w:type w:val="continuous"/>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20"/>
          </w:cols>
          <w:pgMar w:left="320" w:top="130" w:right="359" w:bottom="1440" w:gutter="0" w:footer="0" w:header="0"/>
          <w:type w:val="continuous"/>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b w:val="1"/>
          <w:bCs w:val="1"/>
          <w:color w:val="auto"/>
        </w:rPr>
        <w:t>Exhibit 10.27</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Kelly Huntington</w:t>
      </w:r>
    </w:p>
    <w:p>
      <w:pPr>
        <w:spacing w:after="0" w:line="192"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EMPLOYMENT AGREEMENT</w:t>
      </w:r>
      <w:r>
        <w:rPr>
          <w:rFonts w:ascii="Times New Roman" w:cs="Times New Roman" w:eastAsia="Times New Roman" w:hAnsi="Times New Roman"/>
          <w:sz w:val="22"/>
          <w:szCs w:val="22"/>
          <w:color w:val="auto"/>
        </w:rPr>
        <w:t>, dated as of January 9, 2023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by and between MYR Group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Kelly Huntington, (the “</w:t>
      </w:r>
      <w:r>
        <w:rPr>
          <w:rFonts w:ascii="Times New Roman" w:cs="Times New Roman" w:eastAsia="Times New Roman" w:hAnsi="Times New Roman"/>
          <w:sz w:val="22"/>
          <w:szCs w:val="22"/>
          <w:b w:val="1"/>
          <w:bCs w:val="1"/>
          <w:color w:val="auto"/>
        </w:rPr>
        <w:t>Key Employee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179" w:lineRule="exact"/>
        <w:rPr>
          <w:sz w:val="20"/>
          <w:szCs w:val="20"/>
          <w:color w:val="auto"/>
        </w:rPr>
      </w:pPr>
    </w:p>
    <w:p>
      <w:pPr>
        <w:jc w:val="both"/>
        <w:ind w:right="20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secure the benefit of the Key Employee’s experience and ability by employing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Key Employee in the capacity and on the terms set forth below, and the Key Employee desires to commit to serve the Company on the terms herein provided;</w:t>
      </w:r>
    </w:p>
    <w:p>
      <w:pPr>
        <w:spacing w:after="0" w:line="146"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THEREFORE</w:t>
      </w:r>
      <w:r>
        <w:rPr>
          <w:rFonts w:ascii="Times New Roman" w:cs="Times New Roman" w:eastAsia="Times New Roman" w:hAnsi="Times New Roman"/>
          <w:sz w:val="22"/>
          <w:szCs w:val="22"/>
          <w:color w:val="auto"/>
        </w:rPr>
        <w:t>, in consideration of the foregoing and of the respective covenants and agreements set forth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hereto agree as 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 AND INTERPRETATIONS</w:t>
      </w:r>
    </w:p>
    <w:p>
      <w:pPr>
        <w:spacing w:after="0" w:line="151"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xml:space="preserve">” means the Key Employee’s base salary as in effect from time to time, as described in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2.3(a)</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left="1780" w:hanging="476"/>
        <w:spacing w:after="0"/>
        <w:tabs>
          <w:tab w:leader="none" w:pos="178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means:</w:t>
      </w:r>
    </w:p>
    <w:p>
      <w:pPr>
        <w:spacing w:after="0" w:line="183" w:lineRule="exact"/>
        <w:rPr>
          <w:rFonts w:ascii="Times New Roman" w:cs="Times New Roman" w:eastAsia="Times New Roman" w:hAnsi="Times New Roman"/>
          <w:sz w:val="22"/>
          <w:szCs w:val="22"/>
          <w:color w:val="auto"/>
        </w:rPr>
      </w:pPr>
    </w:p>
    <w:p>
      <w:pPr>
        <w:ind w:right="640" w:firstLine="1952"/>
        <w:spacing w:after="0" w:line="236" w:lineRule="auto"/>
        <w:tabs>
          <w:tab w:leader="none" w:pos="235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material breach by the Key Employee of </w:t>
      </w:r>
      <w:r>
        <w:rPr>
          <w:rFonts w:ascii="Times New Roman" w:cs="Times New Roman" w:eastAsia="Times New Roman" w:hAnsi="Times New Roman"/>
          <w:sz w:val="22"/>
          <w:szCs w:val="22"/>
          <w:u w:val="single" w:color="auto"/>
          <w:color w:val="auto"/>
        </w:rPr>
        <w:t>Sections 3.9(b), (c), (d), (e) or (f)</w:t>
      </w:r>
      <w:r>
        <w:rPr>
          <w:rFonts w:ascii="Times New Roman" w:cs="Times New Roman" w:eastAsia="Times New Roman" w:hAnsi="Times New Roman"/>
          <w:sz w:val="22"/>
          <w:szCs w:val="22"/>
          <w:color w:val="auto"/>
        </w:rPr>
        <w:t xml:space="preserve"> of this Agreement (regarding the non-competition, non-solicitation and confidentiality provisions);</w:t>
      </w:r>
    </w:p>
    <w:p>
      <w:pPr>
        <w:spacing w:after="0" w:line="150" w:lineRule="exact"/>
        <w:rPr>
          <w:rFonts w:ascii="Times New Roman" w:cs="Times New Roman" w:eastAsia="Times New Roman" w:hAnsi="Times New Roman"/>
          <w:sz w:val="22"/>
          <w:szCs w:val="22"/>
          <w:color w:val="auto"/>
        </w:rPr>
      </w:pPr>
    </w:p>
    <w:p>
      <w:pPr>
        <w:ind w:right="540" w:firstLine="1952"/>
        <w:spacing w:after="0" w:line="236" w:lineRule="auto"/>
        <w:tabs>
          <w:tab w:leader="none" w:pos="242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commission of a criminal act by the Key Employee against the Company, including but not limited to fraud, embezzlement or theft;</w:t>
      </w:r>
    </w:p>
    <w:p>
      <w:pPr>
        <w:spacing w:after="0" w:line="146" w:lineRule="exact"/>
        <w:rPr>
          <w:rFonts w:ascii="Times New Roman" w:cs="Times New Roman" w:eastAsia="Times New Roman" w:hAnsi="Times New Roman"/>
          <w:sz w:val="22"/>
          <w:szCs w:val="22"/>
          <w:color w:val="auto"/>
        </w:rPr>
      </w:pPr>
    </w:p>
    <w:p>
      <w:pPr>
        <w:ind w:right="180" w:firstLine="1952"/>
        <w:spacing w:after="0" w:line="238" w:lineRule="auto"/>
        <w:tabs>
          <w:tab w:leader="none" w:pos="2480"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conviction or plea of no contest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of the Key Employee for any felony or any misdemeanor that may result in a term of imprisonment greater than one (1) year; or</w:t>
      </w:r>
    </w:p>
    <w:p>
      <w:pPr>
        <w:spacing w:after="0" w:line="150" w:lineRule="exact"/>
        <w:rPr>
          <w:rFonts w:ascii="Times New Roman" w:cs="Times New Roman" w:eastAsia="Times New Roman" w:hAnsi="Times New Roman"/>
          <w:sz w:val="22"/>
          <w:szCs w:val="22"/>
          <w:color w:val="auto"/>
        </w:rPr>
      </w:pPr>
    </w:p>
    <w:p>
      <w:pPr>
        <w:ind w:right="180" w:firstLine="1952"/>
        <w:spacing w:after="0" w:line="225" w:lineRule="auto"/>
        <w:tabs>
          <w:tab w:leader="none" w:pos="2468"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Key Employee’s failure or refusal to carry out, or comply with, in any material respect, any lawful directive of the Board consistent with the terms of this Agreement which is not remedied within thirty (30) days after the Key Employee’s receipt of written notice from the Company.</w:t>
      </w:r>
    </w:p>
    <w:p>
      <w:pPr>
        <w:sectPr>
          <w:pgSz w:w="11900" w:h="16838" w:orient="portrait"/>
          <w:cols w:equalWidth="0" w:num="1">
            <w:col w:w="11240"/>
          </w:cols>
          <w:pgMar w:left="320" w:top="1391" w:right="339" w:bottom="1440" w:gutter="0" w:footer="0" w:header="0"/>
        </w:sectPr>
      </w:pPr>
    </w:p>
    <w:bookmarkStart w:id="89" w:name="page90"/>
    <w:bookmarkEnd w:id="89"/>
    <w:p>
      <w:pPr>
        <w:ind w:right="20"/>
        <w:spacing w:after="0" w:line="213" w:lineRule="auto"/>
        <w:rPr>
          <w:sz w:val="20"/>
          <w:szCs w:val="20"/>
          <w:color w:val="auto"/>
        </w:rPr>
      </w:pPr>
      <w:r>
        <w:rPr>
          <w:rFonts w:ascii="Times New Roman" w:cs="Times New Roman" w:eastAsia="Times New Roman" w:hAnsi="Times New Roman"/>
          <w:sz w:val="22"/>
          <w:szCs w:val="22"/>
          <w:color w:val="auto"/>
        </w:rPr>
        <w:t xml:space="preserve">Notwithstanding the foregoing, the Key Employee shall not be deemed to have been terminated for Cause pursuant to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 xml:space="preserve"> unless and until there shall have been delivered to the Key Employee a copy of a resolution duly adopted by at least seventy-five percent (75%) of the entire membership of the Board (not including for this purpose the Key Employee if the Key Employee is then a member of the Board) at a meeting of the Board called and held for such purpose (after reasonable notice to the Key Employee and a reasonable opportunity for the Key Employee, together with the Key Employee’s counsel, to be heard before the Board), finding that in the good faith opinion of the Board, the Key Employee engaged in conduct set forth in this </w:t>
      </w:r>
      <w:r>
        <w:rPr>
          <w:rFonts w:ascii="Times New Roman" w:cs="Times New Roman" w:eastAsia="Times New Roman" w:hAnsi="Times New Roman"/>
          <w:sz w:val="22"/>
          <w:szCs w:val="22"/>
          <w:u w:val="single" w:color="auto"/>
          <w:color w:val="auto"/>
        </w:rPr>
        <w:t>Section 1.1(c)</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firstLine="1304"/>
        <w:spacing w:after="0" w:line="227"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means the occurrence of a “change in the ownership of the Company,” a “change in the effective control of the Company,” or a “change in the ownership of a substantial portion of the Company’s assets,” as defined in Treasury Regulation §§1.409A-3(i)(5)(v), (vi) and (vii), respectively.</w:t>
      </w:r>
    </w:p>
    <w:p>
      <w:pPr>
        <w:spacing w:after="0" w:line="146"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COBRA</w:t>
      </w:r>
      <w:r>
        <w:rPr>
          <w:rFonts w:ascii="Times New Roman" w:cs="Times New Roman" w:eastAsia="Times New Roman" w:hAnsi="Times New Roman"/>
          <w:sz w:val="22"/>
          <w:szCs w:val="22"/>
          <w:color w:val="auto"/>
        </w:rPr>
        <w:t>” means the Consolidated Omnibus Budget Reconciliation Act of 1985, as amended.</w:t>
      </w:r>
    </w:p>
    <w:p>
      <w:pPr>
        <w:spacing w:after="0" w:line="179"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Internal Revenue Code of 1986, as amended and any regulations thereunder.</w:t>
      </w:r>
    </w:p>
    <w:p>
      <w:pPr>
        <w:spacing w:after="0" w:line="179" w:lineRule="exact"/>
        <w:rPr>
          <w:rFonts w:ascii="Times New Roman" w:cs="Times New Roman" w:eastAsia="Times New Roman" w:hAnsi="Times New Roman"/>
          <w:sz w:val="22"/>
          <w:szCs w:val="22"/>
          <w:color w:val="auto"/>
        </w:rPr>
      </w:pPr>
    </w:p>
    <w:p>
      <w:pPr>
        <w:jc w:val="both"/>
        <w:ind w:right="60" w:firstLine="1304"/>
        <w:spacing w:after="0" w:line="221" w:lineRule="auto"/>
        <w:tabs>
          <w:tab w:leader="none" w:pos="176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that, by reason of any medically determinable physical or mental impairment that can be expected to result in death or can be expected to last for a continuous period of not less than twelve months, the Key Employee is unable to engage in any substantial gainful activity or is receiving income replacement benefits under an accident and health benefit plan covering employees of the Company for a period of not less than three months.</w:t>
      </w:r>
    </w:p>
    <w:p>
      <w:pPr>
        <w:spacing w:after="0" w:line="148"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w:t>
      </w:r>
    </w:p>
    <w:p>
      <w:pPr>
        <w:spacing w:after="0" w:line="183" w:lineRule="exact"/>
        <w:rPr>
          <w:rFonts w:ascii="Times New Roman" w:cs="Times New Roman" w:eastAsia="Times New Roman" w:hAnsi="Times New Roman"/>
          <w:sz w:val="22"/>
          <w:szCs w:val="22"/>
          <w:color w:val="auto"/>
        </w:rPr>
      </w:pPr>
    </w:p>
    <w:p>
      <w:pPr>
        <w:ind w:right="340" w:firstLine="1952"/>
        <w:spacing w:after="0" w:line="236" w:lineRule="auto"/>
        <w:tabs>
          <w:tab w:leader="none" w:pos="236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of the Key Employee’s Base Salary and/or annual target bonus opportunity without the Key Employee’s prior written consent;</w:t>
      </w:r>
    </w:p>
    <w:p>
      <w:pPr>
        <w:spacing w:after="0" w:line="150" w:lineRule="exact"/>
        <w:rPr>
          <w:rFonts w:ascii="Times New Roman" w:cs="Times New Roman" w:eastAsia="Times New Roman" w:hAnsi="Times New Roman"/>
          <w:sz w:val="22"/>
          <w:szCs w:val="22"/>
          <w:color w:val="auto"/>
        </w:rPr>
      </w:pPr>
    </w:p>
    <w:p>
      <w:pPr>
        <w:ind w:right="440" w:firstLine="1952"/>
        <w:spacing w:after="0" w:line="236" w:lineRule="auto"/>
        <w:tabs>
          <w:tab w:leader="none" w:pos="242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relocation of the Key Employee’s primary work site to a location greater than fifty (50) miles from the Key Employee’s work site as of the Effective Date; or</w:t>
      </w:r>
    </w:p>
    <w:p>
      <w:pPr>
        <w:spacing w:after="0" w:line="150" w:lineRule="exact"/>
        <w:rPr>
          <w:rFonts w:ascii="Times New Roman" w:cs="Times New Roman" w:eastAsia="Times New Roman" w:hAnsi="Times New Roman"/>
          <w:sz w:val="22"/>
          <w:szCs w:val="22"/>
          <w:color w:val="auto"/>
        </w:rPr>
      </w:pPr>
    </w:p>
    <w:p>
      <w:pPr>
        <w:ind w:right="220" w:firstLine="1952"/>
        <w:spacing w:after="0" w:line="225" w:lineRule="auto"/>
        <w:tabs>
          <w:tab w:leader="none" w:pos="248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material breach by the Company of a material provision of this Agreement for which the Key Employee shall have given the Company written notice of such breach and the Company shall have failed to cure such breach within thirty (30) days after receipt of such notice.</w:t>
      </w:r>
    </w:p>
    <w:p>
      <w:pPr>
        <w:spacing w:after="0" w:line="152"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21"/>
          <w:szCs w:val="21"/>
          <w:color w:val="auto"/>
        </w:rPr>
        <w:t>Notwithstanding the foregoing, solely with respect to a termination of employment by the Key Employee during the Protection Period, in addition to clauses (i), (ii) and (iii), “Good Reason,” shall also mean a material reduction of the Key Employee’s duties (without the Key Employee’s prior written consent) from those in effect as of the Effective Date or as subsequently agreed to by the Key Employee and the Company for which the Key Employee shall have given the Company written notice of such breach and the Company shall have failed to cure such breach within thirty (30) days after receipt of such notice.</w:t>
      </w:r>
    </w:p>
    <w:p>
      <w:pPr>
        <w:spacing w:after="0" w:line="150" w:lineRule="exact"/>
        <w:rPr>
          <w:sz w:val="20"/>
          <w:szCs w:val="20"/>
          <w:color w:val="auto"/>
        </w:rPr>
      </w:pPr>
    </w:p>
    <w:p>
      <w:pPr>
        <w:ind w:right="280" w:firstLine="1304"/>
        <w:spacing w:after="0" w:line="238" w:lineRule="auto"/>
        <w:tabs>
          <w:tab w:leader="none" w:pos="171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Post-Termination Period</w:t>
      </w:r>
      <w:r>
        <w:rPr>
          <w:rFonts w:ascii="Times New Roman" w:cs="Times New Roman" w:eastAsia="Times New Roman" w:hAnsi="Times New Roman"/>
          <w:sz w:val="22"/>
          <w:szCs w:val="22"/>
          <w:color w:val="auto"/>
        </w:rPr>
        <w:t>” means the period beginning on the date that the Key Employee’s employment terminates and ending on the first anniversary of such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0"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w:t>
      </w:r>
    </w:p>
    <w:p>
      <w:pPr>
        <w:sectPr>
          <w:pgSz w:w="11900" w:h="16838" w:orient="portrait"/>
          <w:cols w:equalWidth="0" w:num="1">
            <w:col w:w="11240"/>
          </w:cols>
          <w:pgMar w:left="320" w:top="1395" w:right="339" w:bottom="1440" w:gutter="0" w:footer="0" w:header="0"/>
        </w:sectPr>
      </w:pPr>
    </w:p>
    <w:bookmarkStart w:id="90" w:name="page91"/>
    <w:bookmarkEnd w:id="90"/>
    <w:p>
      <w:pPr>
        <w:ind w:right="240" w:firstLine="1304"/>
        <w:spacing w:after="0" w:line="238" w:lineRule="auto"/>
        <w:tabs>
          <w:tab w:leader="none" w:pos="17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Protection Period</w:t>
      </w:r>
      <w:r>
        <w:rPr>
          <w:rFonts w:ascii="Times New Roman" w:cs="Times New Roman" w:eastAsia="Times New Roman" w:hAnsi="Times New Roman"/>
          <w:sz w:val="22"/>
          <w:szCs w:val="22"/>
          <w:color w:val="auto"/>
        </w:rPr>
        <w:t>” means the period beginning on the date of the occurrence of a Change in Control and ending 12 months following the occurrence of a Change in Control.</w:t>
      </w:r>
    </w:p>
    <w:p>
      <w:pPr>
        <w:spacing w:after="0" w:line="146"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Pay</w:t>
      </w:r>
      <w:r>
        <w:rPr>
          <w:rFonts w:ascii="Times New Roman" w:cs="Times New Roman" w:eastAsia="Times New Roman" w:hAnsi="Times New Roman"/>
          <w:sz w:val="22"/>
          <w:szCs w:val="22"/>
          <w:color w:val="auto"/>
        </w:rPr>
        <w:t>” means</w:t>
      </w:r>
    </w:p>
    <w:p>
      <w:pPr>
        <w:spacing w:after="0" w:line="183" w:lineRule="exact"/>
        <w:rPr>
          <w:rFonts w:ascii="Times New Roman" w:cs="Times New Roman" w:eastAsia="Times New Roman" w:hAnsi="Times New Roman"/>
          <w:sz w:val="22"/>
          <w:szCs w:val="22"/>
          <w:color w:val="auto"/>
        </w:rPr>
      </w:pPr>
    </w:p>
    <w:p>
      <w:pPr>
        <w:ind w:right="180" w:firstLine="1952"/>
        <w:spacing w:after="0" w:line="220" w:lineRule="auto"/>
        <w:tabs>
          <w:tab w:leader="none" w:pos="2364"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two (2) times the sum of the Key Employee’s annual Base Salary and Target Bonus as of the date of the Key Employee’s termination of employment (without giving effect to any reduction that would otherwise constitute Good Reason), in the case of a termination Without Cause outside the Protection Period or a termination by the Key Employee with Good Reason outside the Protection Period; and</w:t>
      </w:r>
    </w:p>
    <w:p>
      <w:pPr>
        <w:spacing w:after="0" w:line="152" w:lineRule="exact"/>
        <w:rPr>
          <w:rFonts w:ascii="Times New Roman" w:cs="Times New Roman" w:eastAsia="Times New Roman" w:hAnsi="Times New Roman"/>
          <w:sz w:val="22"/>
          <w:szCs w:val="22"/>
          <w:color w:val="auto"/>
        </w:rPr>
      </w:pPr>
    </w:p>
    <w:p>
      <w:pPr>
        <w:ind w:firstLine="1952"/>
        <w:spacing w:after="0" w:line="231" w:lineRule="auto"/>
        <w:tabs>
          <w:tab w:leader="none" w:pos="2424"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three (3) times the sum of the Key Employee’s annual Base Salary and Target Bonus as of the date of the Key Employee’s termination of employment, or if higher, the Key Employee’s annual Base Salary and Target Bonus for the fiscal year immediately preceding the fiscal year in which there occurs a Change in Control, in the case of a termination Without Cause during the Protection Period or a termination by the Key Employee for Good Reason during the Protection Period.</w:t>
      </w:r>
    </w:p>
    <w:p>
      <w:pPr>
        <w:spacing w:after="0" w:line="146" w:lineRule="exact"/>
        <w:rPr>
          <w:rFonts w:ascii="Times New Roman" w:cs="Times New Roman" w:eastAsia="Times New Roman" w:hAnsi="Times New Roman"/>
          <w:sz w:val="21"/>
          <w:szCs w:val="21"/>
          <w:color w:val="auto"/>
        </w:rPr>
      </w:pPr>
    </w:p>
    <w:p>
      <w:pPr>
        <w:jc w:val="both"/>
        <w:ind w:right="40" w:firstLine="1304"/>
        <w:spacing w:after="0" w:line="227" w:lineRule="auto"/>
        <w:tabs>
          <w:tab w:leader="none" w:pos="171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Severance Period</w:t>
      </w:r>
      <w:r>
        <w:rPr>
          <w:rFonts w:ascii="Times New Roman" w:cs="Times New Roman" w:eastAsia="Times New Roman" w:hAnsi="Times New Roman"/>
          <w:sz w:val="22"/>
          <w:szCs w:val="22"/>
          <w:color w:val="auto"/>
        </w:rPr>
        <w:t>” means the two (2) year period following the date of the Key Employee’s termination of employment, in the case of a termination Without Cause or a termination by the Key Employee for Good Reason, whether or not during the Protection Period.</w:t>
      </w:r>
    </w:p>
    <w:p>
      <w:pPr>
        <w:spacing w:after="0" w:line="146" w:lineRule="exact"/>
        <w:rPr>
          <w:rFonts w:ascii="Times New Roman" w:cs="Times New Roman" w:eastAsia="Times New Roman" w:hAnsi="Times New Roman"/>
          <w:sz w:val="22"/>
          <w:szCs w:val="22"/>
          <w:color w:val="auto"/>
        </w:rPr>
      </w:pPr>
    </w:p>
    <w:p>
      <w:pPr>
        <w:ind w:right="540" w:firstLine="1304"/>
        <w:spacing w:after="0" w:line="227" w:lineRule="auto"/>
        <w:tabs>
          <w:tab w:leader="none" w:pos="182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Without Cause</w:t>
      </w:r>
      <w:r>
        <w:rPr>
          <w:rFonts w:ascii="Times New Roman" w:cs="Times New Roman" w:eastAsia="Times New Roman" w:hAnsi="Times New Roman"/>
          <w:sz w:val="22"/>
          <w:szCs w:val="22"/>
          <w:color w:val="auto"/>
        </w:rPr>
        <w:t>” means termination by the Company of the Key Employee’s employment at the Company’s sole discretion for any reason, other than by reason of the Key Employee’s death or Disability, and other than a termination based upon Cause.</w:t>
      </w:r>
    </w:p>
    <w:p>
      <w:pPr>
        <w:spacing w:after="0" w:line="146" w:lineRule="exact"/>
        <w:rPr>
          <w:sz w:val="20"/>
          <w:szCs w:val="20"/>
          <w:color w:val="auto"/>
        </w:rPr>
      </w:pPr>
    </w:p>
    <w:p>
      <w:pPr>
        <w:ind w:right="14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b w:val="1"/>
          <w:bCs w:val="1"/>
          <w:u w:val="single" w:color="auto"/>
          <w:color w:val="auto"/>
        </w:rPr>
        <w:t>Interpretations</w:t>
      </w:r>
      <w:r>
        <w:rPr>
          <w:rFonts w:ascii="Times New Roman" w:cs="Times New Roman" w:eastAsia="Times New Roman" w:hAnsi="Times New Roman"/>
          <w:sz w:val="22"/>
          <w:szCs w:val="22"/>
          <w:color w:val="auto"/>
        </w:rPr>
        <w:t>. In this Agreement, unless a clear contrary intention appears, (a) the words “herein,” “hereof”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and other words of similar import refer to this Agreement as a whole and not to any particular Article, Section or other subdivision; (b) reference to any Article or Section, means such Article or Section hereof; and (c) the word “including” (and with correlative meaning “include”) means including, without limiting the generality of any description preceding such term.</w:t>
      </w:r>
    </w:p>
    <w:p>
      <w:pPr>
        <w:spacing w:after="0" w:line="1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ARTICLE II</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EMPLOYMENT AND DUTIES</w:t>
      </w:r>
    </w:p>
    <w:p>
      <w:pPr>
        <w:spacing w:after="0" w:line="151"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21"/>
          <w:szCs w:val="21"/>
          <w:b w:val="1"/>
          <w:bCs w:val="1"/>
          <w:color w:val="auto"/>
        </w:rPr>
        <w:t xml:space="preserve">2.1 </w:t>
      </w:r>
      <w:r>
        <w:rPr>
          <w:rFonts w:ascii="Times New Roman" w:cs="Times New Roman" w:eastAsia="Times New Roman" w:hAnsi="Times New Roman"/>
          <w:sz w:val="21"/>
          <w:szCs w:val="21"/>
          <w:b w:val="1"/>
          <w:bCs w:val="1"/>
          <w:u w:val="single" w:color="auto"/>
          <w:color w:val="auto"/>
        </w:rPr>
        <w:t>Term</w:t>
      </w:r>
      <w:r>
        <w:rPr>
          <w:rFonts w:ascii="Times New Roman" w:cs="Times New Roman" w:eastAsia="Times New Roman" w:hAnsi="Times New Roman"/>
          <w:sz w:val="21"/>
          <w:szCs w:val="21"/>
          <w:color w:val="auto"/>
        </w:rPr>
        <w:t>. The term of this Agreement shall be for a period commencing on January 9, 2023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ending on January 9, 2024 (the “</w:t>
      </w:r>
      <w:r>
        <w:rPr>
          <w:rFonts w:ascii="Times New Roman" w:cs="Times New Roman" w:eastAsia="Times New Roman" w:hAnsi="Times New Roman"/>
          <w:sz w:val="21"/>
          <w:szCs w:val="21"/>
          <w:b w:val="1"/>
          <w:bCs w:val="1"/>
          <w:color w:val="auto"/>
        </w:rPr>
        <w:t>Initial Term</w:t>
      </w:r>
      <w:r>
        <w:rPr>
          <w:rFonts w:ascii="Times New Roman" w:cs="Times New Roman" w:eastAsia="Times New Roman" w:hAnsi="Times New Roman"/>
          <w:sz w:val="21"/>
          <w:szCs w:val="21"/>
          <w:color w:val="auto"/>
        </w:rPr>
        <w:t>”), provided, however, that this Agreement shall automatically be extended for an additional one-year period at the end of the Initial Term and each one-year anniversary thereafter (each a “</w:t>
      </w:r>
      <w:r>
        <w:rPr>
          <w:rFonts w:ascii="Times New Roman" w:cs="Times New Roman" w:eastAsia="Times New Roman" w:hAnsi="Times New Roman"/>
          <w:sz w:val="21"/>
          <w:szCs w:val="21"/>
          <w:b w:val="1"/>
          <w:bCs w:val="1"/>
          <w:color w:val="auto"/>
        </w:rPr>
        <w:t>Renewal Term</w:t>
      </w:r>
      <w:r>
        <w:rPr>
          <w:rFonts w:ascii="Times New Roman" w:cs="Times New Roman" w:eastAsia="Times New Roman" w:hAnsi="Times New Roman"/>
          <w:sz w:val="21"/>
          <w:szCs w:val="21"/>
          <w:color w:val="auto"/>
        </w:rPr>
        <w:t>” and together with the Initial Term being referred to herein as the “</w:t>
      </w:r>
      <w:r>
        <w:rPr>
          <w:rFonts w:ascii="Times New Roman" w:cs="Times New Roman" w:eastAsia="Times New Roman" w:hAnsi="Times New Roman"/>
          <w:sz w:val="21"/>
          <w:szCs w:val="21"/>
          <w:b w:val="1"/>
          <w:bCs w:val="1"/>
          <w:color w:val="auto"/>
        </w:rPr>
        <w:t>Employment Term</w:t>
      </w:r>
      <w:r>
        <w:rPr>
          <w:rFonts w:ascii="Times New Roman" w:cs="Times New Roman" w:eastAsia="Times New Roman" w:hAnsi="Times New Roman"/>
          <w:sz w:val="21"/>
          <w:szCs w:val="21"/>
          <w:color w:val="auto"/>
        </w:rPr>
        <w:t>”), unless not later than one-hundred eighty</w:t>
      </w:r>
    </w:p>
    <w:p>
      <w:pPr>
        <w:spacing w:after="0" w:line="3" w:lineRule="exact"/>
        <w:rPr>
          <w:sz w:val="20"/>
          <w:szCs w:val="20"/>
          <w:color w:val="auto"/>
        </w:rPr>
      </w:pPr>
    </w:p>
    <w:p>
      <w:pPr>
        <w:ind w:firstLine="8"/>
        <w:spacing w:after="0" w:line="214" w:lineRule="auto"/>
        <w:tabs>
          <w:tab w:leader="none" w:pos="522"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the end of the then-current period, either the Key Employee or the Company shall have provided written notice to the other party that it does not wish to extend this Agreement; provided, further, that if there occurs a Change in Control during the Employment Term, the Employment Term shall automatically be extended for an additional one-year period (in addition to any then remaining Initial Term or a Renewal Term, as applicable).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80" w:hanging="136"/>
        <w:spacing w:after="0"/>
        <w:tabs>
          <w:tab w:leader="none" w:pos="55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3 -</w:t>
      </w:r>
    </w:p>
    <w:p>
      <w:pPr>
        <w:sectPr>
          <w:pgSz w:w="11900" w:h="16838" w:orient="portrait"/>
          <w:cols w:equalWidth="0" w:num="1">
            <w:col w:w="11180"/>
          </w:cols>
          <w:pgMar w:left="320" w:top="1391" w:right="399" w:bottom="1440" w:gutter="0" w:footer="0" w:header="0"/>
        </w:sectPr>
      </w:pPr>
    </w:p>
    <w:bookmarkStart w:id="91" w:name="page92"/>
    <w:bookmarkEnd w:id="91"/>
    <w:p>
      <w:pPr>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b w:val="1"/>
          <w:bCs w:val="1"/>
          <w:u w:val="single" w:color="auto"/>
          <w:color w:val="auto"/>
        </w:rPr>
        <w:t>Position, Duties and Services</w:t>
      </w:r>
      <w:r>
        <w:rPr>
          <w:rFonts w:ascii="Times New Roman" w:cs="Times New Roman" w:eastAsia="Times New Roman" w:hAnsi="Times New Roman"/>
          <w:sz w:val="22"/>
          <w:szCs w:val="22"/>
          <w:color w:val="auto"/>
        </w:rPr>
        <w:t>. The Key Employee shall serve in the position of Senior Vice President and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and after February 24, 2023 shall serve as Senior Vice President and Chief Financial Officer and shall have duties and responsibilities consistent with an executive serving in such capacity. The Key Employee shall perform such duties and responsibilities diligently and to the best of the Key Employee’s abilities. The Key Employee’s employment will be subject to the supervision and direction of the Chief Executive Officer of the Company and the Board.</w:t>
      </w:r>
    </w:p>
    <w:p>
      <w:pPr>
        <w:spacing w:after="0" w:line="14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20" w:firstLine="1304"/>
        <w:spacing w:after="0" w:line="220" w:lineRule="auto"/>
        <w:tabs>
          <w:tab w:leader="none" w:pos="1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Key Employee shall receive an initial Base Salary at the rate of Four Hundred Forty Thousand Dollars ($440,000.00) per annum payable in periodic installments in accordance with the Company’s normal payroll practices and procedures, which Base Salary may be increased (but not decreased) by the Board or (a committee thereof) from time to time.</w:t>
      </w:r>
    </w:p>
    <w:p>
      <w:pPr>
        <w:spacing w:after="0" w:line="152" w:lineRule="exact"/>
        <w:rPr>
          <w:rFonts w:ascii="Times New Roman" w:cs="Times New Roman" w:eastAsia="Times New Roman" w:hAnsi="Times New Roman"/>
          <w:sz w:val="22"/>
          <w:szCs w:val="22"/>
          <w:color w:val="auto"/>
        </w:rPr>
      </w:pPr>
    </w:p>
    <w:p>
      <w:pPr>
        <w:ind w:right="100" w:firstLine="1304"/>
        <w:spacing w:after="0" w:line="225" w:lineRule="auto"/>
        <w:tabs>
          <w:tab w:leader="none" w:pos="17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During the Employment Term, the Key Employee shall be eligible to receive an annual target bonus (the “</w:t>
      </w:r>
      <w:r>
        <w:rPr>
          <w:rFonts w:ascii="Times New Roman" w:cs="Times New Roman" w:eastAsia="Times New Roman" w:hAnsi="Times New Roman"/>
          <w:sz w:val="22"/>
          <w:szCs w:val="22"/>
          <w:b w:val="1"/>
          <w:bCs w:val="1"/>
          <w:color w:val="auto"/>
        </w:rPr>
        <w:t>Target Bonus</w:t>
      </w:r>
      <w:r>
        <w:rPr>
          <w:rFonts w:ascii="Times New Roman" w:cs="Times New Roman" w:eastAsia="Times New Roman" w:hAnsi="Times New Roman"/>
          <w:sz w:val="22"/>
          <w:szCs w:val="22"/>
          <w:color w:val="auto"/>
        </w:rPr>
        <w:t>”) based on the achievement of annual performance objectives, as determined by the Board (or a committee thereof) in its discretion.</w:t>
      </w:r>
    </w:p>
    <w:p>
      <w:pPr>
        <w:spacing w:after="0" w:line="152" w:lineRule="exact"/>
        <w:rPr>
          <w:rFonts w:ascii="Times New Roman" w:cs="Times New Roman" w:eastAsia="Times New Roman" w:hAnsi="Times New Roman"/>
          <w:sz w:val="22"/>
          <w:szCs w:val="22"/>
          <w:color w:val="auto"/>
        </w:rPr>
      </w:pPr>
    </w:p>
    <w:p>
      <w:pPr>
        <w:ind w:right="140" w:firstLine="1304"/>
        <w:spacing w:after="0" w:line="225" w:lineRule="auto"/>
        <w:tabs>
          <w:tab w:leader="none" w:pos="175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Savings, Profit Sharing, and Retirement Plans</w:t>
      </w:r>
      <w:r>
        <w:rPr>
          <w:rFonts w:ascii="Times New Roman" w:cs="Times New Roman" w:eastAsia="Times New Roman" w:hAnsi="Times New Roman"/>
          <w:sz w:val="22"/>
          <w:szCs w:val="22"/>
          <w:color w:val="auto"/>
        </w:rPr>
        <w:t>. During the Employment Term, the Key Employee shall be entitled to participate in all incentive, savings, profit sharing and retirement plans, practices, policies and programs applicable generally, from time to time, to other similarly situated employees of the Company.</w:t>
      </w:r>
    </w:p>
    <w:p>
      <w:pPr>
        <w:spacing w:after="0" w:line="152" w:lineRule="exact"/>
        <w:rPr>
          <w:rFonts w:ascii="Times New Roman" w:cs="Times New Roman" w:eastAsia="Times New Roman" w:hAnsi="Times New Roman"/>
          <w:sz w:val="22"/>
          <w:szCs w:val="22"/>
          <w:color w:val="auto"/>
        </w:rPr>
      </w:pPr>
    </w:p>
    <w:p>
      <w:pPr>
        <w:ind w:right="40" w:firstLine="1304"/>
        <w:spacing w:after="0" w:line="236" w:lineRule="auto"/>
        <w:tabs>
          <w:tab w:leader="none" w:pos="1764"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Welfare Benefit Plans</w:t>
      </w:r>
      <w:r>
        <w:rPr>
          <w:rFonts w:ascii="Times New Roman" w:cs="Times New Roman" w:eastAsia="Times New Roman" w:hAnsi="Times New Roman"/>
          <w:sz w:val="21"/>
          <w:szCs w:val="21"/>
          <w:color w:val="auto"/>
        </w:rPr>
        <w:t>. During the Employment Term, the Key Employee and/or the Key Employee’s family, as the case may be, shall be eligible for participation in and will receive all benefits under the welfare benefit plans, practices, policies and programs applicable generally, from time to time, to other similarly situated employees of the Company.</w:t>
      </w:r>
    </w:p>
    <w:p>
      <w:pPr>
        <w:spacing w:after="0" w:line="148" w:lineRule="exact"/>
        <w:rPr>
          <w:sz w:val="20"/>
          <w:szCs w:val="20"/>
          <w:color w:val="auto"/>
        </w:rPr>
      </w:pPr>
    </w:p>
    <w:p>
      <w:pPr>
        <w:ind w:right="20"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b w:val="1"/>
          <w:bCs w:val="1"/>
          <w:u w:val="single" w:color="auto"/>
          <w:color w:val="auto"/>
        </w:rPr>
        <w:t>Severance Benefit</w:t>
      </w:r>
      <w:r>
        <w:rPr>
          <w:rFonts w:ascii="Times New Roman" w:cs="Times New Roman" w:eastAsia="Times New Roman" w:hAnsi="Times New Roman"/>
          <w:sz w:val="22"/>
          <w:szCs w:val="22"/>
          <w:color w:val="auto"/>
        </w:rPr>
        <w:t>. The Key Employee shall be entitled to receive the severance benefits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upon the Key Employee’s termination of employment during the Employment Term, provided the Key Employee satisfies the requirements outlined in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b w:val="1"/>
          <w:bCs w:val="1"/>
          <w:u w:val="single" w:color="auto"/>
          <w:color w:val="auto"/>
        </w:rPr>
        <w:t>Indemnification</w:t>
      </w:r>
      <w:r>
        <w:rPr>
          <w:rFonts w:ascii="Times New Roman" w:cs="Times New Roman" w:eastAsia="Times New Roman" w:hAnsi="Times New Roman"/>
          <w:sz w:val="22"/>
          <w:szCs w:val="22"/>
          <w:color w:val="auto"/>
        </w:rPr>
        <w:t>. The Company shall (i) indemnify, hold harmless and defend the Key Employee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permitted under applicable law from and against reasonable costs, including reasonable attorney’s fees, incurred by the Key Employee in connection with or arising out of any acts or decisions made by the Key Employee in the course and scope of the Key Employee’s employment hereunder and (ii) pay all reasonable expenses and reasonable attorney’s fees actually incurred by the Key Employee in connection with or relating to the defense of any claim, action, suit or proceeding by any third party against the Key Employee arising out of or relating to any acts or decisions made by the Key Employee in the course and scope of the Key Employee’s employment hereunder; provided, however, that such indemnification shall not apply with respect to the commission of a criminal act or any gross misconduct by the Key Employee.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shall survive the termination or expiration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- 4 -</w:t>
      </w:r>
    </w:p>
    <w:p>
      <w:pPr>
        <w:sectPr>
          <w:pgSz w:w="11900" w:h="16838" w:orient="portrait"/>
          <w:cols w:equalWidth="0" w:num="1">
            <w:col w:w="11200"/>
          </w:cols>
          <w:pgMar w:left="320" w:top="1391" w:right="379" w:bottom="1440" w:gutter="0" w:footer="0" w:header="0"/>
        </w:sectPr>
      </w:pPr>
    </w:p>
    <w:bookmarkStart w:id="92" w:name="page93"/>
    <w:bookmarkEnd w:id="9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EARLY TERMINATION</w:t>
      </w:r>
    </w:p>
    <w:p>
      <w:pPr>
        <w:spacing w:after="0" w:line="151"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b w:val="1"/>
          <w:bCs w:val="1"/>
          <w:u w:val="single" w:color="auto"/>
          <w:color w:val="auto"/>
        </w:rPr>
        <w:t>Death</w:t>
      </w:r>
      <w:r>
        <w:rPr>
          <w:rFonts w:ascii="Times New Roman" w:cs="Times New Roman" w:eastAsia="Times New Roman" w:hAnsi="Times New Roman"/>
          <w:sz w:val="22"/>
          <w:szCs w:val="22"/>
          <w:color w:val="auto"/>
        </w:rPr>
        <w:t>. Upon the death of the Key Employee during the Employment Term, this Agreement shall terminate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Key Employee’s estate shall be entitled to payment of the Key Employee’s Base Salary through the date of such termination plus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death.</w:t>
      </w:r>
    </w:p>
    <w:p>
      <w:pPr>
        <w:spacing w:after="0" w:line="149"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In the event of the Key Employee’s Disability during the Employment Term, this Agreement and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Key Employee’s employment with the Company shall terminate and the Key Employee shall be entitled to payment of the following benefits: (a) the Key Employee’s Base Salary through the date of such termination; (b) long-term disability benefits pursuant to the terms of any long-term disability policy provided to similarly situated employees of the Company in which the Key Employee is a participant; and (c)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3.12(b)</w:t>
      </w:r>
      <w:r>
        <w:rPr>
          <w:rFonts w:ascii="Times New Roman" w:cs="Times New Roman" w:eastAsia="Times New Roman" w:hAnsi="Times New Roman"/>
          <w:sz w:val="22"/>
          <w:szCs w:val="22"/>
          <w:color w:val="auto"/>
        </w:rPr>
        <w:t>,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w:t>
      </w:r>
    </w:p>
    <w:p>
      <w:pPr>
        <w:spacing w:after="0" w:line="152" w:lineRule="exact"/>
        <w:rPr>
          <w:sz w:val="20"/>
          <w:szCs w:val="20"/>
          <w:color w:val="auto"/>
        </w:rPr>
      </w:pPr>
    </w:p>
    <w:p>
      <w:pPr>
        <w:ind w:right="200"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3.3 </w:t>
      </w:r>
      <w:r>
        <w:rPr>
          <w:rFonts w:ascii="Times New Roman" w:cs="Times New Roman" w:eastAsia="Times New Roman" w:hAnsi="Times New Roman"/>
          <w:sz w:val="22"/>
          <w:szCs w:val="22"/>
          <w:b w:val="1"/>
          <w:bCs w:val="1"/>
          <w:u w:val="single" w:color="auto"/>
          <w:color w:val="auto"/>
        </w:rPr>
        <w:t>Termination for Cause by Company</w:t>
      </w:r>
      <w:r>
        <w:rPr>
          <w:rFonts w:ascii="Times New Roman" w:cs="Times New Roman" w:eastAsia="Times New Roman" w:hAnsi="Times New Roman"/>
          <w:sz w:val="22"/>
          <w:szCs w:val="22"/>
          <w:color w:val="auto"/>
        </w:rPr>
        <w:t>. If the Key Employee’s employment is terminated during the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 for Cause,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in which the Key Employee is a participant.</w:t>
      </w:r>
    </w:p>
    <w:p>
      <w:pPr>
        <w:spacing w:after="0" w:line="147"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b w:val="1"/>
          <w:bCs w:val="1"/>
          <w:u w:val="single" w:color="auto"/>
          <w:color w:val="auto"/>
        </w:rPr>
        <w:t>Termination Without Good Reason by the Key Employee</w:t>
      </w:r>
      <w:r>
        <w:rPr>
          <w:rFonts w:ascii="Times New Roman" w:cs="Times New Roman" w:eastAsia="Times New Roman" w:hAnsi="Times New Roman"/>
          <w:sz w:val="22"/>
          <w:szCs w:val="22"/>
          <w:color w:val="auto"/>
        </w:rPr>
        <w:t>. If the Key Employee terminates the Key Employee’s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employment with the Company during the Employment Term without Good Reason, whether or not during the Protection Period, the Company shall pay the Key Employee through the date of termination (a) the Key Employee’s Base Salary in effect at the time notice of termination is given at the applicable payment date under the Company’s regular and customary payroll practices and (b) any compensation and benefits payable pursuant to the terms of the compensation and benefit plans specified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2.3</w:t>
      </w:r>
      <w:r>
        <w:rPr>
          <w:rFonts w:ascii="Times New Roman" w:cs="Times New Roman" w:eastAsia="Times New Roman" w:hAnsi="Times New Roman"/>
          <w:sz w:val="22"/>
          <w:szCs w:val="22"/>
          <w:color w:val="auto"/>
        </w:rPr>
        <w:t xml:space="preserve"> in which the Key Employee is a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ectPr>
          <w:pgSz w:w="11900" w:h="16838" w:orient="portrait"/>
          <w:cols w:equalWidth="0" w:num="1">
            <w:col w:w="11220"/>
          </w:cols>
          <w:pgMar w:left="320" w:top="1382" w:right="359" w:bottom="1440" w:gutter="0" w:footer="0" w:header="0"/>
        </w:sectPr>
      </w:pPr>
    </w:p>
    <w:bookmarkStart w:id="93" w:name="page94"/>
    <w:bookmarkEnd w:id="93"/>
    <w:p>
      <w:pPr>
        <w:ind w:firstLine="64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3.5 </w:t>
      </w:r>
      <w:r>
        <w:rPr>
          <w:rFonts w:ascii="Times New Roman" w:cs="Times New Roman" w:eastAsia="Times New Roman" w:hAnsi="Times New Roman"/>
          <w:sz w:val="21"/>
          <w:szCs w:val="21"/>
          <w:b w:val="1"/>
          <w:bCs w:val="1"/>
          <w:u w:val="single" w:color="auto"/>
          <w:color w:val="auto"/>
        </w:rPr>
        <w:t>Termination Without Cause or for Good Reason Outside the Protection Period</w:t>
      </w:r>
      <w:r>
        <w:rPr>
          <w:rFonts w:ascii="Times New Roman" w:cs="Times New Roman" w:eastAsia="Times New Roman" w:hAnsi="Times New Roman"/>
          <w:sz w:val="21"/>
          <w:szCs w:val="21"/>
          <w:color w:val="auto"/>
        </w:rPr>
        <w:t>. If, during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 and outside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3.12(b)</w:t>
      </w:r>
      <w:r>
        <w:rPr>
          <w:rFonts w:ascii="Times New Roman" w:cs="Times New Roman" w:eastAsia="Times New Roman" w:hAnsi="Times New Roman"/>
          <w:sz w:val="21"/>
          <w:szCs w:val="21"/>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any Severance Pay and any amounts in respect of health benefits shall be made (or commence) in the month immediately following the month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except that, if the maximum period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may be revoked ends in the year following the year in which Key Employee incurs a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(as such term is defined in Treasury regulations issued under Code Section</w:t>
      </w:r>
    </w:p>
    <w:p>
      <w:pPr>
        <w:spacing w:after="0" w:line="21"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22"/>
          <w:szCs w:val="22"/>
          <w:color w:val="auto"/>
        </w:rPr>
        <w:t xml:space="preserve">409A), then the date on which the waiver and release of claims described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 w:cs="Times New Roman" w:eastAsia="Times New Roman" w:hAnsi="Times New Roman"/>
          <w:sz w:val="22"/>
          <w:szCs w:val="22"/>
          <w:u w:val="single" w:color="auto"/>
          <w:color w:val="auto"/>
        </w:rPr>
        <w:t>Section 3.8</w:t>
      </w:r>
      <w:r>
        <w:rPr>
          <w:rFonts w:ascii="Times New Roman" w:cs="Times New Roman" w:eastAsia="Times New Roman" w:hAnsi="Times New Roman"/>
          <w:sz w:val="22"/>
          <w:szCs w:val="22"/>
          <w:color w:val="auto"/>
        </w:rPr>
        <w:t xml:space="preserve"> becomes non-revocable (without regard to this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- 6 -</w:t>
      </w:r>
    </w:p>
    <w:p>
      <w:pPr>
        <w:sectPr>
          <w:pgSz w:w="11900" w:h="16838" w:orient="portrait"/>
          <w:cols w:equalWidth="0" w:num="1">
            <w:col w:w="11220"/>
          </w:cols>
          <w:pgMar w:left="320" w:top="1391" w:right="359" w:bottom="1440" w:gutter="0" w:footer="0" w:header="0"/>
        </w:sectPr>
      </w:pPr>
    </w:p>
    <w:bookmarkStart w:id="94" w:name="page95"/>
    <w:bookmarkEnd w:id="94"/>
    <w:p>
      <w:pPr>
        <w:ind w:firstLine="648"/>
        <w:spacing w:after="0" w:line="215" w:lineRule="auto"/>
        <w:rPr>
          <w:sz w:val="20"/>
          <w:szCs w:val="20"/>
          <w:color w:val="auto"/>
        </w:rPr>
      </w:pPr>
      <w:r>
        <w:rPr>
          <w:rFonts w:ascii="Times New Roman" w:cs="Times New Roman" w:eastAsia="Times New Roman" w:hAnsi="Times New Roman"/>
          <w:sz w:val="21"/>
          <w:szCs w:val="21"/>
          <w:b w:val="1"/>
          <w:bCs w:val="1"/>
          <w:color w:val="auto"/>
        </w:rPr>
        <w:t xml:space="preserve">3.6 </w:t>
      </w:r>
      <w:r>
        <w:rPr>
          <w:rFonts w:ascii="Times New Roman" w:cs="Times New Roman" w:eastAsia="Times New Roman" w:hAnsi="Times New Roman"/>
          <w:sz w:val="21"/>
          <w:szCs w:val="21"/>
          <w:b w:val="1"/>
          <w:bCs w:val="1"/>
          <w:u w:val="single" w:color="auto"/>
          <w:color w:val="auto"/>
        </w:rPr>
        <w:t>Termination Without Cause or for Good Reason During the Protection Period</w:t>
      </w:r>
      <w:r>
        <w:rPr>
          <w:rFonts w:ascii="Times New Roman" w:cs="Times New Roman" w:eastAsia="Times New Roman" w:hAnsi="Times New Roman"/>
          <w:sz w:val="21"/>
          <w:szCs w:val="21"/>
          <w:color w:val="auto"/>
        </w:rPr>
        <w:t>. If, during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Term and during the Protection Period, the Key Employee’s employment is terminated by the Company Without Cause or the Key Employee terminates the Key Employee’s employment with the Company for Good Reason, the Key Employee shall be entitled to (a) the Key Employee’s unpaid Base Salary through the date of termination; (b) any compensation and benefits payable pursuant to the terms of the compensation and benefit plans specified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 which the Key Employee is a participant in accordance with the terms and conditions of such compensation and benefit plans; (c) a lump sum payment equal to the Key Employee’s Severance Pay; and (d) a lump sum payment equal to the product of (i) the number of months in the Severance Period multiplied by (ii) the monthly cost of maintaining health benefits for the Key Employee (and the Key Employee’s spouse and eligible dependents) as of the date of the Key Employee’s termination of employment under a group health plan of the Company for purposes of COBRA, on an after-tax basis and excluding any short-term or long-term disability insurance benefits. Unless otherwise indicated in this Agreement and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Base Salary through the date of termination and the payment of any other cash compensation to which the Key Employee is entitled under this Agreement that is not exempt from Code Section 409A shall be made in a lump sum payment as soon as administratively reasonable but not later than ninety (90) days following the date of the Key Employee’s termination. Subject to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3.12(b)</w:t>
      </w:r>
      <w:r>
        <w:rPr>
          <w:rFonts w:ascii="Times New Roman" w:cs="Times New Roman" w:eastAsia="Times New Roman" w:hAnsi="Times New Roman"/>
          <w:sz w:val="21"/>
          <w:szCs w:val="21"/>
          <w:color w:val="auto"/>
        </w:rPr>
        <w:t xml:space="preserve">, reimbursements or in-kind benefits to which the Key Employee is entitled that are not exempt from Code Section 409A shall be paid as soon as administratively reasonable following the date of payments as set forth in this Agreement, or the applicable plan, practice, policy or program. Subject to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the payment of any Severance Pay and any amounts in respect of health benefits shall be made (or commence) in the month immediately following the month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except that, if the maximum period in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may be revoked ends in the year following the year in which Key Employee incurs a Separation from Service, then the date on which the waiver and release of claims described in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becomes non-revocable will be deemed to be the later of the (A) the first business day in the year following the year in which Key Employee incurs a Separation from Service and (B) the date on which the waiver and release of claims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3.8</w:t>
      </w:r>
      <w:r>
        <w:rPr>
          <w:rFonts w:ascii="Times New Roman" w:cs="Times New Roman" w:eastAsia="Times New Roman" w:hAnsi="Times New Roman"/>
          <w:sz w:val="21"/>
          <w:szCs w:val="21"/>
          <w:color w:val="auto"/>
        </w:rPr>
        <w:t xml:space="preserve"> becomes non-revocable (without regard to this exception). In the event of the Key Employee’s termination under this </w:t>
      </w:r>
      <w:r>
        <w:rPr>
          <w:rFonts w:ascii="Times New Roman" w:cs="Times New Roman" w:eastAsia="Times New Roman" w:hAnsi="Times New Roman"/>
          <w:sz w:val="21"/>
          <w:szCs w:val="21"/>
          <w:u w:val="single" w:color="auto"/>
          <w:color w:val="auto"/>
        </w:rPr>
        <w:t>Section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the Key Employee shall not be bound by the provisions of </w:t>
      </w:r>
      <w:r>
        <w:rPr>
          <w:rFonts w:ascii="Times New Roman" w:cs="Times New Roman" w:eastAsia="Times New Roman" w:hAnsi="Times New Roman"/>
          <w:sz w:val="22"/>
          <w:szCs w:val="22"/>
          <w:u w:val="single" w:color="auto"/>
          <w:color w:val="auto"/>
        </w:rPr>
        <w:t>Section 3.9(b)</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b w:val="1"/>
          <w:bCs w:val="1"/>
          <w:u w:val="single" w:color="auto"/>
          <w:color w:val="auto"/>
        </w:rPr>
        <w:t>Termination of Company’s Obligations</w:t>
      </w:r>
      <w:r>
        <w:rPr>
          <w:rFonts w:ascii="Times New Roman" w:cs="Times New Roman" w:eastAsia="Times New Roman" w:hAnsi="Times New Roman"/>
          <w:sz w:val="22"/>
          <w:szCs w:val="22"/>
          <w:color w:val="auto"/>
        </w:rPr>
        <w:t>. Upon termination of the Key Employee’s employment for any reason,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Company’s obligations under this Agreement shall terminate and the Key Employee shall be entitled to no compensation and benefits other than that provided in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 xml:space="preserve">. Notwithstanding such termination, the parties’ obligations under </w:t>
      </w:r>
      <w:r>
        <w:rPr>
          <w:rFonts w:ascii="Times New Roman" w:cs="Times New Roman" w:eastAsia="Times New Roman" w:hAnsi="Times New Roman"/>
          <w:sz w:val="22"/>
          <w:szCs w:val="22"/>
          <w:u w:val="single" w:color="auto"/>
          <w:color w:val="auto"/>
        </w:rPr>
        <w:t>Sections 2.5</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3.9</w:t>
      </w:r>
      <w:r>
        <w:rPr>
          <w:rFonts w:ascii="Times New Roman" w:cs="Times New Roman" w:eastAsia="Times New Roman" w:hAnsi="Times New Roman"/>
          <w:sz w:val="22"/>
          <w:szCs w:val="22"/>
          <w:color w:val="auto"/>
        </w:rPr>
        <w:t xml:space="preserve"> of this Agreement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- 7 -</w:t>
      </w:r>
    </w:p>
    <w:p>
      <w:pPr>
        <w:sectPr>
          <w:pgSz w:w="11900" w:h="16838" w:orient="portrait"/>
          <w:cols w:equalWidth="0" w:num="1">
            <w:col w:w="11220"/>
          </w:cols>
          <w:pgMar w:left="320" w:top="1391" w:right="359" w:bottom="1440" w:gutter="0" w:footer="0" w:header="0"/>
        </w:sectPr>
      </w:pPr>
    </w:p>
    <w:bookmarkStart w:id="95" w:name="page96"/>
    <w:bookmarkEnd w:id="95"/>
    <w:p>
      <w:pPr>
        <w:ind w:right="40" w:firstLine="648"/>
        <w:spacing w:after="0" w:line="219" w:lineRule="auto"/>
        <w:rPr>
          <w:sz w:val="20"/>
          <w:szCs w:val="20"/>
          <w:color w:val="auto"/>
        </w:rPr>
      </w:pPr>
      <w:r>
        <w:rPr>
          <w:rFonts w:ascii="Times New Roman" w:cs="Times New Roman" w:eastAsia="Times New Roman" w:hAnsi="Times New Roman"/>
          <w:sz w:val="21"/>
          <w:szCs w:val="21"/>
          <w:b w:val="1"/>
          <w:bCs w:val="1"/>
          <w:color w:val="auto"/>
        </w:rPr>
        <w:t xml:space="preserve">3.8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Notwithstanding the foregoing provisions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the Key Employee shall be entitled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additional benefits specified in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(regarding termination Without Cause or for Good Reason outside the Protection Period)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(regarding termination Without Cause or for Good Reason during the Protection Period) (i.e., those in addition to the payment of the Key Employee’s Base Salary through the date of termination and any benefits payable pursuant to the terms of the compensation and benefit plans specified in </w:t>
      </w:r>
      <w:r>
        <w:rPr>
          <w:rFonts w:ascii="Times New Roman" w:cs="Times New Roman" w:eastAsia="Times New Roman" w:hAnsi="Times New Roman"/>
          <w:sz w:val="21"/>
          <w:szCs w:val="21"/>
          <w:u w:val="single" w:color="auto"/>
          <w:color w:val="auto"/>
        </w:rPr>
        <w:t>Section 2.3</w:t>
      </w:r>
      <w:r>
        <w:rPr>
          <w:rFonts w:ascii="Times New Roman" w:cs="Times New Roman" w:eastAsia="Times New Roman" w:hAnsi="Times New Roman"/>
          <w:sz w:val="21"/>
          <w:szCs w:val="21"/>
          <w:color w:val="auto"/>
        </w:rPr>
        <w:t xml:space="preserve"> in which the Key Employee is a participant), only upon the Key Employee’s execution (and non-revocation) and delivery to the Company of a waiver and release of all claims substantially in the form used by the Company for similarly situated employees, which execution (and non-revocation) and delivery must occur before the forty-fifth (45th) day immediately following the date of termination. The Company shall have no obligations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as applicable, if the Key Employee fails to deliver (and not revoke) the executed waiver and release of claims to the Company within the specified period of time. Notwithstanding the foregoing, if the Company does not deliver the form of release to the Key Employee within three (3) business days following the date of termination, then any requirement for the Key Employee to execute (and not revoke) and deliver the release as a condition of receiving any payments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xml:space="preserve">, as applicable, will have no effect, and the Key Employee will be entitled to receive any payments to which the Key Employee otherwise qualifies under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3.6</w:t>
      </w:r>
      <w:r>
        <w:rPr>
          <w:rFonts w:ascii="Times New Roman" w:cs="Times New Roman" w:eastAsia="Times New Roman" w:hAnsi="Times New Roman"/>
          <w:sz w:val="21"/>
          <w:szCs w:val="21"/>
          <w:color w:val="auto"/>
        </w:rPr>
        <w:t>, as applicable.</w:t>
      </w:r>
    </w:p>
    <w:p>
      <w:pPr>
        <w:spacing w:after="0" w:line="15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u w:val="single" w:color="auto"/>
          <w:color w:val="auto"/>
        </w:rPr>
        <w:t>Non-Competition; Non-Solicitation; Confidentiality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1304"/>
        <w:spacing w:after="0" w:line="217" w:lineRule="auto"/>
        <w:tabs>
          <w:tab w:leader="none" w:pos="174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Key Employee acknowledges and agrees that: (i) the Company is engaged in the business of power line and commercial/industrial electrical construction services for electric utilities, telecommunication providers, commercial/industrial facilities, and government agencies and electrical construction and maintenance services for industrial and power generation clients (the “</w:t>
      </w:r>
      <w:r>
        <w:rPr>
          <w:rFonts w:ascii="Times New Roman" w:cs="Times New Roman" w:eastAsia="Times New Roman" w:hAnsi="Times New Roman"/>
          <w:sz w:val="21"/>
          <w:szCs w:val="21"/>
          <w:b w:val="1"/>
          <w:bCs w:val="1"/>
          <w:color w:val="auto"/>
        </w:rPr>
        <w:t>Business</w:t>
      </w:r>
      <w:r>
        <w:rPr>
          <w:rFonts w:ascii="Times New Roman" w:cs="Times New Roman" w:eastAsia="Times New Roman" w:hAnsi="Times New Roman"/>
          <w:sz w:val="21"/>
          <w:szCs w:val="21"/>
          <w:color w:val="auto"/>
        </w:rPr>
        <w:t xml:space="preserve">”); (ii) the Business is intensely competitive; (iii) the Key Employee’s customer relationships are near permanent and but for the Key Employee’s association with the Company, the Key Employee would not have had contact with the customers; (iv) the Key Employee will continue to develop and have access to and knowledge of non-public information of the Company and its clients; (v) the direct or indirect disclosure of any such confidential information to existing or potential competitors of the Company would place the Company at a competitive disadvantage and would do damage to the Company; (vi) the Key Employee has developed goodwill with the Company’s clients at the substantial expense of the Company; (vii) but for the Key Employee entering into the covenants set forth in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the Company would not have entered into this Agreement; (viii) the Key Employee engaging in any of the activities prohibited by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would constitute improper appropriation and/or use of the Company’s confidential information and/or goodwill; (ix) the Key Employee’s association with the Company is expected to be critical to the success of the Company; (x) the services to be rendered by the Key Employee to the Company are of a special and unique character; (xi) the Company conducts the Business throughout North America; (xii) the noncompetition and other restrictive covenants and agreements set forth in this Agreement are fair and reasonable and it would not be reasonable for the Company to enter into this Agreement without obtaining such non-competition and other restrictive covenants and agreements; and (xiii) in light of the foregoing and of the Key Employee’s education, skills, abilities and financial resources, the Key Employee acknowledges and agrees that the Key Employee will not assert, and it should not be considered, that enforcement of any of the covenants set forth in this </w:t>
      </w:r>
      <w:r>
        <w:rPr>
          <w:rFonts w:ascii="Times New Roman" w:cs="Times New Roman" w:eastAsia="Times New Roman" w:hAnsi="Times New Roman"/>
          <w:sz w:val="21"/>
          <w:szCs w:val="21"/>
          <w:u w:val="single" w:color="auto"/>
          <w:color w:val="auto"/>
        </w:rPr>
        <w:t>Section 3.9</w:t>
      </w:r>
      <w:r>
        <w:rPr>
          <w:rFonts w:ascii="Times New Roman" w:cs="Times New Roman" w:eastAsia="Times New Roman" w:hAnsi="Times New Roman"/>
          <w:sz w:val="21"/>
          <w:szCs w:val="21"/>
          <w:color w:val="auto"/>
        </w:rPr>
        <w:t xml:space="preserve"> would prevent the Key Employee from earning a living or otherwise are void, voidable or unenforceable or should be voided or held unenforceable.</w:t>
      </w: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00" w:lineRule="exact"/>
        <w:rPr>
          <w:rFonts w:ascii="Times New Roman" w:cs="Times New Roman" w:eastAsia="Times New Roman" w:hAnsi="Times New Roman"/>
          <w:sz w:val="21"/>
          <w:szCs w:val="21"/>
          <w:color w:val="auto"/>
        </w:rPr>
      </w:pPr>
    </w:p>
    <w:p>
      <w:pPr>
        <w:spacing w:after="0" w:line="249" w:lineRule="exact"/>
        <w:rPr>
          <w:rFonts w:ascii="Times New Roman" w:cs="Times New Roman" w:eastAsia="Times New Roman" w:hAnsi="Times New Roman"/>
          <w:sz w:val="21"/>
          <w:szCs w:val="21"/>
          <w:color w:val="auto"/>
        </w:rPr>
      </w:pPr>
    </w:p>
    <w:p>
      <w:pPr>
        <w:ind w:left="5580" w:hanging="136"/>
        <w:spacing w:after="0"/>
        <w:tabs>
          <w:tab w:leader="none" w:pos="5580"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8 -</w:t>
      </w:r>
    </w:p>
    <w:p>
      <w:pPr>
        <w:sectPr>
          <w:pgSz w:w="11900" w:h="16838" w:orient="portrait"/>
          <w:cols w:equalWidth="0" w:num="1">
            <w:col w:w="11180"/>
          </w:cols>
          <w:pgMar w:left="320" w:top="1391" w:right="399" w:bottom="1440" w:gutter="0" w:footer="0" w:header="0"/>
        </w:sectPr>
      </w:pPr>
    </w:p>
    <w:bookmarkStart w:id="96" w:name="page97"/>
    <w:bookmarkEnd w:id="96"/>
    <w:p>
      <w:pPr>
        <w:ind w:left="-8" w:right="20" w:firstLine="1304"/>
        <w:spacing w:after="0" w:line="211" w:lineRule="auto"/>
        <w:tabs>
          <w:tab w:leader="none" w:pos="1756"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to Compete</w:t>
      </w:r>
      <w:r>
        <w:rPr>
          <w:rFonts w:ascii="Times New Roman" w:cs="Times New Roman" w:eastAsia="Times New Roman" w:hAnsi="Times New Roman"/>
          <w:sz w:val="22"/>
          <w:szCs w:val="22"/>
          <w:color w:val="auto"/>
        </w:rPr>
        <w:t>. The Key Employee will not, during the Key Employee’s employment and the Post-Termination Period, directly or indirectly, carry on or conduct, the Business or any business of the nature in which the Company or its subsidiaries are then engaged in any geographical area in which the Company or its subsidiaries or affiliates engage in business at the time of such termination or any new line of business with respect to which the Key Employee has created, received or had access to confidential information (as set forth below). The Key Employee agrees that the Key Employee will not so conduct or engage in the Business or any such business in any capacity, including as an individual on the Key Employee’s own account or as a partner or joint venturer or as an employee, agent, consultant or salesman for any other person or entity, or as an officer or director of a corporation, provided, that the Key Employee may be a shareholder in any public corporation if the Key Employee does not own ten percent (10%) or more of any class of its stock.</w:t>
      </w:r>
    </w:p>
    <w:p>
      <w:pPr>
        <w:spacing w:after="0" w:line="158" w:lineRule="exact"/>
        <w:rPr>
          <w:rFonts w:ascii="Times New Roman" w:cs="Times New Roman" w:eastAsia="Times New Roman" w:hAnsi="Times New Roman"/>
          <w:sz w:val="22"/>
          <w:szCs w:val="22"/>
          <w:color w:val="auto"/>
        </w:rPr>
      </w:pPr>
    </w:p>
    <w:p>
      <w:pPr>
        <w:ind w:left="-8" w:firstLine="1304"/>
        <w:spacing w:after="0" w:line="209" w:lineRule="auto"/>
        <w:tabs>
          <w:tab w:leader="none" w:pos="17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The Key Employee will not, directly or indirectly, during the Key Employee’s employment and at any time following termination of the Key Employee’s employment with the Company for any reason, reveal, divulge or make known to any person or entity, or use for the Key Employee’s personal benefit (including for the purpose of soliciting business, whether or not competitive with any business of the Company or its subsidiaries or affiliates), any information acquired during the Employment Term with regard to the financial, business or other affairs of the Company or its subsidiaries or affiliates (including any list or record of persons or entities with which the Company or its subsidiaries or affiliates has any dealings), other than (i) for purposes of performing the Key Employee’s duties and responsibilities pursuant to this Agreement; (ii) information already in the public domain; or (iii) information that the Key Employee is required to disclose under the following circumstances: (A) at the direction of any authorized governmental entity; (B) pursuant to a subpoena or other court process; (C) as otherwise required by law or the rules, regulations, or orders of any applicable regulatory body; or (D) as otherwise necessary, in the opinion of counsel for the Key Employee, to be disclosed by the Key Employee in connection with any legal action or proceeding involving the Key Employee in the Key Employee’s capacity as an employee, officer, director, or stockholder of the Company or any subsidiary or affiliate of the Company.</w:t>
      </w:r>
    </w:p>
    <w:p>
      <w:pPr>
        <w:spacing w:after="0" w:line="160" w:lineRule="exact"/>
        <w:rPr>
          <w:rFonts w:ascii="Times New Roman" w:cs="Times New Roman" w:eastAsia="Times New Roman" w:hAnsi="Times New Roman"/>
          <w:sz w:val="22"/>
          <w:szCs w:val="22"/>
          <w:color w:val="auto"/>
        </w:rPr>
      </w:pPr>
    </w:p>
    <w:p>
      <w:pPr>
        <w:ind w:left="-8" w:right="20" w:firstLine="1304"/>
        <w:spacing w:after="0" w:line="212" w:lineRule="auto"/>
        <w:tabs>
          <w:tab w:leader="none" w:pos="1752"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Key Employee will, upon the earlier of (i) any time requested by the Company or (ii) termination of the Key Employee’s employment with the Company for any reason, promptly deliver to the Company all documents, memoranda, notes, reports, lists, files, customer lists, mailing lists, software, disks, credit cards, door and file keys, computer access codes, instructional manuals, and other physical or personal property which the Key Employee received or prepared or helped to prepare in connection with the Key Employee’s relationship with the Company including, but not limited to, any confidential information (as set forth above) of the Company or any of its subsidiaries and affiliates which the Key Employee may then possess or have under the Key Employee’s control, and the Key Employee shall not retain any copies, duplicates, reproductions or excerpts thereof.</w:t>
      </w:r>
    </w:p>
    <w:p>
      <w:pPr>
        <w:spacing w:after="0" w:line="156" w:lineRule="exact"/>
        <w:rPr>
          <w:rFonts w:ascii="Times New Roman" w:cs="Times New Roman" w:eastAsia="Times New Roman" w:hAnsi="Times New Roman"/>
          <w:sz w:val="22"/>
          <w:szCs w:val="22"/>
          <w:color w:val="auto"/>
        </w:rPr>
      </w:pPr>
    </w:p>
    <w:p>
      <w:pPr>
        <w:ind w:left="-8" w:right="60" w:firstLine="1304"/>
        <w:spacing w:after="0" w:line="220" w:lineRule="auto"/>
        <w:tabs>
          <w:tab w:leader="none" w:pos="1744"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Agreement not to Solicit</w:t>
      </w:r>
      <w:r>
        <w:rPr>
          <w:rFonts w:ascii="Times New Roman" w:cs="Times New Roman" w:eastAsia="Times New Roman" w:hAnsi="Times New Roman"/>
          <w:sz w:val="21"/>
          <w:szCs w:val="21"/>
          <w:color w:val="auto"/>
        </w:rPr>
        <w:t>. During the Employment Term and for the Post-Termination Period, the Key Employee shall not (except on behalf of or with the written consent of the Company), either directly or indirectly, on the Key Employee’s own behalf or in the service or on behalf of others, (i) solicit, divert, or appropriate, or (ii) attempt to solicit, divert, or appropriate, any person or entity that is or was a customer of the Company or any of its affiliates at any time during the twelve</w:t>
      </w:r>
    </w:p>
    <w:p>
      <w:pPr>
        <w:spacing w:after="0" w:line="2" w:lineRule="exact"/>
        <w:rPr>
          <w:rFonts w:ascii="Times New Roman" w:cs="Times New Roman" w:eastAsia="Times New Roman" w:hAnsi="Times New Roman"/>
          <w:sz w:val="21"/>
          <w:szCs w:val="21"/>
          <w:color w:val="auto"/>
        </w:rPr>
      </w:pPr>
    </w:p>
    <w:p>
      <w:pPr>
        <w:ind w:left="412" w:hanging="412"/>
        <w:spacing w:after="0"/>
        <w:tabs>
          <w:tab w:leader="none" w:pos="41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prior to the date of the Key Employee’s termination and with whom the Key Employee has had material contact.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72" w:hanging="136"/>
        <w:spacing w:after="0"/>
        <w:tabs>
          <w:tab w:leader="none" w:pos="557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9 -</w:t>
      </w:r>
    </w:p>
    <w:p>
      <w:pPr>
        <w:sectPr>
          <w:pgSz w:w="11900" w:h="16838" w:orient="portrait"/>
          <w:cols w:equalWidth="0" w:num="1">
            <w:col w:w="11232"/>
          </w:cols>
          <w:pgMar w:left="328" w:top="1395" w:right="339" w:bottom="1440" w:gutter="0" w:footer="0" w:header="0"/>
        </w:sectPr>
      </w:pPr>
    </w:p>
    <w:bookmarkStart w:id="97" w:name="page98"/>
    <w:bookmarkEnd w:id="97"/>
    <w:p>
      <w:pPr>
        <w:ind w:left="-1120" w:right="80" w:firstLine="1304"/>
        <w:spacing w:after="0" w:line="220" w:lineRule="auto"/>
        <w:tabs>
          <w:tab w:leader="none" w:pos="60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not to Recruit</w:t>
      </w:r>
      <w:r>
        <w:rPr>
          <w:rFonts w:ascii="Times New Roman" w:cs="Times New Roman" w:eastAsia="Times New Roman" w:hAnsi="Times New Roman"/>
          <w:sz w:val="22"/>
          <w:szCs w:val="22"/>
          <w:color w:val="auto"/>
        </w:rPr>
        <w:t>. During the Employment Term and for the Post-Termination Period, the Key Employee shall not, either directly or indirectly, on the Key Employee’s behalf or in the service or on behalf of others, (i) solicit, divert, or hire away, or (ii) attempt to solicit, divert, or hire away, any employee of or consultant to the Company or its subsidiaries or affiliates.</w:t>
      </w:r>
    </w:p>
    <w:p>
      <w:pPr>
        <w:spacing w:after="0" w:line="152" w:lineRule="exact"/>
        <w:rPr>
          <w:rFonts w:ascii="Times New Roman" w:cs="Times New Roman" w:eastAsia="Times New Roman" w:hAnsi="Times New Roman"/>
          <w:sz w:val="22"/>
          <w:szCs w:val="22"/>
          <w:color w:val="auto"/>
        </w:rPr>
      </w:pPr>
    </w:p>
    <w:p>
      <w:pPr>
        <w:ind w:left="-1120" w:firstLine="1304"/>
        <w:spacing w:after="0" w:line="211" w:lineRule="auto"/>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Restrictions</w:t>
      </w:r>
      <w:r>
        <w:rPr>
          <w:rFonts w:ascii="Times New Roman" w:cs="Times New Roman" w:eastAsia="Times New Roman" w:hAnsi="Times New Roman"/>
          <w:sz w:val="22"/>
          <w:szCs w:val="22"/>
          <w:color w:val="auto"/>
        </w:rPr>
        <w:t xml:space="preserve">. The Key Employee acknowledges that the geographic boundaries, scope of prohibited activities, and time duration set forth in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are reasonable in nature and are no broader than are necessary to maintain the goodwill of the Company and the confidentiality of its confidential information and to protect the legitimate business interests of the Company, and that the enforcement of such provisions would not cause the Key Employee any undue hardship nor unreasonably interfere with the Key Employee’s ability to earn a livelihood. If any court determines that any portion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is invalid or unenforceable, the remainder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will not thereby be affected and will be given full effect without regard to the invalid provisions. If any court construes any of the provisions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or any part thereof, to be unreasonable because of the duration or scope of such provision, such court shall reduce the duration or scope of such provision and enforce such provision as so reduced.</w:t>
      </w:r>
    </w:p>
    <w:p>
      <w:pPr>
        <w:spacing w:after="0" w:line="158" w:lineRule="exact"/>
        <w:rPr>
          <w:rFonts w:ascii="Times New Roman" w:cs="Times New Roman" w:eastAsia="Times New Roman" w:hAnsi="Times New Roman"/>
          <w:sz w:val="22"/>
          <w:szCs w:val="22"/>
          <w:color w:val="auto"/>
        </w:rPr>
      </w:pPr>
    </w:p>
    <w:p>
      <w:pPr>
        <w:ind w:left="-1120" w:firstLine="1304"/>
        <w:spacing w:after="0" w:line="212" w:lineRule="auto"/>
        <w:tabs>
          <w:tab w:leader="none" w:pos="64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Upon the Key Employee’s employment with an entity that is not a subsidiary or affiliate of the Company (a “</w:t>
      </w:r>
      <w:r>
        <w:rPr>
          <w:rFonts w:ascii="Times New Roman" w:cs="Times New Roman" w:eastAsia="Times New Roman" w:hAnsi="Times New Roman"/>
          <w:sz w:val="22"/>
          <w:szCs w:val="22"/>
          <w:b w:val="1"/>
          <w:bCs w:val="1"/>
          <w:color w:val="auto"/>
        </w:rPr>
        <w:t>Successor Employer</w:t>
      </w:r>
      <w:r>
        <w:rPr>
          <w:rFonts w:ascii="Times New Roman" w:cs="Times New Roman" w:eastAsia="Times New Roman" w:hAnsi="Times New Roman"/>
          <w:sz w:val="22"/>
          <w:szCs w:val="22"/>
          <w:color w:val="auto"/>
        </w:rPr>
        <w:t xml:space="preserve">”) during the period that the provisions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remain in effect, the Key Employee will provide such Successor Employer with a copy of this Agreement and will notify the Company of such employment within thirty (30) days thereof. The Key Employee agrees that in the event of a breach or threatened breach of the terms and conditions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xml:space="preserve"> by the Key Employee, the Company will be entitled, if it so elects, to institute and prosecute proceedings, either in law or in equity, against the Key Employee, to obtain damages for any such breach, or to enjoin (in the form of specific performance, temporary restraining order, temporary or permanent injunction or otherwise) the Key Employee from any conduct in violation of this </w:t>
      </w:r>
      <w:r>
        <w:rPr>
          <w:rFonts w:ascii="Times New Roman" w:cs="Times New Roman" w:eastAsia="Times New Roman" w:hAnsi="Times New Roman"/>
          <w:sz w:val="22"/>
          <w:szCs w:val="22"/>
          <w:u w:val="single" w:color="auto"/>
          <w:color w:val="auto"/>
        </w:rPr>
        <w:t>Section 3.9</w:t>
      </w:r>
      <w:r>
        <w:rPr>
          <w:rFonts w:ascii="Times New Roman" w:cs="Times New Roman" w:eastAsia="Times New Roman" w:hAnsi="Times New Roman"/>
          <w:sz w:val="22"/>
          <w:szCs w:val="22"/>
          <w:color w:val="auto"/>
        </w:rPr>
        <w:t>, without having to post a bond.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6" w:lineRule="exact"/>
        <w:rPr>
          <w:rFonts w:ascii="Times New Roman" w:cs="Times New Roman" w:eastAsia="Times New Roman" w:hAnsi="Times New Roman"/>
          <w:sz w:val="22"/>
          <w:szCs w:val="22"/>
          <w:color w:val="auto"/>
        </w:rPr>
      </w:pPr>
    </w:p>
    <w:p>
      <w:pPr>
        <w:ind w:left="4400" w:hanging="130"/>
        <w:spacing w:after="0"/>
        <w:tabs>
          <w:tab w:leader="none" w:pos="44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10 -</w:t>
      </w:r>
    </w:p>
    <w:p>
      <w:pPr>
        <w:sectPr>
          <w:pgSz w:w="11900" w:h="16838" w:orient="portrait"/>
          <w:cols w:equalWidth="0" w:num="1">
            <w:col w:w="10080"/>
          </w:cols>
          <w:pgMar w:left="1440" w:top="1395" w:right="379" w:bottom="1440" w:gutter="0" w:footer="0" w:header="0"/>
        </w:sectPr>
      </w:pPr>
    </w:p>
    <w:bookmarkStart w:id="98" w:name="page99"/>
    <w:bookmarkEnd w:id="98"/>
    <w:p>
      <w:pPr>
        <w:ind w:left="652"/>
        <w:spacing w:after="0"/>
        <w:tabs>
          <w:tab w:leader="none" w:pos="1232"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u w:val="single" w:color="auto"/>
          <w:color w:val="auto"/>
        </w:rPr>
        <w:t>Parachute Payments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8" w:right="40" w:firstLine="1304"/>
        <w:spacing w:after="0" w:line="207" w:lineRule="auto"/>
        <w:tabs>
          <w:tab w:leader="none" w:pos="174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in the event that any payment or distribution to or for the Key Employee’s benefit, whether paid or payable or distributed or distributable pursuant to the terms of this Agreement or otherwise pursuant to or by reason of any other agreement, policy, plan, program or arrangement, including without limitation any stock option, stock appreciation right or similar right, or the lapse or termination of any restriction on or the vesting or exercisability of any of the foregoing (all such payments and benefits, together, the “</w:t>
      </w:r>
      <w:r>
        <w:rPr>
          <w:rFonts w:ascii="Times New Roman" w:cs="Times New Roman" w:eastAsia="Times New Roman" w:hAnsi="Times New Roman"/>
          <w:sz w:val="22"/>
          <w:szCs w:val="22"/>
          <w:b w:val="1"/>
          <w:bCs w:val="1"/>
          <w:color w:val="auto"/>
        </w:rPr>
        <w:t>Total Payments</w:t>
      </w:r>
      <w:r>
        <w:rPr>
          <w:rFonts w:ascii="Times New Roman" w:cs="Times New Roman" w:eastAsia="Times New Roman" w:hAnsi="Times New Roman"/>
          <w:sz w:val="22"/>
          <w:szCs w:val="22"/>
          <w:color w:val="auto"/>
        </w:rPr>
        <w:t>”), would be subject (in whole or part), to any excise tax imposed under Section 4999 of the Code, or any successor provision thereto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after taking into account any reduction in the Total Payments provided by reason of Section 280G of the Code in such other agreement, policy, plan, program or arrangement, the Company will reduce the Total Payments to the extent necessary so that no portion of the Total Payments is subject to the Excise Tax (but in no event to less than zero), in the following order: (i) the payments that are payable in cash that are valued at full value under Treasury Regulation Section 1.280G-1, Q&amp;A 24(a) shall be reduced (if necessary, to zero), with amounts that are payable last reduced first; (ii) payments and benefits due in respect of any equity valued at full value under Treasury Regulation Section 1.280G-1, Q&amp;A 24(a), with the highest values reduced first (as such values are determined under Treasury Regulation Section 1.280G-1, Q&amp;A 24) shall next be reduced; (iii) the payments that are payable in cash that are valued at less than full value under Treasury Regulation Section 1.280G-1, Q&amp;A 24, with amounts that are payable last reduced first, shall next be reduced; (iv) payments and benefits due in respect of any equity valued at less than full value under Treasury Regulation Section 1.280G-1, Q&amp;A 24, with the highest values reduced first (as such values are determined under Treasury Regulation Section 1.280G-1, Q&amp;A 24) shall next be reduced; and (v) all other non-cash benefits not otherwise described in clauses (ii) or (iv) shall be next reduced pro-rata; provided, however, that the Total Payments shall only be reduced if (A) the net amount of such Total Payments, as so reduced (and after subtracting the net amount of federal, state, municipal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municipal and local income taxes on such Total Payments and the amount of Excise Tax to which the Key Employee would be subject in respect of such unreduced Total Payments and after taking into account the phase out of itemized deductions and personal exemptions attributable to such unreduced Total Payments).</w:t>
      </w:r>
    </w:p>
    <w:p>
      <w:pPr>
        <w:spacing w:after="0" w:line="161" w:lineRule="exact"/>
        <w:rPr>
          <w:rFonts w:ascii="Times New Roman" w:cs="Times New Roman" w:eastAsia="Times New Roman" w:hAnsi="Times New Roman"/>
          <w:sz w:val="22"/>
          <w:szCs w:val="22"/>
          <w:color w:val="auto"/>
        </w:rPr>
      </w:pPr>
    </w:p>
    <w:p>
      <w:pPr>
        <w:jc w:val="both"/>
        <w:ind w:left="-8" w:firstLine="1304"/>
        <w:spacing w:after="0" w:line="222" w:lineRule="auto"/>
        <w:tabs>
          <w:tab w:leader="none" w:pos="1756"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determining whether and the extent to which the Total Payments will be subject to the Excise Tax: (i) no portion of the Total Payments the receipt or enjoyment of which the Key Employee shall have waived at such time and in such manner as not to constitute a “payment” within the meaning of Section 280G(b) of the Code shall be taken into account;</w:t>
      </w:r>
    </w:p>
    <w:p>
      <w:pPr>
        <w:spacing w:after="0" w:line="1" w:lineRule="exact"/>
        <w:rPr>
          <w:rFonts w:ascii="Times New Roman" w:cs="Times New Roman" w:eastAsia="Times New Roman" w:hAnsi="Times New Roman"/>
          <w:sz w:val="21"/>
          <w:szCs w:val="21"/>
          <w:color w:val="auto"/>
        </w:rPr>
      </w:pPr>
    </w:p>
    <w:p>
      <w:pPr>
        <w:ind w:left="-8" w:right="40" w:firstLine="8"/>
        <w:spacing w:after="0" w:line="209" w:lineRule="auto"/>
        <w:tabs>
          <w:tab w:leader="none" w:pos="31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portion of the Total Payments shall be taken into account which, in the opinion of tax counsel (“</w:t>
      </w:r>
      <w:r>
        <w:rPr>
          <w:rFonts w:ascii="Times New Roman" w:cs="Times New Roman" w:eastAsia="Times New Roman" w:hAnsi="Times New Roman"/>
          <w:sz w:val="22"/>
          <w:szCs w:val="22"/>
          <w:b w:val="1"/>
          <w:bCs w:val="1"/>
          <w:color w:val="auto"/>
        </w:rPr>
        <w:t>Tax Counsel</w:t>
      </w:r>
      <w:r>
        <w:rPr>
          <w:rFonts w:ascii="Times New Roman" w:cs="Times New Roman" w:eastAsia="Times New Roman" w:hAnsi="Times New Roman"/>
          <w:sz w:val="22"/>
          <w:szCs w:val="22"/>
          <w:color w:val="auto"/>
        </w:rPr>
        <w:t>”) reasonably acceptable to the Key Employee and selected by the accounting firm which was, immediately prior to the change in control, the Company’s independent auditor (the “</w:t>
      </w:r>
      <w:r>
        <w:rPr>
          <w:rFonts w:ascii="Times New Roman" w:cs="Times New Roman" w:eastAsia="Times New Roman" w:hAnsi="Times New Roman"/>
          <w:sz w:val="22"/>
          <w:szCs w:val="22"/>
          <w:b w:val="1"/>
          <w:bCs w:val="1"/>
          <w:color w:val="auto"/>
        </w:rPr>
        <w:t>Auditor</w:t>
      </w:r>
      <w:r>
        <w:rPr>
          <w:rFonts w:ascii="Times New Roman" w:cs="Times New Roman" w:eastAsia="Times New Roman" w:hAnsi="Times New Roman"/>
          <w:sz w:val="22"/>
          <w:szCs w:val="22"/>
          <w:color w:val="auto"/>
        </w:rPr>
        <w:t>”), does not constitute a “parachute payment” within the meaning of Section 280G(b)(2) of the Code (including by reason of Section 280G(b)(4)(A) of the Code) and, in calculating the Excise Tax, no portion of such Total Payments shall be taken into account which, in the opinion of Tax Counsel,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shall be determined by the Auditor in accordance with the principles of Sections 280G(d)(3) and (4) of the Code.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3" w:lineRule="exact"/>
        <w:rPr>
          <w:rFonts w:ascii="Times New Roman" w:cs="Times New Roman" w:eastAsia="Times New Roman" w:hAnsi="Times New Roman"/>
          <w:sz w:val="22"/>
          <w:szCs w:val="22"/>
          <w:color w:val="auto"/>
        </w:rPr>
      </w:pPr>
    </w:p>
    <w:p>
      <w:pPr>
        <w:ind w:left="5512" w:hanging="126"/>
        <w:spacing w:after="0"/>
        <w:tabs>
          <w:tab w:leader="none" w:pos="5512" w:val="left"/>
        </w:tabs>
        <w:numPr>
          <w:ilvl w:val="2"/>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11 -</w:t>
      </w:r>
    </w:p>
    <w:p>
      <w:pPr>
        <w:sectPr>
          <w:pgSz w:w="11900" w:h="16838" w:orient="portrait"/>
          <w:cols w:equalWidth="0" w:num="1">
            <w:col w:w="11232"/>
          </w:cols>
          <w:pgMar w:left="328" w:top="1391" w:right="339" w:bottom="1440" w:gutter="0" w:footer="0" w:header="0"/>
        </w:sectPr>
      </w:pPr>
    </w:p>
    <w:bookmarkStart w:id="99" w:name="page100"/>
    <w:bookmarkEnd w:id="99"/>
    <w:p>
      <w:pPr>
        <w:ind w:left="-660" w:firstLine="1304"/>
        <w:spacing w:after="0" w:line="212" w:lineRule="auto"/>
        <w:tabs>
          <w:tab w:leader="none" w:pos="10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the time that payments are made under this Agreement, the Company shall provide the Key Employee with a written statement setting forth the manner in which such payments were calculated and the basis for such calculations, including any opinions or other advice the Company received from Tax Counsel, the Auditor, or other advisors or consultants (and any such opinions or advice which are in writing shall be attached to the statement). If the Key Employee objects to the Company’s calculations, the Company shall pay to the Key Employee such portion of the Total Payments (up to 100% thereof) as the Key Employee determines is necessary to result in the proper application of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All determinations required by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xml:space="preserve"> (or requested by either the Key Employee or the Company in connection with this </w:t>
      </w:r>
      <w:r>
        <w:rPr>
          <w:rFonts w:ascii="Times New Roman" w:cs="Times New Roman" w:eastAsia="Times New Roman" w:hAnsi="Times New Roman"/>
          <w:sz w:val="22"/>
          <w:szCs w:val="22"/>
          <w:u w:val="single" w:color="auto"/>
          <w:color w:val="auto"/>
        </w:rPr>
        <w:t>Section 3.10</w:t>
      </w:r>
      <w:r>
        <w:rPr>
          <w:rFonts w:ascii="Times New Roman" w:cs="Times New Roman" w:eastAsia="Times New Roman" w:hAnsi="Times New Roman"/>
          <w:sz w:val="22"/>
          <w:szCs w:val="22"/>
          <w:color w:val="auto"/>
        </w:rPr>
        <w:t>) shall be at the expense of the Company.</w:t>
      </w:r>
    </w:p>
    <w:p>
      <w:pPr>
        <w:spacing w:after="0" w:line="15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u w:val="single" w:color="auto"/>
          <w:color w:val="auto"/>
        </w:rPr>
        <w:t>Intentionally Omitted</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u w:val="single" w:color="auto"/>
          <w:color w:val="auto"/>
        </w:rPr>
        <w:t>Payments Subject to Section 409A of the Code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left="-660" w:firstLine="1304"/>
        <w:spacing w:after="0" w:line="212" w:lineRule="auto"/>
        <w:tabs>
          <w:tab w:leader="none" w:pos="10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ARTICLE III</w:t>
      </w:r>
      <w:r>
        <w:rPr>
          <w:rFonts w:ascii="Times New Roman" w:cs="Times New Roman" w:eastAsia="Times New Roman" w:hAnsi="Times New Roman"/>
          <w:sz w:val="22"/>
          <w:szCs w:val="22"/>
          <w:color w:val="auto"/>
        </w:rPr>
        <w:t>, to the extent required by Section 409A of the Code and applicable guidance thereunder, payments that the Key Employee would otherwise be entitled to receive hereunder during the first six months following the date of the Key Employee’s termination of employment will be accumulated and paid on the date that is six months and one day after the date of the Key Employee’s termination of employment (or if such payment date does not fall on a business day of the Company, the next following business day of the Company), or such earlier date upon which such amount can be paid without adverse tax consequences to the Key Employee under Section 409A of the Code; provided, however, that no such delay shall apply with respect to payments to which the Key Employee is entitled in the event of the Key Employee’s death.</w:t>
      </w:r>
    </w:p>
    <w:p>
      <w:pPr>
        <w:spacing w:after="0" w:line="156" w:lineRule="exact"/>
        <w:rPr>
          <w:rFonts w:ascii="Times New Roman" w:cs="Times New Roman" w:eastAsia="Times New Roman" w:hAnsi="Times New Roman"/>
          <w:sz w:val="22"/>
          <w:szCs w:val="22"/>
          <w:color w:val="auto"/>
        </w:rPr>
      </w:pPr>
    </w:p>
    <w:p>
      <w:pPr>
        <w:ind w:left="-660" w:right="40" w:firstLine="1304"/>
        <w:spacing w:after="0" w:line="212" w:lineRule="auto"/>
        <w:tabs>
          <w:tab w:leader="none" w:pos="10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reimbursement of expenses or in-kind benefits provided under this Agreement, that is subject to and not exempt from Section 409A of the Code, shall be subject to the following additional rules: (i) any reimbursement of eligible expenses shall be paid as they are incurred (but not prior to the end of the six-month delay period set forth in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provided that the Key Employee first provides documentation thereof in reasonable detail not later than sixty (60) days following the end of the calendar year in which the eligible expenses were incurred; (ii) the amount of expenses eligible for reimbursement, or in-kind benefits provided, during any calendar year shall not affect the amount of expenses eligible for reimbursement, or in-kind benefits to be provided, during any other calendar year; and (iii) the right to reimbursement or in-kind benefits shall not be subject to liquidation or exchange for another benefit.</w:t>
      </w:r>
    </w:p>
    <w:p>
      <w:pPr>
        <w:spacing w:after="0" w:line="156" w:lineRule="exact"/>
        <w:rPr>
          <w:rFonts w:ascii="Times New Roman" w:cs="Times New Roman" w:eastAsia="Times New Roman" w:hAnsi="Times New Roman"/>
          <w:sz w:val="22"/>
          <w:szCs w:val="22"/>
          <w:color w:val="auto"/>
        </w:rPr>
      </w:pPr>
    </w:p>
    <w:p>
      <w:pPr>
        <w:ind w:left="-660" w:right="20" w:firstLine="1304"/>
        <w:spacing w:after="0" w:line="211" w:lineRule="auto"/>
        <w:tabs>
          <w:tab w:leader="none" w:pos="109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determining the Key Employee’s entitlement to payment of any cash or other remuneration which is deferred compensation under Section 409A of the Code, any provision of this Agreement providing for payment of any such cash or remuneration upon “termination,” “termination of employment” or other event which is a termination of an employment relationship with the Company means that such payment is to be made upon a Separation from Service, with the Company and all of its subsidiaries and affiliates, for any reason, including without limitation, quit, discharge and retirement, and the Company and the Key Employee reasonably anticipate that no further services will be performed after such date or that the level of bona fide services performed after such date (whether as an employee or as an independent contractor) will permanently decrease to no more than twenty percent (20%) of the average level of bona fide services performed (whether as an employee or an independent contractor) over the immediately preceding 36-month period (or the full period of services if the Key Employee has been providing services for less than 36 months).</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1" w:lineRule="exact"/>
        <w:rPr>
          <w:rFonts w:ascii="Times New Roman" w:cs="Times New Roman" w:eastAsia="Times New Roman" w:hAnsi="Times New Roman"/>
          <w:sz w:val="22"/>
          <w:szCs w:val="22"/>
          <w:color w:val="auto"/>
        </w:rPr>
      </w:pPr>
    </w:p>
    <w:p>
      <w:pPr>
        <w:ind w:left="4860" w:hanging="130"/>
        <w:spacing w:after="0"/>
        <w:tabs>
          <w:tab w:leader="none" w:pos="48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w:t>
      </w:r>
    </w:p>
    <w:p>
      <w:pPr>
        <w:sectPr>
          <w:pgSz w:w="11900" w:h="16838" w:orient="portrait"/>
          <w:cols w:equalWidth="0" w:num="1">
            <w:col w:w="10560"/>
          </w:cols>
          <w:pgMar w:left="980" w:top="1395" w:right="359" w:bottom="1440" w:gutter="0" w:footer="0" w:header="0"/>
        </w:sectPr>
      </w:pPr>
    </w:p>
    <w:bookmarkStart w:id="100" w:name="page101"/>
    <w:bookmarkEnd w:id="100"/>
    <w:p>
      <w:pPr>
        <w:ind w:firstLine="1304"/>
        <w:spacing w:after="0" w:line="211" w:lineRule="auto"/>
        <w:tabs>
          <w:tab w:leader="none" w:pos="176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intended that the payments and benefits provided under this Agreement shall either be exempt from application of, or comply with, the requirements of Section 409A of the Code. This Agreement shall be construed, administered, and governed in a manner that affects such intent, and the Company shall not take any action that would be inconsistent with such intent. Without limiting the foregoing, the payments and benefits provided under this Agreement may not be deferred, accelerated, extended, paid out, or modified in a manner that would result in the imposition of an additional tax under Section 409A of the Code. Although the Company shall use its best efforts to avoid the imposition of taxation, interest and penalties under Section 409A of the Code, the tax treatment of the benefits provided under this Agreement is not warranted or guaranteed. The Company shall not be held liable for any taxes, interest, penalties, or other monetary amounts owed by the Key Employee or other taxpayers as a result of this Agreement.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1"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This Agreement is governed by and will be construed in accordance with the laws of the State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Illinois, without regard to the conflicts of law principles of such State.</w:t>
      </w:r>
    </w:p>
    <w:p>
      <w:pPr>
        <w:spacing w:after="0" w:line="146" w:lineRule="exact"/>
        <w:rPr>
          <w:sz w:val="20"/>
          <w:szCs w:val="20"/>
          <w:color w:val="auto"/>
        </w:rPr>
      </w:pPr>
    </w:p>
    <w:p>
      <w:pPr>
        <w:ind w:right="30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b w:val="1"/>
          <w:bCs w:val="1"/>
          <w:u w:val="single" w:color="auto"/>
          <w:color w:val="auto"/>
        </w:rPr>
        <w:t>Amendment and Waiver</w:t>
      </w:r>
      <w:r>
        <w:rPr>
          <w:rFonts w:ascii="Times New Roman" w:cs="Times New Roman" w:eastAsia="Times New Roman" w:hAnsi="Times New Roman"/>
          <w:sz w:val="22"/>
          <w:szCs w:val="22"/>
          <w:color w:val="auto"/>
        </w:rPr>
        <w:t>. The provisions of this Agreement may be amended, modified or waived only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prior written consent of the Company and the Key Employee, and no course of conduct or failure or delay in enforcing the provisions of this Agreement will be construed as a waiver of such provisions or affect the validity, binding effect or enforceability of this Agreement or any provision hereof.</w:t>
      </w:r>
    </w:p>
    <w:p>
      <w:pPr>
        <w:spacing w:after="0" w:line="148"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Any provision in this Agreement which is prohibited or unenforceable in any jurisdiction by reason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will, as to such jurisdiction, be ineffective only to the extent of such prohibition or unenforceability without invalidating or affecting the remaining provisions hereof, and any such prohibition or unenforceability in any jurisdiction will not invalidate or render unenforceable such provision in any other jurisdiction.</w:t>
      </w:r>
    </w:p>
    <w:p>
      <w:pPr>
        <w:spacing w:after="0" w:line="148" w:lineRule="exact"/>
        <w:rPr>
          <w:sz w:val="20"/>
          <w:szCs w:val="20"/>
          <w:color w:val="auto"/>
        </w:rPr>
      </w:pPr>
    </w:p>
    <w:p>
      <w:pPr>
        <w:ind w:right="100"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4.4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Except as provided in the written benefit plans and programs referenced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2.3(d)</w:t>
      </w:r>
      <w:r>
        <w:rPr>
          <w:rFonts w:ascii="Times New Roman" w:cs="Times New Roman" w:eastAsia="Times New Roman" w:hAnsi="Times New Roman"/>
          <w:sz w:val="21"/>
          <w:szCs w:val="21"/>
          <w:color w:val="auto"/>
        </w:rPr>
        <w:t>, this Agreement embodies the complete agreement and understanding among the parties hereto with respect to the subject matter hereof and supersedes and preempts any prior understandings, agreements or representations by or among the parties, written or oral, which may have related to the employment of the Key Employee or the subject matter hereof in any way.</w:t>
      </w:r>
    </w:p>
    <w:p>
      <w:pPr>
        <w:spacing w:after="0" w:line="146" w:lineRule="exact"/>
        <w:rPr>
          <w:sz w:val="20"/>
          <w:szCs w:val="20"/>
          <w:color w:val="auto"/>
        </w:rPr>
      </w:pPr>
    </w:p>
    <w:p>
      <w:pPr>
        <w:jc w:val="both"/>
        <w:ind w:right="440"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22"/>
          <w:szCs w:val="22"/>
          <w:b w:val="1"/>
          <w:bCs w:val="1"/>
          <w:u w:val="single" w:color="auto"/>
          <w:color w:val="auto"/>
        </w:rPr>
        <w:t>Withholding of Taxes and Other Employee Deductions</w:t>
      </w:r>
      <w:r>
        <w:rPr>
          <w:rFonts w:ascii="Times New Roman" w:cs="Times New Roman" w:eastAsia="Times New Roman" w:hAnsi="Times New Roman"/>
          <w:sz w:val="22"/>
          <w:szCs w:val="22"/>
          <w:color w:val="auto"/>
        </w:rPr>
        <w:t>. The Company may withhold from any benefits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made pursuant to this Agreement all federal, state, city, and other taxes as may be required pursuant to any law or governmental regulation or ruling and all other normal employee deductions made with respect to the Company’s employees generally.</w:t>
      </w:r>
    </w:p>
    <w:p>
      <w:pPr>
        <w:spacing w:after="0" w:line="148" w:lineRule="exact"/>
        <w:rPr>
          <w:sz w:val="20"/>
          <w:szCs w:val="20"/>
          <w:color w:val="auto"/>
        </w:rPr>
      </w:pPr>
    </w:p>
    <w:p>
      <w:pPr>
        <w:ind w:right="60"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 xml:space="preserve">4.6 </w:t>
      </w:r>
      <w:r>
        <w:rPr>
          <w:rFonts w:ascii="Times New Roman" w:cs="Times New Roman" w:eastAsia="Times New Roman" w:hAnsi="Times New Roman"/>
          <w:sz w:val="21"/>
          <w:szCs w:val="21"/>
          <w:b w:val="1"/>
          <w:bCs w:val="1"/>
          <w:u w:val="single" w:color="auto"/>
          <w:color w:val="auto"/>
        </w:rPr>
        <w:t>Legal Fees</w:t>
      </w:r>
      <w:r>
        <w:rPr>
          <w:rFonts w:ascii="Times New Roman" w:cs="Times New Roman" w:eastAsia="Times New Roman" w:hAnsi="Times New Roman"/>
          <w:sz w:val="21"/>
          <w:szCs w:val="21"/>
          <w:color w:val="auto"/>
        </w:rPr>
        <w:t>. The Company shall reimburse the Key Employee for all reasonable legal fees and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Key Employee in a dispute regarding the Key Employee’s rights under this Agreement, within forty-five (45) days of when such fees and expenses are incurred, but in no event later than the end of the taxable year in which such fees and expenses are incurred, unless a court of competent jurisdiction determines the Key Employee’s position in such dispute not to be bona fide.</w:t>
      </w:r>
    </w:p>
    <w:p>
      <w:pPr>
        <w:spacing w:after="0" w:line="146" w:lineRule="exact"/>
        <w:rPr>
          <w:sz w:val="20"/>
          <w:szCs w:val="20"/>
          <w:color w:val="auto"/>
        </w:rPr>
      </w:pPr>
    </w:p>
    <w:p>
      <w:pPr>
        <w:ind w:right="8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b w:val="1"/>
          <w:bCs w:val="1"/>
          <w:u w:val="single" w:color="auto"/>
          <w:color w:val="auto"/>
        </w:rPr>
        <w:t>Headings</w:t>
      </w:r>
      <w:r>
        <w:rPr>
          <w:rFonts w:ascii="Times New Roman" w:cs="Times New Roman" w:eastAsia="Times New Roman" w:hAnsi="Times New Roman"/>
          <w:sz w:val="22"/>
          <w:szCs w:val="22"/>
          <w:color w:val="auto"/>
        </w:rPr>
        <w:t>. The paragraph headings have been inserted for purposes of convenience and will not be used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interpretive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- 13 -</w:t>
      </w:r>
    </w:p>
    <w:p>
      <w:pPr>
        <w:sectPr>
          <w:pgSz w:w="11900" w:h="16838" w:orient="portrait"/>
          <w:cols w:equalWidth="0" w:num="1">
            <w:col w:w="11240"/>
          </w:cols>
          <w:pgMar w:left="320" w:top="1395" w:right="339" w:bottom="1440" w:gutter="0" w:footer="0" w:header="0"/>
        </w:sectPr>
      </w:pPr>
    </w:p>
    <w:bookmarkStart w:id="101" w:name="page102"/>
    <w:bookmarkEnd w:id="101"/>
    <w:p>
      <w:pPr>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b w:val="1"/>
          <w:bCs w:val="1"/>
          <w:u w:val="single" w:color="auto"/>
          <w:color w:val="auto"/>
        </w:rPr>
        <w:t>Actions by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Any and all determinations or other actions required of the Board (or a committee 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that relate specifically to the Key Employee’s employment by the Company or the terms and conditions of such employment will be made by the members of the Board or such committee other than the Key Employee (if the Key Employee is a member of the Board or such committee), and the Key Employee will not have any right to vote or decide upon any such matter.</w:t>
      </w:r>
    </w:p>
    <w:p>
      <w:pPr>
        <w:spacing w:after="0" w:line="147" w:lineRule="exact"/>
        <w:rPr>
          <w:sz w:val="20"/>
          <w:szCs w:val="20"/>
          <w:color w:val="auto"/>
        </w:rPr>
      </w:pPr>
    </w:p>
    <w:p>
      <w:pPr>
        <w:ind w:right="40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b w:val="1"/>
          <w:bCs w:val="1"/>
          <w:u w:val="single" w:color="auto"/>
          <w:color w:val="auto"/>
        </w:rPr>
        <w:t>Construction</w:t>
      </w:r>
      <w:r>
        <w:rPr>
          <w:rFonts w:ascii="Times New Roman" w:cs="Times New Roman" w:eastAsia="Times New Roman" w:hAnsi="Times New Roman"/>
          <w:sz w:val="22"/>
          <w:szCs w:val="22"/>
          <w:color w:val="auto"/>
        </w:rPr>
        <w:t>. The language used in this Agreement will be deemed to be the language chosen by the parties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express their mutual intent, and no rule of strict construction will be applied against any party.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- 14 -</w:t>
      </w:r>
    </w:p>
    <w:p>
      <w:pPr>
        <w:sectPr>
          <w:pgSz w:w="11900" w:h="16838" w:orient="portrait"/>
          <w:cols w:equalWidth="0" w:num="1">
            <w:col w:w="11180"/>
          </w:cols>
          <w:pgMar w:left="320" w:top="1391" w:right="39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1"/>
          <w:szCs w:val="21"/>
          <w:b w:val="1"/>
          <w:bCs w:val="1"/>
          <w:color w:val="auto"/>
        </w:rPr>
        <w:t>INTENDING TO BE BOUND</w:t>
      </w:r>
      <w:r>
        <w:rPr>
          <w:rFonts w:ascii="Times New Roman" w:cs="Times New Roman" w:eastAsia="Times New Roman" w:hAnsi="Times New Roman"/>
          <w:sz w:val="21"/>
          <w:szCs w:val="21"/>
          <w:color w:val="auto"/>
        </w:rPr>
        <w:t>, the parties hereto have executed this Agreement as of the date first set forth above.</w:t>
      </w:r>
    </w:p>
    <w:p>
      <w:pPr>
        <w:spacing w:after="0" w:line="27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3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MYR GROUP INC.</w:t>
      </w:r>
    </w:p>
    <w:p>
      <w:pPr>
        <w:spacing w:after="0" w:line="3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By: /s/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27940</wp:posOffset>
            </wp:positionV>
            <wp:extent cx="37376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8">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Name: Richard S. Swartz</w:t>
      </w:r>
    </w:p>
    <w:p>
      <w:pPr>
        <w:spacing w:after="0" w:line="2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Title : President &amp; CEO</w:t>
      </w:r>
    </w:p>
    <w:p>
      <w:pPr>
        <w:spacing w:after="0" w:line="30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KEY EMPLOYEE:</w:t>
      </w:r>
    </w:p>
    <w:p>
      <w:pPr>
        <w:spacing w:after="0" w:line="33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By: /s/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27940</wp:posOffset>
            </wp:positionV>
            <wp:extent cx="37376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9">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Kelly M. Huntington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- 15 -</w:t>
      </w:r>
    </w:p>
    <w:p>
      <w:pPr>
        <w:sectPr>
          <w:pgSz w:w="11900" w:h="16838" w:orient="portrait"/>
          <w:cols w:equalWidth="0" w:num="1">
            <w:col w:w="10040"/>
          </w:cols>
          <w:pgMar w:left="980" w:top="1391" w:right="879" w:bottom="1440" w:gutter="0" w:footer="0" w:header="0"/>
        </w:sectPr>
      </w:pPr>
    </w:p>
    <w:bookmarkStart w:id="103" w:name="page104"/>
    <w:bookmarkEnd w:id="103"/>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Subsidiaries of the Registrant</w:t>
      </w:r>
    </w:p>
    <w:p>
      <w:pPr>
        <w:spacing w:after="0" w:line="256" w:lineRule="exact"/>
        <w:rPr>
          <w:sz w:val="20"/>
          <w:szCs w:val="20"/>
          <w:color w:val="auto"/>
        </w:rPr>
      </w:pPr>
    </w:p>
    <w:p>
      <w:pPr>
        <w:ind w:right="940"/>
        <w:spacing w:after="0" w:line="312" w:lineRule="auto"/>
        <w:rPr>
          <w:sz w:val="20"/>
          <w:szCs w:val="20"/>
          <w:color w:val="auto"/>
        </w:rPr>
      </w:pPr>
      <w:r>
        <w:rPr>
          <w:rFonts w:ascii="Times New Roman" w:cs="Times New Roman" w:eastAsia="Times New Roman" w:hAnsi="Times New Roman"/>
          <w:sz w:val="17"/>
          <w:szCs w:val="17"/>
          <w:color w:val="auto"/>
        </w:rPr>
        <w:t>Pursuant to Item 601(b)(21)(ii) of Regulation S-K, the names of certain subsidiaries of the Company have been omitted because such unnamed subsidiaries, considered in the aggregate as a single subsidiary, would not constitute a significant subsidiary as of December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218"/>
        </w:trPr>
        <w:tc>
          <w:tcPr>
            <w:tcW w:w="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72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CSI Electrical Contractors, Inc.</w:t>
            </w:r>
          </w:p>
        </w:tc>
        <w:tc>
          <w:tcPr>
            <w:tcW w:w="220" w:type="dxa"/>
            <w:vAlign w:val="bottom"/>
          </w:tcPr>
          <w:p>
            <w:pPr>
              <w:spacing w:after="0"/>
              <w:rPr>
                <w:sz w:val="18"/>
                <w:szCs w:val="18"/>
                <w:color w:val="auto"/>
              </w:rPr>
            </w:pPr>
          </w:p>
        </w:tc>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E.S. Boulos Company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Great Southwestern Construction,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Colorado,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GSW Integrated Services,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Harlan Electric Company</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Michigan,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High Country Line Construction,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Nevada,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Huen Electric,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Equipment,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Group Construction Canada,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Real Estate Holdings,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Real Estate Holdings Alaska,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Energy Services,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MYR Transmission Services Canada,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Northern Transmission Services,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Sturgeon Electric Company, Inc.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Michigan,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Sturgeon Electric California, LLC</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17.</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L. E. Myers Co.</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 U.S.</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18.</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Western Pacific Enterprises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34"/>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w:t>
            </w: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Powerline Plus Ltd</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Ontario, Canada</w:t>
            </w:r>
          </w:p>
        </w:tc>
      </w:tr>
    </w:tbl>
    <w:p>
      <w:pPr>
        <w:sectPr>
          <w:pgSz w:w="11900" w:h="16838" w:orient="portrait"/>
          <w:cols w:equalWidth="0" w:num="1">
            <w:col w:w="11240"/>
          </w:cols>
          <w:pgMar w:left="320" w:top="1440"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Registration Statements on Form S-8 (Nos 333-237904, 333-217559, 333-196110, 333-</w:t>
      </w:r>
    </w:p>
    <w:p>
      <w:pPr>
        <w:spacing w:after="0" w:line="14" w:lineRule="exact"/>
        <w:rPr>
          <w:sz w:val="20"/>
          <w:szCs w:val="20"/>
          <w:color w:val="auto"/>
        </w:rPr>
      </w:pPr>
    </w:p>
    <w:p>
      <w:pPr>
        <w:ind w:right="380"/>
        <w:spacing w:after="0" w:line="237" w:lineRule="auto"/>
        <w:rPr>
          <w:sz w:val="20"/>
          <w:szCs w:val="20"/>
          <w:color w:val="auto"/>
        </w:rPr>
      </w:pPr>
      <w:r>
        <w:rPr>
          <w:rFonts w:ascii="Arial" w:cs="Arial" w:eastAsia="Arial" w:hAnsi="Arial"/>
          <w:sz w:val="18"/>
          <w:szCs w:val="18"/>
          <w:color w:val="auto"/>
        </w:rPr>
        <w:t>174152, and 333-156501) of MYR Group Inc. of our report dated February 22, 2023 relating to the consolidated financial statements and effectiveness of internal control over financial reporting, appearing in the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2023</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POWER OF ATTORNEY RESOLUTION</w:t>
      </w:r>
    </w:p>
    <w:p>
      <w:pPr>
        <w:spacing w:after="0" w:line="97" w:lineRule="exact"/>
        <w:rPr>
          <w:sz w:val="20"/>
          <w:szCs w:val="20"/>
          <w:color w:val="auto"/>
        </w:rPr>
      </w:pPr>
    </w:p>
    <w:p>
      <w:pPr>
        <w:jc w:val="center"/>
        <w:spacing w:after="0"/>
        <w:rPr>
          <w:sz w:val="20"/>
          <w:szCs w:val="20"/>
          <w:color w:val="auto"/>
        </w:rPr>
      </w:pPr>
      <w:r>
        <w:rPr>
          <w:rFonts w:ascii="Georgia" w:cs="Georgia" w:eastAsia="Georgia" w:hAnsi="Georgia"/>
          <w:sz w:val="20"/>
          <w:szCs w:val="20"/>
          <w:b w:val="1"/>
          <w:bCs w:val="1"/>
          <w:color w:val="auto"/>
        </w:rPr>
        <w:t>SIGNATURE AUTHORITY 2022 FORM 10-K</w:t>
      </w:r>
    </w:p>
    <w:p>
      <w:pPr>
        <w:spacing w:after="0" w:line="101" w:lineRule="exact"/>
        <w:rPr>
          <w:sz w:val="20"/>
          <w:szCs w:val="20"/>
          <w:color w:val="auto"/>
        </w:rPr>
      </w:pPr>
    </w:p>
    <w:p>
      <w:pPr>
        <w:jc w:val="both"/>
        <w:spacing w:after="0" w:line="230" w:lineRule="auto"/>
        <w:rPr>
          <w:sz w:val="20"/>
          <w:szCs w:val="20"/>
          <w:color w:val="auto"/>
        </w:rPr>
      </w:pPr>
      <w:r>
        <w:rPr>
          <w:rFonts w:ascii="Georgia" w:cs="Georgia" w:eastAsia="Georgia" w:hAnsi="Georgia"/>
          <w:sz w:val="20"/>
          <w:szCs w:val="20"/>
          <w:color w:val="auto"/>
        </w:rPr>
        <w:t>WHEREAS, MYR Group Inc., a Delaware corporation (the “Company”), is required to file with the Securities and Exchange Commission pursuant to Section 13 or 15(d) under the provisions of the Securities Act of 1934 a Form 10-K for the fiscal year ended December 31, 2022; and</w:t>
      </w:r>
    </w:p>
    <w:p>
      <w:pPr>
        <w:spacing w:after="0" w:line="99" w:lineRule="exact"/>
        <w:rPr>
          <w:sz w:val="20"/>
          <w:szCs w:val="20"/>
          <w:color w:val="auto"/>
        </w:rPr>
      </w:pPr>
    </w:p>
    <w:p>
      <w:pPr>
        <w:spacing w:after="0"/>
        <w:rPr>
          <w:sz w:val="20"/>
          <w:szCs w:val="20"/>
          <w:color w:val="auto"/>
        </w:rPr>
      </w:pPr>
      <w:r>
        <w:rPr>
          <w:rFonts w:ascii="Georgia" w:cs="Georgia" w:eastAsia="Georgia" w:hAnsi="Georgia"/>
          <w:sz w:val="20"/>
          <w:szCs w:val="20"/>
          <w:color w:val="auto"/>
        </w:rPr>
        <w:t>WHEREAS, each of the undersigned holds the office or offices in the Company herein below set opposite his or her name.</w:t>
      </w:r>
    </w:p>
    <w:p>
      <w:pPr>
        <w:spacing w:after="0" w:line="87" w:lineRule="exact"/>
        <w:rPr>
          <w:sz w:val="20"/>
          <w:szCs w:val="20"/>
          <w:color w:val="auto"/>
        </w:rPr>
      </w:pPr>
    </w:p>
    <w:p>
      <w:pPr>
        <w:jc w:val="both"/>
        <w:ind w:left="660"/>
        <w:spacing w:after="0" w:line="220" w:lineRule="auto"/>
        <w:rPr>
          <w:sz w:val="20"/>
          <w:szCs w:val="20"/>
          <w:color w:val="auto"/>
        </w:rPr>
      </w:pPr>
      <w:r>
        <w:rPr>
          <w:rFonts w:ascii="Georgia" w:cs="Georgia" w:eastAsia="Georgia" w:hAnsi="Georgia"/>
          <w:sz w:val="20"/>
          <w:szCs w:val="20"/>
          <w:color w:val="auto"/>
        </w:rPr>
        <w:t xml:space="preserve">NOW, THEREFORE, each of the undersigned hereby constitutes and appoints Richard S. Swartz, Betty R. Wynn (née Johnson), and </w:t>
      </w:r>
      <w:r>
        <w:rPr>
          <w:rFonts w:ascii="Times New Roman" w:cs="Times New Roman" w:eastAsia="Times New Roman" w:hAnsi="Times New Roman"/>
          <w:sz w:val="21"/>
          <w:szCs w:val="21"/>
          <w:color w:val="auto"/>
        </w:rPr>
        <w:t>William F. Fry</w:t>
      </w:r>
      <w:r>
        <w:rPr>
          <w:rFonts w:ascii="Georgia" w:cs="Georgia" w:eastAsia="Georgia" w:hAnsi="Georgia"/>
          <w:sz w:val="20"/>
          <w:szCs w:val="20"/>
          <w:color w:val="auto"/>
        </w:rPr>
        <w:t>, and each of them individually, his or her true and lawful attorney, with full power to act</w:t>
      </w:r>
    </w:p>
    <w:p>
      <w:pPr>
        <w:spacing w:after="0" w:line="2" w:lineRule="exact"/>
        <w:rPr>
          <w:sz w:val="20"/>
          <w:szCs w:val="20"/>
          <w:color w:val="auto"/>
        </w:rPr>
      </w:pPr>
    </w:p>
    <w:p>
      <w:pPr>
        <w:jc w:val="both"/>
        <w:ind w:left="660"/>
        <w:spacing w:after="0" w:line="230" w:lineRule="auto"/>
        <w:rPr>
          <w:sz w:val="20"/>
          <w:szCs w:val="20"/>
          <w:color w:val="auto"/>
        </w:rPr>
      </w:pPr>
      <w:r>
        <w:rPr>
          <w:rFonts w:ascii="Georgia" w:cs="Georgia" w:eastAsia="Georgia" w:hAnsi="Georgia"/>
          <w:sz w:val="19"/>
          <w:szCs w:val="19"/>
          <w:color w:val="auto"/>
        </w:rPr>
        <w:t>for him or her and in his or her name, place and stead, to sign his or her name in the capacity or capacities set forth below and generally to do all such things in his or her name and in his or her capacity as an officer to enable the Company to comply with the provisions of the Securities Act of 1934 and all requirements of the Securities and Exchange Commission</w:t>
      </w:r>
    </w:p>
    <w:p>
      <w:pPr>
        <w:jc w:val="both"/>
        <w:ind w:left="660"/>
        <w:spacing w:after="0" w:line="221" w:lineRule="auto"/>
        <w:rPr>
          <w:sz w:val="20"/>
          <w:szCs w:val="20"/>
          <w:color w:val="auto"/>
        </w:rPr>
      </w:pPr>
      <w:r>
        <w:rPr>
          <w:rFonts w:ascii="Georgia" w:cs="Georgia" w:eastAsia="Georgia" w:hAnsi="Georgia"/>
          <w:sz w:val="20"/>
          <w:szCs w:val="20"/>
          <w:color w:val="auto"/>
        </w:rPr>
        <w:t>in connection with the filing of the Form 10-K and any and all amendments thereof with the Securities and Exchange Commission and hereby ratifies and confirms all that said attorney may or shall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Georgia" w:cs="Georgia" w:eastAsia="Georgia" w:hAnsi="Georgia"/>
          <w:sz w:val="20"/>
          <w:szCs w:val="20"/>
          <w:color w:val="auto"/>
        </w:rPr>
        <w:t>1</w:t>
      </w:r>
    </w:p>
    <w:p>
      <w:pPr>
        <w:sectPr>
          <w:pgSz w:w="11900" w:h="16838" w:orient="portrait"/>
          <w:cols w:equalWidth="0" w:num="1">
            <w:col w:w="11240"/>
          </w:cols>
          <w:pgMar w:left="320" w:top="117" w:right="339" w:bottom="1440" w:gutter="0" w:footer="0" w:header="0"/>
        </w:sectPr>
      </w:pPr>
    </w:p>
    <w:bookmarkStart w:id="106" w:name="page107"/>
    <w:bookmarkEnd w:id="106"/>
    <w:p>
      <w:pPr>
        <w:spacing w:after="0"/>
        <w:rPr>
          <w:sz w:val="20"/>
          <w:szCs w:val="20"/>
          <w:color w:val="auto"/>
        </w:rPr>
      </w:pPr>
      <w:r>
        <w:rPr>
          <w:rFonts w:ascii="Georgia" w:cs="Georgia" w:eastAsia="Georgia" w:hAnsi="Georgia"/>
          <w:sz w:val="19"/>
          <w:szCs w:val="19"/>
          <w:color w:val="auto"/>
        </w:rPr>
        <w:t>IN WITNESS WHEREOF, the undersigned have hereunto set their hands this 16</w:t>
      </w:r>
      <w:r>
        <w:rPr>
          <w:rFonts w:ascii="Georgia" w:cs="Georgia" w:eastAsia="Georgia" w:hAnsi="Georgia"/>
          <w:sz w:val="24"/>
          <w:szCs w:val="24"/>
          <w:color w:val="auto"/>
          <w:vertAlign w:val="superscript"/>
        </w:rPr>
        <w:t>th</w:t>
      </w:r>
      <w:r>
        <w:rPr>
          <w:rFonts w:ascii="Georgia" w:cs="Georgia" w:eastAsia="Georgia" w:hAnsi="Georgia"/>
          <w:sz w:val="19"/>
          <w:szCs w:val="19"/>
          <w:color w:val="auto"/>
        </w:rPr>
        <w:t xml:space="preserve"> day of February 2023.</w:t>
      </w:r>
    </w:p>
    <w:p>
      <w:pPr>
        <w:sectPr>
          <w:pgSz w:w="11900" w:h="16838" w:orient="portrait"/>
          <w:cols w:equalWidth="0" w:num="1">
            <w:col w:w="10139"/>
          </w:cols>
          <w:pgMar w:left="320" w:top="104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0">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Richard S. Swartz</w:t>
      </w: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27514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1">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Betty R. Wynn (née Johnson)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1400"/>
        <w:spacing w:after="0" w:line="387" w:lineRule="auto"/>
        <w:rPr>
          <w:sz w:val="20"/>
          <w:szCs w:val="20"/>
          <w:color w:val="auto"/>
        </w:rPr>
      </w:pPr>
      <w:r>
        <w:rPr>
          <w:rFonts w:ascii="Times New Roman" w:cs="Times New Roman" w:eastAsia="Times New Roman" w:hAnsi="Times New Roman"/>
          <w:sz w:val="18"/>
          <w:szCs w:val="18"/>
          <w:color w:val="auto"/>
        </w:rPr>
        <w:t>/s/ BRADLEY T. FAVREAU Bradley T. Favreau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7514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3" w:lineRule="exact"/>
        <w:rPr>
          <w:sz w:val="20"/>
          <w:szCs w:val="20"/>
          <w:color w:val="auto"/>
        </w:rPr>
      </w:pPr>
    </w:p>
    <w:p>
      <w:pPr>
        <w:ind w:left="20" w:right="1180"/>
        <w:spacing w:after="0" w:line="387" w:lineRule="auto"/>
        <w:rPr>
          <w:sz w:val="20"/>
          <w:szCs w:val="20"/>
          <w:color w:val="auto"/>
        </w:rPr>
      </w:pPr>
      <w:r>
        <w:rPr>
          <w:rFonts w:ascii="Times New Roman" w:cs="Times New Roman" w:eastAsia="Times New Roman" w:hAnsi="Times New Roman"/>
          <w:sz w:val="18"/>
          <w:szCs w:val="18"/>
          <w:color w:val="auto"/>
        </w:rPr>
        <w:t>/s/ KENNETH M. HARTWICK Kenneth M. Hartwick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751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1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AJOY H. KARNA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4">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Ajoy H. Karna</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JENNIFER E. LOWRY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Jennifer E. Lowry</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DONALD C. I. LUCKY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6">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Donald C. I. Lucky</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MAURICE E.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7">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Maurice E. Moore</w:t>
      </w: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 SHIRIN S. O'CONNOR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27514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8">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Shirin S. O'Connor</w:t>
      </w:r>
    </w:p>
    <w:p>
      <w:pPr>
        <w:spacing w:after="0" w:line="335" w:lineRule="exact"/>
        <w:rPr>
          <w:sz w:val="20"/>
          <w:szCs w:val="20"/>
          <w:color w:val="auto"/>
        </w:rPr>
      </w:pPr>
    </w:p>
    <w:p>
      <w:pPr>
        <w:ind w:left="20" w:right="1220"/>
        <w:spacing w:after="0" w:line="387" w:lineRule="auto"/>
        <w:rPr>
          <w:sz w:val="20"/>
          <w:szCs w:val="20"/>
          <w:color w:val="auto"/>
        </w:rPr>
      </w:pPr>
      <w:r>
        <w:rPr>
          <w:rFonts w:ascii="Times New Roman" w:cs="Times New Roman" w:eastAsia="Times New Roman" w:hAnsi="Times New Roman"/>
          <w:sz w:val="18"/>
          <w:szCs w:val="18"/>
          <w:color w:val="auto"/>
        </w:rPr>
        <w:t>/s/ WILLIAM D. PATTERSON William D.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275145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659"/>
        <w:spacing w:after="0" w:line="280" w:lineRule="auto"/>
        <w:rPr>
          <w:sz w:val="20"/>
          <w:szCs w:val="20"/>
          <w:color w:val="auto"/>
        </w:rPr>
      </w:pPr>
      <w:r>
        <w:rPr>
          <w:rFonts w:ascii="Times New Roman" w:cs="Times New Roman" w:eastAsia="Times New Roman" w:hAnsi="Times New Roman"/>
          <w:sz w:val="19"/>
          <w:szCs w:val="19"/>
          <w:color w:val="auto"/>
        </w:rPr>
        <w:t>President, Chief Executive Officer, Director (Principal Executive Officer)</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 (Principal</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(Chairman)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Director</w:t>
      </w:r>
    </w:p>
    <w:p>
      <w:pPr>
        <w:spacing w:after="0" w:line="365" w:lineRule="exact"/>
        <w:rPr>
          <w:sz w:val="20"/>
          <w:szCs w:val="20"/>
          <w:color w:val="auto"/>
        </w:rPr>
      </w:pPr>
    </w:p>
    <w:p>
      <w:pPr>
        <w:sectPr>
          <w:pgSz w:w="11900" w:h="16838" w:orient="portrait"/>
          <w:cols w:equalWidth="0" w:num="2">
            <w:col w:w="3640" w:space="720"/>
            <w:col w:w="5779"/>
          </w:cols>
          <w:pgMar w:left="320" w:top="104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Georgia" w:cs="Georgia" w:eastAsia="Georgia" w:hAnsi="Georgia"/>
          <w:sz w:val="20"/>
          <w:szCs w:val="20"/>
          <w:color w:val="auto"/>
        </w:rPr>
        <w:t>2</w:t>
      </w:r>
    </w:p>
    <w:p>
      <w:pPr>
        <w:sectPr>
          <w:pgSz w:w="11900" w:h="16838" w:orient="portrait"/>
          <w:cols w:equalWidth="0" w:num="1">
            <w:col w:w="10139"/>
          </w:cols>
          <w:pgMar w:left="320" w:top="1048" w:right="1440"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certify that:</w:t>
      </w:r>
    </w:p>
    <w:p>
      <w:pPr>
        <w:spacing w:after="0" w:line="144"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560" w:val="left"/>
        </w:tabs>
        <w:rPr>
          <w:sz w:val="20"/>
          <w:szCs w:val="20"/>
          <w:color w:val="auto"/>
        </w:rPr>
      </w:pP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7"/>
          <w:szCs w:val="17"/>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34290</wp:posOffset>
            </wp:positionV>
            <wp:extent cx="29489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0">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5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035"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Betty R. Wynn (née Johnson), certify that:</w:t>
      </w:r>
    </w:p>
    <w:p>
      <w:pPr>
        <w:spacing w:after="0" w:line="144"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MYR Group Inc.;</w:t>
      </w:r>
    </w:p>
    <w:p>
      <w:pPr>
        <w:spacing w:after="0" w:line="15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1"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1"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68"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7"/>
          <w:szCs w:val="17"/>
          <w:color w:val="auto"/>
        </w:rPr>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035"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3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I, Richard S. Swartz, Chief Executive Officer and President of MYR Group Inc. (the “Company”), certify, pursuant to 18 U.S.C. § 1350, as adopted pursuant to § 906 of the Sarbanes-Oxley Act of 2002, that:</w:t>
      </w:r>
    </w:p>
    <w:p>
      <w:pPr>
        <w:spacing w:after="0" w:line="94" w:lineRule="exact"/>
        <w:rPr>
          <w:sz w:val="20"/>
          <w:szCs w:val="20"/>
          <w:color w:val="auto"/>
        </w:rPr>
      </w:pPr>
    </w:p>
    <w:p>
      <w:pPr>
        <w:ind w:left="660" w:right="60" w:hanging="328"/>
        <w:spacing w:after="0" w:line="282" w:lineRule="auto"/>
        <w:tabs>
          <w:tab w:leader="none" w:pos="64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2022 of the Company fully complies with the requirements of section 13(a) or 15(d) of the Securities Exchange Act of 1934;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7"/>
          <w:szCs w:val="17"/>
          <w:color w:val="auto"/>
        </w:rPr>
        <w:t>/s/ RICHARD S. SWARTZ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03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 Betty R. Wynn (née Johnson), Senior Vice President and Chief Financial Officer of MYR Group, Inc.(the “Company”), certify, pursuant to 18 U.S.C.</w:t>
      </w:r>
    </w:p>
    <w:p>
      <w:pPr>
        <w:spacing w:after="0" w:line="39" w:lineRule="exact"/>
        <w:rPr>
          <w:sz w:val="20"/>
          <w:szCs w:val="20"/>
          <w:color w:val="auto"/>
        </w:rPr>
      </w:pPr>
    </w:p>
    <w:p>
      <w:pPr>
        <w:ind w:left="140" w:hanging="132"/>
        <w:spacing w:after="0"/>
        <w:tabs>
          <w:tab w:leader="none" w:pos="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 as adopted pursuant to § 906 of the Sarbanes-Oxley Act of 2002, that:</w:t>
      </w:r>
    </w:p>
    <w:p>
      <w:pPr>
        <w:spacing w:after="0" w:line="139"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for the year ended December 31, 2022 of the Company fully complies with the requirements of section 13(a) or 15(d) of the Securities Exchange Act of 1934; and</w:t>
      </w:r>
    </w:p>
    <w:p>
      <w:pPr>
        <w:spacing w:after="0" w:line="8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February 22, 2023</w:t>
      </w:r>
      <w:r>
        <w:rPr>
          <w:sz w:val="20"/>
          <w:szCs w:val="20"/>
          <w:color w:val="auto"/>
        </w:rPr>
        <w:tab/>
      </w:r>
      <w:r>
        <w:rPr>
          <w:rFonts w:ascii="Times New Roman" w:cs="Times New Roman" w:eastAsia="Times New Roman" w:hAnsi="Times New Roman"/>
          <w:sz w:val="17"/>
          <w:szCs w:val="17"/>
          <w:color w:val="auto"/>
        </w:rPr>
        <w:t>/s/ BETTY R. WYNN (NÉE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endash "/>
      <w:numFmt w:val="bullet"/>
      <w:start w:val="1"/>
    </w:lvl>
  </w:abstractNum>
  <w:abstractNum w:abstractNumId="17">
    <w:nsid w:val="6CEAF087"/>
    <w:multiLevelType w:val="hybridMultilevel"/>
    <w:lvl w:ilvl="0">
      <w:lvlJc w:val="left"/>
      <w:lvlText w:val="\endash "/>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decimal"/>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decimal"/>
      <w:start w:val="3"/>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5">
    <w:nsid w:val="5072367"/>
    <w:multiLevelType w:val="hybridMultilevel"/>
    <w:lvl w:ilvl="0">
      <w:lvlJc w:val="left"/>
      <w:lvlText w:val="†"/>
      <w:numFmt w:val="bullet"/>
      <w:start w:val="1"/>
    </w:lvl>
    <w:lvl w:ilvl="1">
      <w:lvlJc w:val="left"/>
      <w:lvlText w:val="%2"/>
      <w:numFmt w:val="decimal"/>
      <w:start w:val="104"/>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lowerLetter"/>
      <w:start w:val="2"/>
    </w:lvl>
    <w:lvl w:ilvl="1">
      <w:lvlJc w:val="left"/>
      <w:lvlText w:val="(%2)"/>
      <w:numFmt w:val="lowerRoman"/>
      <w:start w:val="1"/>
    </w:lvl>
  </w:abstractNum>
  <w:abstractNum w:abstractNumId="28">
    <w:nsid w:val="7724C67E"/>
    <w:multiLevelType w:val="hybridMultilevel"/>
    <w:lvl w:ilvl="0">
      <w:lvlJc w:val="left"/>
      <w:lvlText w:val="(%1)"/>
      <w:numFmt w:val="lowerLetter"/>
      <w:start w:val="4"/>
    </w:lvl>
    <w:lvl w:ilvl="1">
      <w:lvlJc w:val="left"/>
      <w:lvlText w:val="(%2)"/>
      <w:numFmt w:val="lowerRoman"/>
      <w:start w:val="1"/>
    </w:lvl>
  </w:abstractNum>
  <w:abstractNum w:abstractNumId="29">
    <w:nsid w:val="5C482A97"/>
    <w:multiLevelType w:val="hybridMultilevel"/>
    <w:lvl w:ilvl="0">
      <w:lvlJc w:val="left"/>
      <w:lvlText w:val="(%1)"/>
      <w:numFmt w:val="lowerRoman"/>
      <w:start w:val="1"/>
    </w:lvl>
    <w:lvl w:ilvl="1">
      <w:lvlJc w:val="left"/>
      <w:lvlText w:val="-"/>
      <w:numFmt w:val="bullet"/>
      <w:start w:val="1"/>
    </w:lvl>
  </w:abstractNum>
  <w:abstractNum w:abstractNumId="30">
    <w:nsid w:val="2463B9EA"/>
    <w:multiLevelType w:val="hybridMultilevel"/>
    <w:lvl w:ilvl="0">
      <w:lvlJc w:val="left"/>
      <w:lvlText w:val="(%1)"/>
      <w:numFmt w:val="lowerLetter"/>
      <w:start w:val="10"/>
    </w:lvl>
    <w:lvl w:ilvl="1">
      <w:lvlJc w:val="left"/>
      <w:lvlText w:val="(%2)"/>
      <w:numFmt w:val="lowerRoman"/>
      <w:start w:val="1"/>
    </w:lvl>
  </w:abstractNum>
  <w:abstractNum w:abstractNumId="31">
    <w:nsid w:val="5E884ADC"/>
    <w:multiLevelType w:val="hybridMultilevel"/>
    <w:lvl w:ilvl="0">
      <w:lvlJc w:val="left"/>
      <w:lvlText w:val="(%1)"/>
      <w:numFmt w:val="decimal"/>
      <w:start w:val="180"/>
    </w:lvl>
    <w:lvl w:ilvl="1">
      <w:lvlJc w:val="left"/>
      <w:lvlText w:val="-"/>
      <w:numFmt w:val="bullet"/>
      <w:start w:val="1"/>
    </w:lvl>
  </w:abstractNum>
  <w:abstractNum w:abstractNumId="32">
    <w:nsid w:val="51EAD36B"/>
    <w:multiLevelType w:val="hybridMultilevel"/>
    <w:lvl w:ilvl="0">
      <w:lvlJc w:val="left"/>
      <w:lvlText w:val="(%1)"/>
      <w:numFmt w:val="lowerLetter"/>
      <w:start w:val="1"/>
    </w:lvl>
  </w:abstractNum>
  <w:abstractNum w:abstractNumId="33">
    <w:nsid w:val="2D517796"/>
    <w:multiLevelType w:val="hybridMultilevel"/>
    <w:lvl w:ilvl="0">
      <w:lvlJc w:val="left"/>
      <w:lvlText w:val="(%1)"/>
      <w:numFmt w:val="lowerLetter"/>
      <w:start w:val="1"/>
    </w:lvl>
    <w:lvl w:ilvl="1">
      <w:lvlJc w:val="left"/>
      <w:lvlText w:val="-"/>
      <w:numFmt w:val="bullet"/>
      <w:start w:val="1"/>
    </w:lvl>
  </w:abstractNum>
  <w:abstractNum w:abstractNumId="34">
    <w:nsid w:val="580BD78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5">
    <w:nsid w:val="153EA438"/>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36">
    <w:nsid w:val="3855585C"/>
    <w:multiLevelType w:val="hybridMultilevel"/>
    <w:lvl w:ilvl="0">
      <w:lvlJc w:val="left"/>
      <w:lvlText w:val="(%1)"/>
      <w:numFmt w:val="lowerLetter"/>
      <w:start w:val="6"/>
    </w:lvl>
    <w:lvl w:ilvl="1">
      <w:lvlJc w:val="left"/>
      <w:lvlText w:val="-"/>
      <w:numFmt w:val="bullet"/>
      <w:start w:val="1"/>
    </w:lvl>
  </w:abstractNum>
  <w:abstractNum w:abstractNumId="37">
    <w:nsid w:val="70A64E2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8">
    <w:nsid w:val="6A2342EC"/>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39">
    <w:nsid w:val="2A487CB0"/>
    <w:multiLevelType w:val="hybridMultilevel"/>
    <w:lvl w:ilvl="0">
      <w:lvlJc w:val="left"/>
      <w:lvlText w:val="(%1)"/>
      <w:numFmt w:val="lowerLetter"/>
      <w:start w:val="3"/>
    </w:lvl>
  </w:abstractNum>
  <w:abstractNum w:abstractNumId="40">
    <w:nsid w:val="1D4ED43B"/>
    <w:multiLevelType w:val="hybridMultilevel"/>
    <w:lvl w:ilvl="0">
      <w:lvlJc w:val="left"/>
      <w:lvlText w:val="(%1)"/>
      <w:numFmt w:val="lowerLetter"/>
      <w:start w:val="1"/>
    </w:lvl>
    <w:lvl w:ilvl="1">
      <w:lvlJc w:val="left"/>
      <w:lvlText w:val="-"/>
      <w:numFmt w:val="bullet"/>
      <w:start w:val="1"/>
    </w:lvl>
  </w:abstractNum>
  <w:abstractNum w:abstractNumId="41">
    <w:nsid w:val="725A06FB"/>
    <w:multiLevelType w:val="hybridMultilevel"/>
    <w:lvl w:ilvl="0">
      <w:lvlJc w:val="left"/>
      <w:lvlText w:val="(%1)"/>
      <w:numFmt w:val="lowerLetter"/>
      <w:start w:val="4"/>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60"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72" Type="http://schemas.openxmlformats.org/officeDocument/2006/relationships/image" Target="media/image135.png"/><Relationship Id="rId173" Type="http://schemas.openxmlformats.org/officeDocument/2006/relationships/image" Target="media/image136.png"/><Relationship Id="rId174" Type="http://schemas.openxmlformats.org/officeDocument/2006/relationships/image" Target="media/image137.png"/><Relationship Id="rId175" Type="http://schemas.openxmlformats.org/officeDocument/2006/relationships/image" Target="media/image138.png"/><Relationship Id="rId176" Type="http://schemas.openxmlformats.org/officeDocument/2006/relationships/image" Target="media/image139.png"/><Relationship Id="rId177" Type="http://schemas.openxmlformats.org/officeDocument/2006/relationships/image" Target="media/image140.png"/><Relationship Id="rId178" Type="http://schemas.openxmlformats.org/officeDocument/2006/relationships/image" Target="media/image141.png"/><Relationship Id="rId179" Type="http://schemas.openxmlformats.org/officeDocument/2006/relationships/image" Target="media/image142.png"/><Relationship Id="rId180" Type="http://schemas.openxmlformats.org/officeDocument/2006/relationships/image" Target="media/image143.png"/><Relationship Id="rId181" Type="http://schemas.openxmlformats.org/officeDocument/2006/relationships/image" Target="media/image144.png"/><Relationship Id="rId182" Type="http://schemas.openxmlformats.org/officeDocument/2006/relationships/image" Target="media/image145.png"/><Relationship Id="rId183" Type="http://schemas.openxmlformats.org/officeDocument/2006/relationships/image" Target="media/image146.png"/><Relationship Id="rId184" Type="http://schemas.openxmlformats.org/officeDocument/2006/relationships/image" Target="media/image147.png"/><Relationship Id="rId185" Type="http://schemas.openxmlformats.org/officeDocument/2006/relationships/image" Target="media/image148.png"/><Relationship Id="rId186" Type="http://schemas.openxmlformats.org/officeDocument/2006/relationships/image" Target="media/image149.png"/><Relationship Id="rId187" Type="http://schemas.openxmlformats.org/officeDocument/2006/relationships/image" Target="media/image150.png"/><Relationship Id="rId188" Type="http://schemas.openxmlformats.org/officeDocument/2006/relationships/image" Target="media/image151.png"/><Relationship Id="rId189" Type="http://schemas.openxmlformats.org/officeDocument/2006/relationships/image" Target="media/image152.png"/><Relationship Id="rId190"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31" Type="http://schemas.openxmlformats.org/officeDocument/2006/relationships/hyperlink" Target="https://www.sec.gov/Archives/edgar/data/700923/000110465914035790/a14-12029_1ex3d1.htm" TargetMode="External"/><Relationship Id="rId132" Type="http://schemas.openxmlformats.org/officeDocument/2006/relationships/hyperlink" Target="https://www.sec.gov/Archives/edgar/data/700923/000114420415072248/v427606_ex3-1.htm" TargetMode="External"/><Relationship Id="rId133" Type="http://schemas.openxmlformats.org/officeDocument/2006/relationships/hyperlink" Target="https://www.sec.gov/Archives/edgar/data/700923/000104746908008139/a2186750zex-4_2.htm" TargetMode="External"/><Relationship Id="rId134" Type="http://schemas.openxmlformats.org/officeDocument/2006/relationships/hyperlink" Target="https://www.sec.gov/Archives/edgar/data/700923/000110465920029253/tv536230-exh4x2.htm" TargetMode="External"/><Relationship Id="rId135" Type="http://schemas.openxmlformats.org/officeDocument/2006/relationships/hyperlink" Target="https://www.sec.gov/Archives/edgar/data/700923/000110465914035790/a14-12029_1ex10d1.htm" TargetMode="External"/><Relationship Id="rId136" Type="http://schemas.openxmlformats.org/officeDocument/2006/relationships/hyperlink" Target="https://www.sec.gov/Archives/edgar/data/700923/000104746910005042/a2198591zex-10_1.htm" TargetMode="External"/><Relationship Id="rId137" Type="http://schemas.openxmlformats.org/officeDocument/2006/relationships/hyperlink" Target="https://www.sec.gov/Archives/edgar/data/700923/000104746910005042/a2198591zex-10_5.htm" TargetMode="External"/><Relationship Id="rId138" Type="http://schemas.openxmlformats.org/officeDocument/2006/relationships/hyperlink" Target="https://www.sec.gov/Archives/edgar/data/700923/000110465911028039/a11-11956_1ex10d1.htm" TargetMode="External"/><Relationship Id="rId139" Type="http://schemas.openxmlformats.org/officeDocument/2006/relationships/hyperlink" Target="https://www.sec.gov/Archives/edgar/data/700923/000110465914035790/a14-12029_1ex10d2.htm" TargetMode="External"/><Relationship Id="rId140" Type="http://schemas.openxmlformats.org/officeDocument/2006/relationships/hyperlink" Target="https://www.sec.gov/Archives/edgar/data/700923/000114420415062760/v422039_ex10-1.htm" TargetMode="External"/><Relationship Id="rId141" Type="http://schemas.openxmlformats.org/officeDocument/2006/relationships/hyperlink" Target="https://www.sec.gov/Archives/edgar/data/700923/000114420416085692/v427195_ex10-21.htm" TargetMode="External"/><Relationship Id="rId144" Type="http://schemas.openxmlformats.org/officeDocument/2006/relationships/hyperlink" Target="https://www.sec.gov/Archives/edgar/data/700923/000114420416089668/v434890_ex10-1.htm" TargetMode="External"/><Relationship Id="rId145" Type="http://schemas.openxmlformats.org/officeDocument/2006/relationships/hyperlink" Target="https://www.sec.gov/Archives/edgar/data/700923/000114420417013721/v455820_ex10-25.htm" TargetMode="External"/><Relationship Id="rId146" Type="http://schemas.openxmlformats.org/officeDocument/2006/relationships/hyperlink" Target="https://www.sec.gov/Archives/edgar/data/700923/000114420417013721/v455820_ex10-26.htm" TargetMode="External"/><Relationship Id="rId147" Type="http://schemas.openxmlformats.org/officeDocument/2006/relationships/hyperlink" Target="https://www.sec.gov/Archives/edgar/data/700923/000114420417013721/v455820_ex10-27.htm" TargetMode="External"/><Relationship Id="rId148" Type="http://schemas.openxmlformats.org/officeDocument/2006/relationships/hyperlink" Target="https://www.sec.gov/Archives/edgar/data/700923/000114420417013721/v455820_ex10-28.htm" TargetMode="External"/><Relationship Id="rId149" Type="http://schemas.openxmlformats.org/officeDocument/2006/relationships/hyperlink" Target="https://www.sec.gov/Archives/edgar/data/700923/000114420417023048/v465531_ex10-3.htm" TargetMode="External"/><Relationship Id="rId150" Type="http://schemas.openxmlformats.org/officeDocument/2006/relationships/hyperlink" Target="https://www.sec.gov/Archives/edgar/data/700923/000114420417023048/v465531_ex10-4.htm" TargetMode="External"/><Relationship Id="rId151" Type="http://schemas.openxmlformats.org/officeDocument/2006/relationships/hyperlink" Target="https://www.sec.gov/Archives/edgar/data/700923/000114420417024199/v464187_ex10-1.htm" TargetMode="External"/><Relationship Id="rId152" Type="http://schemas.openxmlformats.org/officeDocument/2006/relationships/hyperlink" Target="https://www.sec.gov/Archives/edgar/data/700923/000114420418024754/tv491002_ex10-1.htm" TargetMode="External"/><Relationship Id="rId153" Type="http://schemas.openxmlformats.org/officeDocument/2006/relationships/hyperlink" Target="https://www.sec.gov/Archives/edgar/data/700923/000114420418024754/tv491002_ex10-2.htm" TargetMode="External"/><Relationship Id="rId154" Type="http://schemas.openxmlformats.org/officeDocument/2006/relationships/hyperlink" Target="https://www.sec.gov/Archives/edgar/data/700923/000114420419012547/v511680_exh10x33.htm" TargetMode="External"/><Relationship Id="rId155" Type="http://schemas.openxmlformats.org/officeDocument/2006/relationships/hyperlink" Target="https://www.sec.gov/Archives/edgar/data/700923/000114420419022959/tv516669_ex10-1.htm" TargetMode="External"/><Relationship Id="rId156" Type="http://schemas.openxmlformats.org/officeDocument/2006/relationships/hyperlink" Target="https://www.sec.gov/Archives/edgar/data/700923/000114420419036885/tv521718_ex10-1.htm" TargetMode="External"/><Relationship Id="rId157" Type="http://schemas.openxmlformats.org/officeDocument/2006/relationships/hyperlink" Target="https://www.sec.gov/Archives/edgar/data/700923/000114420419036885/tv521718_ex10-3.htm" TargetMode="External"/><Relationship Id="rId158" Type="http://schemas.openxmlformats.org/officeDocument/2006/relationships/hyperlink" Target="https://www.sec.gov/Archives/edgar/data/700923/000110465919057799/tm1919559d1_ex10-1.htm" TargetMode="External"/><Relationship Id="rId159" Type="http://schemas.openxmlformats.org/officeDocument/2006/relationships/hyperlink" Target="https://www.sec.gov/Archives/edgar/data/700923/000110465920051587/tm2016902d2_ex10-1.htm" TargetMode="External"/><Relationship Id="rId161" Type="http://schemas.openxmlformats.org/officeDocument/2006/relationships/hyperlink" Target="https://www.sec.gov/Archives/edgar/data/700923/000070092321000024/a101-formofexecofficerperf.htm" TargetMode="External"/><Relationship Id="rId162" Type="http://schemas.openxmlformats.org/officeDocument/2006/relationships/hyperlink" Target="https://www.sec.gov/Archives/edgar/data/700923/000070092322000022/exhibit101formofrestricted.htm" TargetMode="External"/><Relationship Id="rId163" Type="http://schemas.openxmlformats.org/officeDocument/2006/relationships/hyperlink" Target="https://www.sec.gov/Archives/edgar/data/700923/000070092322000022/exhibit102formofexecoffic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2023-02-22T15:48:45Z</dcterms:created>
  <dcterms:modified xsi:type="dcterms:W3CDTF">2023-02-22T15:48:45Z</dcterms:modified>
</cp:coreProperties>
</file>