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2" w:lineRule="exact"/>
        <w:rPr>
          <w:sz w:val="24"/>
          <w:szCs w:val="24"/>
          <w:color w:val="auto"/>
        </w:rPr>
      </w:pPr>
    </w:p>
    <w:p>
      <w:pPr>
        <w:ind w:left="3640" w:right="1540" w:hanging="3308"/>
        <w:spacing w:after="0" w:line="284"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w:t>
      </w:r>
      <w:r>
        <w:rPr>
          <w:rFonts w:ascii="Times New Roman" w:cs="Times New Roman" w:eastAsia="Times New Roman" w:hAnsi="Times New Roman"/>
          <w:sz w:val="21"/>
          <w:szCs w:val="21"/>
          <w:b w:val="1"/>
          <w:bCs w:val="1"/>
          <w:color w:val="auto"/>
        </w:rPr>
        <w:t>or the quarterly period ended June 30, 2017</w:t>
      </w:r>
    </w:p>
    <w:p>
      <w:pPr>
        <w:spacing w:after="0" w:line="14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225"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53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2840" w:type="dxa"/>
            <w:vAlign w:val="bottom"/>
          </w:tcPr>
          <w:p>
            <w:pPr>
              <w:spacing w:after="0"/>
              <w:rPr>
                <w:sz w:val="24"/>
                <w:szCs w:val="24"/>
                <w:color w:val="auto"/>
              </w:rPr>
            </w:pPr>
          </w:p>
        </w:tc>
        <w:tc>
          <w:tcPr>
            <w:tcW w:w="5660" w:type="dxa"/>
            <w:vAlign w:val="bottom"/>
            <w:gridSpan w:val="3"/>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Commission file number: 1-08325</w:t>
            </w:r>
          </w:p>
        </w:tc>
      </w:tr>
      <w:tr>
        <w:trPr>
          <w:trHeight w:val="216"/>
        </w:trPr>
        <w:tc>
          <w:tcPr>
            <w:tcW w:w="284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r>
      <w:tr>
        <w:trPr>
          <w:trHeight w:val="515"/>
        </w:trPr>
        <w:tc>
          <w:tcPr>
            <w:tcW w:w="2840" w:type="dxa"/>
            <w:vAlign w:val="bottom"/>
          </w:tcPr>
          <w:p>
            <w:pPr>
              <w:spacing w:after="0"/>
              <w:rPr>
                <w:sz w:val="24"/>
                <w:szCs w:val="24"/>
                <w:color w:val="auto"/>
              </w:rPr>
            </w:pPr>
          </w:p>
        </w:tc>
        <w:tc>
          <w:tcPr>
            <w:tcW w:w="2520" w:type="dxa"/>
            <w:vAlign w:val="bottom"/>
          </w:tcPr>
          <w:p>
            <w:pPr>
              <w:jc w:val="center"/>
              <w:ind w:left="232"/>
              <w:spacing w:after="0"/>
              <w:rPr>
                <w:sz w:val="20"/>
                <w:szCs w:val="20"/>
                <w:color w:val="auto"/>
              </w:rPr>
            </w:pPr>
            <w:r>
              <w:rPr>
                <w:rFonts w:ascii="Times New Roman" w:cs="Times New Roman" w:eastAsia="Times New Roman" w:hAnsi="Times New Roman"/>
                <w:sz w:val="25"/>
                <w:szCs w:val="25"/>
                <w:b w:val="1"/>
                <w:bCs w:val="1"/>
                <w:color w:val="auto"/>
                <w:w w:val="99"/>
              </w:rPr>
              <w:t>MYR GROUP INC.</w:t>
            </w:r>
          </w:p>
        </w:tc>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8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5360" w:type="dxa"/>
            <w:vAlign w:val="bottom"/>
            <w:gridSpan w:val="2"/>
          </w:tcPr>
          <w:p>
            <w:pPr>
              <w:jc w:val="center"/>
              <w:ind w:right="2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36-3158643</w:t>
            </w:r>
          </w:p>
        </w:tc>
      </w:tr>
      <w:tr>
        <w:trPr>
          <w:trHeight w:val="216"/>
        </w:trPr>
        <w:tc>
          <w:tcPr>
            <w:tcW w:w="5360" w:type="dxa"/>
            <w:vAlign w:val="bottom"/>
            <w:gridSpan w:val="2"/>
          </w:tcPr>
          <w:p>
            <w:pPr>
              <w:jc w:val="center"/>
              <w:ind w:right="2412"/>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 w:type="dxa"/>
            <w:vAlign w:val="bottom"/>
          </w:tcPr>
          <w:p>
            <w:pPr>
              <w:spacing w:after="0"/>
              <w:rPr>
                <w:sz w:val="18"/>
                <w:szCs w:val="18"/>
                <w:color w:val="auto"/>
              </w:rPr>
            </w:pPr>
          </w:p>
        </w:tc>
        <w:tc>
          <w:tcPr>
            <w:tcW w:w="2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360" w:type="dxa"/>
            <w:vAlign w:val="bottom"/>
            <w:gridSpan w:val="2"/>
          </w:tcPr>
          <w:p>
            <w:pPr>
              <w:jc w:val="center"/>
              <w:ind w:right="241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0"/>
        </w:trPr>
        <w:tc>
          <w:tcPr>
            <w:tcW w:w="5360" w:type="dxa"/>
            <w:vAlign w:val="bottom"/>
            <w:gridSpan w:val="2"/>
          </w:tcPr>
          <w:p>
            <w:pPr>
              <w:jc w:val="center"/>
              <w:ind w:right="2412"/>
              <w:spacing w:after="0"/>
              <w:rPr>
                <w:sz w:val="20"/>
                <w:szCs w:val="20"/>
                <w:color w:val="auto"/>
              </w:rPr>
            </w:pPr>
            <w:r>
              <w:rPr>
                <w:rFonts w:ascii="Times New Roman" w:cs="Times New Roman" w:eastAsia="Times New Roman" w:hAnsi="Times New Roman"/>
                <w:sz w:val="18"/>
                <w:szCs w:val="18"/>
                <w:b w:val="1"/>
                <w:bCs w:val="1"/>
                <w:color w:val="auto"/>
              </w:rPr>
              <w:t>1701 Golf Road, Suite 3-1012</w:t>
            </w:r>
          </w:p>
        </w:tc>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0"/>
        </w:trPr>
        <w:tc>
          <w:tcPr>
            <w:tcW w:w="5360" w:type="dxa"/>
            <w:vAlign w:val="bottom"/>
            <w:gridSpan w:val="2"/>
          </w:tcPr>
          <w:p>
            <w:pPr>
              <w:jc w:val="center"/>
              <w:ind w:right="2392"/>
              <w:spacing w:after="0"/>
              <w:rPr>
                <w:sz w:val="20"/>
                <w:szCs w:val="20"/>
                <w:color w:val="auto"/>
              </w:rPr>
            </w:pPr>
            <w:r>
              <w:rPr>
                <w:rFonts w:ascii="Times New Roman" w:cs="Times New Roman" w:eastAsia="Times New Roman" w:hAnsi="Times New Roman"/>
                <w:sz w:val="18"/>
                <w:szCs w:val="18"/>
                <w:b w:val="1"/>
                <w:bCs w:val="1"/>
                <w:color w:val="auto"/>
              </w:rPr>
              <w:t>Rolling Meadows, IL</w:t>
            </w:r>
          </w:p>
        </w:tc>
        <w:tc>
          <w:tcPr>
            <w:tcW w:w="31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60008</w:t>
            </w:r>
          </w:p>
        </w:tc>
      </w:tr>
      <w:tr>
        <w:trPr>
          <w:trHeight w:val="234"/>
        </w:trPr>
        <w:tc>
          <w:tcPr>
            <w:tcW w:w="5360" w:type="dxa"/>
            <w:vAlign w:val="bottom"/>
            <w:gridSpan w:val="2"/>
          </w:tcPr>
          <w:p>
            <w:pPr>
              <w:jc w:val="center"/>
              <w:ind w:right="2392"/>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 w:type="dxa"/>
            <w:vAlign w:val="bottom"/>
          </w:tcPr>
          <w:p>
            <w:pPr>
              <w:spacing w:after="0"/>
              <w:rPr>
                <w:sz w:val="20"/>
                <w:szCs w:val="20"/>
                <w:color w:val="auto"/>
              </w:rPr>
            </w:pPr>
          </w:p>
        </w:tc>
        <w:tc>
          <w:tcPr>
            <w:tcW w:w="2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360" w:type="dxa"/>
            <w:vAlign w:val="bottom"/>
            <w:gridSpan w:val="2"/>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(847) 290-1891</w:t>
            </w:r>
          </w:p>
        </w:tc>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8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8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4840" w:type="dxa"/>
            <w:vAlign w:val="bottom"/>
          </w:tcPr>
          <w:p>
            <w:pPr>
              <w:jc w:val="center"/>
              <w:ind w:right="1410"/>
              <w:spacing w:after="0" w:line="207" w:lineRule="exact"/>
              <w:rPr>
                <w:sz w:val="20"/>
                <w:szCs w:val="20"/>
                <w:color w:val="auto"/>
              </w:rPr>
            </w:pPr>
            <w:r>
              <w:rPr>
                <w:rFonts w:ascii="Times New Roman" w:cs="Times New Roman" w:eastAsia="Times New Roman" w:hAnsi="Times New Roman"/>
                <w:sz w:val="18"/>
                <w:szCs w:val="18"/>
                <w:color w:val="auto"/>
                <w:w w:val="98"/>
              </w:rPr>
              <w:t xml:space="preserve">Large accelerated filer </w:t>
            </w:r>
            <w:r>
              <w:rPr>
                <w:rFonts w:ascii="MS PGothic" w:cs="MS PGothic" w:eastAsia="MS PGothic" w:hAnsi="MS PGothic"/>
                <w:sz w:val="18"/>
                <w:szCs w:val="18"/>
                <w:color w:val="auto"/>
                <w:w w:val="98"/>
              </w:rPr>
              <w:t>☐</w:t>
            </w:r>
          </w:p>
        </w:tc>
        <w:tc>
          <w:tcPr>
            <w:tcW w:w="3680" w:type="dxa"/>
            <w:vAlign w:val="bottom"/>
          </w:tcPr>
          <w:p>
            <w:pPr>
              <w:jc w:val="center"/>
              <w:ind w:left="1390"/>
              <w:spacing w:after="0" w:line="207" w:lineRule="exact"/>
              <w:rPr>
                <w:sz w:val="20"/>
                <w:szCs w:val="20"/>
                <w:color w:val="auto"/>
              </w:rPr>
            </w:pPr>
            <w:r>
              <w:rPr>
                <w:rFonts w:ascii="Times New Roman" w:cs="Times New Roman" w:eastAsia="Times New Roman" w:hAnsi="Times New Roman"/>
                <w:sz w:val="18"/>
                <w:szCs w:val="18"/>
                <w:color w:val="auto"/>
                <w:w w:val="97"/>
              </w:rPr>
              <w:t xml:space="preserve">Accelerated filer </w:t>
            </w:r>
            <w:r>
              <w:rPr>
                <w:rFonts w:ascii="MS PGothic" w:cs="MS PGothic" w:eastAsia="MS PGothic" w:hAnsi="MS PGothic"/>
                <w:sz w:val="18"/>
                <w:szCs w:val="18"/>
                <w:color w:val="auto"/>
                <w:w w:val="97"/>
              </w:rPr>
              <w:t>☒</w:t>
            </w:r>
          </w:p>
        </w:tc>
      </w:tr>
      <w:tr>
        <w:trPr>
          <w:trHeight w:val="216"/>
        </w:trPr>
        <w:tc>
          <w:tcPr>
            <w:tcW w:w="4840" w:type="dxa"/>
            <w:vAlign w:val="bottom"/>
          </w:tcPr>
          <w:p>
            <w:pPr>
              <w:jc w:val="center"/>
              <w:ind w:right="1430"/>
              <w:spacing w:after="0" w:line="207" w:lineRule="exact"/>
              <w:rPr>
                <w:sz w:val="20"/>
                <w:szCs w:val="20"/>
                <w:color w:val="auto"/>
              </w:rPr>
            </w:pPr>
            <w:r>
              <w:rPr>
                <w:rFonts w:ascii="Times New Roman" w:cs="Times New Roman" w:eastAsia="Times New Roman" w:hAnsi="Times New Roman"/>
                <w:sz w:val="18"/>
                <w:szCs w:val="18"/>
                <w:color w:val="auto"/>
                <w:w w:val="98"/>
              </w:rPr>
              <w:t xml:space="preserve">Non-accelerated filer </w:t>
            </w:r>
            <w:r>
              <w:rPr>
                <w:rFonts w:ascii="MS PGothic" w:cs="MS PGothic" w:eastAsia="MS PGothic" w:hAnsi="MS PGothic"/>
                <w:sz w:val="18"/>
                <w:szCs w:val="18"/>
                <w:color w:val="auto"/>
                <w:w w:val="98"/>
              </w:rPr>
              <w:t>☐</w:t>
            </w:r>
          </w:p>
        </w:tc>
        <w:tc>
          <w:tcPr>
            <w:tcW w:w="3680" w:type="dxa"/>
            <w:vAlign w:val="bottom"/>
          </w:tcPr>
          <w:p>
            <w:pPr>
              <w:jc w:val="center"/>
              <w:ind w:left="1410"/>
              <w:spacing w:after="0" w:line="207" w:lineRule="exact"/>
              <w:rPr>
                <w:sz w:val="20"/>
                <w:szCs w:val="20"/>
                <w:color w:val="auto"/>
              </w:rPr>
            </w:pPr>
            <w:r>
              <w:rPr>
                <w:rFonts w:ascii="Times New Roman" w:cs="Times New Roman" w:eastAsia="Times New Roman" w:hAnsi="Times New Roman"/>
                <w:sz w:val="18"/>
                <w:szCs w:val="18"/>
                <w:color w:val="auto"/>
                <w:w w:val="99"/>
              </w:rPr>
              <w:t xml:space="preserve">Smaller reporting company </w:t>
            </w:r>
            <w:r>
              <w:rPr>
                <w:rFonts w:ascii="MS PGothic" w:cs="MS PGothic" w:eastAsia="MS PGothic" w:hAnsi="MS PGothic"/>
                <w:sz w:val="18"/>
                <w:szCs w:val="18"/>
                <w:color w:val="auto"/>
                <w:w w:val="99"/>
              </w:rPr>
              <w:t>☐</w:t>
            </w:r>
          </w:p>
        </w:tc>
      </w:tr>
      <w:tr>
        <w:trPr>
          <w:trHeight w:val="283"/>
        </w:trPr>
        <w:tc>
          <w:tcPr>
            <w:tcW w:w="48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3680" w:type="dxa"/>
            <w:vAlign w:val="bottom"/>
          </w:tcPr>
          <w:p>
            <w:pPr>
              <w:jc w:val="center"/>
              <w:ind w:left="1410"/>
              <w:spacing w:after="0" w:line="207" w:lineRule="exact"/>
              <w:rPr>
                <w:sz w:val="20"/>
                <w:szCs w:val="20"/>
                <w:color w:val="auto"/>
              </w:rPr>
            </w:pPr>
            <w:r>
              <w:rPr>
                <w:rFonts w:ascii="Times New Roman" w:cs="Times New Roman" w:eastAsia="Times New Roman" w:hAnsi="Times New Roman"/>
                <w:sz w:val="18"/>
                <w:szCs w:val="18"/>
                <w:color w:val="auto"/>
                <w:w w:val="99"/>
              </w:rPr>
              <w:t xml:space="preserve">Emerging growth company </w:t>
            </w:r>
            <w:r>
              <w:rPr>
                <w:rFonts w:ascii="MS PGothic" w:cs="MS PGothic" w:eastAsia="MS PGothic" w:hAnsi="MS PGothic"/>
                <w:sz w:val="18"/>
                <w:szCs w:val="18"/>
                <w:color w:val="auto"/>
                <w:w w:val="99"/>
              </w:rPr>
              <w:t>☐</w:t>
            </w:r>
          </w:p>
        </w:tc>
      </w:tr>
    </w:tbl>
    <w:p>
      <w:pPr>
        <w:spacing w:after="0" w:line="178"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27, 2017, there were 16,491,656 outstanding shares of the registrant’s $0.01 par value common stock.</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WEBSITE ACCESS TO COMPANY’S REPORTS</w:t>
      </w:r>
    </w:p>
    <w:p>
      <w:pPr>
        <w:spacing w:after="0" w:line="229" w:lineRule="exact"/>
        <w:rPr>
          <w:sz w:val="24"/>
          <w:szCs w:val="24"/>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MYR Group Inc.’s internet website address is www.myrgroup.com. Our annual reports on Form 10-K, quarterly reports on Form 10-Q, current reports on Form 8-K, and amendments to those reports filed or furnished pursuant to Section 13(a) or 15(d) of the Securities Exchange Act of 1934 (the “Exchange Act”) will be available free of charge through our website as soon as reasonably practicable after they are electronically filed with, or furnished to, the Securities and Exchange Commission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6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00" w:type="dxa"/>
            <w:vAlign w:val="bottom"/>
            <w:gridSpan w:val="8"/>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June 30,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360" w:type="dxa"/>
            <w:vAlign w:val="bottom"/>
            <w:gridSpan w:val="17"/>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Operations and Comprehensive Income for the Three and Six Months Ended June 30,</w:t>
              </w:r>
            </w:hyperlink>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9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2017 and 2016</w:t>
              </w:r>
            </w:hyperlink>
          </w:p>
        </w:tc>
        <w:tc>
          <w:tcPr>
            <w:tcW w:w="38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Cash Flows for the Six Months Ended June 30, 2017 and 2016</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732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Consolidated Financial Statements (Unaudited)</w:t>
              </w:r>
            </w:hyperlink>
          </w:p>
        </w:tc>
        <w:tc>
          <w:tcPr>
            <w:tcW w:w="204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90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7040" w:type="dxa"/>
            <w:vAlign w:val="bottom"/>
            <w:tcBorders>
              <w:top w:val="single" w:sz="8" w:color="CCEEFF"/>
            </w:tcBorders>
            <w:gridSpan w:val="10"/>
          </w:tcPr>
          <w:p>
            <w:pPr>
              <w:jc w:val="center"/>
              <w:ind w:right="2580"/>
              <w:spacing w:after="0" w:line="176" w:lineRule="exact"/>
              <w:rPr>
                <w:rFonts w:ascii="Times New Roman" w:cs="Times New Roman" w:eastAsia="Times New Roman" w:hAnsi="Times New Roman"/>
                <w:sz w:val="18"/>
                <w:szCs w:val="18"/>
                <w:b w:val="1"/>
                <w:bCs w:val="1"/>
                <w:color w:val="0000EE"/>
                <w:w w:val="99"/>
              </w:rPr>
            </w:pPr>
            <w:hyperlink w:anchor="page29">
              <w:r>
                <w:rPr>
                  <w:rFonts w:ascii="Times New Roman" w:cs="Times New Roman" w:eastAsia="Times New Roman" w:hAnsi="Times New Roman"/>
                  <w:sz w:val="18"/>
                  <w:szCs w:val="18"/>
                  <w:b w:val="1"/>
                  <w:bCs w:val="1"/>
                  <w:color w:val="0000EE"/>
                  <w:w w:val="99"/>
                </w:rPr>
                <w:t>Part II—Other Information</w:t>
              </w:r>
            </w:hyperlink>
          </w:p>
        </w:tc>
        <w:tc>
          <w:tcPr>
            <w:tcW w:w="90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802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Defaults Upon Senior Securities</w:t>
              </w:r>
            </w:hyperlink>
          </w:p>
        </w:tc>
        <w:tc>
          <w:tcPr>
            <w:tcW w:w="50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7600" w:type="dxa"/>
            <w:vAlign w:val="bottom"/>
            <w:tcBorders>
              <w:top w:val="single" w:sz="8" w:color="CCEEFF"/>
            </w:tcBorders>
            <w:gridSpan w:val="11"/>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MYR GROUP INC.</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$474 and $432,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income taxes,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8,202</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$220,760 and $209,466,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154,891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46,781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$5,082 and $4,684,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14,692</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w:t>
            </w: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accrued self insurance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42,382</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196,222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3,833</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310,321</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stock—$0.01 par value per share; 4,000,000 authorized shares; none issued and outstanding at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June 30, 2017 and December 31, 2016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stock—$0.01 par value per share; 100,000,000 authorized shares; 16,491,656 and 16,333,139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 at June 30, 2017 and December 31, 2016,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142,331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123,345</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263,174</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4"/>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MYR GROUP INC.</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840" w:type="dxa"/>
            <w:vAlign w:val="bottom"/>
            <w:gridSpan w:val="13"/>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OPERATIONS AND COMPREHENSIVE INCOME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revenues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356,185</w:t>
            </w:r>
          </w:p>
        </w:tc>
        <w:tc>
          <w:tcPr>
            <w:tcW w:w="4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656,314</w:t>
            </w:r>
          </w:p>
        </w:tc>
        <w:tc>
          <w:tcPr>
            <w:tcW w:w="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515,568</w:t>
            </w:r>
          </w:p>
        </w:tc>
        <w:tc>
          <w:tcPr>
            <w:tcW w:w="8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costs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603,057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456,852</w:t>
            </w:r>
          </w:p>
        </w:tc>
        <w:tc>
          <w:tcPr>
            <w:tcW w:w="80" w:type="dxa"/>
            <w:vAlign w:val="bottom"/>
          </w:tcPr>
          <w:p>
            <w:pPr>
              <w:spacing w:after="0"/>
              <w:rPr>
                <w:sz w:val="19"/>
                <w:szCs w:val="19"/>
                <w:color w:val="auto"/>
              </w:rPr>
            </w:pPr>
          </w:p>
        </w:tc>
      </w:tr>
      <w:tr>
        <w:trPr>
          <w:trHeight w:val="210"/>
        </w:trPr>
        <w:tc>
          <w:tcPr>
            <w:tcW w:w="45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50,803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46,376</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r>
      <w:tr>
        <w:trPr>
          <w:trHeight w:val="210"/>
        </w:trPr>
        <w:tc>
          <w:tcPr>
            <w:tcW w:w="45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r>
      <w:tr>
        <w:trPr>
          <w:trHeight w:val="210"/>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2,173</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80" w:type="dxa"/>
            <w:vAlign w:val="bottom"/>
            <w:shd w:val="clear" w:color="auto" w:fill="CCEEFF"/>
          </w:tcPr>
          <w:p>
            <w:pPr>
              <w:spacing w:after="0"/>
              <w:rPr>
                <w:sz w:val="19"/>
                <w:szCs w:val="19"/>
                <w:color w:val="auto"/>
              </w:rPr>
            </w:pPr>
          </w:p>
        </w:tc>
      </w:tr>
      <w:tr>
        <w:trPr>
          <w:trHeight w:val="263"/>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5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Income per common share: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0.32</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18"/>
                <w:szCs w:val="18"/>
                <w:color w:val="auto"/>
              </w:rPr>
            </w:pPr>
          </w:p>
        </w:tc>
      </w:tr>
      <w:tr>
        <w:trPr>
          <w:trHeight w:val="198"/>
        </w:trPr>
        <w:tc>
          <w:tcPr>
            <w:tcW w:w="4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and potential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w:t>
            </w: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Pr>
          <w:p>
            <w:pPr>
              <w:spacing w:after="0"/>
              <w:rPr>
                <w:sz w:val="18"/>
                <w:szCs w:val="18"/>
                <w:color w:val="auto"/>
              </w:rPr>
            </w:pP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4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22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MYR GROUP INC.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20" w:type="dxa"/>
            <w:vAlign w:val="bottom"/>
            <w:gridSpan w:val="4"/>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CASH FLOWS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4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2,430</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 —</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non-cash items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Receivable for insurance claims in excess of deductibles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Billings in excess of costs and estimated earnings on</w:t>
            </w:r>
          </w:p>
        </w:tc>
        <w:tc>
          <w:tcPr>
            <w:tcW w:w="4220" w:type="dxa"/>
            <w:vAlign w:val="bottom"/>
            <w:gridSpan w:val="3"/>
          </w:tcPr>
          <w:p>
            <w:pPr>
              <w:jc w:val="right"/>
              <w:ind w:right="2540"/>
              <w:spacing w:after="0"/>
              <w:rPr>
                <w:sz w:val="20"/>
                <w:szCs w:val="20"/>
                <w:color w:val="auto"/>
              </w:rPr>
            </w:pPr>
            <w:r>
              <w:rPr>
                <w:rFonts w:ascii="Times New Roman" w:cs="Times New Roman" w:eastAsia="Times New Roman" w:hAnsi="Times New Roman"/>
                <w:sz w:val="18"/>
                <w:szCs w:val="18"/>
                <w:color w:val="auto"/>
              </w:rPr>
              <w:t>uncompleted contracts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self insurance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borrowings (repayments) under revolving lines of credit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principal obligations under capital leases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 from stock-based awards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2" w:right="239" w:bottom="1440" w:gutter="0" w:footer="0" w:header="0"/>
        </w:sectPr>
      </w:pPr>
    </w:p>
    <w:p>
      <w:pPr>
        <w:ind w:left="180"/>
        <w:spacing w:after="0"/>
        <w:rPr>
          <w:sz w:val="20"/>
          <w:szCs w:val="20"/>
          <w:color w:val="auto"/>
        </w:rPr>
      </w:pPr>
      <w:r>
        <w:rPr>
          <w:rFonts w:ascii="Times New Roman" w:cs="Times New Roman" w:eastAsia="Times New Roman" w:hAnsi="Times New Roman"/>
          <w:sz w:val="17"/>
          <w:szCs w:val="17"/>
          <w:color w:val="auto"/>
        </w:rPr>
        <w:t>Net decrease in cash and cash equivalents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of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 of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jc w:val="both"/>
        <w:ind w:left="940"/>
        <w:spacing w:after="0"/>
        <w:tabs>
          <w:tab w:leader="none" w:pos="2620" w:val="left"/>
        </w:tabs>
        <w:rPr>
          <w:sz w:val="20"/>
          <w:szCs w:val="20"/>
          <w:color w:val="auto"/>
        </w:rPr>
      </w:pPr>
      <w:r>
        <w:rPr>
          <w:rFonts w:ascii="Times New Roman" w:cs="Times New Roman" w:eastAsia="Times New Roman" w:hAnsi="Times New Roman"/>
          <w:sz w:val="18"/>
          <w:szCs w:val="18"/>
          <w:color w:val="auto"/>
        </w:rPr>
        <w:t>(13,820)</w:t>
      </w:r>
      <w:r>
        <w:rPr>
          <w:sz w:val="20"/>
          <w:szCs w:val="20"/>
          <w:color w:val="auto"/>
        </w:rPr>
        <w:tab/>
      </w:r>
      <w:r>
        <w:rPr>
          <w:rFonts w:ascii="Times New Roman" w:cs="Times New Roman" w:eastAsia="Times New Roman" w:hAnsi="Times New Roman"/>
          <w:sz w:val="18"/>
          <w:szCs w:val="18"/>
          <w:color w:val="auto"/>
        </w:rPr>
        <w:t>(36,434)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ind w:left="1000"/>
        <w:spacing w:after="0"/>
        <w:tabs>
          <w:tab w:leader="none" w:pos="2680" w:val="left"/>
        </w:tabs>
        <w:rPr>
          <w:sz w:val="20"/>
          <w:szCs w:val="20"/>
          <w:color w:val="auto"/>
        </w:rPr>
      </w:pPr>
      <w:r>
        <w:rPr>
          <w:rFonts w:ascii="Times New Roman" w:cs="Times New Roman" w:eastAsia="Times New Roman" w:hAnsi="Times New Roman"/>
          <w:sz w:val="18"/>
          <w:szCs w:val="18"/>
          <w:color w:val="auto"/>
        </w:rPr>
        <w:t>23,846</w:t>
      </w:r>
      <w:r>
        <w:rPr>
          <w:sz w:val="20"/>
          <w:szCs w:val="20"/>
          <w:color w:val="auto"/>
        </w:rPr>
        <w:tab/>
      </w:r>
      <w:r>
        <w:rPr>
          <w:rFonts w:ascii="Times New Roman" w:cs="Times New Roman" w:eastAsia="Times New Roman" w:hAnsi="Times New Roman"/>
          <w:sz w:val="18"/>
          <w:szCs w:val="18"/>
          <w:color w:val="auto"/>
        </w:rPr>
        <w:t>39,797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 w:lineRule="exact"/>
        <w:rPr>
          <w:sz w:val="20"/>
          <w:szCs w:val="20"/>
          <w:color w:val="auto"/>
        </w:rPr>
      </w:pPr>
    </w:p>
    <w:p>
      <w:pPr>
        <w:spacing w:after="0"/>
        <w:tabs>
          <w:tab w:leader="none" w:pos="980" w:val="left"/>
          <w:tab w:leader="none" w:pos="1700" w:val="left"/>
          <w:tab w:leader="none" w:pos="2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10,026</w:t>
        <w:tab/>
        <w:t>$</w:t>
      </w:r>
      <w:r>
        <w:rPr>
          <w:sz w:val="20"/>
          <w:szCs w:val="20"/>
          <w:color w:val="auto"/>
        </w:rPr>
        <w:tab/>
      </w:r>
      <w:r>
        <w:rPr>
          <w:rFonts w:ascii="Times New Roman" w:cs="Times New Roman" w:eastAsia="Times New Roman" w:hAnsi="Times New Roman"/>
          <w:sz w:val="18"/>
          <w:szCs w:val="18"/>
          <w:color w:val="auto"/>
        </w:rPr>
        <w:t>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180340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7400" w:space="720"/>
            <w:col w:w="3300"/>
          </w:cols>
          <w:pgMar w:left="240" w:top="792"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 acquired under capital lease arrangements</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4,697</w:t>
            </w:r>
          </w:p>
        </w:tc>
      </w:tr>
      <w:tr>
        <w:trPr>
          <w:trHeight w:val="216"/>
        </w:trPr>
        <w:tc>
          <w:tcPr>
            <w:tcW w:w="7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repurchases not settled</w:t>
            </w:r>
          </w:p>
        </w:tc>
        <w:tc>
          <w:tcPr>
            <w:tcW w:w="1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3,037</w:t>
            </w:r>
          </w:p>
        </w:tc>
      </w:tr>
      <w:tr>
        <w:trPr>
          <w:trHeight w:val="234"/>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 initiated</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74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spacing w:after="0" w:line="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MYR Group Inc. (the “Company”) is a holding company with subsidiaries that are specialty electrical construction service providers. Its wholly-owned subsidiaries include: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MYR Transmission Services Canada, Ltd., a British Columbia corporation; Northern Transmission Services, Ltd., a British Columbia corporation; and Western Pacific Enterprises Ltd., a British Columbia corporation.</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reports its results under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provides services to general contractors, commercial and industrial facility owners, local governments and developers in the western and northeastern United States and western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accounting principles generally accepted in the United States of America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and cash flows with respect to the interim consolidated financial statements have been included. The consolidated balance sheet as of December 31, 2016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2016, included in the Company’s annual report on Form 10-K, which was filed with the SEC on March 9, 2017.</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adjusted its presentation of accrued self insurance liabilities and the related receivables for insurance claims in excess of deductibles to classify claim amounts estimated to be settled more than one year from the balance sheet date as non-current liabilities and non-current receivables. As a result of this adjustment, $32.9 million and $32.1 million were adjusted from current portion of accrued self insurance into non-current accrued self insurance as of June 30, 2017 and December 31, 2016, respectively. In addition, $14.6 million and $14.7 million were adjusted from current portion of receivable for insurance claims in excess of deductibles into non-current receivable for insurance claims in excess of deductibles as of June 30, 2017 and December 31, 2016, respectively. The effect of such classification on the December 31, 2016 balance sheet was immaterial and had no effect on the previously reported statements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Cumulative translation adjustments are included as a separate component of accumulated other comprehensive income in shareholders’ equity. Foreign currency transaction gains and losses, arising primarily from changes in exchange rates on short term monetary assets and liabilities, are recorded in the “other income, net” line on the consolidated statements of operations. For the six months ended June 30, 2017, the Company recorded $0.1 million of foreign currency loss compared to a foreign currency gain of $0.2 million for the six months ended June 30, 2016. Foreign currency transaction gains and losses, arising primarily from long term monetary assets and liabilities, are recorded in the foreign currency translation adjustment line on the consolidated statements of comprehensive income.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does not charge interest to its customers and carries its customer receivables at their face amounts, less an allowance for doubtful accounts. Included in accounts receivable are balances billed to customers pursuant to retainage provisions in certain contracts that are due upon completion of the contract and acceptance by the customer, or earlier as provided by the contract. Based on the Company’s experience in recent years, the majority of customer balances at each balance sheet date are collected within twelve months. As is common practice in the industry, the Company classifies all accounts receivable, including retainage, as current assets. The contracting cycle for certain long-term contracts may extend beyond one year, and accordingly, collection of retainage on those contracts may extend beyond one year. The Company expects a majority of the retainage recorded at June 30, 2017 to be collected within one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the first six months ended June 30, 2017, the Company had recognized revenues of $5.2 million related to significant change orders and/or claims that had been included as contract price adjustments on certain contracts which were in the process of being negotiated in the normal course of business.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percentage of completion method of accounting requires the Company to make estimates about the expected revenue and gross profit on each of its contracts in process. The estimates are reviewed and revised quarterly, as needed. During the three and six months ended June 30, 2017, changes in estimates pertaining to certain projects resulted in decreased consolidated gross margin of 2.1% and 1.0%, respectively. The Company’s income from operations for the three and six months ended June 30, 2017 decreased $7.4 million and $6.8 million, respectively, due to the changes in estimated gross profit. These changes in estimates resulted in decrease of $4.4 million and $4.1 million, respectively, in net income or $0.27 and $0.25, respectively, in diluted earnings per common share during the three and six months ended June 30, 2017.</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2016, changes in estimates pertaining to certain projects resulted in increased consolidated gross margin of 0.1%. The Company’s income from operations for the three months ended June 30, 2016 increased $0.2 million due to the changes in estimated gross profit. These changes in estimates resulted in an increase of $0.1 million in net income, or $0.01 in diluted earnings per common share, during the three months ended June 30, 2016. During the six months ended June 30, 2016, changes in estimates pertaining to certain projects resulted in decreased consolidated gross margin of 0.7%. The Company’s income from operations for the six months ended June 30, 2016 decreased $3.7 million due to the changes in estimated gross profit. These changes in estimates resulted in a decrease of $2.3 million in net income, or $0.12 in diluted earnings per common share, during the six months ended June 30,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54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our consolidated financial statements.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The amendments under this pronouncement made modifications to the accounting treatment for forfeitures, required withholding on stock compensation and the financial statement presentation of excess tax benefits or deficiencies and certain components of stock compensation. The standard was effective for interim and annual reporting periods beginning after December 15, 2016, with early adoption permitted. On January 1, 2017, the Company adopted this ASU on a prospective basis except for forfeitures, which it adopted on a modified retrospective basis. The adoption of this ASU had the following impacts:</w:t>
      </w:r>
    </w:p>
    <w:p>
      <w:pPr>
        <w:spacing w:after="0" w:line="182" w:lineRule="exact"/>
        <w:rPr>
          <w:sz w:val="20"/>
          <w:szCs w:val="20"/>
          <w:color w:val="auto"/>
        </w:rPr>
      </w:pPr>
    </w:p>
    <w:p>
      <w:pPr>
        <w:ind w:left="660" w:right="3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of $0.2 million and $1.0 million, for the three and six months ended June 30, 2017, respectively, were reflected as income tax benefits in the Consolidated Statements of Operations and Comprehensive Income. Prior to adoption of this ASU, this amount would have been recorded in additional paid-in capital.</w:t>
      </w:r>
    </w:p>
    <w:p>
      <w:pPr>
        <w:spacing w:after="0" w:line="176"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this ASU eliminated the additional paid-in capital pool (“APIC Pool”) resulting in the excess tax benefits and deficiencies to be excluded from assumed future proceeds in the calculation of diluted shares, which caused an immaterial increase in diluted weighted average shares outstanding for the three and six months ended June 30, 2017. The Company typically experiences the largest volume of restricted stock vesting in the first quarter of its fiscal year. The extent of excess tax benefits/deficiencies is subject to variation in the Company’s stock price and the timing/extent of restricted stock, performance share and phantom stock vesting and stock option exercises.</w:t>
      </w:r>
    </w:p>
    <w:p>
      <w:pPr>
        <w:spacing w:after="0" w:line="183"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elected to discontinue estimating forfeitures and will account for forfeitures as they occur. The net cumulative effect of this change was recognized as a $0.2 million reduction to retained earnings as of January 1, 2017 with a corresponding increase in additional paid in capital.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simplifies the subsequent measurement of goodwill, through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18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which clarifies the definition of a business with the objective of adding guidance to assist entities with evaluating whether transactions should be accounted for as acquisitions (or disposals) of assets or businesses. The update is effective for annual reporting periods beginning after December 15, 2017, and interim periods within those fiscal years. Early adoption is permitted for financial statements that have not been previously issued. The guidance requires application on a prospective basis. The Company does not expect that this pronouncement will have a significant impact on its financial statements.</w:t>
      </w:r>
    </w:p>
    <w:p>
      <w:pPr>
        <w:spacing w:after="0" w:line="180"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which modifies existing guidance and is intended to reduce the diversity in practice with respect to the accounting for income tax consequences of intra-entity transfers of assets. This update requires entities to immediately recognize the tax consequences on intercompany asset transfers (excluding inventory) at the transaction date, and eliminates the recognition exception within current guidance. The update is effective for annual reporting periods beginning after December 15, 2017, and interim periods within those fiscal years. Early adoption is permitted. The guidance requires application using a modified retrospective approach. The Company is evaluating the impact this pronouncement will have on its financial statements.</w:t>
      </w:r>
    </w:p>
    <w:p>
      <w:pPr>
        <w:spacing w:after="0" w:line="18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which is intended to reduce diversity in practice in how eight specific transactions are classified in the statement of cash flows. The update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after December 15, 2017, and interim periods within those fiscal years. Early adoption is permitted, provided that all of the amendments are adopted in the same period. The guidance requires application using a retrospective approach. The Company is evaluating the impact this update will have on its financial statements.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amendments under this pronouncement will change the way all leases with durations in excess of one year or more are treated. Under this guidance, lessees will be required to recognize virtually all leases on the balance sheet as a right-of-use asset and an associated financing lease liability or capital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 The Company continues to evaluate the impact this pronouncement will have on its policies and procedures pertaining to its existing and future lease arrangements, disclosure requirements and on the Company’s financial statements. The Company expects most of its existing operating lease commitments, which extend beyond twelve months at the time of adoption, will be recognized as lease liabilities and right-of-use assets upon adoption.</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amendments under this pronouncement will change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Step 1: Identify the contract(s) with the customer; Step 2: Identify the performance obligations in the contract; Step 3: Determine the transaction price; Step 4: Allocate the transaction price to the performance obligations in the contract; Step 5: Recognize revenue when, or as, the entity satisfies the performance obligations. In addition, the amendments require expanded disclosure to enable the users of the financial statements to understand the nature, timing and uncertainty of revenue and cash flow arising from contracts with customers. On August 16, 2015, the FASB deferred the effective date by one year to December 15, 2017 for annual reporting periods beginning after that date, permitting early adoption of the standard, but not before the original effective date of December 15, 2016.</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plans to adopt the amendments under this ASU using the modified retrospective transition approach on January 1, 2018. Under the modified retrospective transition approach, the Company will recognize any changes from the beginning of the year of initial application through retained earnings with no restatement of comparative periods. As the amendments under this ASU will supersede substantially all existing revenue guidance affecting the Company under U.S. GAAP, it will impact revenue and cost recognition on certain contracts across both the T&amp;D and C&amp;I business segments, in addition to impacting the Company’s business processes and information technology systems. As a result, the Company’s evaluation of the impact of this ASU and related amendments on the Company’s policies and procedures pertaining to recognition of revenue from contracts with customers, and the impact on the Company’s financial statements is ongoing.</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Presented below is the status of the process the Company is utilizing for the adoption of this ASU and the significant implementation matters yet to be addressed:</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cross-functional implementation team to assess the potential impacts of this standard.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monitor activity related to the new standard and are working with various non-authoritative groups regarding industry clarifications and interpretations, which may impact the Company’s considerations and conclusions.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key factors from the five step process to recognize revenue as prescribed by the new standard that may be applicable to each of the business units that roll up into T&amp;D and C&amp;I business segments.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significant customers and contracts and expect to have substantially completed the review of these contracts by the filing date of our third quarter 2017 Form 10-Q with any remaining contracts to be reviewed by the end of 2017.</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provisions and performance obligations of these contracts, and the comparison of historical accounting policies and practices to the requirements of the new standard (including the potential impact of related qualitative disclosures the Company expects to apply and a comparison to current revenue recognition policies), is in process. The Company expects to complete this process by the end of 2017.</w:t>
      </w:r>
    </w:p>
    <w:p>
      <w:pPr>
        <w:spacing w:after="0" w:line="176"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significant items that the Company is still analyzing relate to the effects of uninstalled materials, cancelation of convenience clauses in certain master service agreements as well as variances between our backlog and unsatisfied performance obligations. The Company expects to complete the analysis of these items by the end of 2017.</w:t>
      </w:r>
    </w:p>
    <w:p>
      <w:pPr>
        <w:spacing w:after="0" w:line="17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any required changes to systems and processes, including updating internal controls, is expected to be completed by the end of 2017.</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9" w:name="page10"/>
    <w:bookmarkEnd w:id="9"/>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Based on the Company’s progress in reviewing various types of revenue arrangements, the Company expects to recognize revenue and earnings over time utilizing the cost-to-cost measure of progress for its fixed price contracts and certain master service and other service agreements, consistent with current practice. For these contracts, the cost-to-cost measure of progress best depicts the transfer of control of goods or services to the customer under the new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Pacific Enterprises Ltd.</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October 28, 2016, the Company completed the acquisition of substantially all of the assets of Western Pacific Enterprises GP and of Western Pacific Enterprises Ltd., except for certain real estate owned by Western Pacific Enterprises Ltd., with the company continuing operations under the name Western Pacific Enterprises Ltd. (“WPE”), an electrical contracting firm in western Canada. With its main headquarters in Coquitlam, British Columbia, WPE provides a wide range of commercial and industrial electrical construction capabilities under the Company’s C&amp;I segment. WPE also provides substation construction capabilities under the Company’s T&amp;D segment. The total consideration paid was approximately $12.1 million, which was funded through borrowings from our line of credit. Total consideration paid included $2.2 million subject to potential net asset adjustments once finalized by the end of 2017 as stipulated in the purchase agreement. These net asset adjustments were approximately $0.8 million as of the October 28, 2016 closing date and as of June 30, 2017. The Company accounted for the net asset adjustments as a reduction to consideration paid which will be funded through our escrow, established at the time of purchase.</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purchase agreement also includes contingent consideration provisions for margin guarantee adjustments based upon performance subsequent to the acquisition on certain contracts. Contingent consideration of approximately $0.9 million and $1.7 million related to the margin guarantee adjustments on certain contracts was recorded in other income for the three and six months ended June 30, 2017, respectively. Future margin guarantee adjustments, if any, are expected to be completed by the end of 2017. The Company could also be required to make compensation payments contingent on the successful achievement of certain performance targets and continued employment of certain key executives of WPE. These payments are recognized as compensation expense in the consolidated statement of operations as incurred. The Company has recognized approximately $0.2 million of compensation expense associated with these contingent payments since the WPE acquisition.</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WPE are included in the Company’s consolidated statement of operations and the C&amp;I segment from the date of acquisition. Costs of approximately $0.4 million related to the acquisition were included in selling, general and administrative expenses in the consolidated statement of operations for the year ended December 31, 2016.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allocation of the opening balance sheet from the date of acquisition through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acquisition 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0" w:type="dxa"/>
            <w:vAlign w:val="bottom"/>
          </w:tcPr>
          <w:p>
            <w:pPr>
              <w:spacing w:after="0"/>
              <w:rPr>
                <w:sz w:val="1"/>
                <w:szCs w:val="1"/>
                <w:color w:val="auto"/>
              </w:rPr>
            </w:pPr>
          </w:p>
        </w:tc>
      </w:tr>
      <w:tr>
        <w:trPr>
          <w:trHeight w:val="216"/>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amounts as of</w:t>
            </w:r>
          </w:p>
        </w:tc>
        <w:tc>
          <w:tcPr>
            <w:tcW w:w="0" w:type="dxa"/>
            <w:vAlign w:val="bottom"/>
          </w:tcPr>
          <w:p>
            <w:pPr>
              <w:spacing w:after="0"/>
              <w:rPr>
                <w:sz w:val="1"/>
                <w:szCs w:val="1"/>
                <w:color w:val="auto"/>
              </w:rPr>
            </w:pPr>
          </w:p>
        </w:tc>
      </w:tr>
      <w:tr>
        <w:trPr>
          <w:trHeight w:val="238"/>
        </w:trPr>
        <w:tc>
          <w:tcPr>
            <w:tcW w:w="6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net asset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identifiable assets</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developed preliminary estimates of fair value of the assets acquired and liabilities assumed for the purposes of allocating the purchase price. Further adjustments are expected to the allocation as third party valuations of identifiable intangible assets, including backlog, customer relationships, trade name and off-market component, are determined, and as net asset adjustments are finalized. A portion of the unallocated intangible assets is expected to be tax deductible per applicable Canadian Revenue Authority regulations. The Company expects to complete the purchase accounting in the second half of 2017.</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2017 and December 31, 2016, the Company determined that the carrying value of cash and cash equivalents approximated fair value based on Level 1 inputs. As of June 30, 2017 and December 31, 2016, the fair value of the Company’s long-term debt and capital lease obligations were based on Level 2 inputs. The Company’s long-term debt was based on variable and fixed interest rates at June 30, 2017 and December 31, 2016, for new issues with similar remaining maturities and approximated carrying value. In addition, based on borrowing rates currently available to the Company for borrowings with similar terms, the carrying values of the Company's capital lease obligations also approximated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Contracts in Process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3"/>
        </w:trPr>
        <w:tc>
          <w:tcPr>
            <w:tcW w:w="6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1,794,549</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2,194,695</w:t>
            </w:r>
          </w:p>
        </w:tc>
      </w:tr>
      <w:tr>
        <w:trPr>
          <w:trHeight w:val="230"/>
        </w:trPr>
        <w:tc>
          <w:tcPr>
            <w:tcW w:w="66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Billings to date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1,743,466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2,167,066</w:t>
            </w:r>
          </w:p>
        </w:tc>
      </w:tr>
      <w:tr>
        <w:trPr>
          <w:trHeight w:val="223"/>
        </w:trPr>
        <w:tc>
          <w:tcPr>
            <w:tcW w:w="66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included in the accompanying consolidated balance sheets was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5820" w:type="dxa"/>
            <w:vAlign w:val="bottom"/>
            <w:gridSpan w:val="4"/>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on uncompleted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contracts</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93,050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69,950</w:t>
            </w:r>
          </w:p>
        </w:tc>
      </w:tr>
      <w:tr>
        <w:trPr>
          <w:trHeight w:val="198"/>
        </w:trPr>
        <w:tc>
          <w:tcPr>
            <w:tcW w:w="4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Billings in excess of costs and estimated earnings on</w:t>
            </w:r>
          </w:p>
        </w:tc>
        <w:tc>
          <w:tcPr>
            <w:tcW w:w="1820" w:type="dxa"/>
            <w:vAlign w:val="bottom"/>
            <w:gridSpan w:val="3"/>
          </w:tcPr>
          <w:p>
            <w:pPr>
              <w:jc w:val="right"/>
              <w:ind w:right="770"/>
              <w:spacing w:after="0" w:line="198" w:lineRule="exact"/>
              <w:rPr>
                <w:sz w:val="20"/>
                <w:szCs w:val="20"/>
                <w:color w:val="auto"/>
              </w:rPr>
            </w:pPr>
            <w:r>
              <w:rPr>
                <w:rFonts w:ascii="Times New Roman" w:cs="Times New Roman" w:eastAsia="Times New Roman" w:hAnsi="Times New Roman"/>
                <w:sz w:val="18"/>
                <w:szCs w:val="18"/>
                <w:color w:val="auto"/>
              </w:rPr>
              <w:t>uncompleted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contracts</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(41,967)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(42,321)</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 Obligations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leasing arrangements for real estate, vehicles and construction equipment. Some of the leases entered into under these agreements were recorded as capital leases while others were treated as operating leases. As of June 30, 2017, the Company had no outstanding commitments to enter into future leases under its master lease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some vehicles and equipment under capital leases. The economic substance of the leases is a financing transaction for acquisition of the vehicles and equipment and, accordingly, these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over the life of the lease or, if shorter, the life of the leased asset, on a straight-line basis and included in depreciation expense in the statements of operations. The interest associated with capital leases is included in interest expense in the statements of operations.</w:t>
      </w:r>
    </w:p>
    <w:p>
      <w:pPr>
        <w:spacing w:after="0" w:line="18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had approximately $4.4 million of capital lease obligations outstanding, $1.1 million of which was classified as a current liability. As of December 31, 2016, the Company had approximately $4.9 million of capital lease obligations outstanding, $1.1 million of which was classified as a current liability.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$4.4 million and $5.0 million, respectively, of leased assets were capitalized in construction equipment, net of accumulated depreciation.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from time to time, leases real estate, construction equipment and office equipment under operating leases with remaining terms ranging from one to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required under capital leases and operating leases, together with their present value of capital leases, as of June 30, 2017 were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Obligations</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Remainder of 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16"/>
        </w:trPr>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0"/>
        </w:trPr>
        <w:tc>
          <w:tcPr>
            <w:tcW w:w="60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60" w:type="dxa"/>
            <w:vAlign w:val="bottom"/>
            <w:tcBorders>
              <w:right w:val="single" w:sz="8" w:color="CCEEFF"/>
            </w:tcBorders>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capital lease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June 30, 2016, the Company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The Company has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have been, and will be, used for refinancing existing debt, working capital, capital expenditures, acquisitions and other general corporate purposes.</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in U.S. dollars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Amounts borrowed under the Credit Agreement in any currency other than U.S. dollars bear interest at a rate equal to the Adjusted LIBO Rate plus an applicable margin ranging from 1.00% to 2.00%. The applicable margin is determined based on the Company’s consolidated Leverage Ratio (as defined in the Credit Agreement). Letters of credit issued under the Facility are subject to a letter of credit fee of 1.125% to 2.125% for standby or commercial letters of credit or 0.625% to 1.125% for performance letters of credit, based on the Company’s consolidated Leverage Ratio. The Company is subject to a commitment fee of 0.20% to 0.375% based on the Company’s consolidated Leverage Ratio on any unused portion of the Facility. The Credit Agreement restricts certain types of payments when the Company’s consolidated Leverage Ratio exceeds 2.25. The weighted average interest rate on borrowings outstanding through June 30, 2017, was 2.14% per annum.</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if given effect, shall begin in the quarter in which such permitted acquisition is consummated and shall continue in effect for four consecutive fiscal quarters. The Company was in compliance with all of its covenants under the Credit Agreement as of June 30, 2017.</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The amount outstanding under the Facility as of June 30, 2017 and December 31, 2016, was $44.9 million and $59.1 million, respectively.</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June 30, 2017 and December 31, 2016, the Company had irrevocable standby letters of credit outstanding under the Facility of approximately $23.7 million, including $17.6 million related to the Company’s payment obligation under its insurance programs and approximately $6.1 million related to contract performance obligations.</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remaining deferred debt issuance costs totaling $0.9 million as of June 30, 2017, related to entry into the Credit Agreement. As permitted under ASU No. 2015-15, debt issuance costs have been deferred and are presented as an asset within other assets, which is amortized as interest expense over the term of the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U.S. federal statutory tax rate is 35%. The Company’s effective tax rates for the three and six months ended June 30, 2017 were 67.3%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47.2%, respectively, of pretax income, compared to the effective tax rate for the three and six months ended June 30, 2016 of 37.8% and 38.0%, respectively.</w:t>
      </w:r>
    </w:p>
    <w:p>
      <w:pPr>
        <w:spacing w:after="0" w:line="20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months ended June 30, 2017 was primarily caused by the inability to utilize losses experienced in certain Canadian operations. The difference between the U.S. federal statutory tax rate and the Company’s effective tax rate for the six months ended June 30, 2017 was caused by the inability to utilize losses experienced in certain Canadian operations, partially offset by excess tax benefits of approximately $1.0 million pertaining to the vesting of stock awards and the exercise of stock options.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and six months ended June 30, 2016 was principally due to state income taxes.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$0.3 million as of June 30, 2017 and December 31, 2016, which were included in other liabilities in the accompanying consolidated balance sheets.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because of the unrecognized tax benefits was not significant for the six months ended June 30, 2017 and 2016.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tax return for 2015 is subject to examination by U.S. federal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returns are subject to examination by various state authorities for the years 2012 through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the Company had approximately $2.2 million in outstanding purchase orders for certain construction equipment, with cash outlay scheduled to occur over the next five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for workers’ compensation, general liability, automobile liability and other coverages. The deductible per occurrence for each line of coverage is up to $1.0 million. The Company’s health benefit plans are subject to a deductible up to $0.2 million for qualified individuals. Losses up to the deductible amounts are accrued based upon the Company’s estimates of the ultimate liability for claims reported and an estimate of claims incurred but not yet reported.</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13" w:name="page14"/>
    <w:bookmarkEnd w:id="13"/>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2017, an aggregate of approximately $515.4 million in original face amount of bonds issued by the Company’s sureties were outstanding. Our estimated remaining cost to complete these bonded projects was approximately $29.6 million as of June 30, 2017.</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our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two equity compensation plans under which stock-based compensation has been granted; the 2017 Long-Term Incentive Plan, (the “LTIP”) and the 2007 Long-Term Incentive Plan (the “2007 Plan”). Upon the adoption of the LTIP during the second quarter of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(h) stock bonuses, (i) dividend equivalents, and (j) any combination of such awards.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14" w:name="page15"/>
    <w:bookmarkEnd w:id="14"/>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2017, the Company granted 43,972 shares of restricted stock under the 2007 Plan, which vest ratably over three years, at a weighted average grant date fair value of $39.52. Additionally, 94,530 shares of restricted stock vested during the six months ended June 30, 2017, at a weighted average grant date fair value of $25.04.</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2017, the Company granted 22,380 restricted stock units under the LTIP, which vest ratably over three years, at a weighted average grant date fair value of $33.50. Additionally, 1,982 shares of phantom stock vested during the six months ended June 30, 2017, at a weighted average grant date fair value of $25.23.</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2017, the Company granted 47,454 performance share awards under the 2007 Plan, at target, which cliff vest on December 31, 2019, at a weighted average grant date fair value of $47.12. The number of shares actually earned under a performance award may vary from zero to 200% of the target shares awarded, based upon the Company’s performance compared to certain metrics. The metrics used were determined at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common shares of the Company’s stock.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2017, plan participants exercised 72,297 stock options with a weighted average exercise price of $15.69.</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of 3.0 years.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potential achievement of the performance target at each reporting date. The fair value of restricted stock units granted to directors in 2017 and restricted stock awards and phantom stock granted to directors in 2016 was expensed on the date of the grant because the award agreements contain provisions which call for the vesting of all shares awarded upon change in control or resignation from the board for any reason except breach of fiduciary duty.</w:t>
      </w:r>
    </w:p>
    <w:p>
      <w:pPr>
        <w:spacing w:after="0" w:line="184"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ASU No. 2016-09,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on January 1, 2017. See Note 1 to the Financial Statements for further information regarding ASU No. 2016-09,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MYR Group is a holding company with subsidiaries that are specialty electrical contractors that serve the United States and Canadian electrical infrastructure markets.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safety costs, professional fees and management fees. The accounting policies of the segments are the same as those described in the Summary of Significant Accounting Policies in the Company’s Annual Report on Form 10-K for the year ended December 31, 2016.</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C&amp;I segment services are generally performed in the western and northeastern United States and in western Canada. In our C&amp;I segment, we generally provide our electric construction and maintenance services as a subcontractor to general contractors in the C&amp;I industry, but also contract directly with facility owners. We have a diverse customer base with many long-standing relationships.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T&amp;D</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239,794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178,629</w:t>
            </w: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435,528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361,603</w:t>
            </w:r>
          </w:p>
        </w:tc>
      </w:tr>
      <w:tr>
        <w:trPr>
          <w:trHeight w:val="230"/>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116,391</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83,305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220,786</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153,965</w:t>
            </w:r>
          </w:p>
        </w:tc>
      </w:tr>
      <w:tr>
        <w:trPr>
          <w:trHeight w:val="263"/>
        </w:trPr>
        <w:tc>
          <w:tcPr>
            <w:tcW w:w="3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356,185</w:t>
            </w:r>
          </w:p>
        </w:tc>
        <w:tc>
          <w:tcPr>
            <w:tcW w:w="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261,934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656,314</w:t>
            </w:r>
          </w:p>
        </w:tc>
        <w:tc>
          <w:tcPr>
            <w:tcW w:w="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515,568</w:t>
            </w:r>
          </w:p>
        </w:tc>
        <w:tc>
          <w:tcPr>
            <w:tcW w:w="80" w:type="dxa"/>
            <w:vAlign w:val="bottom"/>
            <w:tcBorders>
              <w:bottom w:val="single" w:sz="8" w:color="CCEEFF"/>
            </w:tcBorders>
          </w:tcPr>
          <w:p>
            <w:pPr>
              <w:spacing w:after="0"/>
              <w:rPr>
                <w:sz w:val="22"/>
                <w:szCs w:val="22"/>
                <w:color w:val="auto"/>
              </w:rPr>
            </w:pPr>
          </w:p>
        </w:tc>
      </w:tr>
      <w:tr>
        <w:trPr>
          <w:trHeight w:val="197"/>
        </w:trPr>
        <w:tc>
          <w:tcPr>
            <w:tcW w:w="376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T&amp;D</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8,074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15,585</w:t>
            </w: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26,254</w:t>
            </w:r>
          </w:p>
        </w:tc>
      </w:tr>
      <w:tr>
        <w:trPr>
          <w:trHeight w:val="216"/>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4,751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4,590</w:t>
            </w:r>
          </w:p>
        </w:tc>
      </w:tr>
      <w:tr>
        <w:trPr>
          <w:trHeight w:val="230"/>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(9,223)</w:t>
            </w:r>
          </w:p>
        </w:tc>
        <w:tc>
          <w:tcPr>
            <w:tcW w:w="3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(18,299)</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(18,395)</w:t>
            </w:r>
          </w:p>
        </w:tc>
      </w:tr>
      <w:tr>
        <w:trPr>
          <w:trHeight w:val="223"/>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contract revenues attributable to the Company’s Canadian operations were $17.2 million and $36.4 million, respectively, predominantly in the C&amp;I segment. For the three and six months ended June 30, 2016, contract revenues attributable to the Company’s Canadian operations were $5.3 million and $6.5 million, respectively, predominantly in the T&amp;D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Net income available to common shareholders and the weighted average number of common shares used to compute basic and diluted earnings per share were as follows: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7,487</w:t>
            </w:r>
          </w:p>
        </w:tc>
      </w:tr>
      <w:tr>
        <w:trPr>
          <w:trHeight w:val="216"/>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16,312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18,336</w:t>
            </w:r>
          </w:p>
        </w:tc>
      </w:tr>
      <w:tr>
        <w:trPr>
          <w:trHeight w:val="230"/>
        </w:trPr>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r>
      <w:tr>
        <w:trPr>
          <w:trHeight w:val="178"/>
        </w:trPr>
        <w:tc>
          <w:tcPr>
            <w:tcW w:w="3760" w:type="dxa"/>
            <w:vAlign w:val="bottom"/>
            <w:tcBorders>
              <w:top w:val="single" w:sz="8" w:color="CCEEFF"/>
            </w:tcBorders>
            <w:gridSpan w:val="2"/>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16,503</w:t>
            </w:r>
          </w:p>
        </w:tc>
        <w:tc>
          <w:tcPr>
            <w:tcW w:w="3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17,679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w:t>
            </w:r>
          </w:p>
        </w:tc>
        <w:tc>
          <w:tcPr>
            <w:tcW w:w="3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18,638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common share, basic</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 diluted</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r>
    </w:tbl>
    <w:p>
      <w:pPr>
        <w:spacing w:after="0" w:line="17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2017 and 2016,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stock options and performance awards that were excluded from the calculation of dilutive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7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awards</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6" w:name="page17"/>
    <w:bookmarkEnd w:id="1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accompanying unaudited consolidated financial statements and with our Annual Report on Form 10-K for the year ended December 31, 2016 (the “2016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2016 Annual Report. We assume no obligation to update any of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 holding company with subsidiaries that are leading specialty contractors serving the electrical infrastructure market. We manage and report our operations through two industry segments: Transmission and Distribution (“T&amp;D”) and Commercial and Industrial (“C&amp;I”). We have operated in the T&amp;D industry since 1891. We are one of the largest contractors servicing the T&amp;D sector of the electric utility industry in the United States and are expanding our T&amp;D services into Canada. Our T&amp;D customers include many of the leading companies in the industry. Our C&amp;I electrical contracting services have operated since 1912. We provide C&amp;I services to general contractors, commercial and industrial facility owners, local governments and developers in the western and northern United States and western Canada.</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had consolidated revenues for the six months ended June 30, 2017 of $656.3 million, of which 66.4% was attributable to our T&amp;D customers and 33.6% was attributable to our C&amp;I customers. Our consolidated revenues for the six months ended June 30, 2016 were $515.6 million. For the six months ended June 30, 2017, our net income and EBITDA (1) were $2.4 million and $25.2 million, respectively, compared to $7.5 million and $32.2 million, respectively, for the six months ended June 30, 2016.</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benefited from increases in transmission projects spending throughout the last several years despite economic and political uncertainty and we believe there is an ongoing need for utilities to sustain investment in their transmission systems to maintain reliability and capacity. Consequently, we believe we will continue to see significant bidding activity on large transmission projects through the remainder of this year as well as in 2018. The timing of multi-year transmission project awards and substantial construction activity is difficult to predict due to regulatory requirements and right-of-way permits needed to commence construction. Significant construction on any large, multi-year projects awarded this year, will not likely occur until 2018. Bidding and construction activity for small to medium-size transmission projects and upgrades remains strong, and we expect this trend to continue, primarily due to electric infrastructure reliability and economic drivers. Competition and the unpredictability of awards in the transmission market may impact our ability to maintain adequate utilization of equipment and manpower resources, which is important to maintaining contract margins. In addition, project execution, adverse weather and project delays, among other factors, have impacted our margins in the past and could affect our margins in the future. We believe that spending by clients on their distribution systems is generally improving; however, this spending can be highly variable from quarter to quarter in response to weather, client budget constraints and regulatory pressures. Contract margins and fleet billing rates are generally lower in our distribution business than what we realize in our transmission business.</w:t>
      </w:r>
    </w:p>
    <w:p>
      <w:pPr>
        <w:spacing w:after="0" w:line="19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expect to see increased bidding opportunities in our C&amp;I segment throughout the remainder of this year. We expect the long-term growth in our C&amp;I segment to generally track the economic growth of the regions we serve and benefit to the extent economic conditions continue to improve in the markets we serve. We also expect to see increased bidding opportunities as we penetrate the new C&amp;I markets we recently entered through our strategic acquisitions and organic expansions.</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strive to maintain our status as a preferred provider to our T&amp;D and C&amp;I customers. We continue to implement a three-pronged strategy of organic growth, strategic acquisitions that further expand our capabilities and prudent capital returns as further described below.</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Organic Growth </w:t>
      </w:r>
      <w:r>
        <w:rPr>
          <w:rFonts w:ascii="Times New Roman" w:cs="Times New Roman" w:eastAsia="Times New Roman" w:hAnsi="Times New Roman"/>
          <w:sz w:val="18"/>
          <w:szCs w:val="18"/>
          <w:color w:val="auto"/>
        </w:rPr>
        <w:t>We continue to evaluate opportunities to expand our operations into new markets in the United States and Canada. We expanded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C&amp;I services in California during 2016 and 2017 and in Utah during 2017, while continuing to support previous growth areas.</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Strategic Acquisitions </w:t>
      </w:r>
      <w:r>
        <w:rPr>
          <w:rFonts w:ascii="Times New Roman" w:cs="Times New Roman" w:eastAsia="Times New Roman" w:hAnsi="Times New Roman"/>
          <w:sz w:val="18"/>
          <w:szCs w:val="18"/>
          <w:color w:val="auto"/>
        </w:rPr>
        <w:t>On October 28, 2016, we acquired substantially all of the assets of Western Pacific Enterprises, which expanded our C&amp;I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enhanced our T&amp;D presence in western Canada. We continue to look for acquisition opportunities that are compatible with our culture while enhancing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1" w:lineRule="exact"/>
        <w:rPr>
          <w:sz w:val="20"/>
          <w:szCs w:val="20"/>
          <w:color w:val="auto"/>
        </w:rPr>
      </w:pPr>
    </w:p>
    <w:p>
      <w:pPr>
        <w:ind w:left="5640" w:right="2700" w:hanging="5632"/>
        <w:spacing w:after="0" w:line="658"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a non-GAAP measure. Refer to “Non-GAAP Measure—EBITDA” for a discussion of this measure.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7" w:name="page18"/>
    <w:bookmarkEnd w:id="17"/>
    <w:p>
      <w:pPr>
        <w:ind w:right="1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Prudent Capital Returns </w:t>
      </w:r>
      <w:r>
        <w:rPr>
          <w:rFonts w:ascii="Times New Roman" w:cs="Times New Roman" w:eastAsia="Times New Roman" w:hAnsi="Times New Roman"/>
          <w:sz w:val="18"/>
          <w:szCs w:val="18"/>
          <w:color w:val="auto"/>
        </w:rPr>
        <w:t>Under our current share repurchase program, we have repurchased a total of 6,024,978 shares of our common stock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share price of $23.64 per share. As of June 30, 2017, we had $20.0 million of remaining availability to purchase shares under the program, which continues in effect until August 15, 2017. On July 27, 2017, our Board of Directors approved a new $20.0 million repurchase program that will begin when our current repurchase program expires. The new repurchase program will continue in effect through August 15, 2018, or until the authorized funds are exhausted.</w:t>
      </w:r>
    </w:p>
    <w:p>
      <w:pPr>
        <w:spacing w:after="0" w:line="18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continue to invest in developing key management and craft personnel in both our T&amp;D and C&amp;I markets and in procuring the specialty equipment and tooling needed to win and execute projects of all sizes and complexity. We ended the second quarter of 2017 with $181.4 million available under our credit facility. We believe that our financial position and operational strengths will enable us to manage the current challenges and uncertainties in the markets we serve and give us the flexibility to successfully execute our three-pronged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define backlog as our estimated revenue on uncompleted contracts, including the amount of revenue on contracts for which work has not begun, less the revenue we have recognized under these contracts. A customer’s intention to award us work under a fixed-price contract is not included in backlog unless there is an actual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only includes projects that have a signed contract or an agreed upon work order to perform work on mutually accepted terms and conditions. Backlog should not be relied upon as a stand-alone indicator of future events.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backlog was $632.5 million at June 30, 2017 compared to $660.9 million at March 31, 2017 and $475.0 million at June 30, 2016. Our backlog at June 30, 2017 decreased $28.4 million or 4.3% from March 31, 2017. Backlog in the T&amp;D segment decreased $61.9 million and C&amp;I backlog increased $33.5 million compared to March 31, 2017.</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Backlog at June 30, 2017</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Amount estimated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 not be recognized</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backlog at</w:t>
            </w:r>
          </w:p>
        </w:tc>
      </w:tr>
      <w:tr>
        <w:trPr>
          <w:trHeight w:val="238"/>
        </w:trPr>
        <w:tc>
          <w:tcPr>
            <w:tcW w:w="5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within 12 months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4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T&amp;D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386,701</w:t>
            </w:r>
          </w:p>
        </w:tc>
        <w:tc>
          <w:tcPr>
            <w:tcW w:w="100" w:type="dxa"/>
            <w:vAlign w:val="bottom"/>
            <w:shd w:val="clear" w:color="auto" w:fill="CCEEFF"/>
          </w:tcPr>
          <w:p>
            <w:pPr>
              <w:spacing w:after="0"/>
              <w:rPr>
                <w:sz w:val="18"/>
                <w:szCs w:val="18"/>
                <w:color w:val="auto"/>
              </w:rPr>
            </w:pPr>
          </w:p>
        </w:tc>
      </w:tr>
      <w:tr>
        <w:trPr>
          <w:trHeight w:val="230"/>
        </w:trPr>
        <w:tc>
          <w:tcPr>
            <w:tcW w:w="5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C&amp;I</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64,373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302,131</w:t>
            </w:r>
          </w:p>
        </w:tc>
        <w:tc>
          <w:tcPr>
            <w:tcW w:w="100" w:type="dxa"/>
            <w:vAlign w:val="bottom"/>
          </w:tcPr>
          <w:p>
            <w:pPr>
              <w:spacing w:after="0"/>
              <w:rPr>
                <w:sz w:val="19"/>
                <w:szCs w:val="19"/>
                <w:color w:val="auto"/>
              </w:rPr>
            </w:pPr>
          </w:p>
        </w:tc>
      </w:tr>
      <w:tr>
        <w:trPr>
          <w:trHeight w:val="223"/>
        </w:trPr>
        <w:tc>
          <w:tcPr>
            <w:tcW w:w="502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632,474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Bonding Requirements and Parent Guarantees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June 30, 2017, we had approximately $515.4 million in original face amount of surety bonds outstanding. Our estimated remaining cost to complete these bonded projects was approximately $29.6 million as of June 30, 2017.</w:t>
      </w:r>
    </w:p>
    <w:p>
      <w:pPr>
        <w:spacing w:after="0" w:line="188"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selected consolidated statements of operations data and such data as a percentage of revenues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gridSpan w:val="2"/>
          </w:tcPr>
          <w:p>
            <w:pPr>
              <w:spacing w:after="0"/>
              <w:rPr>
                <w:sz w:val="19"/>
                <w:szCs w:val="19"/>
                <w:color w:val="auto"/>
              </w:rPr>
            </w:pPr>
          </w:p>
        </w:tc>
      </w:tr>
      <w:tr>
        <w:trPr>
          <w:trHeight w:val="210"/>
        </w:trPr>
        <w:tc>
          <w:tcPr>
            <w:tcW w:w="3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356,185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261,934</w:t>
            </w: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656,314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515,568</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328,668</w:t>
            </w:r>
          </w:p>
        </w:tc>
        <w:tc>
          <w:tcPr>
            <w:tcW w:w="9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92.3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230,499</w:t>
            </w: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603,057</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456,852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r>
      <w:tr>
        <w:trPr>
          <w:trHeight w:val="210"/>
        </w:trPr>
        <w:tc>
          <w:tcPr>
            <w:tcW w:w="370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25,024</w:t>
            </w:r>
          </w:p>
        </w:tc>
        <w:tc>
          <w:tcPr>
            <w:tcW w:w="9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50,803</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46,376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9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(1,319)</w:t>
            </w: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370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w:t>
            </w:r>
          </w:p>
        </w:tc>
        <w:tc>
          <w:tcPr>
            <w:tcW w:w="9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w:t>
            </w:r>
          </w:p>
        </w:tc>
        <w:tc>
          <w:tcPr>
            <w:tcW w:w="9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2,173</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r>
      <w:tr>
        <w:trPr>
          <w:trHeight w:val="22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2017 Compared to Three Months Ended June 30, 2016</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$94.3 million, or 36.0%, to $356.2 million for the three months ended June 30, 2017 from $261.9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2016. The increase was primarily due to higher revenue from large transmission projects, an increase in distribution projects, and higher C&amp;I revenues due to increased spending from existing customers and the WPE acquisition in late 2016.</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decreased to 7.7% for the three months ended June 30, 2017 from 12.0% for the three months ended June 30, 2016.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gross margin was primarily due to write-downs on three projects during the quarter. Two projects in the Midwest U.S. were significantly impacted by weather resulting in unbudgeted costs associated with right-of-way access, lower productivity and increased road damage and repair requirements. As a result, we wrote down $2.8 million for these projects in the second quarter. Additionally, one T&amp;D project in Canada experienced cost impacts mainly associated with project delays and schedule extensions. Although we are working with our client to recover these costs, we have not recognized all of the revenues relating to various pending project claims and change orders which resulted in second quarter write-downs on this project of $2.6 million. Margins were also impacted by costs associated with organic and acquisition growth, including the impact of contingent consideration related to margin guarantees of $0.9 million that is classified as other income. Changes in estimates of gross profit on certain projects, including those discussed above, resulted in a gross margin decrease of 2.1% for the three months ended June 30, 2017. Gross margin increased 0.1% due to changes in estimates of gross profit on certain projects for the three months ended June 30, 2016.</w:t>
      </w:r>
    </w:p>
    <w:p>
      <w:pPr>
        <w:spacing w:after="0" w:line="186"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$3.9 million, or 12.5%, to $27.5 million for the three months ended June 30, 2017 from $31.4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2016, due to lower overall gross margin, partially offset by higher revenue.</w:t>
      </w:r>
    </w:p>
    <w:p>
      <w:pPr>
        <w:spacing w:after="0" w:line="15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of $25.0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2017, increased $2.5 million from $22.5 million for the three months ended June 30, 2016. The year-over-year increase was primarily due to $2.8 million of costs associated with our expansion into new geographic markets and higher payroll costs to support operations, partially offset by lower bonus and profit sharing costs. As a percentage of revenues, SG&amp;A decreased to 7.0% for the three months ended June 30, 2017 from 8.6% for the three months ended June 30, 2016.</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9" w:name="page20"/>
    <w:bookmarkEnd w:id="19"/>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in the three months ended June 30, 2017 were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$0.5 million in the three months ended June 30, 2016. Gains from the sale of property and equipment are attributable to routine sales of property and equipment no longer useful or valuable to our ongoing operations.</w:t>
      </w:r>
    </w:p>
    <w:p>
      <w:pPr>
        <w:spacing w:after="0" w:line="174"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$0.6 million for the three months ended June 30, 2017 compared to $0.2 million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2016. This increase was primarily attributable to the length of time borrowings under our line of credit were outstanding during the three months ended June 30, 2017 as compared to the three months ended June 30, 2016.</w:t>
      </w:r>
    </w:p>
    <w:p>
      <w:pPr>
        <w:spacing w:after="0" w:line="174"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(Loss). </w:t>
      </w:r>
      <w:r>
        <w:rPr>
          <w:rFonts w:ascii="Times New Roman" w:cs="Times New Roman" w:eastAsia="Times New Roman" w:hAnsi="Times New Roman"/>
          <w:sz w:val="18"/>
          <w:szCs w:val="18"/>
          <w:color w:val="auto"/>
        </w:rPr>
        <w:t>Other income was $0.8 million for the three months ended June 30, 2017 compared to other loss of $0.1 million in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 The change was primarily attributable to contingent consideration related to margin guarantees of $0.9 million recognized on certain contracts associated with the acquisition of WPE.</w:t>
      </w:r>
    </w:p>
    <w:p>
      <w:pPr>
        <w:spacing w:after="0" w:line="174"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The income tax provision was $2.5 million for the three months ended June 30, 2017, with an effective tax rate of 67.3%,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provision of $3.3 million for the three months ended June 30, 2016, with an effective tax rate of 37.8%. The increase in the tax rate in the three months ended June 30, 2017 was primarily caused by our inability to utilize losses experienced in certain Canadian operations.</w:t>
      </w:r>
    </w:p>
    <w:p>
      <w:pPr>
        <w:spacing w:after="0" w:line="17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to $1.2 million for the three months ended June 30, 2017 from $5.5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The decrease was primarily for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gridSpan w:val="2"/>
          </w:tcPr>
          <w:p>
            <w:pPr>
              <w:spacing w:after="0"/>
              <w:rPr>
                <w:sz w:val="19"/>
                <w:szCs w:val="19"/>
                <w:color w:val="auto"/>
              </w:rPr>
            </w:pPr>
          </w:p>
        </w:tc>
      </w:tr>
      <w:tr>
        <w:trPr>
          <w:trHeight w:val="210"/>
        </w:trPr>
        <w:tc>
          <w:tcPr>
            <w:tcW w:w="3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239,794</w:t>
            </w: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178,629</w:t>
            </w:r>
          </w:p>
        </w:tc>
        <w:tc>
          <w:tcPr>
            <w:tcW w:w="8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116,391</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83,305</w:t>
            </w: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r>
      <w:tr>
        <w:trPr>
          <w:trHeight w:val="263"/>
        </w:trPr>
        <w:tc>
          <w:tcPr>
            <w:tcW w:w="39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356,185</w:t>
            </w:r>
          </w:p>
        </w:tc>
        <w:tc>
          <w:tcPr>
            <w:tcW w:w="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261,934</w:t>
            </w:r>
          </w:p>
        </w:tc>
        <w:tc>
          <w:tcPr>
            <w:tcW w:w="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197"/>
        </w:trPr>
        <w:tc>
          <w:tcPr>
            <w:tcW w:w="3900" w:type="dxa"/>
            <w:vAlign w:val="bottom"/>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8,074</w:t>
            </w:r>
          </w:p>
        </w:tc>
        <w:tc>
          <w:tcPr>
            <w:tcW w:w="8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15,585</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r>
      <w:tr>
        <w:trPr>
          <w:trHeight w:val="230"/>
        </w:trPr>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r>
      <w:tr>
        <w:trPr>
          <w:trHeight w:val="210"/>
        </w:trPr>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(9,223)</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three months ended June 30, 2017 were $239.8 million compared to $178.6 million for the three months ended June 30, 2016, an increase of $61.2 million, or 34.2%. The increase in revenue was primarily due to higher revenue from large transmission projects and an increase in distribution projects.</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Revenues from transmission projects represented 71.3% and 75.2% of T&amp;D segment revenue for the three months ended June 30, 2017 and 2016, respectively. Additionally, for the three months ended June 30, 2017, measured by revenue in our T&amp;D segment, we provided 25.3% of our T&amp;D services under fixed-price contracts, as compared to 60.0% for the three months ended June 30, 2016.</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our T&amp;D segment for the three months ended June 30, 2017 was $8.1 million, a decrease of $7.5 million from the three months ended June 30, 2016. The decline in T&amp;D operating income was primarily due to lower margins caused by write-downs experienced on two projects in the Midwest U.S. and on one project in Canada. As a percentage of revenues, operating income for our T&amp;D segment was 3.4% for the three months ended June 30, 2017 compared to 8.7% for the three months ended June 30, 2016.</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4"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Revenues for our C&amp;I segment for the three months ended June 30, 2017 were $116.4 million compared to $83.3 million for the three months ended June 30, 2016, an increase of $33.1 million, or 39.7%, primarily due to increased spending from existing customers and the WPE acquisition in late 2016.</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Measured by revenue in our C&amp;I segment, we provided 53.5% of our services under fixed-price contracts for the three months ended June 30, 2017, compared to 63.9% in the three months ended June 30, 2016.</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June 30, 2017 was $4.8 million, an increase of $2.4 million over the three months ended June 30, 2016. The year-over-year increase in operating income was primarily attributable to higher revenue and improved productivity on certain jobs. This was partially offset by costs associated with organic and acquisition growth, including the impact of contingent consideration related to margin guarantees of $0.9 million that are classified as other income. As a percentage of revenues, operating income for our C&amp;I segment was 4.1% for the three months ended June 30, 2017 compared to 2.9% for the three months ended June 30,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2017 Compared to Six Months Ended June 30, 2016</w:t>
      </w:r>
    </w:p>
    <w:p>
      <w:pPr>
        <w:spacing w:after="0" w:line="227"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$140.7 million, or 27.3%, to $656.3 million for the six months ended June 30, 2017 from $515.6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 The increase was primarily due to higher revenue from large transmission projects, an increase in distribution projects, and higher C&amp;I revenues due to increased spending from existing customers and the WPE acquisition in late 2016.</w:t>
      </w:r>
    </w:p>
    <w:p>
      <w:pPr>
        <w:spacing w:after="0" w:line="17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decreased to 8.1% for the six months ended June 30, 2017 from 11.4% for the six months ended June 30, 2016.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gross margin was primarily due to write-downs on three projects. Two projects in the Midwest U.S. were significantly impacted by weather resulting in unbudgeted costs associated with right-of-way access, lower productivity and increased road damage and repair requirements. As a result, we wrote down $4.0 million for these projects this year. One T&amp;D project in Canada experienced cost impacts mainly associated with project delays and schedule extensions. Although we are working with our client to recover these costs, we have not recognized all of the revenues relating to various pending project claims and change orders, which resulted in write-downs on this project of $2.4 million. A higher mix of smaller, shorter duration T&amp;D work also impacted margins in the six months ended June 30, 2017. The shift in the mix of work also caused a decline in our fleet utilization and increased mobilization and demobilization costs. Margins were also impacted by costs associated with organic and acquisition growth, including the impact of contingent consideration related to margin guarantees of $1.7 million that is classified as other income. These impacts were partially offset by settlements related to previously unrecognized revenues on a project claim and pending change orders. Changes in estimates of gross profit on certain projects, including those discussed above, resulted in a gross margin decrease of 1.0% for the six months ended June 30, 2017. Gross margin decreased 0.7% due to changes in estimates of gross profit on certain projects for the six months ended June 30, 2016.</w:t>
      </w:r>
    </w:p>
    <w:p>
      <w:pPr>
        <w:spacing w:after="0" w:line="191"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$5.4 million, or 9.3%, to $53.3 million for the six months ended June 30, 2017 from $58.7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 due to lower overall gross margin, partially offset by higher revenue.</w:t>
      </w:r>
    </w:p>
    <w:p>
      <w:pPr>
        <w:spacing w:after="0" w:line="15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of $50.8 million for the six months ended June 30, 2017 increased $4.4 million from $46.4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2016. The year-over-year increase was primarily due to $5.1 million of costs associated with our expansion into new geographic markets and higher payroll costs to support operations, partially offset by lower bonus and profit sharing costs. Additionally, $1.0 million of costs associated with activist investor activities were incurred in the six months ended June 30, 2016. As a percentage of revenues, SG&amp;A decreased to 7.7% for the six months ended June 30, 2017 from 9.0% for the six months ended June 30, 2016.</w:t>
      </w:r>
    </w:p>
    <w:p>
      <w:pPr>
        <w:spacing w:after="0" w:line="180"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in the six months ended June 30, 2017 were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$0.6 million in the six months ended June 30, 2016. Gains from the sale of property and equipment are attributable to routine sales of property and equipment no longer useful or valuable to our ongoing operations.</w:t>
      </w:r>
    </w:p>
    <w:p>
      <w:pPr>
        <w:spacing w:after="0" w:line="17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$1.1 million for the six months ended June 30, 2017 compared to $0.4 million in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2016. This increase was primarily attributable to the length of time borrowings under our line of credit were outstanding during the six months ended June 30, 2017 as compared to the six months ended June 30, 2016.</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4" w:right="259" w:bottom="1440" w:gutter="0" w:footer="0" w:header="0"/>
        </w:sectPr>
      </w:pPr>
    </w:p>
    <w:bookmarkStart w:id="21" w:name="page22"/>
    <w:bookmarkEnd w:id="21"/>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was $1.6 million for the six months ended June 30, 2017 compared to $0.1 million in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The increase was primarily attributable to contingent consideration related to margin guarantees of $1.7 million recognized on certain contracts associated with the acquisition of WPE.</w:t>
      </w:r>
    </w:p>
    <w:p>
      <w:pPr>
        <w:spacing w:after="0" w:line="17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The income tax provision was $2.2 million for the six months ended June 30, 2017 with an effective tax rate of 47.2%,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provision of $4.6 million for the six months ended June 30, 2016 with an effective tax rate of 38.0%. The increase in the tax rate in the six months ended June 30, 2017 was primarily caused by our inability to utilize losses experienced in certain Canadian operations, partially offset by excess tax benefits of approximately $1.0 million pertaining to the vesting of stock awards and the exercise of stock options.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to $2.4 million for the six months ended June 30, 2017 from $7.5 million for the six months ended June 30, 2016.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for the reasons stated earlier.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gridSpan w:val="2"/>
          </w:tcPr>
          <w:p>
            <w:pPr>
              <w:spacing w:after="0"/>
              <w:rPr>
                <w:sz w:val="19"/>
                <w:szCs w:val="19"/>
                <w:color w:val="auto"/>
              </w:rPr>
            </w:pPr>
          </w:p>
        </w:tc>
      </w:tr>
      <w:tr>
        <w:trPr>
          <w:trHeight w:val="210"/>
        </w:trPr>
        <w:tc>
          <w:tcPr>
            <w:tcW w:w="3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435,528</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361,603</w:t>
            </w:r>
          </w:p>
        </w:tc>
        <w:tc>
          <w:tcPr>
            <w:tcW w:w="2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220,786</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153,965</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9"/>
                <w:szCs w:val="19"/>
                <w:color w:val="auto"/>
              </w:rPr>
            </w:pPr>
          </w:p>
        </w:tc>
      </w:tr>
      <w:tr>
        <w:trPr>
          <w:trHeight w:val="263"/>
        </w:trPr>
        <w:tc>
          <w:tcPr>
            <w:tcW w:w="3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656,314</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515,568</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197"/>
        </w:trPr>
        <w:tc>
          <w:tcPr>
            <w:tcW w:w="380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13,216</w:t>
            </w:r>
          </w:p>
        </w:tc>
        <w:tc>
          <w:tcPr>
            <w:tcW w:w="20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26,254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r>
      <w:tr>
        <w:trPr>
          <w:trHeight w:val="230"/>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4,590</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r>
      <w:tr>
        <w:trPr>
          <w:trHeight w:val="210"/>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30,844</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(18,395)</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six months ended June 30, 2017 were $435.5 million compared to $361.6 million for the six months ended June 30, 2016, an increase of $73.9 million, or 20.4%. The increase in revenue was primarily due to higher revenue from large transmission projects and an increase in distribution projects.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transmission projects represented 71.7% and 76.2% of T&amp;D segment revenue for the six months ended June 30, 2017 and 2016, respectively. Additionally, for the six months ended June 30, 2017, measured by revenue in our T&amp;D segment, we provided 29.7% of our T&amp;D services under fixed-price contracts, as compared to 57.5% for the six months ended June 30, 2016.</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our T&amp;D segment for the six months ended June 30, 2017 was $13.2 million, a decrease of $13.0 million from the six months ended June 30, 2016. The decline in T&amp;D operating income was primarily due to lower margins caused by write-downs experienced on two projects in the Midwest U.S. and on one project in Canada. Margins were also impacted by a higher mix of smaller, shorter duration work. The shift in the mix of work also caused a decline in our fleet utilization and increased mobilization and demobilization costs. As a percentage of revenues, operating income for our T&amp;D segment was 3.0% for the six months ended June 30, 2017 compared to 7.3% for the six months ended June 30,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Revenues for our C&amp;I segment for the six months ended June 30, 2017 were $220.8 million compared to $154.0 million for the six months ended June 30, 2016, an increase of $66.8 million, or 43.4%, primarily due to increased spending from existing customers and the WPE acquisition from late 2016.</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Measured by revenue in our C&amp;I segment, we provided 59.8% of our services under fixed-price contracts for the six months ended June 30, 2017, compared to 67.3% in the six months ended June 30, 2016.</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22" w:name="page23"/>
    <w:bookmarkEnd w:id="22"/>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Operating income for our C&amp;I segment for the six months ended June 30, 2017 was $9.2 million, an increase of $4.6 million over the six months ended June 30, 2016. The year-over-year increase in operating income was primarily attributable to higher revenue from large projects, the settlement of a project claim that was previously not recognized in revenue and improved productivity on certain jobs. These were partially offset by costs associated with organic and acquisition growth, including the impact of contingent consideration related to margin guarantees of $1.7 million that is classified as other income. As a percentage of revenues, operating income for our C&amp;I segment was 4.2% for the six months ended June 30, 2017 compared to 3.0% for the six months ended June 30,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income and expense, provision for income taxes and depreciation and amortization, as shown in the following table. EBITDA, a non-GAAP financial measure, does not purport to be an alternative to net income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book lives placed on assets, capital structure and the method by which assets were acquired.</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U.S. GAAP, as it excludes certain recurring items that may be meaningful to investors. EBITDA excludes interest expense or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 tax basis. Using both EBITDA and net income to evaluate the business allows management and investors to (a) assess our relative performance against our competitors and (b) monitor our capacity to generate returns for our stockholders.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52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2,430</w:t>
            </w:r>
          </w:p>
        </w:tc>
        <w:tc>
          <w:tcPr>
            <w:tcW w:w="3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Add: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2,532</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3,349</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9,707</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9,774</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19,453</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19,690</w:t>
            </w:r>
          </w:p>
        </w:tc>
        <w:tc>
          <w:tcPr>
            <w:tcW w:w="80" w:type="dxa"/>
            <w:vAlign w:val="bottom"/>
            <w:shd w:val="clear" w:color="auto" w:fill="CCEEFF"/>
          </w:tcPr>
          <w:p>
            <w:pPr>
              <w:spacing w:after="0"/>
              <w:rPr>
                <w:sz w:val="19"/>
                <w:szCs w:val="19"/>
                <w:color w:val="auto"/>
              </w:rPr>
            </w:pPr>
          </w:p>
        </w:tc>
      </w:tr>
      <w:tr>
        <w:trPr>
          <w:trHeight w:val="223"/>
        </w:trPr>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also use EBITDA as a liquidity measure. We believe that EBITDA is important for evaluating our ability to comply with certain material covenants contained within our credit agreement (the “Credit Agreement”). Non-compliance with these financial covenants under the Credit Agreement—our interest coverage ratio which is defined in the Credit Agreement as Consolidated EBITDA (as defined in the Credit Agreement) divided by interest expense and our Leverage Ratio (as defined in the Credit Agreement)—could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r>
      <w:tr>
        <w:trPr>
          <w:trHeight w:val="210"/>
        </w:trPr>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32,036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19,180</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46,462</w:t>
            </w:r>
          </w:p>
        </w:tc>
      </w:tr>
      <w:tr>
        <w:trPr>
          <w:trHeight w:val="216"/>
        </w:trPr>
        <w:tc>
          <w:tcPr>
            <w:tcW w:w="4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4,929</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(15,385)</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(17,410)</w:t>
            </w:r>
          </w:p>
        </w:tc>
      </w:tr>
      <w:tr>
        <w:trPr>
          <w:trHeight w:val="198"/>
        </w:trPr>
        <w:tc>
          <w:tcPr>
            <w:tcW w:w="4000" w:type="dxa"/>
            <w:vAlign w:val="bottom"/>
            <w:gridSpan w:val="2"/>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flows provided by operating activities</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(9,819)</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(11,151)</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(19,489)</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(21,565)</w:t>
            </w:r>
          </w:p>
        </w:tc>
      </w:tr>
      <w:tr>
        <w:trPr>
          <w:trHeight w:val="216"/>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9,707</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9,774</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19,453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19,690</w:t>
            </w:r>
          </w:p>
        </w:tc>
      </w:tr>
      <w:tr>
        <w:trPr>
          <w:trHeight w:val="216"/>
        </w:trPr>
        <w:tc>
          <w:tcPr>
            <w:tcW w:w="4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CEEFF"/>
          </w:tcPr>
          <w:p>
            <w:pPr>
              <w:spacing w:after="0"/>
              <w:rPr>
                <w:sz w:val="18"/>
                <w:szCs w:val="18"/>
                <w:color w:val="auto"/>
              </w:rPr>
            </w:pPr>
          </w:p>
        </w:tc>
      </w:tr>
      <w:tr>
        <w:trPr>
          <w:trHeight w:val="230"/>
        </w:trPr>
        <w:tc>
          <w:tcPr>
            <w:tcW w:w="4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40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2017, we had working capital of $135.4 million. We define working capital as current assets less current liabilities. During the six months ended June 30, 2017, operating activities of our business provided net cash of $19.2 million, compared to $46.5 million of cash provided for the six months ended June 30, 2016. Cash flow from operations is primarily influenced by demand for our services, operating margins, timing of contract performance and the type of services we provide to our customers. Net cash provided by operating activities is driven by our net income adjusted for changes in operating assets and liabilities and non-cash items including, but not limited to, depreciation and amortization, stock-based compensation, deferred income taxes, and the gain on sale of property and equipment. The $27.3 million year-over-year decline in net cash provided by operating activities was primarily due to unfavorable changes in operating assets and liabilities of $20.1 million, a decrease of $5.1 million in net income and a $1.4 million increase in gain on sale of equipment. The unfavorable change in operating assets and liabilities was primarily due to a decrease in other liabilities due to lower bonus and profit sharing accruals and less cash provided by accounts receivable in the first six months of 2017 as receivable collection in the first half of 2016 benefited from improved billing and collection procedures for several of our clients.</w:t>
      </w:r>
    </w:p>
    <w:p>
      <w:pPr>
        <w:spacing w:after="0" w:line="18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2017, we used net cash in investing activities of $18.1 million, consisting of $20.6 million for capital expenditures, partially offset by $2.5 million of proceeds from the sale of equipment.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2017, we used net cash of $15.8 million in financing activities, consisting primarily of $14.2 million of repayments under our revolving lines of credit and $2.2 million of share repurchases, all of which represented shares surrendered to satisfy tax obligations under our stock compensation program.</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$181.4 million borrowing availability under our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30, 2016, we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and will be, used for refinancing existing debt, working capital, capital expenditures, stock repurchases, acquisitions and other general corporate purposes.</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4" w:name="page25"/>
    <w:bookmarkEnd w:id="24"/>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Credit Agreement in U.S. dollars bear interest, at our option, at a rate equal to either (1) the Alternate Base Rate (as defined in the Credit Agreement), plus an applicable margin ranging from 0.00% to 1.00%; or (2) Adjusted LIBO Rate (as defined in the Credit Agreement) plus an applicable margin ranging from 1.00% to 2.00%. Amounts borrowed under the Credit Agreement in any currency other than U.S. dollars bear interest at a rate equal to the Adjusted LIBO Rate plus an applicable margin ranging from 1.00% to 2.00%. The applicable margin is determined based on our consolidated Leverage Ratio (as defined in the Credit Agreement). Letters of credit issued under the Facility are subject to a letter of credit fee of 1.125% to 2.125% for standby or commercial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covenants under the Credit Agreement as of June 30, 2017.</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June 30, 2017, we had $44.9 million of debt outstanding under the Facility and irrevocable standby letters of credit outstanding of approximately $23.7 million. As of December 31, 2016, we had $59.1 million of debt outstanding under the Facility and irrevocable standby letters of credit outstanding of approximately $23.7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non-cancelable operating leases, letter of credit obligations and surety guarantees related to performance bonds, could be entered into in the normal course of business. We have not engaged in any off-balance sheet financing arrangements through special purpose entities.</w:t>
      </w:r>
    </w:p>
    <w:p>
      <w:pPr>
        <w:spacing w:after="0" w:line="180"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off-balance sheet transactions, refer to Note 8, “Commitments and Contingencies” in the accompanying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2017, none of our customers individually exceeded 10.0% of consolidated accounts receivable. As of June 30, 2016, one customer individually exceeded 10.0% of consolidated accounts receivable with approximately 14.7% of the total consolidated accounts receivable amount (excluding the impact of allowance for doubtful accounts). Management believes the terms and conditions in its contracts, billing and collection policies are adequate to minimize the potential credit risk.</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 “Organization, Business and Basis of Presentation—Recently Issued Accounting Pronouncements” in the accompanying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2016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 looking statements include, without limitation, statements regarding financial forecasts or projections, and our expectations, beliefs, intentions or future strategies that are signified by the words “anticipate,” “believe,” “encouraged,” “estimate,” “expect,” “intend,” “likely,” “may,” “objective,” “outlook,” “plan,” “possible,” “potential,” “project,” “remain confident,” “should” “unlikely,” or other words that convey the uncertainty of future events or outcomes. The forward 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 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2016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Increased competition can place downward pressure on contract prices and profit margins and may limit the number of projects that we are awarded.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liabilities and suffer negative financial or reputational impacts relating to occupational health and safety matters.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market conditions, as well as regulatory and environmental requirements, may adversely impact our customers’ future spending and, as a result, our operations and growth.</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labor intensive and we may be unable to attract and retain qualified employees.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6" w:name="page27"/>
    <w:bookmarkEnd w:id="26"/>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could outpace the capability of our internal resources and limit our ability to support growth.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subcontractors and equipment manufacturers could expose us to the risk of loss in our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renewable energy may impact demand for our services.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profits.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key customer could have an adverse affect on us.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or cancellation of third party insurance coverage would increase our overall risk exposure and could disrupt our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trade credit to customers for purchases of our services, and may have difficulty collecting receivables from them.</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the necessary bonds, letters of credit, bank guarantees or other financial assurances.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or retain key personnel could disrupt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execute or integrate acquisitions or joint ventures successfully.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in the future to sufficient funding to finance desired growth and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number of operational risks which may result in unexpected costs or liabilities.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restrict our ability to expand and harm our business and prospects.</w:t>
      </w:r>
    </w:p>
    <w:p>
      <w:pPr>
        <w:spacing w:after="0" w:line="225"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laws applicable to our Canadian activities, including the U.S. Foreign Corrupt Practices Act and similar anti-bribery laws could have an adverse effect on us.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warranty claims, which may reduce our profitability.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organizational documents and Delaware law could delay or prevent a change in control of our company.</w:t>
      </w:r>
    </w:p>
    <w:p>
      <w:pPr>
        <w:spacing w:after="0" w:line="333"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8"/>
          </w:cols>
          <w:pgMar w:left="572" w:top="796" w:right="319" w:bottom="1440" w:gutter="0" w:footer="0" w:header="0"/>
        </w:sectPr>
      </w:pPr>
    </w:p>
    <w:bookmarkStart w:id="27" w:name="page28"/>
    <w:bookmarkEnd w:id="27"/>
    <w:p>
      <w:pPr>
        <w:ind w:left="660" w:right="6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business partners, may be subject to failures, interruptions or breaches of information technology systems, which could affect our competitive position or damage our reputation.</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has experienced significant price and volume fluctuations and future sales of our common stock could lead to dilution of our issued and outstanding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2017, we were not party to any derivative instruments. We did not use any material derivative financial instruments during the six months ended June 30, 2017 and 2016, including instruments for trading, hedging or speculating on changes in interest rates or commodity prices of materials used in our business.</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of June 30, 2017, we had $44.9 million of debt outstanding under the Facility. Borrowings under the Facility are based upon an interest rate that will vary depending upon the prime rate, federal funds rate and LIBOR. If the prime rate, federal funds rate or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June 30, 2017, which is subject to variable rates, permanently increased by 1%, the increase in interest expense on all revolving debt would decrease future income before provision for income taxes and cash flows by approximately $0.4 million annually. If market rates of interest on all our revolving debt, which is subject to variable rates as of June 30, 2017, permanently decreased by 1%, the decrease in interest expense on all debt would increase future income before provision for income taxes and cash flows by the same amount.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2017.</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permitted by interpretive guidance issued by the Securities and Exchange Commission staff, companies are allowed to exclude acquired businesses from their assessment of internal control over financial reporting during the first year after completion of an acquisition while integrating the acquired company. Accordingly, as WPE was acquired by the Company on October 28, 2016, management's assessment of the effectiveness of the Company's internal control over financial reporting as of December 31, 2016 excluded WPE. Management's evaluation and conclusion as to the effectiveness of the design and operation of the Company's disclosure controls and procedures as of the end of the period covered by this report excludes any evaluation of the internal controls of WPE. WPE represented a total of approximately 5.3% and 1.6% of total assets and net assets, respectively, as of June 30, 2017, and 4.5% and (35.8%) of contract revenues and income from operations, respectively, for the six months then 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legal proceedings, please refer to Note 8, “Commitments and Contingencies—Litigation and Other Legal Matters” in the accompanying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to the risk factors previously discussed in Item 1A of our 2016 Annual Report. An investment in our common stock involves various risks. When considering an investment in our company, you should carefully consider all of the risk factors described in our 2016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Issuances of Common Stock. </w:t>
      </w:r>
      <w:r>
        <w:rPr>
          <w:rFonts w:ascii="Times New Roman" w:cs="Times New Roman" w:eastAsia="Times New Roman" w:hAnsi="Times New Roman"/>
          <w:sz w:val="18"/>
          <w:szCs w:val="18"/>
          <w:color w:val="auto"/>
        </w:rPr>
        <w:t>On April 27, 2017, 662 unregistered shares of our common stock, valued at $28,479, were issued to a director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who elected to receive a portion of his annual director retainer fee in stock in lieu of cash. The shares were issued pursuant to the exemption from registration provided by Section 4(a)(2) of the Securities Act of 1933.</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following table includes all of the Company’s repurchases of common stock for the periods shown,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made pursuant to publicly announced plans or programs and those not made pursuant to publicly announced plans or programs. Repurchased shares are retired and returned to authorized but unissued common stock.</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80" w:type="dxa"/>
            <w:vAlign w:val="bottom"/>
          </w:tcPr>
          <w:p>
            <w:pPr>
              <w:spacing w:after="0"/>
              <w:rPr>
                <w:sz w:val="18"/>
                <w:szCs w:val="18"/>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9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May Yet Be Purchased</w:t>
            </w:r>
          </w:p>
        </w:tc>
        <w:tc>
          <w:tcPr>
            <w:tcW w:w="0" w:type="dxa"/>
            <w:vAlign w:val="bottom"/>
          </w:tcPr>
          <w:p>
            <w:pPr>
              <w:spacing w:after="0"/>
              <w:rPr>
                <w:sz w:val="1"/>
                <w:szCs w:val="1"/>
                <w:color w:val="auto"/>
              </w:rPr>
            </w:pPr>
          </w:p>
        </w:tc>
      </w:tr>
      <w:tr>
        <w:trPr>
          <w:trHeight w:val="216"/>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Announced Plans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8"/>
        </w:trPr>
        <w:tc>
          <w:tcPr>
            <w:tcW w:w="3880" w:type="dxa"/>
            <w:vAlign w:val="bottom"/>
            <w:gridSpan w:val="2"/>
            <w:vMerge w:val="continue"/>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Repurchased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2017 - April 30, 2017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40.27</w:t>
            </w:r>
          </w:p>
        </w:tc>
        <w:tc>
          <w:tcPr>
            <w:tcW w:w="170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1, 2017 - May 31, 2017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2017 - June 30, 2017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40.27</w:t>
            </w:r>
          </w:p>
        </w:tc>
        <w:tc>
          <w:tcPr>
            <w:tcW w:w="160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3" w:lineRule="exact"/>
        <w:rPr>
          <w:sz w:val="20"/>
          <w:szCs w:val="20"/>
          <w:color w:val="auto"/>
        </w:rPr>
      </w:pPr>
    </w:p>
    <w:p>
      <w:pPr>
        <w:ind w:left="660" w:right="1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197 shares of stock from its employees to satisfy tax obligations on shares vested under the 2007 Long-Term Incentive Plan. All of the shares repurchased were retired and returned to authorized but unissued stock.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27, 2017, the Company’s Board of Directors approved a new $20.0 million share repurchase program that will begin when the current share repurchase program expires. The new share repurchase program will expire on August 15, 2018, or when the authorized funds are exhausted.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2"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 Rule 13a-14(a)/15d-14(a)†</w:t>
            </w:r>
          </w:p>
        </w:tc>
      </w:tr>
      <w:tr>
        <w:trPr>
          <w:trHeight w:val="216"/>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 Rule 13a-14(a)/15d-14(a)†</w:t>
            </w:r>
          </w:p>
        </w:tc>
      </w:tr>
      <w:tr>
        <w:trPr>
          <w:trHeight w:val="216"/>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§1350†</w:t>
            </w:r>
          </w:p>
        </w:tc>
      </w:tr>
      <w:tr>
        <w:trPr>
          <w:trHeight w:val="234"/>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w:t>
            </w:r>
          </w:p>
        </w:tc>
      </w:tr>
      <w:tr>
        <w:trPr>
          <w:trHeight w:val="414"/>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216"/>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filed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MYR GROUP INC.</w:t>
            </w:r>
          </w:p>
        </w:tc>
      </w:tr>
      <w:tr>
        <w:trPr>
          <w:trHeight w:val="234"/>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24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BETTY R. JOHNSON</w:t>
            </w:r>
          </w:p>
        </w:tc>
      </w:tr>
      <w:tr>
        <w:trPr>
          <w:trHeight w:val="228"/>
        </w:trPr>
        <w:tc>
          <w:tcPr>
            <w:tcW w:w="3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522"/>
        </w:trPr>
        <w:tc>
          <w:tcPr>
            <w:tcW w:w="3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August 2, 2017</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August 2, 2017</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2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2017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August 2, 2017</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Betty R. Johnson, Senior Vice President, Chief Financial Officer and Treasurer of MYR Group, Inc. (the “Company”),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2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2017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August 2, 2017</w:t>
      </w:r>
      <w:r>
        <w:rPr>
          <w:sz w:val="20"/>
          <w:szCs w:val="20"/>
          <w:color w:val="auto"/>
        </w:rPr>
        <w:tab/>
      </w:r>
      <w:r>
        <w:rPr>
          <w:rFonts w:ascii="Times New Roman" w:cs="Times New Roman" w:eastAsia="Times New Roman" w:hAnsi="Times New Roman"/>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2019-12-29T04:43:08Z</dcterms:created>
  <dcterms:modified xsi:type="dcterms:W3CDTF">2019-12-29T04:43:08Z</dcterms:modified>
</cp:coreProperties>
</file>