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1204" w:right="319" w:bottom="1440" w:gutter="0" w:footer="0" w:header="0"/>
        </w:sectPr>
      </w:pPr>
    </w:p>
    <w:p>
      <w:pPr>
        <w:spacing w:after="0" w:line="24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1-08325</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36-3158643</w:t>
      </w:r>
    </w:p>
    <w:p>
      <w:pPr>
        <w:spacing w:after="0" w:line="1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60"/>
          </w:cols>
          <w:pgMar w:left="320" w:top="1204" w:right="319" w:bottom="1440" w:gutter="0" w:footer="0" w:header="0"/>
          <w:type w:val="continuous"/>
        </w:sectPr>
      </w:pPr>
    </w:p>
    <w:p>
      <w:pPr>
        <w:spacing w:after="0" w:line="163"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12121 Grant Street,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Suite 610</w:t>
      </w:r>
    </w:p>
    <w:p>
      <w:pPr>
        <w:spacing w:after="0" w:line="75" w:lineRule="exact"/>
        <w:rPr>
          <w:sz w:val="24"/>
          <w:szCs w:val="24"/>
          <w:color w:val="auto"/>
        </w:rPr>
      </w:pPr>
    </w:p>
    <w:p>
      <w:pPr>
        <w:sectPr>
          <w:pgSz w:w="11900" w:h="16838" w:orient="portrait"/>
          <w:cols w:equalWidth="0" w:num="2">
            <w:col w:w="1960" w:space="460"/>
            <w:col w:w="8840"/>
          </w:cols>
          <w:pgMar w:left="320" w:top="1204" w:right="319" w:bottom="1440" w:gutter="0" w:footer="0" w:header="0"/>
          <w:type w:val="continuous"/>
        </w:sectPr>
      </w:pPr>
    </w:p>
    <w:p>
      <w:pPr>
        <w:ind w:left="460"/>
        <w:spacing w:after="0"/>
        <w:tabs>
          <w:tab w:leader="none" w:pos="1540" w:val="left"/>
        </w:tabs>
        <w:rPr>
          <w:sz w:val="20"/>
          <w:szCs w:val="20"/>
          <w:color w:val="auto"/>
        </w:rPr>
      </w:pPr>
      <w:r>
        <w:rPr>
          <w:rFonts w:ascii="Times New Roman" w:cs="Times New Roman" w:eastAsia="Times New Roman" w:hAnsi="Times New Roman"/>
          <w:sz w:val="17"/>
          <w:szCs w:val="17"/>
          <w:b w:val="1"/>
          <w:bCs w:val="1"/>
          <w:color w:val="auto"/>
        </w:rPr>
        <w:t>Thornton,</w:t>
      </w:r>
      <w:r>
        <w:rPr>
          <w:sz w:val="20"/>
          <w:szCs w:val="20"/>
          <w:color w:val="auto"/>
        </w:rPr>
        <w:tab/>
      </w:r>
      <w:r>
        <w:rPr>
          <w:rFonts w:ascii="Times New Roman" w:cs="Times New Roman" w:eastAsia="Times New Roman" w:hAnsi="Times New Roman"/>
          <w:sz w:val="17"/>
          <w:szCs w:val="17"/>
          <w:b w:val="1"/>
          <w:bCs w:val="1"/>
          <w:color w:val="auto"/>
        </w:rPr>
        <w:t>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80241</w:t>
      </w:r>
    </w:p>
    <w:p>
      <w:pPr>
        <w:spacing w:after="0" w:line="72" w:lineRule="exact"/>
        <w:rPr>
          <w:sz w:val="24"/>
          <w:szCs w:val="24"/>
          <w:color w:val="auto"/>
        </w:rPr>
      </w:pPr>
    </w:p>
    <w:p>
      <w:pPr>
        <w:sectPr>
          <w:pgSz w:w="11900" w:h="16838" w:orient="portrait"/>
          <w:cols w:equalWidth="0" w:num="2">
            <w:col w:w="8620" w:space="720"/>
            <w:col w:w="1920"/>
          </w:cols>
          <w:pgMar w:left="320" w:top="1204"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8480" w:space="720"/>
            <w:col w:w="2060"/>
          </w:cols>
          <w:pgMar w:left="320" w:top="1204" w:right="319" w:bottom="1440" w:gutter="0" w:footer="0" w:header="0"/>
          <w:type w:val="continuous"/>
        </w:sectPr>
      </w:pPr>
    </w:p>
    <w:p>
      <w:pPr>
        <w:spacing w:after="0" w:line="9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286-8000</w:t>
      </w:r>
    </w:p>
    <w:p>
      <w:pPr>
        <w:spacing w:after="0" w:line="185"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80" w:firstLine="26"/>
        <w:spacing w:after="0" w:line="550"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3820" w:type="dxa"/>
            <w:vAlign w:val="bottom"/>
            <w:tcBorders>
              <w:left w:val="single" w:sz="8" w:color="auto"/>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38" w:lineRule="exact"/>
        <w:rPr>
          <w:sz w:val="24"/>
          <w:szCs w:val="24"/>
          <w:color w:val="auto"/>
        </w:rPr>
      </w:pPr>
    </w:p>
    <w:p>
      <w:pPr>
        <w:jc w:val="both"/>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20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October 29, 2025, MYR Group Inc. (the “Company”) issued a press release announcing its financial results for the three and nine months ended September 30, 2025. The press release is furnished hereto as Exhibit 99.1.</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information shall not be deemed “filed” for purposes of Section 18 of the Securities Exchange Act of 1934 (the “Exchange Act”) or incorporated by reference in any filing under the Securities Act of 1933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 is being furnished with this Current Report on Form 8-K.</w:t>
      </w:r>
    </w:p>
    <w:p>
      <w:pPr>
        <w:spacing w:after="0" w:line="293"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MYR Group Inc. Press Release, dated October 29, 2025</w:t>
      </w:r>
    </w:p>
    <w:p>
      <w:pPr>
        <w:spacing w:after="0" w:line="50" w:lineRule="exact"/>
        <w:rPr>
          <w:sz w:val="20"/>
          <w:szCs w:val="20"/>
          <w:color w:val="auto"/>
        </w:rPr>
      </w:pPr>
    </w:p>
    <w:p>
      <w:pPr>
        <w:ind w:left="720" w:hanging="694"/>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580" w:type="dxa"/>
            <w:vAlign w:val="bottom"/>
            <w:gridSpan w:val="3"/>
          </w:tcPr>
          <w:p>
            <w:pPr>
              <w:ind w:left="2300"/>
              <w:spacing w:after="0"/>
              <w:rPr>
                <w:sz w:val="20"/>
                <w:szCs w:val="20"/>
                <w:color w:val="auto"/>
              </w:rPr>
            </w:pPr>
            <w:r>
              <w:rPr>
                <w:rFonts w:ascii="Times New Roman" w:cs="Times New Roman" w:eastAsia="Times New Roman" w:hAnsi="Times New Roman"/>
                <w:sz w:val="18"/>
                <w:szCs w:val="18"/>
                <w:b w:val="1"/>
                <w:bCs w:val="1"/>
                <w:color w:val="auto"/>
              </w:rPr>
              <w:t>MYR GROUP INC.</w:t>
            </w:r>
          </w:p>
        </w:tc>
      </w:tr>
      <w:tr>
        <w:trPr>
          <w:trHeight w:val="48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2025</w:t>
            </w:r>
          </w:p>
        </w:tc>
        <w:tc>
          <w:tcPr>
            <w:tcW w:w="758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By:   /s/ KELLY M. HUNTINGTON</w:t>
            </w:r>
          </w:p>
        </w:tc>
      </w:tr>
      <w:tr>
        <w:trPr>
          <w:trHeight w:val="218"/>
        </w:trPr>
        <w:tc>
          <w:tcPr>
            <w:tcW w:w="3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Kelly M. Huntington</w:t>
            </w:r>
          </w:p>
        </w:tc>
      </w:tr>
      <w:tr>
        <w:trPr>
          <w:trHeight w:val="234"/>
        </w:trPr>
        <w:tc>
          <w:tcPr>
            <w:tcW w:w="36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904"/>
        </w:trPr>
        <w:tc>
          <w:tcPr>
            <w:tcW w:w="3640" w:type="dxa"/>
            <w:vAlign w:val="bottom"/>
          </w:tcPr>
          <w:p>
            <w:pPr>
              <w:spacing w:after="0"/>
              <w:rPr>
                <w:sz w:val="24"/>
                <w:szCs w:val="24"/>
                <w:color w:val="auto"/>
              </w:rPr>
            </w:pPr>
          </w:p>
        </w:tc>
        <w:tc>
          <w:tcPr>
            <w:tcW w:w="28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1285875"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MYR Group Inc. Announces Third-Quarter and First Nine-Months 2025 Results</w:t>
      </w:r>
    </w:p>
    <w:p>
      <w:pPr>
        <w:spacing w:after="0" w:line="16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 xml:space="preserve">Thornton, Colo., October 29, 2025 – </w:t>
      </w:r>
      <w:r>
        <w:rPr>
          <w:rFonts w:ascii="Times New Roman" w:cs="Times New Roman" w:eastAsia="Times New Roman" w:hAnsi="Times New Roman"/>
          <w:sz w:val="18"/>
          <w:szCs w:val="18"/>
          <w:b w:val="1"/>
          <w:bCs w:val="1"/>
          <w:color w:val="auto"/>
        </w:rPr>
        <w:t>MYR Group Inc. (“MYR or the "Company”) (NASDAQ: MYRG)</w:t>
      </w:r>
      <w:r>
        <w:rPr>
          <w:rFonts w:ascii="Times New Roman" w:cs="Times New Roman" w:eastAsia="Times New Roman" w:hAnsi="Times New Roman"/>
          <w:sz w:val="18"/>
          <w:szCs w:val="18"/>
          <w:color w:val="auto"/>
        </w:rPr>
        <w:t>, a holding company of leading specialty contractors serving the electric utility infrastructure, commercial and industrial construction markets in the United States and Canada, announced today its third-quarter and first nine-months 2025 financial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Third Quarter 2025</w:t>
      </w:r>
    </w:p>
    <w:p>
      <w:pPr>
        <w:spacing w:after="0" w:line="3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revenues of $950.4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quarterly net income of $32.1 million, or $2.05 per diluted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quarterly EBITDA of $62.7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$2.66 billion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Comments</w:t>
      </w:r>
    </w:p>
    <w:p>
      <w:pPr>
        <w:spacing w:after="0" w:line="2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Rick Swartz, MYR’s President and CEO, said, “Our third quarter performance resulted in quarterly revenues of $950 million and year-over-year increases in net income, consolidated gross profit, gross margin, and EBITDA.” Mr. Swartz continued, “By enhancing relationships with our preferred customers and expanding work in our core markets, we continue to capitalize on strong long-term growth opportunities. The accelerating pace of electrification, future project demand, load growth, and the need for resilient infrastructure are driving investment in electrical infrastructure, which positions us well for continued success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3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MYR reported third-quarter 2025 revenues of $950.4 million, an increase of $62.4 million, compared to the third quarter of 2024. Specifically, our Transmission and Distribution (“T&amp;D”) segment reported quarterly revenues of $503.4 million, an increase of $21.5 million, from the third quarter of 2024, due to an increase of $16.3 million in revenue on transmission projects and an increase of $5.2 million in revenue on distribution projects. Our Commercial and Industrial (“C&amp;I”) segment reported quarterly revenues of $447.0 million, an increase of $40.8 million, from the third quarter of 2024.</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Consolidated gross profit increased to $111.9 million in the third quarter of 2025, compared to $77.3 million for the third quarter of 2024. The increase in gross profit was due to higher margin and revenues. Gross margin increased to 11.8 percent for the third quarter of 2025 from 8.7 percent for the third quarter of 2024. The increase in gross margin was primarily due to the third quarter of 2024 being negatively impacted by certain T&amp;D clean energy projects and a C&amp;I project. In the third quarter of 2025, gross margin was also positively impacted by better-than-anticipated productivity, favorable change orders and favorable job closeouts. These margin increases were partially offset by an increase in costs associated with project inefficiencies, unfavorable change orders and inclement weather. Changes in estimates of gross profit on certain projects resulted in gross margin decreases of 0.6 percent and 3.9 percent for the third quarter of 2025 and 2024, respectively.</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to $65.9 million in the third quarter of 2025, compared to $57.5 million for the third quarter of 2024. The period-over-period increase was primarily due to an increase in employee incentive compensation costs and an increase in employee-related expenses to support future growth. These increases were partially offset by $1.1 million of contingent compensation expense, related to a prior acquisition, recognized during the third quarter of 2024, that did not recur.</w:t>
      </w:r>
    </w:p>
    <w:p>
      <w:pPr>
        <w:spacing w:after="0" w:line="7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Interest expense decreased to $1.4 million in the third quarter of 2025, compared to $2.0 million for the third quarter of 2024. The period-over-period decrease was primarily due to lower interest rates and lower average outstanding debt balances during the third quarter of 2025 as compared to the third quarter of 2024.</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tax expense was $12.6 million for the third quarter of 2025, with an effective tax rate of 28.3 percent, compared to an income tax benefit of $7.9 million for the third quarter of 2024, with an effective tax rate of 42.5 percent. The period-over-period change in tax rate was primarily due to lower permanent difference items mostly associated with deductibility limits of contingent compensation experienced in the prior year, as well as lower U.S. taxes on Canadian income.</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third quarter of 2025, net income was $32.1 million, or $2.05 per diluted share, compared to $10.6 million, or $0.65 per diluted share, for the same period of 2024. Third-quarter 2025 EBITDA, a non-GAAP financial measure, was $62.7 million, compared to $37.2 million in the third quarter of 2024.</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Nine-Months Results</w:t>
      </w:r>
    </w:p>
    <w:p>
      <w:pPr>
        <w:spacing w:after="0" w:line="2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MYR reported first nine-months 2025 revenues of $2.68 billion, an increase of $151.8 million, compared to the first nine months of 2024. Specifically, our T&amp;D segment reported revenues of $1.47 billion, an increase of $41.0 million, from the first nine months of 2024, due to an increase of $45.8 million in revenue on distribution projects, partially offset by a decrease of $4.9 million in revenue on transmission projects, primarily related to clean energy. Our C&amp;I segment reported revenues of $1.21 billion, an increase of $110.9 million, from the first nine months of 2024.</w:t>
      </w:r>
    </w:p>
    <w:p>
      <w:pPr>
        <w:spacing w:after="0" w:line="19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Consolidated gross profit increased to $312.5 million in the first nine months of 2025, compared to $204.4 million in the first nine months of 2024. The increase in gross profit was due to higher margin and revenues. Gross margin increased to 11.6 percent for the first nine months of 2025 from 8.1 percent for the first nine months of 2024. The increase in gross margin was primarily due to the first nine months of 2024 being negatively impacted by certain T&amp;D clean energy projects and by a C&amp;I project. In the first nine months of 2025, gross margin was also positively impacted by better-than-anticipated productivity, favorable change orders and a favorable job closeout. These margin increases were partially offset by an increase in costs associated with labor and project inefficiencies and unfavorable change orders. Changes in estimates of gross profit on certain projects resulted in gross margin decreases of 1.3 percent and 4.4 percent for the first nine months of 2025 and 2024, respectively.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SG&amp;A increased to $191.8 million in the first nine months of 2025, compared to $181.5 million for the first nine months of 2024. The period-over-period increase was primarily due to an increase in employee incentive compensation costs and an increase in employee-related expenses to support future growth. These increases were partially offset by $9.3 million of contingent compensation expense, related to a prior acquisition, recognized during the first nine months of 2024, that did not recur.</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Interest expense increased to $4.8 million in the first nine months of 2025, compared to $4.3 million for the first nine months of 2024. The period-over-period increase was primarily due to higher average outstanding debt balances, partially offset by lower interest rates during the first nine months of 2025 as compared to the first nine months of 2024.</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Income tax expense was $33.0 million for the first nine months of 2025, with an effective tax rate of 28.7 percent, compared to income tax expense of $5.2 million for the first nine months of 2024, with an effective tax rate of 26.6 percent. The period-over-period change in tax rate was primarily due to higher pretax income, lower other permanent difference items and lower stock compensation excess tax benefits.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first nine months of 2025, net income was $81.9 million, or $5.20 per diluted share, compared to $14.3 million, or $0.86 per diluted share, for the same period of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As of September 30, 2025, MYR's backlog was $2.66 billion, compared to $2.64 billion as of June 30, 2025. As of September 30, 2025, T&amp;D backlog was $929.0 million, and C&amp;I backlog was $1.73 billion. Total backlog as of September 30, 2025 increased $64.4 million, or 2.5 percent, from the $2.60 billion reported as of September 30,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MYR had $399.8 million of borrowing availability under its $490 million revolving credit facility.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To supplement MYR’s financial statements presented in accordance with generally accepted accounting principles in the United States (“GAAP”), MYR uses certain non-GAAP measures. Reconciliation to the nearest GAAP measures of all non-GAAP measures included in this press release can be found at the end of this release. MYR’s definitions of these non-GAAP measures may differ from similarly titled measures used by others. These non-GAAP measures should be considered supplemental to, and not a substitute for, financial information prepared in accordance with GAAP.</w:t>
      </w:r>
    </w:p>
    <w:p>
      <w:pPr>
        <w:spacing w:after="0" w:line="7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MYR believes that these non-GAAP measures are useful because they (i) provide both management and investors meaningful supplemental information regarding financial performance by excluding certain expenses and benefits that may not be indicative of recurring core business operating results, (ii) permit investors to view MYR’s performance using the same tools that management uses to evaluate MYR’s past performance, reportable business segments and prospects for future performance, (iii) publicly disclose results that are relevant to financial covenants included in MYR’s credit facility and</w:t>
      </w:r>
    </w:p>
    <w:p>
      <w:pPr>
        <w:spacing w:after="0" w:line="3" w:lineRule="exact"/>
        <w:rPr>
          <w:sz w:val="20"/>
          <w:szCs w:val="20"/>
          <w:color w:val="auto"/>
        </w:rPr>
      </w:pPr>
    </w:p>
    <w:p>
      <w:pPr>
        <w:ind w:left="5580" w:right="3980" w:hanging="5572"/>
        <w:spacing w:after="0" w:line="855" w:lineRule="auto"/>
        <w:tabs>
          <w:tab w:leader="none" w:pos="3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provide supplemental information that may be useful to investors in evaluating MYR. 2</w:t>
      </w:r>
    </w:p>
    <w:p>
      <w:pPr>
        <w:sectPr>
          <w:pgSz w:w="11900" w:h="16838" w:orient="portrait"/>
          <w:cols w:equalWidth="0" w:num="1">
            <w:col w:w="11220"/>
          </w:cols>
          <w:pgMar w:left="320" w:top="106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MYR will host a conference call to discuss its third-quarter 2025 results on Thursday, October 30, 2025 at 8:00 a.m. Mountain time. To participate via telephone and join the call live, please register in advance here: https://register-conf.media-server.com/register/BIb677d0491fbf409bb437eeb11cfee512. Upon registration, telephone participants will receive a confirmation email detailing how to join the conference call, including the dial-in number and a unique passcode. Participants may access the audio-only webcast of the conference call from the Investors page of MYR Group’s website at myrgroup.com. A replay of the webcast will be available for seven days.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MYR Group Inc.</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MYR Group is a holding company of leading, specialty electrical contractors providing services throughout the United States and Canada through two business segments: Transmission &amp; Distribution (T&amp;D) and Commercial &amp; Industrial (C&amp;I). MYR Group subsidiaries have the experience and expertise to complete electrical installations of any type and size. Through their T&amp;D segment they provide services on electric transmission, distribution networks, substation facilities, clean energy projects and electric vehicle charging infrastructure. Their comprehensive T&amp;D services include design, engineering, procurement, construction, upgrade, maintenance and repair services. T&amp;D customers include investor-owned utilities, cooperatives, private developers, government-funded utilities, independent power producers, independent transmission companies, industrial facility owners and other contractors. Through their C&amp;I segment, they provide a broad range of services which include the design, installation, maintenance and repair of commercial and industrial wiring generally for data centers, airports, hospitals,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 C&amp;I customers include general contractors, commercial and industrial facility owners, government agencies and developers. For more information, visit myrgroup.com.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Various statements in this announcement, including those that express a belief, expectation, or intention, as well as those that are not statements of historical fact, are forward-looking statements. The forward-looking statements may include projections and estimates concerning the timing and success of specific projects and our future production, revenue, income, capital spending, segment improvements and investments. Forward-looking statements are generally accompanied by words such as “anticipate,” “believe,” “estimate,” “expect,” “intend,” “likely,” “may,” “objective,” “outlook,” “plan,” “project,” “possible,” “potential,” “should,” “unlikely,” or other words that convey the uncertainty of future events or outcomes. The forward-looking statements in this announcement speak only as of the date of this announcement.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No forward-looking statement can be guaranteed and actual results may differ materially from those projected. Forward-looking statements in this announcement should be evaluated together with the many uncertainties that affect MYR's business, particularly those mentioned in the risk factors and cautionary statements in Item 1A. of MYR's Annual Report on Form 10-K for the fiscal year ended December 31, 2024, and in any risk factors or cautionary statements contained in MYR's subsequent Quarterly Reports on Form 10-Q or Current Reports on Form 8-K.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MYR Group Inc. Contact:</w:t>
      </w:r>
    </w:p>
    <w:p>
      <w:pPr>
        <w:spacing w:after="0" w:line="31" w:lineRule="exact"/>
        <w:rPr>
          <w:sz w:val="20"/>
          <w:szCs w:val="20"/>
          <w:color w:val="auto"/>
        </w:rPr>
      </w:pPr>
    </w:p>
    <w:p>
      <w:pPr>
        <w:ind w:right="3380"/>
        <w:spacing w:after="0" w:line="386" w:lineRule="auto"/>
        <w:rPr>
          <w:sz w:val="20"/>
          <w:szCs w:val="20"/>
          <w:color w:val="auto"/>
        </w:rPr>
      </w:pPr>
      <w:r>
        <w:rPr>
          <w:rFonts w:ascii="Times New Roman" w:cs="Times New Roman" w:eastAsia="Times New Roman" w:hAnsi="Times New Roman"/>
          <w:sz w:val="18"/>
          <w:szCs w:val="18"/>
          <w:color w:val="auto"/>
        </w:rPr>
        <w:t xml:space="preserve">Jennifer Harper, Vice President, Investor Relations &amp; Treasurer, 847-979-5835, </w:t>
      </w:r>
      <w:r>
        <w:rPr>
          <w:rFonts w:ascii="Times New Roman" w:cs="Times New Roman" w:eastAsia="Times New Roman" w:hAnsi="Times New Roman"/>
          <w:sz w:val="18"/>
          <w:szCs w:val="18"/>
          <w:u w:val="single" w:color="auto"/>
          <w:color w:val="auto"/>
        </w:rPr>
        <w:t>investorinfo@myrgroup.com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tables follow…</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9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2025 and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08"/>
              <w:spacing w:after="0" w:line="127"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488"/>
              <w:spacing w:after="0" w:line="127"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00" w:type="dxa"/>
            <w:vAlign w:val="bottom"/>
            <w:tcBorders>
              <w:top w:val="single" w:sz="8" w:color="auto"/>
            </w:tcBorders>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420" w:type="dxa"/>
            <w:vAlign w:val="bottom"/>
            <w:shd w:val="clear" w:color="auto" w:fill="CCEEFF"/>
          </w:tcPr>
          <w:p>
            <w:pPr>
              <w:jc w:val="center"/>
              <w:ind w:right="28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allowances of $935 and $1,129, respectively</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600,708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653,069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 assets, net of allowances of $540 and $422, respectively</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portion of receivable for insurance claims in excess of deductibles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Refundable income taxes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42,468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1,068,361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1,014,662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$407,471 and $387,223, respectively</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278,226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112,983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 of $38,549 and $34,573, respectively</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75,691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Receivable for insurance claims in excess of deductibles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1,645,332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1,574,059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5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295,476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Contract liabilities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321,958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accrued self-insurance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Accrued income taxes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800,924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748,900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self-insurance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obligations, net of current maturities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obligations, net of current maturities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1,027,744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973,699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Preferred stock—$0.01 par value per share; 4,000,000 authorized shares; none issued and outstanding at September 30, 2025 and</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December 31, 2024</w:t>
            </w: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stock—$0.01 par value per share; 100,000,000 authorized shares; 15,522,834 and 16,121,901 shares issued and outstanding at</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September 30, 2025 and December 31, 2024, respectively</w:t>
            </w: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159,133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466,692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453,717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617,588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1,645,332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1,574,059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5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80" w:type="dxa"/>
            <w:vAlign w:val="bottom"/>
          </w:tcPr>
          <w:p>
            <w:pPr>
              <w:spacing w:after="0"/>
              <w:rPr>
                <w:sz w:val="16"/>
                <w:szCs w:val="16"/>
                <w:color w:val="auto"/>
              </w:rPr>
            </w:pPr>
          </w:p>
        </w:tc>
        <w:tc>
          <w:tcPr>
            <w:tcW w:w="122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2,532,495</w:t>
            </w:r>
          </w:p>
        </w:tc>
      </w:tr>
      <w:tr>
        <w:trPr>
          <w:trHeight w:val="229"/>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Contract costs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838,508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2,371,841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2,328,121</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204,374</w:t>
            </w: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181,528</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r>
      <w:tr>
        <w:trPr>
          <w:trHeight w:val="229"/>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w:t>
            </w: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20" w:type="dxa"/>
            <w:vAlign w:val="bottom"/>
          </w:tcPr>
          <w:p>
            <w:pPr>
              <w:spacing w:after="0"/>
              <w:rPr>
                <w:sz w:val="19"/>
                <w:szCs w:val="19"/>
                <w:color w:val="auto"/>
              </w:rPr>
            </w:pPr>
          </w:p>
        </w:tc>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3"/>
        </w:trPr>
        <w:tc>
          <w:tcPr>
            <w:tcW w:w="20" w:type="dxa"/>
            <w:vAlign w:val="bottom"/>
          </w:tcPr>
          <w:p>
            <w:pPr>
              <w:spacing w:after="0"/>
              <w:rPr>
                <w:sz w:val="19"/>
                <w:szCs w:val="19"/>
                <w:color w:val="auto"/>
              </w:rPr>
            </w:pPr>
          </w:p>
        </w:tc>
        <w:tc>
          <w:tcPr>
            <w:tcW w:w="5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19,489</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r>
      <w:tr>
        <w:trPr>
          <w:trHeight w:val="196"/>
        </w:trPr>
        <w:tc>
          <w:tcPr>
            <w:tcW w:w="20" w:type="dxa"/>
            <w:vAlign w:val="bottom"/>
          </w:tcPr>
          <w:p>
            <w:pPr>
              <w:spacing w:after="0"/>
              <w:rPr>
                <w:sz w:val="17"/>
                <w:szCs w:val="17"/>
                <w:color w:val="auto"/>
              </w:rPr>
            </w:pPr>
          </w:p>
        </w:tc>
        <w:tc>
          <w:tcPr>
            <w:tcW w:w="5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32,094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10,649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81,868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14,311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per common share: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70"/>
        </w:trPr>
        <w:tc>
          <w:tcPr>
            <w:tcW w:w="20" w:type="dxa"/>
            <w:vAlign w:val="bottom"/>
            <w:shd w:val="clear" w:color="auto" w:fill="CCEEFF"/>
          </w:tcPr>
          <w:p>
            <w:pPr>
              <w:spacing w:after="0"/>
              <w:rPr>
                <w:sz w:val="23"/>
                <w:szCs w:val="23"/>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175"/>
        </w:trPr>
        <w:tc>
          <w:tcPr>
            <w:tcW w:w="20" w:type="dxa"/>
            <w:vAlign w:val="bottom"/>
          </w:tcPr>
          <w:p>
            <w:pPr>
              <w:spacing w:after="0"/>
              <w:rPr>
                <w:sz w:val="15"/>
                <w:szCs w:val="15"/>
                <w:color w:val="auto"/>
              </w:rPr>
            </w:pPr>
          </w:p>
        </w:tc>
        <w:tc>
          <w:tcPr>
            <w:tcW w:w="5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 and potential common</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9"/>
        </w:trPr>
        <w:tc>
          <w:tcPr>
            <w:tcW w:w="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4"/>
        </w:trPr>
        <w:tc>
          <w:tcPr>
            <w:tcW w:w="20" w:type="dxa"/>
            <w:vAlign w:val="bottom"/>
            <w:shd w:val="clear" w:color="auto" w:fill="CCEEFF"/>
          </w:tcPr>
          <w:p>
            <w:pPr>
              <w:spacing w:after="0"/>
              <w:rPr>
                <w:sz w:val="23"/>
                <w:szCs w:val="23"/>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w:t>
            </w:r>
          </w:p>
        </w:tc>
      </w:tr>
      <w:tr>
        <w:trPr>
          <w:trHeight w:val="270"/>
        </w:trPr>
        <w:tc>
          <w:tcPr>
            <w:tcW w:w="20" w:type="dxa"/>
            <w:vAlign w:val="bottom"/>
          </w:tcPr>
          <w:p>
            <w:pPr>
              <w:spacing w:after="0"/>
              <w:rPr>
                <w:sz w:val="23"/>
                <w:szCs w:val="23"/>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w:t>
            </w:r>
          </w:p>
        </w:tc>
      </w:tr>
      <w:tr>
        <w:trPr>
          <w:trHeight w:val="904"/>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8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1080" w:type="dxa"/>
            <w:vAlign w:val="bottom"/>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right"/>
              <w:ind w:right="4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81,868</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14,311</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45,131</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6,198</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non-cash items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(50,193)</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Contract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8,212</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21,687</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(20,607)</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Contract liabilities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22,294</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self-insurance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3"/>
        </w:trPr>
        <w:tc>
          <w:tcPr>
            <w:tcW w:w="20" w:type="dxa"/>
            <w:vAlign w:val="bottom"/>
            <w:tcBorders>
              <w:bottom w:val="single" w:sz="8" w:color="CCEEFF"/>
            </w:tcBorders>
          </w:tcPr>
          <w:p>
            <w:pPr>
              <w:spacing w:after="0"/>
              <w:rPr>
                <w:sz w:val="18"/>
                <w:szCs w:val="18"/>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64,907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21,519</w:t>
            </w:r>
          </w:p>
        </w:tc>
      </w:tr>
      <w:tr>
        <w:trPr>
          <w:trHeight w:val="212"/>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211,737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65,996</w:t>
            </w:r>
          </w:p>
        </w:tc>
      </w:tr>
      <w:tr>
        <w:trPr>
          <w:trHeight w:val="194"/>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8"/>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6,815</w:t>
            </w:r>
          </w:p>
        </w:tc>
      </w:tr>
      <w:tr>
        <w:trPr>
          <w:trHeight w:val="213"/>
        </w:trPr>
        <w:tc>
          <w:tcPr>
            <w:tcW w:w="20" w:type="dxa"/>
            <w:vAlign w:val="bottom"/>
            <w:tcBorders>
              <w:bottom w:val="single" w:sz="8" w:color="CCEEFF"/>
            </w:tcBorders>
          </w:tcPr>
          <w:p>
            <w:pPr>
              <w:spacing w:after="0"/>
              <w:rPr>
                <w:sz w:val="18"/>
                <w:szCs w:val="18"/>
                <w:color w:val="auto"/>
              </w:rPr>
            </w:pPr>
          </w:p>
        </w:tc>
        <w:tc>
          <w:tcPr>
            <w:tcW w:w="8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(64,467)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(63,634)</w:t>
            </w:r>
          </w:p>
        </w:tc>
      </w:tr>
      <w:tr>
        <w:trPr>
          <w:trHeight w:val="212"/>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(56,819)</w:t>
            </w:r>
          </w:p>
        </w:tc>
      </w:tr>
      <w:tr>
        <w:trPr>
          <w:trHeight w:val="194"/>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8"/>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Borrowings under revolving lines of credit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635,003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584,070</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Repayments under revolving lines of credit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(633,048)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(520,076)</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 of principal obligations under equipment notes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 of principal obligations under finance leases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Debt refinancing costs</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r>
      <w:tr>
        <w:trPr>
          <w:trHeight w:val="207"/>
        </w:trPr>
        <w:tc>
          <w:tcPr>
            <w:tcW w:w="20" w:type="dxa"/>
            <w:vAlign w:val="bottom"/>
            <w:tcBorders>
              <w:bottom w:val="single" w:sz="8" w:color="CCEEFF"/>
            </w:tcBorders>
          </w:tcPr>
          <w:p>
            <w:pPr>
              <w:spacing w:after="0"/>
              <w:rPr>
                <w:sz w:val="17"/>
                <w:szCs w:val="17"/>
                <w:color w:val="auto"/>
              </w:rPr>
            </w:pPr>
          </w:p>
        </w:tc>
        <w:tc>
          <w:tcPr>
            <w:tcW w:w="83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(80,902)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(26,038)</w:t>
            </w:r>
          </w:p>
        </w:tc>
      </w:tr>
      <w:tr>
        <w:trPr>
          <w:trHeight w:val="212"/>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07"/>
        </w:trPr>
        <w:tc>
          <w:tcPr>
            <w:tcW w:w="20" w:type="dxa"/>
            <w:vAlign w:val="bottom"/>
          </w:tcPr>
          <w:p>
            <w:pPr>
              <w:spacing w:after="0"/>
              <w:rPr>
                <w:sz w:val="17"/>
                <w:szCs w:val="17"/>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(17,330)</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Beginning of period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24,899</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4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Selected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Measure and Reconciliation of Non-GAAP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Nine and Twelve Months Ended September 30, 2025 and 2024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2025, December 31, 2024, September 30, 2024 and September 30,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Last twelve months ended</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tc>
        <w:tc>
          <w:tcPr>
            <w:tcW w:w="500" w:type="dxa"/>
            <w:vAlign w:val="bottom"/>
          </w:tcPr>
          <w:p>
            <w:pPr>
              <w:spacing w:after="0"/>
              <w:rPr>
                <w:sz w:val="15"/>
                <w:szCs w:val="15"/>
                <w:color w:val="auto"/>
              </w:rPr>
            </w:pPr>
          </w:p>
        </w:tc>
        <w:tc>
          <w:tcPr>
            <w:tcW w:w="7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ind w:right="27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3"/>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Statement of Operations Data:</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950,400</w:t>
            </w:r>
          </w:p>
        </w:tc>
        <w:tc>
          <w:tcPr>
            <w:tcW w:w="7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888,043</w:t>
            </w:r>
          </w:p>
        </w:tc>
        <w:tc>
          <w:tcPr>
            <w:tcW w:w="7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3,514,140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3,536,692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111,892</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77,288</w:t>
            </w:r>
          </w:p>
        </w:tc>
        <w:tc>
          <w:tcPr>
            <w:tcW w:w="1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398,449</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301,869</w:t>
            </w: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Income from operations</w:t>
            </w:r>
          </w:p>
        </w:tc>
        <w:tc>
          <w:tcPr>
            <w:tcW w:w="500" w:type="dxa"/>
            <w:vAlign w:val="bottom"/>
            <w:tcBorders>
              <w:top w:val="single" w:sz="8" w:color="auto"/>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46,271</w:t>
            </w: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20,361</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150,505</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61,127</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44,731</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1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141,896</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54,982</w:t>
            </w: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Borders>
              <w:top w:val="single" w:sz="8" w:color="auto"/>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12,637</w:t>
            </w: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7,881</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44,076</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16,629</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97,820</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38,353</w:t>
            </w: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Tax rate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28.3 %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42.5 %</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31.1 %</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30.2 %</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per common share:</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Basic</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7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7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Diluted</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70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70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and potential</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Basic</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15,794</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16,611</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Diluted</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15,862</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16,702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8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34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Summary Balance Sheet Data:</w:t>
            </w: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1,645,332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5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617,588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600,360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588,509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625,459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funded debt (3)</w:t>
            </w:r>
          </w:p>
        </w:tc>
        <w:tc>
          <w:tcPr>
            <w:tcW w:w="5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71,976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74,381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3"/>
          </w:tcPr>
          <w:p>
            <w:pPr>
              <w:ind w:left="120"/>
              <w:spacing w:after="0" w:line="203" w:lineRule="exact"/>
              <w:rPr>
                <w:sz w:val="20"/>
                <w:szCs w:val="20"/>
                <w:color w:val="auto"/>
              </w:rPr>
            </w:pPr>
            <w:r>
              <w:rPr>
                <w:rFonts w:ascii="Times New Roman" w:cs="Times New Roman" w:eastAsia="Times New Roman" w:hAnsi="Times New Roman"/>
                <w:sz w:val="18"/>
                <w:szCs w:val="18"/>
                <w:color w:val="auto"/>
              </w:rPr>
              <w:t>93,186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62,338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8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446,964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406,167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1,212,866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1,102,015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950,400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888,043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2,684,345</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2,532,495</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120,348</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at the end of this earnings release</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143"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Measures and Reconciliation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Twelve Months Ended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25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Last twelve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5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60" w:type="dxa"/>
            <w:vAlign w:val="bottom"/>
            <w:tcBorders>
              <w:bottom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 except share, per share data, ratios and percentages)</w:t>
            </w:r>
          </w:p>
        </w:tc>
        <w:tc>
          <w:tcPr>
            <w:tcW w:w="8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Performance Measures (4):</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4"/>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213,986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EBITDA per Diluted Share (6)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EBIA, net of taxes (7)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105,562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Free Cash Flow (8)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65,412</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156,085</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Book Value per Period End Share (9)</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Tangible Book Value (10)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429,884</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Tangible Book Value per Period End Share (11)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Funded Debt to Equity Ratio (12)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Turnover (13)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Return on Assets (14)</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Return on Equity (15)</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Return on Invested Capital (16)</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Non-GAAP Measures: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97,820</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38,353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65,669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EBITDA (5)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213,986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125,130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Net Income per Diluted Share to EBITDA per Diluted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Interest expense, net, per share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per share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per Diluted Share (6)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97,820</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38,353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impact of interest and 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EBIA, net of taxes (7)</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105,562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45,776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Calculation of Free Cash Flow:</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232,856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108,620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8"/>
                <w:szCs w:val="18"/>
                <w:color w:val="auto"/>
              </w:rPr>
              <w:t>Less: cash used in purchasing property and equipment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(76,771)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(84,579)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156,085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at the end of this earnings release.</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981"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Measures and Reconciliation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6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7"/>
                <w:szCs w:val="17"/>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Book Value to Tangible Book Value: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Book value (total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617,588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Tangible Book Value (10)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429,884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393,462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Book Value per Period End Share to Tangible Book Value per Period End Share: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Book value per period end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Goodwill and intangible assets per period end share</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Tangible Book Value per Period End Share (11)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Calculation of Period End Shares: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Plus: common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 End Shares (17)</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Invested Capital to Shareholders 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 value (total 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Plus: total funded debt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Invested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674,126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Average Invested Capital (18)</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643,740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665,726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at the end of this 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81" w:right="339" w:bottom="1440" w:gutter="0" w:footer="0" w:header="0"/>
        </w:sectPr>
      </w:pPr>
    </w:p>
    <w:bookmarkStart w:id="12" w:name="page13"/>
    <w:bookmarkEnd w:id="12"/>
    <w:p>
      <w:pPr>
        <w:ind w:left="812" w:hanging="812"/>
        <w:spacing w:after="0"/>
        <w:tabs>
          <w:tab w:leader="none" w:pos="8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Last-twelve-months earnings per share is the sum of earnings per share reported in the last four quarters.</w:t>
      </w:r>
    </w:p>
    <w:p>
      <w:pPr>
        <w:spacing w:after="0" w:line="27" w:lineRule="exact"/>
        <w:rPr>
          <w:rFonts w:ascii="Times New Roman" w:cs="Times New Roman" w:eastAsia="Times New Roman" w:hAnsi="Times New Roman"/>
          <w:sz w:val="18"/>
          <w:szCs w:val="18"/>
          <w:color w:val="auto"/>
        </w:rPr>
      </w:pPr>
    </w:p>
    <w:p>
      <w:pPr>
        <w:ind w:left="812" w:right="40" w:hanging="812"/>
        <w:spacing w:after="0" w:line="250" w:lineRule="auto"/>
        <w:tabs>
          <w:tab w:leader="none" w:pos="8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Last-twelve-months weighted average basic and diluted shares were determined by adding the weighted average shares reported for the last four quarters and dividing by four.</w:t>
      </w:r>
    </w:p>
    <w:p>
      <w:pPr>
        <w:ind w:left="812" w:hanging="812"/>
        <w:spacing w:after="0"/>
        <w:tabs>
          <w:tab w:leader="none" w:pos="8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Funded debt includes outstanding borrowings under our revolving credit facility and our outstanding equipment notes.</w:t>
      </w:r>
    </w:p>
    <w:p>
      <w:pPr>
        <w:spacing w:after="0" w:line="9" w:lineRule="exact"/>
        <w:rPr>
          <w:rFonts w:ascii="Times New Roman" w:cs="Times New Roman" w:eastAsia="Times New Roman" w:hAnsi="Times New Roman"/>
          <w:sz w:val="18"/>
          <w:szCs w:val="18"/>
          <w:color w:val="auto"/>
        </w:rPr>
      </w:pPr>
    </w:p>
    <w:p>
      <w:pPr>
        <w:ind w:left="812" w:hanging="812"/>
        <w:spacing w:after="0" w:line="250" w:lineRule="auto"/>
        <w:tabs>
          <w:tab w:leader="none" w:pos="8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financial performance measures are provided as supplemental information to the financial statements. These measures are used by management to evaluate our past performance, our prospects for future performance and our ability to comply with certain material covenants as defined within our credit agreement, and to compare our results with those of our peers. In addition, we believe that certain of the measures, such as book value, tangible book value, free cash flow, asset turnover, return on equity, and debt leverage are measures that are monitored by sureties, lenders, lessors, suppliers and certain investors. Our calculation of each measure is described in the following notes; our calculation may not be the same as the calculations made by other companies.</w:t>
      </w:r>
    </w:p>
    <w:p>
      <w:pPr>
        <w:spacing w:after="0" w:line="2" w:lineRule="exact"/>
        <w:rPr>
          <w:rFonts w:ascii="Times New Roman" w:cs="Times New Roman" w:eastAsia="Times New Roman" w:hAnsi="Times New Roman"/>
          <w:sz w:val="18"/>
          <w:szCs w:val="18"/>
          <w:color w:val="auto"/>
        </w:rPr>
      </w:pPr>
    </w:p>
    <w:p>
      <w:pPr>
        <w:ind w:left="812" w:right="20" w:hanging="812"/>
        <w:spacing w:after="0" w:line="250" w:lineRule="auto"/>
        <w:tabs>
          <w:tab w:leader="none" w:pos="8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is defined as earnings before interest, taxes, depreciation and amortization. EBITDA is not recognized under GAAP and does not purport to be an alternative to net income as a measure of operating performance or to net cash flows provided by operating activities as a measure of liquidity. Certain material covenants contained within our credit agreement are based on EBITDA with certain additional adjustments, including our interest coverage ratio and leverage ratio, which we must comply with to avoid potential immediate repayment of amounts borrowed or additional fees to seek relief from our lenders. In addition, management considers EBITDA a useful measure because it provides MYR Group Inc. and its investors with an additional tool to compare our operating performance on a consistent basis by removing the impact of certain items that management believes to not directly reflect the company’s core operations. Management further believes that EBITDA is useful to investors and other external users of our financial statements in evaluating the company’s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w:t>
      </w:r>
    </w:p>
    <w:p>
      <w:pPr>
        <w:spacing w:after="0" w:line="4" w:lineRule="exact"/>
        <w:rPr>
          <w:rFonts w:ascii="Times New Roman" w:cs="Times New Roman" w:eastAsia="Times New Roman" w:hAnsi="Times New Roman"/>
          <w:sz w:val="18"/>
          <w:szCs w:val="18"/>
          <w:color w:val="auto"/>
        </w:rPr>
      </w:pPr>
    </w:p>
    <w:p>
      <w:pPr>
        <w:ind w:left="812" w:right="420" w:hanging="812"/>
        <w:spacing w:after="0" w:line="250" w:lineRule="auto"/>
        <w:tabs>
          <w:tab w:leader="none" w:pos="8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per diluted share is calculated by dividing EBITDA by the weighted average number of diluted shares outstanding for the period. EBITDA per diluted share is not recognized under GAAP and does not purport to be an alternative to income per diluted share.</w:t>
      </w:r>
    </w:p>
    <w:p>
      <w:pPr>
        <w:ind w:left="812" w:right="20" w:hanging="812"/>
        <w:spacing w:after="0" w:line="250" w:lineRule="auto"/>
        <w:tabs>
          <w:tab w:leader="none" w:pos="8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EBIA, net of taxes is defined as net income plus net interest plus amortization of intangible assets, less the tax impact of net interest and amortization of intangible assets. The tax impact of net interest and amortization of intangible assets is computed by multiplying net interest and amortization of intangible assets by the effective tax rate. Management uses EBIA, net of taxes, to measure our results exclusive of the impact of financing and amortization of intangible assets costs.</w:t>
      </w:r>
    </w:p>
    <w:p>
      <w:pPr>
        <w:spacing w:after="0" w:line="1" w:lineRule="exact"/>
        <w:rPr>
          <w:rFonts w:ascii="Times New Roman" w:cs="Times New Roman" w:eastAsia="Times New Roman" w:hAnsi="Times New Roman"/>
          <w:sz w:val="18"/>
          <w:szCs w:val="18"/>
          <w:color w:val="auto"/>
        </w:rPr>
      </w:pPr>
    </w:p>
    <w:p>
      <w:pPr>
        <w:ind w:left="812" w:right="240" w:hanging="812"/>
        <w:spacing w:after="0" w:line="250" w:lineRule="auto"/>
        <w:tabs>
          <w:tab w:leader="none" w:pos="8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which is defined as cash flow provided by operating activities minus cash flow used in purchasing property and equipment, is not recognized under GAAP and does not purport to be an alternative to net income, cash flow from operations or the change in cash on the balance sheet. Management views free cash flow as a measure of operational performance, liquidity and financial health.</w:t>
      </w:r>
    </w:p>
    <w:p>
      <w:pPr>
        <w:spacing w:after="0" w:line="1" w:lineRule="exact"/>
        <w:rPr>
          <w:rFonts w:ascii="Times New Roman" w:cs="Times New Roman" w:eastAsia="Times New Roman" w:hAnsi="Times New Roman"/>
          <w:sz w:val="18"/>
          <w:szCs w:val="18"/>
          <w:color w:val="auto"/>
        </w:rPr>
      </w:pPr>
    </w:p>
    <w:p>
      <w:pPr>
        <w:ind w:left="812" w:right="900" w:hanging="812"/>
        <w:spacing w:after="0" w:line="250" w:lineRule="auto"/>
        <w:tabs>
          <w:tab w:leader="none" w:pos="8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period end share is calculated by dividing total shareholders’ equity at the end of the period by the period end shares outstanding.</w:t>
      </w:r>
    </w:p>
    <w:p>
      <w:pPr>
        <w:ind w:left="812" w:right="200" w:hanging="812"/>
        <w:spacing w:after="0" w:line="250" w:lineRule="auto"/>
        <w:tabs>
          <w:tab w:leader="none" w:pos="8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book value is calculated by subtracting goodwill and intangible assets outstanding at the end of the period from shareholders’ equity. Tangible book value is not recognized under GAAP and does not purport to be an alternative to book value or shareholders’ equity.</w:t>
      </w:r>
    </w:p>
    <w:p>
      <w:pPr>
        <w:ind w:left="812" w:right="60" w:hanging="812"/>
        <w:spacing w:after="0" w:line="250" w:lineRule="auto"/>
        <w:tabs>
          <w:tab w:leader="none" w:pos="7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book value per period end share is calculated by dividing tangible book value at the end of the period by the period end number of shares outstanding. Tangible book value per period end share is not recognized under GAAP and does not purport to be an alternative to income per diluted share.</w:t>
      </w:r>
    </w:p>
    <w:p>
      <w:pPr>
        <w:spacing w:after="0" w:line="1" w:lineRule="exact"/>
        <w:rPr>
          <w:rFonts w:ascii="Times New Roman" w:cs="Times New Roman" w:eastAsia="Times New Roman" w:hAnsi="Times New Roman"/>
          <w:sz w:val="18"/>
          <w:szCs w:val="18"/>
          <w:color w:val="auto"/>
        </w:rPr>
      </w:pPr>
    </w:p>
    <w:p>
      <w:pPr>
        <w:ind w:left="812" w:right="120" w:hanging="812"/>
        <w:spacing w:after="0" w:line="250" w:lineRule="auto"/>
        <w:tabs>
          <w:tab w:leader="none" w:pos="8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funded debt to equity ratio is calculated by dividing total funded debt at the end of the period by total shareholders’ equity at the end of the period.</w:t>
      </w:r>
    </w:p>
    <w:p>
      <w:pPr>
        <w:ind w:left="792" w:hanging="792"/>
        <w:spacing w:after="0"/>
        <w:tabs>
          <w:tab w:leader="none" w:pos="7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turnover is calculated by dividing the current period revenue by total assets at the beginning of the period.</w:t>
      </w:r>
    </w:p>
    <w:p>
      <w:pPr>
        <w:spacing w:after="0" w:line="9" w:lineRule="exact"/>
        <w:rPr>
          <w:rFonts w:ascii="Times New Roman" w:cs="Times New Roman" w:eastAsia="Times New Roman" w:hAnsi="Times New Roman"/>
          <w:sz w:val="18"/>
          <w:szCs w:val="18"/>
          <w:color w:val="auto"/>
        </w:rPr>
      </w:pPr>
    </w:p>
    <w:p>
      <w:pPr>
        <w:ind w:left="792" w:hanging="792"/>
        <w:spacing w:after="0"/>
        <w:tabs>
          <w:tab w:leader="none" w:pos="7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 is calculated by dividing net income for the period by total assets at the beginning of the period.</w:t>
      </w:r>
    </w:p>
    <w:p>
      <w:pPr>
        <w:spacing w:after="0" w:line="9" w:lineRule="exact"/>
        <w:rPr>
          <w:rFonts w:ascii="Times New Roman" w:cs="Times New Roman" w:eastAsia="Times New Roman" w:hAnsi="Times New Roman"/>
          <w:sz w:val="18"/>
          <w:szCs w:val="18"/>
          <w:color w:val="auto"/>
        </w:rPr>
      </w:pPr>
    </w:p>
    <w:p>
      <w:pPr>
        <w:ind w:left="792" w:hanging="792"/>
        <w:spacing w:after="0"/>
        <w:tabs>
          <w:tab w:leader="none" w:pos="7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 is calculated by dividing net income for the period by total shareholders’ equity at the beginning of the period.</w:t>
      </w:r>
    </w:p>
    <w:p>
      <w:pPr>
        <w:spacing w:after="0" w:line="9" w:lineRule="exact"/>
        <w:rPr>
          <w:rFonts w:ascii="Times New Roman" w:cs="Times New Roman" w:eastAsia="Times New Roman" w:hAnsi="Times New Roman"/>
          <w:sz w:val="18"/>
          <w:szCs w:val="18"/>
          <w:color w:val="auto"/>
        </w:rPr>
      </w:pPr>
    </w:p>
    <w:p>
      <w:pPr>
        <w:ind w:left="812" w:right="460" w:hanging="812"/>
        <w:spacing w:after="0" w:line="250" w:lineRule="auto"/>
        <w:tabs>
          <w:tab w:leader="none" w:pos="8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invested capital is calculated by dividing EBIA, net of taxes, less any dividends, by average invested capital. Return on invested capital is not recognized under GAAP, and is a key metric used by management to determine our executive compensation.</w:t>
      </w:r>
    </w:p>
    <w:p>
      <w:pPr>
        <w:ind w:left="812" w:right="300" w:hanging="812"/>
        <w:spacing w:after="0" w:line="250" w:lineRule="auto"/>
        <w:tabs>
          <w:tab w:leader="none" w:pos="8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end shares is calculated by adding average common stock equivalents for the quarter to the period end balance of common stock outstanding. Period end shares is not recognized under GAAP and does not purport to be an alternative to diluted shares. Management views period end shares as a better measure of shares outstanding as of the end of the period.</w:t>
      </w:r>
    </w:p>
    <w:p>
      <w:pPr>
        <w:spacing w:after="0" w:line="1" w:lineRule="exact"/>
        <w:rPr>
          <w:rFonts w:ascii="Times New Roman" w:cs="Times New Roman" w:eastAsia="Times New Roman" w:hAnsi="Times New Roman"/>
          <w:sz w:val="18"/>
          <w:szCs w:val="18"/>
          <w:color w:val="auto"/>
        </w:rPr>
      </w:pPr>
    </w:p>
    <w:p>
      <w:pPr>
        <w:ind w:left="812" w:right="300" w:hanging="812"/>
        <w:spacing w:after="0" w:line="260" w:lineRule="auto"/>
        <w:tabs>
          <w:tab w:leader="none" w:pos="8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invested capital is calculated by adding net funded debt (total funded debt less cash and marketable securities) to total shareholders’ equity and calculating the average of the beginning and ending of each period.</w:t>
      </w:r>
    </w:p>
    <w:p>
      <w:pPr>
        <w:spacing w:after="0" w:line="3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32"/>
      </w:cols>
      <w:pgMar w:left="328"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2025-10-29T15:18:56Z</dcterms:created>
  <dcterms:modified xsi:type="dcterms:W3CDTF">2025-10-29T15:18:56Z</dcterms:modified>
</cp:coreProperties>
</file>