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200" w:after="283"/>
        <w:jc w:val="center"/>
        <w:rPr>
          <w:rFonts w:ascii="Times New Roman;serif" w:hAnsi="Times New Roman;serif"/>
          <w:b/>
          <w:color w:val="000000"/>
          <w:sz w:val="22"/>
        </w:rPr>
      </w:pPr>
      <w:r>
        <w:rPr>
          <w:rFonts w:ascii="Times New Roman;serif" w:hAnsi="Times New Roman;serif"/>
          <w:b/>
          <w:color w:val="000000"/>
          <w:sz w:val="22"/>
        </w:rPr>
        <w:t>FORM 10-Q</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September 30,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Commission file number: 1-08325</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MYR GROUP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6031" w:type="dxa"/>
        <w:jc w:val="center"/>
        <w:tblInd w:w="0" w:type="dxa"/>
        <w:tblLayout w:type="fixed"/>
        <w:tblCellMar>
          <w:top w:w="28" w:type="dxa"/>
          <w:left w:w="28" w:type="dxa"/>
          <w:bottom w:w="28" w:type="dxa"/>
          <w:right w:w="28" w:type="dxa"/>
        </w:tblCellMar>
      </w:tblPr>
      <w:tblGrid>
        <w:gridCol w:w="209"/>
        <w:gridCol w:w="184"/>
        <w:gridCol w:w="184"/>
        <w:gridCol w:w="267"/>
        <w:gridCol w:w="267"/>
        <w:gridCol w:w="267"/>
        <w:gridCol w:w="267"/>
        <w:gridCol w:w="267"/>
        <w:gridCol w:w="267"/>
        <w:gridCol w:w="270"/>
        <w:gridCol w:w="270"/>
        <w:gridCol w:w="270"/>
        <w:gridCol w:w="109"/>
        <w:gridCol w:w="109"/>
        <w:gridCol w:w="109"/>
        <w:gridCol w:w="791"/>
        <w:gridCol w:w="791"/>
        <w:gridCol w:w="1133"/>
      </w:tblGrid>
      <w:tr>
        <w:trPr/>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298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36-3158643</w:t>
            </w:r>
          </w:p>
        </w:tc>
      </w:tr>
      <w:tr>
        <w:trPr/>
        <w:tc>
          <w:tcPr>
            <w:tcW w:w="298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6"/>
            <w:tcBorders/>
            <w:tcMar>
              <w:top w:w="0" w:type="dxa"/>
              <w:left w:w="0" w:type="dxa"/>
              <w:bottom w:w="0" w:type="dxa"/>
              <w:right w:w="0" w:type="dxa"/>
            </w:tcMar>
            <w:vAlign w:val="center"/>
          </w:tcPr>
          <w:p>
            <w:pPr>
              <w:pStyle w:val="TableContents"/>
              <w:bidi w:val="0"/>
              <w:spacing w:lineRule="auto" w:line="288" w:before="60" w:after="283"/>
              <w:jc w:val="right"/>
              <w:rPr>
                <w:rFonts w:ascii="Times New Roman;serif" w:hAnsi="Times New Roman;serif"/>
                <w:b/>
                <w:color w:val="000000"/>
                <w:sz w:val="18"/>
              </w:rPr>
            </w:pPr>
            <w:r>
              <w:rPr>
                <w:rFonts w:ascii="Times New Roman;serif" w:hAnsi="Times New Roman;serif"/>
                <w:b/>
                <w:color w:val="000000"/>
                <w:sz w:val="18"/>
              </w:rPr>
              <w:t>12121 Grant Street,</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Suite 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Thornton,</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80241</w:t>
            </w:r>
          </w:p>
        </w:tc>
      </w:tr>
      <w:tr>
        <w:trPr/>
        <w:tc>
          <w:tcPr>
            <w:tcW w:w="298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(303) 286-8000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MYRG</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72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140" w:after="283"/>
        <w:ind w:left="0" w:right="0" w:firstLine="36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40" w:after="283"/>
        <w:ind w:left="0" w:right="0" w:firstLine="36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4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47" w:type="dxa"/>
        <w:jc w:val="left"/>
        <w:tblInd w:w="0" w:type="dxa"/>
        <w:tblLayout w:type="fixed"/>
        <w:tblCellMar>
          <w:top w:w="28" w:type="dxa"/>
          <w:left w:w="28" w:type="dxa"/>
          <w:bottom w:w="28" w:type="dxa"/>
          <w:right w:w="28" w:type="dxa"/>
        </w:tblCellMar>
      </w:tblPr>
      <w:tblGrid>
        <w:gridCol w:w="124"/>
        <w:gridCol w:w="109"/>
        <w:gridCol w:w="109"/>
        <w:gridCol w:w="564"/>
        <w:gridCol w:w="564"/>
        <w:gridCol w:w="566"/>
        <w:gridCol w:w="109"/>
        <w:gridCol w:w="109"/>
        <w:gridCol w:w="109"/>
        <w:gridCol w:w="109"/>
        <w:gridCol w:w="109"/>
        <w:gridCol w:w="109"/>
        <w:gridCol w:w="694"/>
        <w:gridCol w:w="694"/>
        <w:gridCol w:w="6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0"/>
        <w:ind w:left="0" w:right="0" w:firstLine="36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40" w:after="283"/>
        <w:ind w:left="0" w:right="0" w:firstLine="36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4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As of October 24, 2025, there were 15,522,834 outstanding shares of the registrant’s $0.01 par value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78"/>
        <w:gridCol w:w="244"/>
        <w:gridCol w:w="245"/>
        <w:gridCol w:w="2953"/>
        <w:gridCol w:w="2953"/>
        <w:gridCol w:w="2958"/>
        <w:gridCol w:w="167"/>
        <w:gridCol w:w="167"/>
        <w:gridCol w:w="240"/>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e18bd2108e04373ba47cafb696eaec3_10">
              <w:r>
                <w:rPr>
                  <w:rStyle w:val="InternetLink"/>
                  <w:rFonts w:ascii="Times New Roman;serif" w:hAnsi="Times New Roman;serif"/>
                  <w:b/>
                  <w:color w:val="0000FF"/>
                  <w:sz w:val="22"/>
                  <w:u w:val="single"/>
                </w:rPr>
                <w:t>Part I—Financial Information</w:t>
              </w:r>
            </w:hyperlink>
          </w:p>
        </w:tc>
        <w:tc>
          <w:tcPr>
            <w:tcW w:w="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e18bd2108e04373ba47cafb696eaec3_13">
              <w:r>
                <w:rPr>
                  <w:rStyle w:val="InternetLink"/>
                  <w:rFonts w:ascii="Times New Roman;serif" w:hAnsi="Times New Roman;serif"/>
                  <w:b w:val="false"/>
                  <w:color w:val="0000FF"/>
                  <w:sz w:val="22"/>
                  <w:u w:val="single"/>
                </w:rPr>
                <w:t>Item 1.</w:t>
              </w:r>
            </w:hyperlink>
          </w:p>
        </w:tc>
        <w:tc>
          <w:tcPr>
            <w:tcW w:w="8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e18bd2108e04373ba47cafb696eaec3_13">
              <w:r>
                <w:rPr>
                  <w:rStyle w:val="InternetLink"/>
                  <w:rFonts w:ascii="Times New Roman;serif" w:hAnsi="Times New Roman;serif"/>
                  <w:b w:val="false"/>
                  <w:color w:val="0000FF"/>
                  <w:sz w:val="22"/>
                  <w:u w:val="single"/>
                </w:rPr>
                <w:t>Financial Statements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e18bd2108e04373ba47cafb696eaec3_13">
              <w:r>
                <w:rPr>
                  <w:rStyle w:val="InternetLink"/>
                  <w:rFonts w:ascii="Times New Roman;serif" w:hAnsi="Times New Roman;serif"/>
                  <w:b w:val="false"/>
                  <w:color w:val="0000FF"/>
                  <w:sz w:val="22"/>
                  <w:u w:val="single"/>
                </w:rPr>
                <w:t>2</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e18bd2108e04373ba47cafb696eaec3_16">
              <w:r>
                <w:rPr>
                  <w:rStyle w:val="InternetLink"/>
                  <w:rFonts w:ascii="Times New Roman;serif" w:hAnsi="Times New Roman;serif"/>
                  <w:b w:val="false"/>
                  <w:color w:val="000080"/>
                  <w:sz w:val="22"/>
                  <w:u w:val="single"/>
                </w:rPr>
                <w:t xml:space="preserve">Consolidated Balance Sheets as of </w:t>
              </w:r>
            </w:hyperlink>
            <w:r>
              <w:rPr>
                <w:rFonts w:ascii="Times New Roman;serif" w:hAnsi="Times New Roman;serif"/>
                <w:b w:val="false"/>
                <w:color w:val="0000FF"/>
                <w:sz w:val="22"/>
                <w:u w:val="single"/>
              </w:rPr>
              <w:t>September 30, 2025</w:t>
            </w:r>
            <w:hyperlink w:anchor="ice18bd2108e04373ba47cafb696eaec3_16">
              <w:r>
                <w:rPr>
                  <w:rStyle w:val="InternetLink"/>
                  <w:rFonts w:ascii="Times New Roman;serif" w:hAnsi="Times New Roman;serif"/>
                  <w:b w:val="false"/>
                  <w:color w:val="000080"/>
                  <w:sz w:val="22"/>
                  <w:u w:val="single"/>
                </w:rPr>
                <w:t xml:space="preserve"> (unaudited) and </w:t>
              </w:r>
            </w:hyperlink>
            <w:r>
              <w:rPr>
                <w:rFonts w:ascii="Times New Roman;serif" w:hAnsi="Times New Roman;serif"/>
                <w:b w:val="false"/>
                <w:color w:val="0000FF"/>
                <w:sz w:val="22"/>
                <w:u w:val="single"/>
              </w:rPr>
              <w:t>December 31, 2024</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e18bd2108e04373ba47cafb696eaec3_16">
              <w:r>
                <w:rPr>
                  <w:rStyle w:val="InternetLink"/>
                  <w:rFonts w:ascii="Times New Roman;serif" w:hAnsi="Times New Roman;serif"/>
                  <w:b w:val="false"/>
                  <w:color w:val="0000FF"/>
                  <w:sz w:val="22"/>
                  <w:u w:val="single"/>
                </w:rPr>
                <w:t>2</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e18bd2108e04373ba47cafb696eaec3_19">
              <w:r>
                <w:rPr>
                  <w:rStyle w:val="InternetLink"/>
                  <w:rFonts w:ascii="Times New Roman;serif" w:hAnsi="Times New Roman;serif"/>
                  <w:b w:val="false"/>
                  <w:color w:val="000080"/>
                  <w:sz w:val="22"/>
                  <w:u w:val="single"/>
                </w:rPr>
                <w:t xml:space="preserve">Unaudited Consolidated Statements of Operations and Comprehensive Income for the </w:t>
              </w:r>
            </w:hyperlink>
            <w:r>
              <w:rPr>
                <w:rFonts w:ascii="Times New Roman;serif" w:hAnsi="Times New Roman;serif"/>
                <w:b w:val="false"/>
                <w:color w:val="0000FF"/>
                <w:sz w:val="22"/>
                <w:u w:val="single"/>
              </w:rPr>
              <w:t>Three and Nine</w:t>
            </w:r>
            <w:hyperlink w:anchor="ice18bd2108e04373ba47cafb696eaec3_19">
              <w:r>
                <w:rPr>
                  <w:rStyle w:val="InternetLink"/>
                  <w:rFonts w:ascii="Times New Roman;serif" w:hAnsi="Times New Roman;serif"/>
                  <w:b w:val="false"/>
                  <w:color w:val="000080"/>
                  <w:sz w:val="22"/>
                  <w:u w:val="single"/>
                </w:rPr>
                <w:t xml:space="preserve"> Months Ended </w:t>
              </w:r>
            </w:hyperlink>
            <w:r>
              <w:rPr>
                <w:rFonts w:ascii="Times New Roman;serif" w:hAnsi="Times New Roman;serif"/>
                <w:b w:val="false"/>
                <w:color w:val="0000FF"/>
                <w:sz w:val="22"/>
                <w:u w:val="single"/>
              </w:rPr>
              <w:t>September 30, 2025</w:t>
            </w:r>
            <w:hyperlink w:anchor="ice18bd2108e04373ba47cafb696eaec3_19">
              <w:r>
                <w:rPr>
                  <w:rStyle w:val="InternetLink"/>
                  <w:rFonts w:ascii="Times New Roman;serif" w:hAnsi="Times New Roman;serif"/>
                  <w:b w:val="false"/>
                  <w:color w:val="000080"/>
                  <w:sz w:val="22"/>
                  <w:u w:val="single"/>
                </w:rPr>
                <w:t xml:space="preserve"> and </w:t>
              </w:r>
            </w:hyperlink>
            <w:r>
              <w:rPr>
                <w:rFonts w:ascii="Times New Roman;serif" w:hAnsi="Times New Roman;serif"/>
                <w:b w:val="false"/>
                <w:color w:val="0000FF"/>
                <w:sz w:val="22"/>
                <w:u w:val="single"/>
              </w:rPr>
              <w:t>2024</w:t>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e18bd2108e04373ba47cafb696eaec3_19">
              <w:r>
                <w:rPr>
                  <w:rStyle w:val="InternetLink"/>
                  <w:rFonts w:ascii="Times New Roman;serif" w:hAnsi="Times New Roman;serif"/>
                  <w:b w:val="false"/>
                  <w:color w:val="0000FF"/>
                  <w:sz w:val="22"/>
                  <w:u w:val="single"/>
                </w:rPr>
                <w:t>3</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e18bd2108e04373ba47cafb696eaec3_22">
              <w:r>
                <w:rPr>
                  <w:rStyle w:val="InternetLink"/>
                  <w:rFonts w:ascii="Times New Roman;serif" w:hAnsi="Times New Roman;serif"/>
                  <w:b w:val="false"/>
                  <w:color w:val="000080"/>
                  <w:sz w:val="22"/>
                  <w:u w:val="single"/>
                </w:rPr>
                <w:t>Unaudited Consolidated Statements of S</w:t>
              </w:r>
            </w:hyperlink>
            <w:r>
              <w:rPr>
                <w:rFonts w:ascii="Times New Roman;serif" w:hAnsi="Times New Roman;serif"/>
                <w:b w:val="false"/>
                <w:color w:val="0000FF"/>
                <w:sz w:val="22"/>
                <w:u w:val="single"/>
              </w:rPr>
              <w:t>hareholder</w:t>
            </w:r>
            <w:hyperlink w:anchor="ice18bd2108e04373ba47cafb696eaec3_22">
              <w:r>
                <w:rPr>
                  <w:rStyle w:val="InternetLink"/>
                  <w:rFonts w:ascii="Times New Roman;serif" w:hAnsi="Times New Roman;serif"/>
                  <w:b w:val="false"/>
                  <w:color w:val="000080"/>
                  <w:sz w:val="22"/>
                  <w:u w:val="single"/>
                </w:rPr>
                <w:t xml:space="preserve">s’ Equity for the </w:t>
              </w:r>
            </w:hyperlink>
            <w:r>
              <w:rPr>
                <w:rFonts w:ascii="Times New Roman;serif" w:hAnsi="Times New Roman;serif"/>
                <w:b w:val="false"/>
                <w:color w:val="0000FF"/>
                <w:sz w:val="22"/>
                <w:u w:val="single"/>
              </w:rPr>
              <w:t>Three and Nine</w:t>
            </w:r>
            <w:hyperlink w:anchor="ice18bd2108e04373ba47cafb696eaec3_22">
              <w:r>
                <w:rPr>
                  <w:rStyle w:val="InternetLink"/>
                  <w:rFonts w:ascii="Times New Roman;serif" w:hAnsi="Times New Roman;serif"/>
                  <w:b w:val="false"/>
                  <w:color w:val="000080"/>
                  <w:sz w:val="22"/>
                  <w:u w:val="single"/>
                </w:rPr>
                <w:t xml:space="preserve"> Months Ended </w:t>
              </w:r>
            </w:hyperlink>
            <w:r>
              <w:rPr>
                <w:rFonts w:ascii="Times New Roman;serif" w:hAnsi="Times New Roman;serif"/>
                <w:b w:val="false"/>
                <w:color w:val="0000FF"/>
                <w:sz w:val="22"/>
                <w:u w:val="single"/>
              </w:rPr>
              <w:t>September 30, 2025</w:t>
            </w:r>
            <w:hyperlink w:anchor="ice18bd2108e04373ba47cafb696eaec3_22">
              <w:r>
                <w:rPr>
                  <w:rStyle w:val="InternetLink"/>
                  <w:rFonts w:ascii="Times New Roman;serif" w:hAnsi="Times New Roman;serif"/>
                  <w:b w:val="false"/>
                  <w:color w:val="000080"/>
                  <w:sz w:val="22"/>
                  <w:u w:val="single"/>
                </w:rPr>
                <w:t xml:space="preserve"> and </w:t>
              </w:r>
            </w:hyperlink>
            <w:r>
              <w:rPr>
                <w:rFonts w:ascii="Times New Roman;serif" w:hAnsi="Times New Roman;serif"/>
                <w:b w:val="false"/>
                <w:color w:val="0000FF"/>
                <w:sz w:val="22"/>
                <w:u w:val="single"/>
              </w:rPr>
              <w:t>2024</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e18bd2108e04373ba47cafb696eaec3_22">
              <w:r>
                <w:rPr>
                  <w:rStyle w:val="InternetLink"/>
                  <w:rFonts w:ascii="Times New Roman;serif" w:hAnsi="Times New Roman;serif"/>
                  <w:b w:val="false"/>
                  <w:color w:val="0000FF"/>
                  <w:sz w:val="22"/>
                  <w:u w:val="single"/>
                </w:rPr>
                <w:t>4</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e18bd2108e04373ba47cafb696eaec3_25">
              <w:r>
                <w:rPr>
                  <w:rStyle w:val="InternetLink"/>
                  <w:rFonts w:ascii="Times New Roman;serif" w:hAnsi="Times New Roman;serif"/>
                  <w:b w:val="false"/>
                  <w:color w:val="000080"/>
                  <w:sz w:val="22"/>
                  <w:u w:val="single"/>
                </w:rPr>
                <w:t xml:space="preserve">Unaudited Consolidated Statements of Cash Flows for the </w:t>
              </w:r>
            </w:hyperlink>
            <w:r>
              <w:rPr>
                <w:rFonts w:ascii="Times New Roman;serif" w:hAnsi="Times New Roman;serif"/>
                <w:b w:val="false"/>
                <w:color w:val="0000FF"/>
                <w:sz w:val="22"/>
                <w:u w:val="single"/>
              </w:rPr>
              <w:t>Nine Months Ended</w:t>
            </w:r>
            <w:hyperlink w:anchor="ice18bd2108e04373ba47cafb696eaec3_25">
              <w:r>
                <w:rPr>
                  <w:rStyle w:val="InternetLink"/>
                  <w:rFonts w:ascii="Times New Roman;serif" w:hAnsi="Times New Roman;serif"/>
                  <w:b w:val="false"/>
                  <w:color w:val="000080"/>
                  <w:sz w:val="22"/>
                  <w:u w:val="single"/>
                </w:rPr>
                <w:t xml:space="preserve"> </w:t>
              </w:r>
            </w:hyperlink>
            <w:r>
              <w:rPr>
                <w:rFonts w:ascii="Times New Roman;serif" w:hAnsi="Times New Roman;serif"/>
                <w:b w:val="false"/>
                <w:color w:val="0000FF"/>
                <w:sz w:val="22"/>
                <w:u w:val="single"/>
              </w:rPr>
              <w:t>September 30, 2025</w:t>
            </w:r>
            <w:hyperlink w:anchor="ice18bd2108e04373ba47cafb696eaec3_25">
              <w:r>
                <w:rPr>
                  <w:rStyle w:val="InternetLink"/>
                  <w:rFonts w:ascii="Times New Roman;serif" w:hAnsi="Times New Roman;serif"/>
                  <w:b w:val="false"/>
                  <w:color w:val="000080"/>
                  <w:sz w:val="22"/>
                  <w:u w:val="single"/>
                </w:rPr>
                <w:t xml:space="preserve"> and </w:t>
              </w:r>
            </w:hyperlink>
            <w:r>
              <w:rPr>
                <w:rFonts w:ascii="Times New Roman;serif" w:hAnsi="Times New Roman;serif"/>
                <w:b w:val="false"/>
                <w:color w:val="0000FF"/>
                <w:sz w:val="22"/>
                <w:u w:val="single"/>
              </w:rPr>
              <w:t>2024</w:t>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e18bd2108e04373ba47cafb696eaec3_25">
              <w:r>
                <w:rPr>
                  <w:rStyle w:val="InternetLink"/>
                  <w:rFonts w:ascii="Times New Roman;serif" w:hAnsi="Times New Roman;serif"/>
                  <w:b w:val="false"/>
                  <w:color w:val="0000FF"/>
                  <w:sz w:val="22"/>
                  <w:u w:val="single"/>
                </w:rPr>
                <w:t>5</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e18bd2108e04373ba47cafb696eaec3_28">
              <w:r>
                <w:rPr>
                  <w:rStyle w:val="InternetLink"/>
                  <w:rFonts w:ascii="Times New Roman;serif" w:hAnsi="Times New Roman;serif"/>
                  <w:b w:val="false"/>
                  <w:color w:val="0000FF"/>
                  <w:sz w:val="22"/>
                  <w:u w:val="single"/>
                </w:rPr>
                <w:t>Notes to Unaudited Consolidated 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e18bd2108e04373ba47cafb696eaec3_28">
              <w:r>
                <w:rPr>
                  <w:rStyle w:val="InternetLink"/>
                  <w:rFonts w:ascii="Times New Roman;serif" w:hAnsi="Times New Roman;serif"/>
                  <w:b w:val="false"/>
                  <w:color w:val="0000FF"/>
                  <w:sz w:val="22"/>
                  <w:u w:val="single"/>
                </w:rPr>
                <w:t>6</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ce18bd2108e04373ba47cafb696eaec3_88">
              <w:r>
                <w:rPr>
                  <w:rStyle w:val="InternetLink"/>
                  <w:rFonts w:ascii="Times New Roman;serif" w:hAnsi="Times New Roman;serif"/>
                  <w:b w:val="false"/>
                  <w:color w:val="0000FF"/>
                  <w:sz w:val="22"/>
                  <w:u w:val="single"/>
                </w:rPr>
                <w:t>Item 2.</w:t>
              </w:r>
            </w:hyperlink>
          </w:p>
        </w:tc>
        <w:tc>
          <w:tcPr>
            <w:tcW w:w="8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e18bd2108e04373ba47cafb696eaec3_88">
              <w:r>
                <w:rPr>
                  <w:rStyle w:val="InternetLink"/>
                  <w:rFonts w:ascii="Times New Roman;serif" w:hAnsi="Times New Roman;serif"/>
                  <w:b w:val="false"/>
                  <w:color w:val="0000FF"/>
                  <w:sz w:val="22"/>
                  <w:u w:val="single"/>
                </w:rPr>
                <w:t>Management’s Discussion and Analysis of Financial Condition and Results of Operations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e18bd2108e04373ba47cafb696eaec3_88">
              <w:r>
                <w:rPr>
                  <w:rStyle w:val="InternetLink"/>
                  <w:rFonts w:ascii="Times New Roman;serif" w:hAnsi="Times New Roman;serif"/>
                  <w:b w:val="false"/>
                  <w:color w:val="0000FF"/>
                  <w:sz w:val="22"/>
                  <w:u w:val="single"/>
                </w:rPr>
                <w:t>22</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ce18bd2108e04373ba47cafb696eaec3_133">
              <w:r>
                <w:rPr>
                  <w:rStyle w:val="InternetLink"/>
                  <w:rFonts w:ascii="Times New Roman;serif" w:hAnsi="Times New Roman;serif"/>
                  <w:b w:val="false"/>
                  <w:color w:val="0000FF"/>
                  <w:sz w:val="22"/>
                  <w:u w:val="single"/>
                </w:rPr>
                <w:t>Item 3.</w:t>
              </w:r>
            </w:hyperlink>
          </w:p>
        </w:tc>
        <w:tc>
          <w:tcPr>
            <w:tcW w:w="8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e18bd2108e04373ba47cafb696eaec3_133">
              <w:r>
                <w:rPr>
                  <w:rStyle w:val="InternetLink"/>
                  <w:rFonts w:ascii="Times New Roman;serif" w:hAnsi="Times New Roman;serif"/>
                  <w:b w:val="false"/>
                  <w:color w:val="0000FF"/>
                  <w:sz w:val="22"/>
                  <w:u w:val="singl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e18bd2108e04373ba47cafb696eaec3_133">
              <w:r>
                <w:rPr>
                  <w:rStyle w:val="InternetLink"/>
                  <w:rFonts w:ascii="Times New Roman;serif" w:hAnsi="Times New Roman;serif"/>
                  <w:b w:val="false"/>
                  <w:color w:val="0000FF"/>
                  <w:sz w:val="22"/>
                  <w:u w:val="single"/>
                </w:rPr>
                <w:t>35</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ce18bd2108e04373ba47cafb696eaec3_136">
              <w:r>
                <w:rPr>
                  <w:rStyle w:val="InternetLink"/>
                  <w:rFonts w:ascii="Times New Roman;serif" w:hAnsi="Times New Roman;serif"/>
                  <w:b w:val="false"/>
                  <w:color w:val="0000FF"/>
                  <w:sz w:val="22"/>
                  <w:u w:val="single"/>
                </w:rPr>
                <w:t>Item 4.</w:t>
              </w:r>
            </w:hyperlink>
          </w:p>
        </w:tc>
        <w:tc>
          <w:tcPr>
            <w:tcW w:w="8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e18bd2108e04373ba47cafb696eaec3_136">
              <w:r>
                <w:rPr>
                  <w:rStyle w:val="InternetLink"/>
                  <w:rFonts w:ascii="Times New Roman;serif" w:hAnsi="Times New Roman;serif"/>
                  <w:b w:val="false"/>
                  <w:color w:val="0000FF"/>
                  <w:sz w:val="22"/>
                  <w:u w:val="single"/>
                </w:rPr>
                <w:t>Controls and Procedures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e18bd2108e04373ba47cafb696eaec3_136">
              <w:r>
                <w:rPr>
                  <w:rStyle w:val="InternetLink"/>
                  <w:rFonts w:ascii="Times New Roman;serif" w:hAnsi="Times New Roman;serif"/>
                  <w:b w:val="false"/>
                  <w:color w:val="0000FF"/>
                  <w:sz w:val="22"/>
                  <w:u w:val="single"/>
                </w:rPr>
                <w:t>35</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e18bd2108e04373ba47cafb696eaec3_139">
              <w:r>
                <w:rPr>
                  <w:rStyle w:val="InternetLink"/>
                  <w:rFonts w:ascii="Times New Roman;serif" w:hAnsi="Times New Roman;serif"/>
                  <w:b/>
                  <w:color w:val="0000FF"/>
                  <w:sz w:val="22"/>
                  <w:u w:val="single"/>
                </w:rPr>
                <w:t>Part II—Other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ce18bd2108e04373ba47cafb696eaec3_142">
              <w:r>
                <w:rPr>
                  <w:rStyle w:val="InternetLink"/>
                  <w:rFonts w:ascii="Times New Roman;serif" w:hAnsi="Times New Roman;serif"/>
                  <w:b w:val="false"/>
                  <w:color w:val="0000FF"/>
                  <w:sz w:val="22"/>
                  <w:u w:val="single"/>
                </w:rPr>
                <w:t>Item 1.</w:t>
              </w:r>
            </w:hyperlink>
          </w:p>
        </w:tc>
        <w:tc>
          <w:tcPr>
            <w:tcW w:w="8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e18bd2108e04373ba47cafb696eaec3_142">
              <w:r>
                <w:rPr>
                  <w:rStyle w:val="InternetLink"/>
                  <w:rFonts w:ascii="Times New Roman;serif" w:hAnsi="Times New Roman;serif"/>
                  <w:b w:val="false"/>
                  <w:color w:val="0000FF"/>
                  <w:sz w:val="22"/>
                  <w:u w:val="single"/>
                </w:rPr>
                <w:t>Legal Proceedings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e18bd2108e04373ba47cafb696eaec3_142">
              <w:r>
                <w:rPr>
                  <w:rStyle w:val="InternetLink"/>
                  <w:rFonts w:ascii="Times New Roman;serif" w:hAnsi="Times New Roman;serif"/>
                  <w:b w:val="false"/>
                  <w:color w:val="0000FF"/>
                  <w:sz w:val="22"/>
                  <w:u w:val="single"/>
                </w:rPr>
                <w:t>36</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ce18bd2108e04373ba47cafb696eaec3_145">
              <w:r>
                <w:rPr>
                  <w:rStyle w:val="InternetLink"/>
                  <w:rFonts w:ascii="Times New Roman;serif" w:hAnsi="Times New Roman;serif"/>
                  <w:b w:val="false"/>
                  <w:color w:val="0000FF"/>
                  <w:sz w:val="22"/>
                  <w:u w:val="single"/>
                </w:rPr>
                <w:t>Item 1A.</w:t>
              </w:r>
            </w:hyperlink>
          </w:p>
        </w:tc>
        <w:tc>
          <w:tcPr>
            <w:tcW w:w="8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e18bd2108e04373ba47cafb696eaec3_145">
              <w:r>
                <w:rPr>
                  <w:rStyle w:val="InternetLink"/>
                  <w:rFonts w:ascii="Times New Roman;serif" w:hAnsi="Times New Roman;serif"/>
                  <w:b w:val="false"/>
                  <w:color w:val="0000FF"/>
                  <w:sz w:val="22"/>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e18bd2108e04373ba47cafb696eaec3_145">
              <w:r>
                <w:rPr>
                  <w:rStyle w:val="InternetLink"/>
                  <w:rFonts w:ascii="Times New Roman;serif" w:hAnsi="Times New Roman;serif"/>
                  <w:b w:val="false"/>
                  <w:color w:val="0000FF"/>
                  <w:sz w:val="22"/>
                  <w:u w:val="single"/>
                </w:rPr>
                <w:t>36</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ce18bd2108e04373ba47cafb696eaec3_148">
              <w:r>
                <w:rPr>
                  <w:rStyle w:val="InternetLink"/>
                  <w:rFonts w:ascii="Times New Roman;serif" w:hAnsi="Times New Roman;serif"/>
                  <w:b w:val="false"/>
                  <w:color w:val="0000FF"/>
                  <w:sz w:val="22"/>
                  <w:u w:val="single"/>
                </w:rPr>
                <w:t>Item 2.</w:t>
              </w:r>
            </w:hyperlink>
          </w:p>
        </w:tc>
        <w:tc>
          <w:tcPr>
            <w:tcW w:w="8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e18bd2108e04373ba47cafb696eaec3_148">
              <w:r>
                <w:rPr>
                  <w:rStyle w:val="InternetLink"/>
                  <w:rFonts w:ascii="Times New Roman;serif" w:hAnsi="Times New Roman;serif"/>
                  <w:b w:val="false"/>
                  <w:color w:val="0000FF"/>
                  <w:sz w:val="22"/>
                  <w:u w:val="single"/>
                </w:rPr>
                <w:t>Unregistered Sales of Equity Securities and Use of Proceeds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e18bd2108e04373ba47cafb696eaec3_148">
              <w:r>
                <w:rPr>
                  <w:rStyle w:val="InternetLink"/>
                  <w:rFonts w:ascii="Times New Roman;serif" w:hAnsi="Times New Roman;serif"/>
                  <w:b w:val="false"/>
                  <w:color w:val="0000FF"/>
                  <w:sz w:val="22"/>
                  <w:u w:val="single"/>
                </w:rPr>
                <w:t>36</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ce18bd2108e04373ba47cafb696eaec3_154">
              <w:r>
                <w:rPr>
                  <w:rStyle w:val="InternetLink"/>
                  <w:rFonts w:ascii="Times New Roman;serif" w:hAnsi="Times New Roman;serif"/>
                  <w:b w:val="false"/>
                  <w:color w:val="0000FF"/>
                  <w:sz w:val="22"/>
                  <w:u w:val="single"/>
                </w:rPr>
                <w:t>Item 5.</w:t>
              </w:r>
            </w:hyperlink>
          </w:p>
        </w:tc>
        <w:tc>
          <w:tcPr>
            <w:tcW w:w="8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e18bd2108e04373ba47cafb696eaec3_154">
              <w:r>
                <w:rPr>
                  <w:rStyle w:val="InternetLink"/>
                  <w:rFonts w:ascii="Times New Roman;serif" w:hAnsi="Times New Roman;serif"/>
                  <w:b w:val="false"/>
                  <w:color w:val="0000FF"/>
                  <w:sz w:val="22"/>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e18bd2108e04373ba47cafb696eaec3_154">
              <w:r>
                <w:rPr>
                  <w:rStyle w:val="InternetLink"/>
                  <w:rFonts w:ascii="Times New Roman;serif" w:hAnsi="Times New Roman;serif"/>
                  <w:b w:val="false"/>
                  <w:color w:val="0000FF"/>
                  <w:sz w:val="22"/>
                  <w:u w:val="single"/>
                </w:rPr>
                <w:t>36</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ce18bd2108e04373ba47cafb696eaec3_157">
              <w:r>
                <w:rPr>
                  <w:rStyle w:val="InternetLink"/>
                  <w:rFonts w:ascii="Times New Roman;serif" w:hAnsi="Times New Roman;serif"/>
                  <w:b w:val="false"/>
                  <w:color w:val="0000FF"/>
                  <w:sz w:val="22"/>
                  <w:u w:val="single"/>
                </w:rPr>
                <w:t>Item 6.</w:t>
              </w:r>
            </w:hyperlink>
          </w:p>
        </w:tc>
        <w:tc>
          <w:tcPr>
            <w:tcW w:w="8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e18bd2108e04373ba47cafb696eaec3_157">
              <w:r>
                <w:rPr>
                  <w:rStyle w:val="InternetLink"/>
                  <w:rFonts w:ascii="Times New Roman;serif" w:hAnsi="Times New Roman;serif"/>
                  <w:b w:val="false"/>
                  <w:color w:val="0000FF"/>
                  <w:sz w:val="22"/>
                  <w:u w:val="single"/>
                </w:rPr>
                <w:t>Exhibits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e18bd2108e04373ba47cafb696eaec3_157">
              <w:r>
                <w:rPr>
                  <w:rStyle w:val="InternetLink"/>
                  <w:rFonts w:ascii="Times New Roman;serif" w:hAnsi="Times New Roman;serif"/>
                  <w:b w:val="false"/>
                  <w:color w:val="0000FF"/>
                  <w:sz w:val="22"/>
                  <w:u w:val="single"/>
                </w:rPr>
                <w:t>37</w:t>
              </w:r>
            </w:hyperlink>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this report, references to “MYR Group,” the “Company,” “we,” “us” and “our” refer to MYR Group Inc. and its consolidated subsidiaries, except as otherwise indicated or as the context otherwise requires.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824"/>
        <w:gridCol w:w="2162"/>
        <w:gridCol w:w="2167"/>
        <w:gridCol w:w="109"/>
        <w:gridCol w:w="109"/>
        <w:gridCol w:w="109"/>
        <w:gridCol w:w="196"/>
        <w:gridCol w:w="871"/>
        <w:gridCol w:w="109"/>
        <w:gridCol w:w="109"/>
        <w:gridCol w:w="109"/>
        <w:gridCol w:w="109"/>
        <w:gridCol w:w="196"/>
        <w:gridCol w:w="871"/>
        <w:gridCol w:w="155"/>
      </w:tblGrid>
      <w:tr>
        <w:trPr/>
        <w:tc>
          <w:tcPr>
            <w:tcW w:w="2824"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allowances of $935 and $1,129,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653,069 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Contract assets, net of allowances of $540 and $422,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301,942 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receivable for insurance claims in excess of deductibles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Refundable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1,068,361 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1,014,662 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Property and equipment, net of accumulated depreciation of $407,471 and $387,223,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278,226 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42,648 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Intangible assets, net of accumulated amortization of $38,549 and $34,573,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75,691 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for insurance claims in excess of deductibles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1,645,332 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1,574,059 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295,476 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321,958 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87,837 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800,924 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748,900 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70,018 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1,027,744 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973,699 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stock—$0.01 par value per share; 4,000,000 authorized shares; none issued and outstanding at September 30, 2025 and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stock—$0.01 par value per share; 100,000,000 authorized shares; 15,522,834 and 16,121,901 shares issued and outstanding at September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159,133 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(12,651)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466,692 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453,717 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617,588 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600,360 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1,645,332 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1,574,059 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UNAUDITED CONSOLIDATED STATEMENTS OF OPERATIONS AND COMPREHENSIVE INCOME</w:t>
      </w:r>
    </w:p>
    <w:tbl>
      <w:tblPr>
        <w:tblW w:w="10205" w:type="dxa"/>
        <w:jc w:val="left"/>
        <w:tblInd w:w="0" w:type="dxa"/>
        <w:tblLayout w:type="fixed"/>
        <w:tblCellMar>
          <w:top w:w="28" w:type="dxa"/>
          <w:left w:w="28" w:type="dxa"/>
          <w:bottom w:w="28" w:type="dxa"/>
          <w:right w:w="28" w:type="dxa"/>
        </w:tblCellMar>
      </w:tblPr>
      <w:tblGrid>
        <w:gridCol w:w="1602"/>
        <w:gridCol w:w="1180"/>
        <w:gridCol w:w="1184"/>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60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2,684,345 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2,532,495 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2,371,841 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2,328,121 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204,374 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and potential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UNAUDITED CONSOLIDATED STATEMENTS OF SHAREHOLDERS’ EQUITY</w:t>
      </w:r>
    </w:p>
    <w:p>
      <w:pPr>
        <w:pStyle w:val="TextBody"/>
        <w:bidi w:val="0"/>
        <w:spacing w:before="240" w:after="283"/>
        <w:jc w:val="center"/>
        <w:rPr/>
      </w:pPr>
      <w:r>
        <w:rPr/>
      </w:r>
    </w:p>
    <w:tbl>
      <w:tblPr>
        <w:tblW w:w="10819" w:type="dxa"/>
        <w:jc w:val="center"/>
        <w:tblInd w:w="0" w:type="dxa"/>
        <w:tblLayout w:type="fixed"/>
        <w:tblCellMar>
          <w:top w:w="28" w:type="dxa"/>
          <w:left w:w="28" w:type="dxa"/>
          <w:bottom w:w="28" w:type="dxa"/>
          <w:right w:w="28" w:type="dxa"/>
        </w:tblCellMar>
      </w:tblPr>
      <w:tblGrid>
        <w:gridCol w:w="592"/>
        <w:gridCol w:w="296"/>
        <w:gridCol w:w="298"/>
        <w:gridCol w:w="109"/>
        <w:gridCol w:w="109"/>
        <w:gridCol w:w="109"/>
        <w:gridCol w:w="227"/>
        <w:gridCol w:w="471"/>
        <w:gridCol w:w="128"/>
        <w:gridCol w:w="109"/>
        <w:gridCol w:w="109"/>
        <w:gridCol w:w="109"/>
        <w:gridCol w:w="323"/>
        <w:gridCol w:w="323"/>
        <w:gridCol w:w="211"/>
        <w:gridCol w:w="109"/>
        <w:gridCol w:w="109"/>
        <w:gridCol w:w="109"/>
        <w:gridCol w:w="202"/>
        <w:gridCol w:w="435"/>
        <w:gridCol w:w="114"/>
        <w:gridCol w:w="109"/>
        <w:gridCol w:w="109"/>
        <w:gridCol w:w="109"/>
        <w:gridCol w:w="196"/>
        <w:gridCol w:w="736"/>
        <w:gridCol w:w="109"/>
        <w:gridCol w:w="109"/>
        <w:gridCol w:w="109"/>
        <w:gridCol w:w="109"/>
        <w:gridCol w:w="264"/>
        <w:gridCol w:w="893"/>
        <w:gridCol w:w="149"/>
        <w:gridCol w:w="109"/>
        <w:gridCol w:w="109"/>
        <w:gridCol w:w="109"/>
        <w:gridCol w:w="196"/>
        <w:gridCol w:w="736"/>
        <w:gridCol w:w="109"/>
        <w:gridCol w:w="109"/>
        <w:gridCol w:w="109"/>
        <w:gridCol w:w="109"/>
        <w:gridCol w:w="109"/>
        <w:gridCol w:w="109"/>
        <w:gridCol w:w="109"/>
        <w:gridCol w:w="109"/>
        <w:gridCol w:w="196"/>
        <w:gridCol w:w="736"/>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16,684 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repurchased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16,762 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 under share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16,648 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(7,525)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 under share repurchase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16,122 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(6,216)</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588,509 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issued under compensation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repurchased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 under share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15,522 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(12,529)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548,672 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repurchased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15,523 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15,523 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(9,446)</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617,588 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tbl>
      <w:tblPr>
        <w:tblW w:w="8840" w:type="dxa"/>
        <w:jc w:val="left"/>
        <w:tblInd w:w="0" w:type="dxa"/>
        <w:tblLayout w:type="fixed"/>
        <w:tblCellMar>
          <w:top w:w="28" w:type="dxa"/>
          <w:left w:w="28" w:type="dxa"/>
          <w:bottom w:w="28" w:type="dxa"/>
          <w:right w:w="28" w:type="dxa"/>
        </w:tblCellMar>
      </w:tblPr>
      <w:tblGrid>
        <w:gridCol w:w="2257"/>
        <w:gridCol w:w="1989"/>
        <w:gridCol w:w="1993"/>
        <w:gridCol w:w="109"/>
        <w:gridCol w:w="109"/>
        <w:gridCol w:w="109"/>
        <w:gridCol w:w="196"/>
        <w:gridCol w:w="646"/>
        <w:gridCol w:w="109"/>
        <w:gridCol w:w="109"/>
        <w:gridCol w:w="109"/>
        <w:gridCol w:w="109"/>
        <w:gridCol w:w="196"/>
        <w:gridCol w:w="646"/>
        <w:gridCol w:w="154"/>
      </w:tblGrid>
      <w:tr>
        <w:trPr/>
        <w:tc>
          <w:tcPr>
            <w:tcW w:w="2257"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for insurance claims in excess of deductibles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revolving lines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revolving lines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principal obligations under equipment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principal obligations under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refinancing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1. Organization, Business and Basis of Presentation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Organization and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MYR Group Inc. (the “Company”) is a holding company of specialty electrical construction service providers conducting operations through wholly 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clean energy projects and electric vehicle charging infrastructure. T&amp;D services include design, engineering, procurement, construction, upgrade, maintenance and repair services. C&amp;I customers include general contractors, commercial and industrial facility owners, government agencies and developers. C&amp;I provides a broad range of services, which include the design, installation, maintenance and repair of commercial and industrial wiring. Typical C&amp;I contracts cover electrical contracting services for data centers, airports, hospitals,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Interim Consolidated Financial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(loss), shareholders’ equity and cash flows with respect to the interim consolidated financial statements, have been included. The consolidated balance sheet as of December 31, 2024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2024, included in the Company’s Annual Report on Form 10-K, which was filed with the SEC on February 26, 2025 (the "2024 Annual Report").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most significant estimates are related to estimates of costs to complete contracts, variable consideration inclusive of pending change orders and claims, shared savings, useful lives of property and equipment, insurance reserves, income tax reserves, estimates surrounding stock-based compensation,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measured based on our historical experience with individual customers and similar contracts, and are evaluated by management individually. The Company includes these estimated amounts of variable consideration to the extent that it is probable there will not be a significant reversal of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Some of the Company’s contracts may have contract terms that include variable consideration such as safety or performance bonuses or liquidated damages. The Company includes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the Company exercises restraint in recognizing revenue on variable consideration. The Company often enters into contracts that contain liquidated damage clauses. The Company does not include amounts associated with liquidated damage clauses until it is probable that liquidated damages will occur. These items are continually monitored by multiple levels of management throughout the reporting period.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had recognized revenues of $14.3 million and $46.0 million, respectively, related to large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cost-to-cost method of accounting requires the Company to make estimates about the expected revenue and gross profit on each of its contracts in process. During the three months ended September 30, 2025, net changes in estimates pertaining to certain projects decreased consolidated gross margin by 0.6%, which resulted in decreases in operating income of $5.5 million, net income of $4.2 million and diluted earnings per common share of $0.27. During the nine months ended September 30, 2025, changes in estimates pertaining to certain projects decreased consolidated gross margin by 1.3% and resulted in decreases in operating income of $33.9 million, net income of $24.8 million and diluted earnings per common share of $1.58. Additional discussion on the impact of these estimate changes can be found in Item 2, “Management’s Discussion and Analysis of Financial Condition and Results of Operations - Consolidated Results of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2024, net changes in estimates pertaining to certain projects decreased consolidated gross margin by 3.9%, which resulted in decreases in operating income of $34.9 million, net income of $22.3 million and diluted earnings per common share of $1.37. During the nine months ended September 30, 2024, changes in estimates pertaining to certain projects decreased consolidated gross margin by 4.4% and resulted in decreases in operating income of $112.7 million, net income of $70.5 million and diluted earnings per common share of $4.24.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(loss) in shareholders’ equity. Foreign currency transaction gains and losses, arising primarily from changes in exchange rates on short-term monetary assets and liabilities, and intercompany loans that are not deemed long-term investment accounts are recorded in the “other income (expense), net” line on the Company’s consolidated statements of operations. Foreign currency losses and gains, recorded in other income (expense), net, for the three months ended September 30, 2025 and 2024 were $0.3 million and $0.1 million, respectively. Foreign currency losses, recorded in other income (expense), net, for the nine months ended September 30, 2025 and 2024 were $1.1 million and $0.4 million, respectively. Foreign currency translation gains and losses, arising from intercompany loans that are deemed long-term investment accounts, are recorded in the foreign currency translation adjustment line on the Company’s consolidated statements of comprehensive income.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will have minimal impact on its financial statements when adopted.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 xml:space="preserve">Income Taxes (Topic 740): Improvements to Income Tax Disclosures, </w:t>
      </w:r>
      <w:r>
        <w:rPr>
          <w:rFonts w:ascii="Times New Roman;serif" w:hAnsi="Times New Roman;serif"/>
          <w:b w:val="false"/>
          <w:color w:val="000000"/>
          <w:sz w:val="20"/>
        </w:rPr>
        <w:t>which is intended to improve the transparency of income tax disclosures by requiring consistent categories and greater disaggregation of information in the rate reconciliation and income taxes paid disaggregated by jurisdiction. The guidance also includes certain other amendments intended to improve the effectiveness of income tax disclosures. The update is effective for annual reporting periods beginning after December 15, 2024, with early adoption permitted. The amendments in this pronouncement should be applied on a prospective basis, with the option to apply them retrospectively. The Company is currently evaluating the impact of the new standard on the Company’s income tax disclosures.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xml:space="preserve">, which requires the disaggregation of certain expenses in the notes of the financials, to provide enhanced transparency into the expense captions presented on the face of the income statement. The guidance will require disclosure of certain costs and expenses on an interim and annual basis in the notes to the consolidated financial statements. The update is effective for annual reporting periods beginning after December 15, 2026 and interim periods within annual reporting periods beginning after December 15, 2027, with early adoption permitted. The amendments in this pronouncement should be applied either (i) prospectively to financial statements issued for reporting periods after the effective date or (ii) retrospectively to any or all prior periods presented in the financial statements. The Company is currently evaluating the impact of the new standard on the Company’s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Contract Assets and Liabilities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These contracts frequently include retention provisions contained in each contract.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$0.5 million as of September 30, 2025 and $0.4 million as of December 31, 2024.</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assets consisted of the following:</w:t>
      </w:r>
    </w:p>
    <w:tbl>
      <w:tblPr>
        <w:tblW w:w="6399" w:type="dxa"/>
        <w:jc w:val="left"/>
        <w:tblInd w:w="0" w:type="dxa"/>
        <w:tblLayout w:type="fixed"/>
        <w:tblCellMar>
          <w:top w:w="28" w:type="dxa"/>
          <w:left w:w="28" w:type="dxa"/>
          <w:bottom w:w="28" w:type="dxa"/>
          <w:right w:w="28" w:type="dxa"/>
        </w:tblCellMar>
      </w:tblPr>
      <w:tblGrid>
        <w:gridCol w:w="738"/>
        <w:gridCol w:w="650"/>
        <w:gridCol w:w="652"/>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retainages,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consolidated balance sheets present contract liabilities that contain deferred revenue and an accrual for contracts in a loss provision.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liabilities consisted of the following:</w:t>
      </w:r>
    </w:p>
    <w:tbl>
      <w:tblPr>
        <w:tblW w:w="6414" w:type="dxa"/>
        <w:jc w:val="left"/>
        <w:tblInd w:w="0" w:type="dxa"/>
        <w:tblLayout w:type="fixed"/>
        <w:tblCellMar>
          <w:top w:w="28" w:type="dxa"/>
          <w:left w:w="28" w:type="dxa"/>
          <w:bottom w:w="28" w:type="dxa"/>
          <w:right w:w="28" w:type="dxa"/>
        </w:tblCellMar>
      </w:tblPr>
      <w:tblGrid>
        <w:gridCol w:w="716"/>
        <w:gridCol w:w="631"/>
        <w:gridCol w:w="633"/>
        <w:gridCol w:w="109"/>
        <w:gridCol w:w="109"/>
        <w:gridCol w:w="109"/>
        <w:gridCol w:w="211"/>
        <w:gridCol w:w="826"/>
        <w:gridCol w:w="109"/>
        <w:gridCol w:w="109"/>
        <w:gridCol w:w="109"/>
        <w:gridCol w:w="109"/>
        <w:gridCol w:w="211"/>
        <w:gridCol w:w="826"/>
        <w:gridCol w:w="109"/>
        <w:gridCol w:w="109"/>
        <w:gridCol w:w="109"/>
        <w:gridCol w:w="109"/>
        <w:gridCol w:w="211"/>
        <w:gridCol w:w="79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loss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contract assets and contract liabilities from contracts with customers:</w:t>
      </w:r>
    </w:p>
    <w:tbl>
      <w:tblPr>
        <w:tblW w:w="6039" w:type="dxa"/>
        <w:jc w:val="left"/>
        <w:tblInd w:w="0" w:type="dxa"/>
        <w:tblLayout w:type="fixed"/>
        <w:tblCellMar>
          <w:top w:w="28" w:type="dxa"/>
          <w:left w:w="28" w:type="dxa"/>
          <w:bottom w:w="28" w:type="dxa"/>
          <w:right w:w="28" w:type="dxa"/>
        </w:tblCellMar>
      </w:tblPr>
      <w:tblGrid>
        <w:gridCol w:w="608"/>
        <w:gridCol w:w="535"/>
        <w:gridCol w:w="537"/>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was $34.8 million and $148.9 million for the three and nine months ended September 30, 2025, respectively. The amounts of revenue recognized in the period that were included in the opening contract liability balances was $60.4 million and $137.0 million for the three and nine months ended September 30, 2024, respectively. This revenue consists primarily of work performed on previous billings to customers.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asset position for contracts in process consisted of the following:</w:t>
      </w:r>
    </w:p>
    <w:tbl>
      <w:tblPr>
        <w:tblW w:w="7910" w:type="dxa"/>
        <w:jc w:val="left"/>
        <w:tblInd w:w="0" w:type="dxa"/>
        <w:tblLayout w:type="fixed"/>
        <w:tblCellMar>
          <w:top w:w="28" w:type="dxa"/>
          <w:left w:w="28" w:type="dxa"/>
          <w:bottom w:w="28" w:type="dxa"/>
          <w:right w:w="28" w:type="dxa"/>
        </w:tblCellMar>
      </w:tblPr>
      <w:tblGrid>
        <w:gridCol w:w="1667"/>
        <w:gridCol w:w="1468"/>
        <w:gridCol w:w="1484"/>
        <w:gridCol w:w="109"/>
        <w:gridCol w:w="109"/>
        <w:gridCol w:w="109"/>
        <w:gridCol w:w="211"/>
        <w:gridCol w:w="976"/>
        <w:gridCol w:w="109"/>
        <w:gridCol w:w="109"/>
        <w:gridCol w:w="109"/>
        <w:gridCol w:w="109"/>
        <w:gridCol w:w="211"/>
        <w:gridCol w:w="976"/>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on uncompleted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billings to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8,075,264 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7,791,077 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(163,183)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asset position for contracts in process is included within the contract asset and contract liability in the accompanying consolidated balance sheets as follows:</w:t>
      </w:r>
    </w:p>
    <w:tbl>
      <w:tblPr>
        <w:tblW w:w="4716" w:type="dxa"/>
        <w:jc w:val="left"/>
        <w:tblInd w:w="0" w:type="dxa"/>
        <w:tblLayout w:type="fixed"/>
        <w:tblCellMar>
          <w:top w:w="28" w:type="dxa"/>
          <w:left w:w="28" w:type="dxa"/>
          <w:bottom w:w="28" w:type="dxa"/>
          <w:right w:w="28" w:type="dxa"/>
        </w:tblCellMar>
      </w:tblPr>
      <w:tblGrid>
        <w:gridCol w:w="570"/>
        <w:gridCol w:w="502"/>
        <w:gridCol w:w="503"/>
        <w:gridCol w:w="109"/>
        <w:gridCol w:w="109"/>
        <w:gridCol w:w="109"/>
        <w:gridCol w:w="211"/>
        <w:gridCol w:w="901"/>
        <w:gridCol w:w="109"/>
        <w:gridCol w:w="109"/>
        <w:gridCol w:w="109"/>
        <w:gridCol w:w="109"/>
        <w:gridCol w:w="211"/>
        <w:gridCol w:w="901"/>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Unbilled revenue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(312,632)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(163,183)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Lease Obligations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less than one to twelve years, some of which may include options to extend the leases for up to ten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September 30, 2025,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lease-related assets and liabilities recorded:</w:t>
      </w:r>
    </w:p>
    <w:tbl>
      <w:tblPr>
        <w:tblW w:w="10205" w:type="dxa"/>
        <w:jc w:val="left"/>
        <w:tblInd w:w="0" w:type="dxa"/>
        <w:tblLayout w:type="fixed"/>
        <w:tblCellMar>
          <w:top w:w="28" w:type="dxa"/>
          <w:left w:w="28" w:type="dxa"/>
          <w:bottom w:w="28" w:type="dxa"/>
          <w:right w:w="28" w:type="dxa"/>
        </w:tblCellMar>
      </w:tblPr>
      <w:tblGrid>
        <w:gridCol w:w="967"/>
        <w:gridCol w:w="849"/>
        <w:gridCol w:w="841"/>
        <w:gridCol w:w="109"/>
        <w:gridCol w:w="109"/>
        <w:gridCol w:w="109"/>
        <w:gridCol w:w="1439"/>
        <w:gridCol w:w="1431"/>
        <w:gridCol w:w="1434"/>
        <w:gridCol w:w="109"/>
        <w:gridCol w:w="109"/>
        <w:gridCol w:w="109"/>
        <w:gridCol w:w="228"/>
        <w:gridCol w:w="781"/>
        <w:gridCol w:w="117"/>
        <w:gridCol w:w="109"/>
        <w:gridCol w:w="109"/>
        <w:gridCol w:w="109"/>
        <w:gridCol w:w="219"/>
        <w:gridCol w:w="752"/>
        <w:gridCol w:w="166"/>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6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Classification on the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right-of-use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47,110 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45,863 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33,025 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32,426 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46,989 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45,613 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lease terms and discount rates:</w:t>
      </w:r>
    </w:p>
    <w:tbl>
      <w:tblPr>
        <w:tblW w:w="7390" w:type="dxa"/>
        <w:jc w:val="left"/>
        <w:tblInd w:w="0" w:type="dxa"/>
        <w:tblLayout w:type="fixed"/>
        <w:tblCellMar>
          <w:top w:w="28" w:type="dxa"/>
          <w:left w:w="28" w:type="dxa"/>
          <w:bottom w:w="28" w:type="dxa"/>
          <w:right w:w="28" w:type="dxa"/>
        </w:tblCellMar>
      </w:tblPr>
      <w:tblGrid>
        <w:gridCol w:w="1734"/>
        <w:gridCol w:w="1522"/>
        <w:gridCol w:w="1528"/>
        <w:gridCol w:w="254"/>
        <w:gridCol w:w="254"/>
        <w:gridCol w:w="632"/>
        <w:gridCol w:w="109"/>
        <w:gridCol w:w="109"/>
        <w:gridCol w:w="109"/>
        <w:gridCol w:w="231"/>
        <w:gridCol w:w="231"/>
        <w:gridCol w:w="677"/>
      </w:tblGrid>
      <w:tr>
        <w:trPr/>
        <w:tc>
          <w:tcPr>
            <w:tcW w:w="1734"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finance leases</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years</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years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finance leases</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3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certain information related to the lease costs for finance and operating leases:</w:t>
      </w:r>
    </w:p>
    <w:tbl>
      <w:tblPr>
        <w:tblW w:w="8216" w:type="dxa"/>
        <w:jc w:val="left"/>
        <w:tblInd w:w="0" w:type="dxa"/>
        <w:tblLayout w:type="fixed"/>
        <w:tblCellMar>
          <w:top w:w="28" w:type="dxa"/>
          <w:left w:w="28" w:type="dxa"/>
          <w:bottom w:w="28" w:type="dxa"/>
          <w:right w:w="28" w:type="dxa"/>
        </w:tblCellMar>
      </w:tblPr>
      <w:tblGrid>
        <w:gridCol w:w="1053"/>
        <w:gridCol w:w="927"/>
        <w:gridCol w:w="92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other information and supplemental cash flow information related to finance and operating leases:</w:t>
      </w:r>
    </w:p>
    <w:tbl>
      <w:tblPr>
        <w:tblW w:w="9188" w:type="dxa"/>
        <w:jc w:val="left"/>
        <w:tblInd w:w="0" w:type="dxa"/>
        <w:tblLayout w:type="fixed"/>
        <w:tblCellMar>
          <w:top w:w="28" w:type="dxa"/>
          <w:left w:w="28" w:type="dxa"/>
          <w:bottom w:w="28" w:type="dxa"/>
          <w:right w:w="28" w:type="dxa"/>
        </w:tblCellMar>
      </w:tblPr>
      <w:tblGrid>
        <w:gridCol w:w="2264"/>
        <w:gridCol w:w="1994"/>
        <w:gridCol w:w="2011"/>
        <w:gridCol w:w="109"/>
        <w:gridCol w:w="109"/>
        <w:gridCol w:w="109"/>
        <w:gridCol w:w="223"/>
        <w:gridCol w:w="762"/>
        <w:gridCol w:w="115"/>
        <w:gridCol w:w="115"/>
        <w:gridCol w:w="115"/>
        <w:gridCol w:w="115"/>
        <w:gridCol w:w="223"/>
        <w:gridCol w:w="762"/>
        <w:gridCol w:w="162"/>
      </w:tblGrid>
      <w:tr>
        <w:trPr/>
        <w:tc>
          <w:tcPr>
            <w:tcW w:w="226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obtained in exchange for new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obtained in exchange for new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future undiscounted minimum lease payments, as reconciled to the discounted minimum lease obligation indicated on the Company’s consolidated balance sheets, under financial leases, less interest, and under operating leases, less imputed interest, as of September 30, 2025 were as follows:</w:t>
      </w:r>
    </w:p>
    <w:tbl>
      <w:tblPr>
        <w:tblW w:w="10015" w:type="dxa"/>
        <w:jc w:val="left"/>
        <w:tblInd w:w="0" w:type="dxa"/>
        <w:tblLayout w:type="fixed"/>
        <w:tblCellMar>
          <w:top w:w="28" w:type="dxa"/>
          <w:left w:w="28" w:type="dxa"/>
          <w:bottom w:w="28" w:type="dxa"/>
          <w:right w:w="28" w:type="dxa"/>
        </w:tblCellMar>
      </w:tblPr>
      <w:tblGrid>
        <w:gridCol w:w="1901"/>
        <w:gridCol w:w="1671"/>
        <w:gridCol w:w="1678"/>
        <w:gridCol w:w="109"/>
        <w:gridCol w:w="109"/>
        <w:gridCol w:w="109"/>
        <w:gridCol w:w="314"/>
        <w:gridCol w:w="917"/>
        <w:gridCol w:w="163"/>
        <w:gridCol w:w="109"/>
        <w:gridCol w:w="109"/>
        <w:gridCol w:w="109"/>
        <w:gridCol w:w="264"/>
        <w:gridCol w:w="904"/>
        <w:gridCol w:w="136"/>
        <w:gridCol w:w="109"/>
        <w:gridCol w:w="109"/>
        <w:gridCol w:w="109"/>
        <w:gridCol w:w="211"/>
        <w:gridCol w:w="721"/>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Finance</w:t>
              <w:br/>
              <w:t>Lease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 Lease</w:t>
              <w:br/>
              <w:t>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Lease</w:t>
              <w:br/>
              <w:t>Obligations</w:t>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51,992 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component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present value of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finance and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finance and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31,623 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subsidiaries of the Company have ongoing operating leases for facilities that were entered into or extended with third-party companies that, are or were, owned in whole or part, by employees of the subsidiaries. The terms and rental rates of these leases are at or below market rental rates. Lease expense associated with these leases was $0.7 million and $1.9 million for the three and nine months ended September 30, 2025 and $0.6 million and $1.9 million for the three and nine months ended September 30, 2024. As of September 30, 2025, the minimum lease payments required under these leases totaled $7.9 million, which are due over the next 3.9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determined that the carrying value of cash and cash equivalents approximated fair value based on Level 1 inputs. As of September 30, 2025 and December 31, 2024, the fair value of the Company’s long-term debt and finance lease obligations was based on Level 2 inputs. The Company’s long-term debt was based on variable and fixed interest rates at September 30, 2025 and December 31, 2024, for new issues with similar remaining maturities, and approximated carrying value. In addition, based on borrowing rates currently available to the Company for borrowings with similar terms, the carrying value of the Company’s finance lease obligations also approximated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Debt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reflects the Company’s total debt, including borrowings under its credit agreement and master loan agreements for equipment notes:</w:t>
      </w:r>
    </w:p>
    <w:tbl>
      <w:tblPr>
        <w:tblW w:w="10205" w:type="dxa"/>
        <w:jc w:val="left"/>
        <w:tblInd w:w="0" w:type="dxa"/>
        <w:tblLayout w:type="fixed"/>
        <w:tblCellMar>
          <w:top w:w="28" w:type="dxa"/>
          <w:left w:w="28" w:type="dxa"/>
          <w:bottom w:w="28" w:type="dxa"/>
          <w:right w:w="28" w:type="dxa"/>
        </w:tblCellMar>
      </w:tblPr>
      <w:tblGrid>
        <w:gridCol w:w="601"/>
        <w:gridCol w:w="425"/>
        <w:gridCol w:w="427"/>
        <w:gridCol w:w="109"/>
        <w:gridCol w:w="109"/>
        <w:gridCol w:w="109"/>
        <w:gridCol w:w="390"/>
        <w:gridCol w:w="390"/>
        <w:gridCol w:w="391"/>
        <w:gridCol w:w="109"/>
        <w:gridCol w:w="109"/>
        <w:gridCol w:w="109"/>
        <w:gridCol w:w="451"/>
        <w:gridCol w:w="451"/>
        <w:gridCol w:w="452"/>
        <w:gridCol w:w="109"/>
        <w:gridCol w:w="109"/>
        <w:gridCol w:w="109"/>
        <w:gridCol w:w="374"/>
        <w:gridCol w:w="374"/>
        <w:gridCol w:w="378"/>
        <w:gridCol w:w="109"/>
        <w:gridCol w:w="109"/>
        <w:gridCol w:w="109"/>
        <w:gridCol w:w="191"/>
        <w:gridCol w:w="191"/>
        <w:gridCol w:w="192"/>
        <w:gridCol w:w="109"/>
        <w:gridCol w:w="109"/>
        <w:gridCol w:w="109"/>
        <w:gridCol w:w="258"/>
        <w:gridCol w:w="886"/>
        <w:gridCol w:w="134"/>
        <w:gridCol w:w="109"/>
        <w:gridCol w:w="109"/>
        <w:gridCol w:w="109"/>
        <w:gridCol w:w="247"/>
        <w:gridCol w:w="849"/>
        <w:gridCol w:w="191"/>
      </w:tblGrid>
      <w:tr>
        <w:trPr/>
        <w:tc>
          <w:tcPr>
            <w:tcW w:w="60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 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Interest</w:t>
              <w:br/>
              <w:t>Rate (per annum)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w:t>
              <w:br/>
              <w:t>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Balance 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Balance 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equipment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74,381 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67,422 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70,018 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non-US currencies, up to the U.S. dollar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 The weighted average interest rate on borrowings outstanding on the Facility was 4.92% and 7.03%, per annum, for the nine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September 30,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had $60.4 million of borrowings outstanding under the Facility and letters of credit outstanding under the Facility of $29.9 million, including $29.8 million related to the Company's payment obligation under its insurance programs and $0.1 million related to contract performance obligations.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2024, the Company had $58.4 million of borrowings outstanding under the Facility and letters of credit outstanding under the Facility of $37.3 million, including $32.6 million related to the Company's payment obligation under its insurance programs and $4.7 million related to contract performance obligations.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had remaining deferred debt issuance costs related to the Facility totaling $1.4 million and $1.8 million as of September 30, 2025 and December 31, 2024, respectively. As permitted, debt issuance costs have been deferred and are presented as an asset within other assets, which is amortized as interest expense over the term of the Facility.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Equipment Notes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Master Equipment Loan and Security Agreements (the “Master Loan Agreements”) with multiple finance companies. The Master Loan Agreements may be used for the financing of equipment between the Company and the lenders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had one Equipment Note outstanding under the Master Loan Agreements that is collateralized by equipment and vehicles owned by the Company. As of September 30, 2025, the Company had one other equipment note outstanding that is collateralized by a vehicle owned by the Company. The following table sets forth our remaining principal payments for all of the Company’s outstanding equipment notes as of September 30, 2025:</w:t>
      </w:r>
    </w:p>
    <w:tbl>
      <w:tblPr>
        <w:tblW w:w="5293" w:type="dxa"/>
        <w:jc w:val="left"/>
        <w:tblInd w:w="0" w:type="dxa"/>
        <w:tblLayout w:type="fixed"/>
        <w:tblCellMar>
          <w:top w:w="28" w:type="dxa"/>
          <w:left w:w="28" w:type="dxa"/>
          <w:bottom w:w="28" w:type="dxa"/>
          <w:right w:w="28" w:type="dxa"/>
        </w:tblCellMar>
      </w:tblPr>
      <w:tblGrid>
        <w:gridCol w:w="1233"/>
        <w:gridCol w:w="1084"/>
        <w:gridCol w:w="1088"/>
        <w:gridCol w:w="109"/>
        <w:gridCol w:w="109"/>
        <w:gridCol w:w="109"/>
        <w:gridCol w:w="335"/>
        <w:gridCol w:w="980"/>
        <w:gridCol w:w="246"/>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Future</w:t>
              <w:br/>
              <w:t>Equipment Notes</w:t>
              <w:br/>
              <w:t>Principal Payments</w:t>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(4,554)</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principal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7,072 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Revenue Recognition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 not-to-exceed a maximum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10–Segment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revenue by contract type for the three months ended September 30, 2025 and 2024 were as follows:</w:t>
      </w:r>
    </w:p>
    <w:tbl>
      <w:tblPr>
        <w:tblW w:w="10079" w:type="dxa"/>
        <w:jc w:val="left"/>
        <w:tblInd w:w="0" w:type="dxa"/>
        <w:tblLayout w:type="fixed"/>
        <w:tblCellMar>
          <w:top w:w="28" w:type="dxa"/>
          <w:left w:w="28" w:type="dxa"/>
          <w:bottom w:w="28" w:type="dxa"/>
          <w:right w:w="28" w:type="dxa"/>
        </w:tblCellMar>
      </w:tblPr>
      <w:tblGrid>
        <w:gridCol w:w="607"/>
        <w:gridCol w:w="535"/>
        <w:gridCol w:w="53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418"/>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503,436 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079" w:type="dxa"/>
        <w:jc w:val="left"/>
        <w:tblInd w:w="0" w:type="dxa"/>
        <w:tblLayout w:type="fixed"/>
        <w:tblCellMar>
          <w:top w:w="28" w:type="dxa"/>
          <w:left w:w="28" w:type="dxa"/>
          <w:bottom w:w="28" w:type="dxa"/>
          <w:right w:w="28" w:type="dxa"/>
        </w:tblCellMar>
      </w:tblPr>
      <w:tblGrid>
        <w:gridCol w:w="607"/>
        <w:gridCol w:w="535"/>
        <w:gridCol w:w="53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418"/>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888,043 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revenue by contract type for the nine months ended September 30, 2025 and 2024 were as follows:</w:t>
      </w:r>
    </w:p>
    <w:tbl>
      <w:tblPr>
        <w:tblW w:w="10205" w:type="dxa"/>
        <w:jc w:val="left"/>
        <w:tblInd w:w="0" w:type="dxa"/>
        <w:tblLayout w:type="fixed"/>
        <w:tblCellMar>
          <w:top w:w="28" w:type="dxa"/>
          <w:left w:w="28" w:type="dxa"/>
          <w:bottom w:w="28" w:type="dxa"/>
          <w:right w:w="28" w:type="dxa"/>
        </w:tblCellMar>
      </w:tblPr>
      <w:tblGrid>
        <w:gridCol w:w="489"/>
        <w:gridCol w:w="431"/>
        <w:gridCol w:w="433"/>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20"/>
      </w:tblGrid>
      <w:tr>
        <w:trPr/>
        <w:tc>
          <w:tcPr>
            <w:tcW w:w="48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1,212,866 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2,684,345 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489"/>
        <w:gridCol w:w="431"/>
        <w:gridCol w:w="433"/>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20"/>
      </w:tblGrid>
      <w:tr>
        <w:trPr/>
        <w:tc>
          <w:tcPr>
            <w:tcW w:w="48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2,532,495 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revenue by market type for the three months ended September 30, 2025 and 2024 were as follows:</w:t>
      </w:r>
    </w:p>
    <w:tbl>
      <w:tblPr>
        <w:tblW w:w="10205" w:type="dxa"/>
        <w:jc w:val="left"/>
        <w:tblInd w:w="0" w:type="dxa"/>
        <w:tblLayout w:type="fixed"/>
        <w:tblCellMar>
          <w:top w:w="28" w:type="dxa"/>
          <w:left w:w="28" w:type="dxa"/>
          <w:bottom w:w="28" w:type="dxa"/>
          <w:right w:w="28" w:type="dxa"/>
        </w:tblCellMar>
      </w:tblPr>
      <w:tblGrid>
        <w:gridCol w:w="706"/>
        <w:gridCol w:w="616"/>
        <w:gridCol w:w="617"/>
        <w:gridCol w:w="109"/>
        <w:gridCol w:w="109"/>
        <w:gridCol w:w="109"/>
        <w:gridCol w:w="243"/>
        <w:gridCol w:w="956"/>
        <w:gridCol w:w="125"/>
        <w:gridCol w:w="125"/>
        <w:gridCol w:w="125"/>
        <w:gridCol w:w="125"/>
        <w:gridCol w:w="307"/>
        <w:gridCol w:w="309"/>
        <w:gridCol w:w="367"/>
        <w:gridCol w:w="125"/>
        <w:gridCol w:w="125"/>
        <w:gridCol w:w="125"/>
        <w:gridCol w:w="240"/>
        <w:gridCol w:w="240"/>
        <w:gridCol w:w="241"/>
        <w:gridCol w:w="109"/>
        <w:gridCol w:w="109"/>
        <w:gridCol w:w="109"/>
        <w:gridCol w:w="243"/>
        <w:gridCol w:w="955"/>
        <w:gridCol w:w="125"/>
        <w:gridCol w:w="125"/>
        <w:gridCol w:w="125"/>
        <w:gridCol w:w="125"/>
        <w:gridCol w:w="307"/>
        <w:gridCol w:w="309"/>
        <w:gridCol w:w="367"/>
        <w:gridCol w:w="125"/>
        <w:gridCol w:w="125"/>
        <w:gridCol w:w="125"/>
        <w:gridCol w:w="224"/>
        <w:gridCol w:w="224"/>
        <w:gridCol w:w="330"/>
      </w:tblGrid>
      <w:tr>
        <w:trPr/>
        <w:tc>
          <w:tcPr>
            <w:tcW w:w="70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w:t>
            </w:r>
          </w:p>
        </w:tc>
      </w:tr>
      <w:tr>
        <w:trPr/>
        <w:tc>
          <w:tcPr>
            <w:tcW w:w="1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293,022 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276,663 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T&amp;D</w:t>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210,414 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205,213 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T&amp;D</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Electrical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446,964 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C&amp;I</w:t>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950,400 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888,043 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revenue by market type for the nine months ended September 30, 2025 and 2024 were as follows:</w:t>
      </w:r>
    </w:p>
    <w:tbl>
      <w:tblPr>
        <w:tblW w:w="10205" w:type="dxa"/>
        <w:jc w:val="left"/>
        <w:tblInd w:w="0" w:type="dxa"/>
        <w:tblLayout w:type="fixed"/>
        <w:tblCellMar>
          <w:top w:w="28" w:type="dxa"/>
          <w:left w:w="28" w:type="dxa"/>
          <w:bottom w:w="28" w:type="dxa"/>
          <w:right w:w="28" w:type="dxa"/>
        </w:tblCellMar>
      </w:tblPr>
      <w:tblGrid>
        <w:gridCol w:w="707"/>
        <w:gridCol w:w="618"/>
        <w:gridCol w:w="619"/>
        <w:gridCol w:w="109"/>
        <w:gridCol w:w="109"/>
        <w:gridCol w:w="109"/>
        <w:gridCol w:w="224"/>
        <w:gridCol w:w="1041"/>
        <w:gridCol w:w="115"/>
        <w:gridCol w:w="115"/>
        <w:gridCol w:w="115"/>
        <w:gridCol w:w="115"/>
        <w:gridCol w:w="307"/>
        <w:gridCol w:w="309"/>
        <w:gridCol w:w="367"/>
        <w:gridCol w:w="115"/>
        <w:gridCol w:w="115"/>
        <w:gridCol w:w="115"/>
        <w:gridCol w:w="240"/>
        <w:gridCol w:w="240"/>
        <w:gridCol w:w="241"/>
        <w:gridCol w:w="109"/>
        <w:gridCol w:w="109"/>
        <w:gridCol w:w="109"/>
        <w:gridCol w:w="224"/>
        <w:gridCol w:w="1039"/>
        <w:gridCol w:w="115"/>
        <w:gridCol w:w="115"/>
        <w:gridCol w:w="115"/>
        <w:gridCol w:w="115"/>
        <w:gridCol w:w="307"/>
        <w:gridCol w:w="309"/>
        <w:gridCol w:w="367"/>
        <w:gridCol w:w="115"/>
        <w:gridCol w:w="115"/>
        <w:gridCol w:w="115"/>
        <w:gridCol w:w="224"/>
        <w:gridCol w:w="224"/>
        <w:gridCol w:w="334"/>
      </w:tblGrid>
      <w:tr>
        <w:trPr/>
        <w:tc>
          <w:tcPr>
            <w:tcW w:w="70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9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w:t>
            </w:r>
          </w:p>
        </w:tc>
      </w:tr>
      <w:tr>
        <w:trPr/>
        <w:tc>
          <w:tcPr>
            <w:tcW w:w="1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868,244 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873,077 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T&amp;D</w:t>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603,235 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557,403 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T&amp;D</w:t>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Electrical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1,212,866 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1,102,015 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C&amp;I</w:t>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2,684,345 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2,532,495 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had $2.34 billion of remaining performance obligations. The Company’s remaining performance obligations include projects that have a written award, a letter of intent, a notice to proceed or an agreed upon work order to perform work on mutually accepted terms and conditions. The timing of when remaining performance obligations are recognized is evaluated quarterly and is largely driven by the estimated start date and duration of the underlying projects.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 of remaining performance obligations as of September 30, 2025 that the Company expects to be realized and the amount of the remaining performance obligations that the Company reasonably estimates will be recognized within the next twelve months, and the amount estimated to be recognized after the next twelve months.</w:t>
      </w:r>
    </w:p>
    <w:tbl>
      <w:tblPr>
        <w:tblW w:w="10205" w:type="dxa"/>
        <w:jc w:val="left"/>
        <w:tblInd w:w="0" w:type="dxa"/>
        <w:tblLayout w:type="fixed"/>
        <w:tblCellMar>
          <w:top w:w="28" w:type="dxa"/>
          <w:left w:w="28" w:type="dxa"/>
          <w:bottom w:w="28" w:type="dxa"/>
          <w:right w:w="28" w:type="dxa"/>
        </w:tblCellMar>
      </w:tblPr>
      <w:tblGrid>
        <w:gridCol w:w="391"/>
        <w:gridCol w:w="345"/>
        <w:gridCol w:w="346"/>
        <w:gridCol w:w="109"/>
        <w:gridCol w:w="109"/>
        <w:gridCol w:w="109"/>
        <w:gridCol w:w="212"/>
        <w:gridCol w:w="984"/>
        <w:gridCol w:w="109"/>
        <w:gridCol w:w="109"/>
        <w:gridCol w:w="109"/>
        <w:gridCol w:w="109"/>
        <w:gridCol w:w="560"/>
        <w:gridCol w:w="2594"/>
        <w:gridCol w:w="288"/>
        <w:gridCol w:w="109"/>
        <w:gridCol w:w="109"/>
        <w:gridCol w:w="109"/>
        <w:gridCol w:w="599"/>
        <w:gridCol w:w="2350"/>
        <w:gridCol w:w="446"/>
      </w:tblGrid>
      <w:tr>
        <w:trPr/>
        <w:tc>
          <w:tcPr>
            <w:tcW w:w="3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Remaining Performance Obligations at September 30, 2025</w:t>
            </w:r>
          </w:p>
        </w:tc>
      </w:tr>
      <w:tr>
        <w:trPr/>
        <w:tc>
          <w:tcPr>
            <w:tcW w:w="10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estimated to be recognized within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estimated to be recognized after 12 months</w:t>
            </w:r>
          </w:p>
        </w:tc>
      </w:tr>
      <w:tr>
        <w:trPr/>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607,085 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1,722,288 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1,506,053 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216,235 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2,113,138 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228,235 </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pPr>
      <w:r>
        <w:rPr>
          <w:rFonts w:ascii="Times New Roman;serif" w:hAnsi="Times New Roman;serif"/>
          <w:b w:val="false"/>
          <w:color w:val="000000"/>
          <w:sz w:val="20"/>
        </w:rPr>
        <w:t>The Company estimates approximately 95% or more</w:t>
      </w:r>
      <w:r>
        <w:rPr>
          <w:color w:val="EE2724"/>
        </w:rPr>
        <w:t xml:space="preserve"> </w:t>
      </w:r>
      <w:r>
        <w:rPr>
          <w:rFonts w:ascii="Times New Roman;serif" w:hAnsi="Times New Roman;serif"/>
          <w:b w:val="false"/>
          <w:color w:val="000000"/>
          <w:sz w:val="20"/>
        </w:rPr>
        <w:t>of the remaining performance obligations will be recognized within twenty-four months, including approximately 90% of the remaining performance obligations estimated to be recognized within twelve months, although the timing of the Company’s performance is not always under its control. The timing of when remaining performance obligations are recognized by the Company can vary considerably and is impacted by multiple variables including, but not limited to: changes in the estimated versus actual start time of a project; the availability of labor, equipment and materials; changes in project workflow; weather; project delays and accelerations; and the timing of final contract settlements.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Income Taxes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U.S. federal statutory tax rate was 21% for each of the three and nine months ended September 30, 2025 and 2024. The Company’s effective tax rate for the three and nine months ended September 30, 2025 was 28.3% and 28.7%, respectively, of pretax income compared to the effective tax rate for the three and nine months ended September 30, 2024 of 42.5% and 26.6%, respectively.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difference between the U.S. federal statutory tax rate and the Company’s effective tax rates for the three and nine months ended September 30, 2025 was primarily due to permanent difference items and state income taxes.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difference between the U.S. federal statutory tax rate and the Company’s effective tax rates for the three months ended September 30, 2024 was primarily due to permanent difference items, largely related to deductibility limits of certain compensation including contingent compensation associated with a prior acquisition and U.S. taxes on Canadian income, as well as state income taxes.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difference between the U.S. federal statutory tax rate and the Company’s effective tax rate for the nine months ended September 30, 2024 was primarily due to permanent difference items, largely related to deductibility limits of certain compensation including contingent compensation associated with a prior acquisition and U.S. taxes on Canadian income, as well as state income taxes, partially offset by a favorable impact from stock compensation excess tax benefits.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recorded a liability for unrecognized tax benefits of approximately $0.4 million and $0.3 million as of September 30, 2025 and December 31, 2024, respectively, which were included in other liabilities in the accompanying consolidated balance sheets.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and nine months ended September 30, 2025 and 2024.</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taxation in various jurisdictions. The Company’s 2020 through 2023 tax returns are subject to examination by U.S. federal authorities. The Company’s tax returns are subject to examination by various state authorities for the years 2019 through 2023. The Company’s 2020 through 2024 Canadian tax returns are subject to examination by the Canadian Revenue Agency.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“Act”) was signed into law. The Act includes significant provisions, such as the permanent extension of certain expiring provisions of the Tax Cuts and Jobs Act, modifications to the international tax framework and the restoration of favorable tax treatment for certain business provisions. The Act has multiple effective dates, with certain provisions effective in 2025 and others implemented through 2027. The Act did not have a material impact on the Company’s effective tax rate for the three and nine months ended September 30, 2025. While further evaluation is ongoing, the Act is not expected to have a material impact on the Company's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had approximately $7.3 million in outstanding purchase orders for certain construction equipment, with cash payments scheduled to occur in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Insurance and Claims Accruals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carries insurance policies, which are subject to certain deductibles and limits, for workers’ compensation, general liability, automobile liability and other insurance coverage. The deductible per occurrence for each line of coverage is up to $1.0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Company’s consolidated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 and Payment Bonds and Parent Guarantees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certain circumstances, the Company is required to provide performance and payment bonds in connection with its future performance on certain contractual commitments. The Company has indemnified its sureties for any expenses paid out under these bonds. As of September 30, 2025, an aggregate of approximately $2.26 billion in original face amount of bonds issued by the Company’s sureties were outstanding. The Company estimated the remaining cost to complete these bonded projects was approximately $702.2 million as of September 30, 2025.</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Indemnities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Collective Bargaining Agreements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Litigation and Other Legal Matters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from time to 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routinely subject to other civil claims, litigation and arbitration, and regulatory investigations arising in the ordinary course of business. These claims, lawsuits and other proceedings include claims related to the Company’s current services and operations, as well as our historic operations.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Stock-Based Compensation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an equity compensation plan under which stock-based compensation has been granted: the 2017 Long-Term Incentive Plan (Amended and Restated as of April 24, 2024) (the “LTIP”). The LTIP was approved by our shareholders and provides for grants of (a) incentive stock options qualified as such under U.S. federal income tax laws, (b) stock options that do not qualify as incentive stock options, (c) stock appreciation rights, (d) restricted stock awards, (e) restricted stock units, (f) performance awards, (g) phantom stock, (h) stock bonuses, (i) dividend equivalents, or (j) any combination of such grants. The Company has outstanding grants of time-vested stock awards in the form of restricted stock units and internal metric-based and market-based performance stock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granted time-vested stock awards covering 68,813 shares of common stock under the LTIP, which vest ratably over three years for employee awards and after one year for non-employee director awards, at a weighted average grant date fair value of $126.98. During the nine months ended September 30, 2025, time-vested stock awards covering 39,629 shares of common stock vested at a weighted average grant date fair value of $134.78.</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granted 53,678 performance share awards under the LTIP at target, which will cliff vest, if earned, on December 31, 2027, at a weighted average grant date fair value of $148.73. The number of shares ultimately earned under a performance award may vary from zero to 200% of the target shares granted, based upon the Company’s performance compared to certain financial and other metrics. 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following the performance period if the stated performance targets and minimum service requirements are attained and are paid in shares of the Company’s common stock.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expense related to restricted stock units based on the grant date fair value, which was the closing price of the Company’s stock on the date of grant. The fair value is expensed over the service period, which is generally three years.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Segment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Operating segments are defined as components of an enterprise about which separate financial information is evaluated regularly by the chief operating decision maker (“CODM”) in deciding how to allocate resources and in assessing performance. The Company’s CODM is the Chief Executive Officer. The CODM uses segment revenue and income from operations, over multiple time periods, along with a comparison to the corresponding budgeted and prior year periods, as the primary basis for assessing segment performance and deciding how to allocate resources. Income from operations is the Company’s reported measure of segment profit or loss, as summarized in the table below, and excludes general corporate expenses. General corporate expenses reflect items that are generally viewed as Company-wide operating costs by the CODM and include items such as corporate facility and staffing costs, which includes safety costs, professional fees, IT expenses and certain management fees. The CODM also considers many other factors, such as contract terms, individual project performance, project location and other items, to support the CODM’s assessment of segment performance and resource allocation decisions.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clean energy projects and electric vehicle charging infrastructure. The T&amp;D segment also provides emergency restoration services. T&amp;D customers include investor-owned utilities, cooperatives, private developers, government-funded utilities, independent power producers, independent transmission companies, industrial facility owners and other contractors.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and Industrial: The C&amp;I segment provides services such as the design, installation, maintenance and repair of commercial and industrial wiring, the installation of intelligent transportation systems, roadway lighting, signalization and electric vehicle charging infrastructure. Typical C&amp;I contracts cover electrical contracting services for data centers, airports, hospitals, hotels, stadiums, commercial and industrial facilities, clean energy projects, manufacturing plants, processing facilities, water/waste-water treatment facilities, mining facilities, and transportation control and management systems. The C&amp;I segment generally provides electric construction and maintenance services as a subcontractor to general contractors in the C&amp;I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but also contracts directly with facility owners. The C&amp;I segment has a diverse customer base with many long-standing relationships.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the following table is derived from the segment’s internal financial reports used for corporate management purposes:</w:t>
      </w:r>
    </w:p>
    <w:tbl>
      <w:tblPr>
        <w:tblW w:w="9770" w:type="dxa"/>
        <w:jc w:val="left"/>
        <w:tblInd w:w="0" w:type="dxa"/>
        <w:tblLayout w:type="fixed"/>
        <w:tblCellMar>
          <w:top w:w="28" w:type="dxa"/>
          <w:left w:w="28" w:type="dxa"/>
          <w:bottom w:w="28" w:type="dxa"/>
          <w:right w:w="28" w:type="dxa"/>
        </w:tblCellMar>
      </w:tblPr>
      <w:tblGrid>
        <w:gridCol w:w="1258"/>
        <w:gridCol w:w="1110"/>
        <w:gridCol w:w="1112"/>
        <w:gridCol w:w="109"/>
        <w:gridCol w:w="109"/>
        <w:gridCol w:w="109"/>
        <w:gridCol w:w="211"/>
        <w:gridCol w:w="826"/>
        <w:gridCol w:w="109"/>
        <w:gridCol w:w="109"/>
        <w:gridCol w:w="109"/>
        <w:gridCol w:w="109"/>
        <w:gridCol w:w="211"/>
        <w:gridCol w:w="826"/>
        <w:gridCol w:w="109"/>
        <w:gridCol w:w="109"/>
        <w:gridCol w:w="109"/>
        <w:gridCol w:w="109"/>
        <w:gridCol w:w="435"/>
        <w:gridCol w:w="839"/>
        <w:gridCol w:w="225"/>
        <w:gridCol w:w="109"/>
        <w:gridCol w:w="109"/>
        <w:gridCol w:w="109"/>
        <w:gridCol w:w="211"/>
        <w:gridCol w:w="826"/>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 2025</w:t>
            </w:r>
          </w:p>
        </w:tc>
      </w:tr>
      <w:tr>
        <w:trPr/>
        <w:tc>
          <w:tcPr>
            <w:tcW w:w="348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General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costs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(23,773)</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69" w:type="dxa"/>
        <w:jc w:val="left"/>
        <w:tblInd w:w="0" w:type="dxa"/>
        <w:tblLayout w:type="fixed"/>
        <w:tblCellMar>
          <w:top w:w="28" w:type="dxa"/>
          <w:left w:w="28" w:type="dxa"/>
          <w:bottom w:w="28" w:type="dxa"/>
          <w:right w:w="28" w:type="dxa"/>
        </w:tblCellMar>
      </w:tblPr>
      <w:tblGrid>
        <w:gridCol w:w="1258"/>
        <w:gridCol w:w="1109"/>
        <w:gridCol w:w="1112"/>
        <w:gridCol w:w="109"/>
        <w:gridCol w:w="109"/>
        <w:gridCol w:w="109"/>
        <w:gridCol w:w="211"/>
        <w:gridCol w:w="826"/>
        <w:gridCol w:w="109"/>
        <w:gridCol w:w="109"/>
        <w:gridCol w:w="109"/>
        <w:gridCol w:w="109"/>
        <w:gridCol w:w="211"/>
        <w:gridCol w:w="826"/>
        <w:gridCol w:w="109"/>
        <w:gridCol w:w="109"/>
        <w:gridCol w:w="109"/>
        <w:gridCol w:w="109"/>
        <w:gridCol w:w="435"/>
        <w:gridCol w:w="839"/>
        <w:gridCol w:w="225"/>
        <w:gridCol w:w="109"/>
        <w:gridCol w:w="109"/>
        <w:gridCol w:w="109"/>
        <w:gridCol w:w="211"/>
        <w:gridCol w:w="826"/>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 2024</w:t>
            </w:r>
          </w:p>
        </w:tc>
      </w:tr>
      <w:tr>
        <w:trPr/>
        <w:tc>
          <w:tcPr>
            <w:tcW w:w="347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General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costs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(17,516)</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54"/>
        <w:gridCol w:w="1105"/>
        <w:gridCol w:w="1107"/>
        <w:gridCol w:w="109"/>
        <w:gridCol w:w="109"/>
        <w:gridCol w:w="109"/>
        <w:gridCol w:w="211"/>
        <w:gridCol w:w="976"/>
        <w:gridCol w:w="109"/>
        <w:gridCol w:w="109"/>
        <w:gridCol w:w="109"/>
        <w:gridCol w:w="109"/>
        <w:gridCol w:w="211"/>
        <w:gridCol w:w="976"/>
        <w:gridCol w:w="109"/>
        <w:gridCol w:w="109"/>
        <w:gridCol w:w="109"/>
        <w:gridCol w:w="109"/>
        <w:gridCol w:w="434"/>
        <w:gridCol w:w="837"/>
        <w:gridCol w:w="224"/>
        <w:gridCol w:w="109"/>
        <w:gridCol w:w="109"/>
        <w:gridCol w:w="109"/>
        <w:gridCol w:w="211"/>
        <w:gridCol w:w="976"/>
        <w:gridCol w:w="157"/>
      </w:tblGrid>
      <w:tr>
        <w:trPr/>
        <w:tc>
          <w:tcPr>
            <w:tcW w:w="125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 2025</w:t>
            </w:r>
          </w:p>
        </w:tc>
      </w:tr>
      <w:tr>
        <w:trPr/>
        <w:tc>
          <w:tcPr>
            <w:tcW w:w="346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General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2,684,345 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costs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2,563,997 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(65,752)</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120,348 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114,892 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81,868 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54"/>
        <w:gridCol w:w="1105"/>
        <w:gridCol w:w="1107"/>
        <w:gridCol w:w="109"/>
        <w:gridCol w:w="109"/>
        <w:gridCol w:w="109"/>
        <w:gridCol w:w="211"/>
        <w:gridCol w:w="976"/>
        <w:gridCol w:w="109"/>
        <w:gridCol w:w="109"/>
        <w:gridCol w:w="109"/>
        <w:gridCol w:w="109"/>
        <w:gridCol w:w="211"/>
        <w:gridCol w:w="976"/>
        <w:gridCol w:w="109"/>
        <w:gridCol w:w="109"/>
        <w:gridCol w:w="109"/>
        <w:gridCol w:w="109"/>
        <w:gridCol w:w="434"/>
        <w:gridCol w:w="837"/>
        <w:gridCol w:w="224"/>
        <w:gridCol w:w="109"/>
        <w:gridCol w:w="109"/>
        <w:gridCol w:w="109"/>
        <w:gridCol w:w="211"/>
        <w:gridCol w:w="976"/>
        <w:gridCol w:w="157"/>
      </w:tblGrid>
      <w:tr>
        <w:trPr/>
        <w:tc>
          <w:tcPr>
            <w:tcW w:w="125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 2024</w:t>
            </w:r>
          </w:p>
        </w:tc>
      </w:tr>
      <w:tr>
        <w:trPr/>
        <w:tc>
          <w:tcPr>
            <w:tcW w:w="346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General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2,532,495 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costs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2,508,570 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(48,519)</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Operating costs include T&amp;D, C&amp;I and general corporate portion of contract costs, selling, general and administrative expenses, amortization of intangible assets and gain on sale of property and equipment. The expenses found in these other segment items are generally viewed as operating costs by the CODM and are not considered individually significant segment reporting items.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does not identify capital expenditures and total assets by segment in its internal financial reports due in part to the shared use of a centralized fleet of vehicles and specialized equipment. Identifiable assets, consisting of contract receivables, contract assets, construction materials inventory, goodwill and intangibles. As of September 30, 2025 and December 31, 2024, there were $182.5 million and $177.9 million, respectively, of identifiable assets attributable to Canadian operations. The table below reflects the identifiable assets for each segment.</w:t>
      </w:r>
    </w:p>
    <w:tbl>
      <w:tblPr>
        <w:tblW w:w="5348"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251"/>
        <w:gridCol w:w="1164"/>
        <w:gridCol w:w="130"/>
        <w:gridCol w:w="109"/>
        <w:gridCol w:w="109"/>
        <w:gridCol w:w="109"/>
        <w:gridCol w:w="243"/>
        <w:gridCol w:w="1125"/>
        <w:gridCol w:w="177"/>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604,688 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601,546 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533,143 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539,687 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507,501 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432,826 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1,645,332 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1,574,059 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allocation of total depreciation, including depreciation of shared construction equipment, and amortization to each segment is as follows:</w:t>
      </w:r>
    </w:p>
    <w:tbl>
      <w:tblPr>
        <w:tblW w:w="6495" w:type="dxa"/>
        <w:jc w:val="left"/>
        <w:tblInd w:w="0" w:type="dxa"/>
        <w:tblLayout w:type="fixed"/>
        <w:tblCellMar>
          <w:top w:w="28" w:type="dxa"/>
          <w:left w:w="28" w:type="dxa"/>
          <w:bottom w:w="28" w:type="dxa"/>
          <w:right w:w="28" w:type="dxa"/>
        </w:tblCellMar>
      </w:tblPr>
      <w:tblGrid>
        <w:gridCol w:w="985"/>
        <w:gridCol w:w="869"/>
        <w:gridCol w:w="876"/>
        <w:gridCol w:w="109"/>
        <w:gridCol w:w="109"/>
        <w:gridCol w:w="109"/>
        <w:gridCol w:w="278"/>
        <w:gridCol w:w="952"/>
        <w:gridCol w:w="143"/>
        <w:gridCol w:w="143"/>
        <w:gridCol w:w="143"/>
        <w:gridCol w:w="143"/>
        <w:gridCol w:w="278"/>
        <w:gridCol w:w="952"/>
        <w:gridCol w:w="143"/>
        <w:gridCol w:w="109"/>
        <w:gridCol w:w="154"/>
      </w:tblGrid>
      <w:tr>
        <w:trPr/>
        <w:tc>
          <w:tcPr>
            <w:tcW w:w="98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42,737 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42,386 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49,277 </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48,797 </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Earnings Per Share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computes earnings per share using the treasury stock method. Under the treasury stock method, basic earnings per share are computed by dividing net income by the weighted average number of common shares outstanding during the period, and diluted earnings per share are computed by dividing net income by the weighted average number of common shares outstanding during the period plus all potentially dilutive common stock equivalents, except in cases where the effect of the common stock equivalent would be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and the weighted average number of common shares used to compute basic and diluted earnings per share were as follows:</w:t>
      </w:r>
    </w:p>
    <w:tbl>
      <w:tblPr>
        <w:tblW w:w="10092" w:type="dxa"/>
        <w:jc w:val="left"/>
        <w:tblInd w:w="0" w:type="dxa"/>
        <w:tblLayout w:type="fixed"/>
        <w:tblCellMar>
          <w:top w:w="28" w:type="dxa"/>
          <w:left w:w="28" w:type="dxa"/>
          <w:bottom w:w="28" w:type="dxa"/>
          <w:right w:w="28" w:type="dxa"/>
        </w:tblCellMar>
      </w:tblPr>
      <w:tblGrid>
        <w:gridCol w:w="1658"/>
        <w:gridCol w:w="1456"/>
        <w:gridCol w:w="146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September 30, 2025 and 2024, certain common stock equivalents were excluded from the calculation of dilutive securities because their inclusion would have been anti-dilutive.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shares of common stock underlying the Company’s unvested time-vested stock awards and performance awards that were excluded from the calculation of dilutive securities: </w:t>
      </w:r>
    </w:p>
    <w:tbl>
      <w:tblPr>
        <w:tblW w:w="6083" w:type="dxa"/>
        <w:jc w:val="left"/>
        <w:tblInd w:w="0" w:type="dxa"/>
        <w:tblLayout w:type="fixed"/>
        <w:tblCellMar>
          <w:top w:w="28" w:type="dxa"/>
          <w:left w:w="28" w:type="dxa"/>
          <w:bottom w:w="28" w:type="dxa"/>
          <w:right w:w="28" w:type="dxa"/>
        </w:tblCellMar>
      </w:tblPr>
      <w:tblGrid>
        <w:gridCol w:w="797"/>
        <w:gridCol w:w="703"/>
        <w:gridCol w:w="704"/>
        <w:gridCol w:w="109"/>
        <w:gridCol w:w="109"/>
        <w:gridCol w:w="109"/>
        <w:gridCol w:w="203"/>
        <w:gridCol w:w="203"/>
        <w:gridCol w:w="173"/>
        <w:gridCol w:w="173"/>
        <w:gridCol w:w="173"/>
        <w:gridCol w:w="173"/>
        <w:gridCol w:w="180"/>
        <w:gridCol w:w="181"/>
        <w:gridCol w:w="173"/>
        <w:gridCol w:w="109"/>
        <w:gridCol w:w="109"/>
        <w:gridCol w:w="109"/>
        <w:gridCol w:w="180"/>
        <w:gridCol w:w="181"/>
        <w:gridCol w:w="161"/>
        <w:gridCol w:w="161"/>
        <w:gridCol w:w="161"/>
        <w:gridCol w:w="161"/>
        <w:gridCol w:w="180"/>
        <w:gridCol w:w="181"/>
        <w:gridCol w:w="227"/>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Time-vested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Share Repurchases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repurchased 20,504 shares of stock, for approximately $2.7 million, from its employees to satisfy tax obligations on shares vested under the LTIP. During the nine months ended September 30, 2024, the Company repurchased 36,397 shares of stock, for approximately $5.9 million, from its employees to satisfy tax obligations on shares vested under the LTIP.</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30, 2025, the Company announced that its Board of Directors had approved a new $75.0 million share repurchase program (the "Repurchase Program"). The Repurchase Program will expire on February 4, 2026, or when the authorized funds are exhausted, whichever is earlier. The Repurchase Program replaced and superseded the Company’s prior $75.0 million repurchase program, under which the Company had exhausted substantially all of the available funds, and such prior repurchase program was terminated. As of September 30, 2025, the Company had $75.0 million of funds available to repurchase shares of the Company’s common stock under the Repurchase Program. During the nine months ended September 30, 2025, the Company repurchased 639,207 shares of its common stock under the prior share repurchase program, at a weighted-average price of $117.33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This management’s discussion and analysis provides a narrative on the Company’s financial performance and condition that should be read in conjunction with the accompanying unaudited consolidated financial statements and with our Annual Report on Form 10-K for the year ended December 31, 2024 (the “2024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2024 Annual Report. We assume no obligation to update any of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 and Outlook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general contractors and facility owners. We strive to maintain our status as a preferred provider to our T&amp;D and C&amp;I customers.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legislative actions aimed at supporting infrastructure improvements in the United States may positively impact long-term demand and opportunity in both of our reporting segments, particularly in connection with electric power infrastructure, expansion of domestic manufacturing, and transportation spending. However, we may experience unanticipated volatility associated with policy changes and tariffs. Prolonged uncertainty in the business environment and higher inflation could also impact customer demand and our profitability.</w:t>
      </w:r>
    </w:p>
    <w:p>
      <w:pPr>
        <w:pStyle w:val="TextBody"/>
        <w:bidi w:val="0"/>
        <w:spacing w:lineRule="auto" w:line="288" w:before="200" w:after="283"/>
        <w:ind w:left="0" w:right="0" w:firstLine="720"/>
        <w:jc w:val="left"/>
        <w:rPr/>
      </w:pPr>
      <w:r>
        <w:rPr>
          <w:rFonts w:ascii="Times New Roman;serif" w:hAnsi="Times New Roman;serif"/>
          <w:b w:val="false"/>
          <w:color w:val="000000"/>
          <w:sz w:val="20"/>
        </w:rPr>
        <w:t>We had consolidated revenues for the nine months ended September 30, 2025 of $2.68 billion, of which 54.8% was attributable to our T&amp;D customers and 45.2% was attributable to our C&amp;I customers. Our consolidated revenues for the nine months ended September 30, 2024 were $2.53 billion. For the nine months ended September 30, 2025, our net income and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were $81.9 million and $168.5 million, respectively, compared to $14.3 million and $72.3 million, respectively, for the nine months ended September 30, 2024.</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there is an ongoing need for utilities to sustain investment in their transmission systems to improve reliability, reduce congestion, connect to new power generation sources and support future load growth. Consequently, we believe that we will see continued bidding activity on large transmission projects going forward. The timing of multi-year transmission project awards and substantial construction activity is difficult to predict due to regulatory requirements and the permitting needed to commence construction. Significant construction on any large, multi-year projects awarded in the remainder of 2025 will not likely begin until 2026. Bidding and construction activity for small to medium-size transmission projects and upgrades remains active, and we expect this trend to continue.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there is a need for further investment by utilities on their distribution systems to properly maintain their systems or meet reliability requirements. We continue to see strong activity in many of our electric distribution markets. We believe the increased storm activity and destruction caused by wildfires will cause a push to strengthen utility distribution systems against catastrophic damage. Distribution systems may also require upgrades to accommodate additional distributed energy resources and increased electrification. We expect to see an increase in the distribution market opportunities during the rest of 2025.</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EBITDA is a non-GAAP measure. Refer to “Non-GAAP Measure—EBITDA” for a discussion of this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 increasing demand for electricity associated with additional power requirements, driven by increased electrification associated with new technologies, including the emergence and adoption of artificial intelligence technologies as well as increased power needs connected to the reshoring of manufacturing, will require significant investment by our customers in both of our reporting segments.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C&amp;I bidding opportunities remain strong and we believe we will see continued opportunities in the primary markets we serve such as data centers, transportation, health care, clean energy and warehousing. In addition, the United States has experienced decades of underfunded economic expansion and aging infrastructure that have challenged the capacity of public water and transportation infrastructure forcing states and municipalities to seek creative means to fund needed expansion and repair. We believe the need for expanding public infrastructure in both the United States and Canada will offer opportunity in our C&amp;I segment for several years. Legislation and regulation that promotes domestic manufacturing could also create opportunity for our C&amp;I segment. We expect the long-term growth in our C&amp;I segment to generally track the overall growth of the regions we serve.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implement strategies that are designed to further expand our capabilities and effectively allocate capital. We have maintained a strong balance sheet, while also supporting our organic growth with capital expenditures and working capital and repurchasing our shares. On July 30, 2025, the Company announced that its Board of Directors had approved a new $75.0 million share repurchase program (the "Repurchase Program"). The Repurchase Program will expire on February 4, 2026, or when the authorized funds are exhausted, whichever is earlier. The Repurchase Program replaced and superseded the Company’s prior $75.0 million repurchase program, under which the Company had exhausted substantially all of the available funds, and such prior repurchase program was terminated. As of September 30, 2025, the Company had $75.0 million of funds available to repurchase shares of the Company’s common stock under the Repurchase Program. During the nine months ended September 30, 2025, the Company repurchased 639,207 shares of its common stock under the prior repurchase program, at a weighted-average price of $117.33 per share. We believe the borrowing availability under our $490 million revolving credit facility and future cash flow from operations will enable us to support the organic growth of our business, pursue acquisitions and opportunistically repurchase shares.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manage our increasing operating costs, including increasing insurance, equipment, labor and material costs. We believe that our financial position, positive cash flows and other operational strengths will enable us to respond to challenges and uncertainties in the markets we serve and give us the flexibility to successfully execute our strategy. We continue to invest in developing key management and craft personnel in both our T&amp;D and C&amp;I segments and in procuring the specific specialty equipment and tooling needed to win and execute projects of all sizes and complexity.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6–Revenue Recognition in the accompanying notes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backlog was $2.66 billion at September 30, 2025, compared to $2.58 billion at December 31, 2024 and $2.60 billion at September 30, 2024. Our backlog at September 30, 2025 increased $21.1 million from June 30, 2025. Backlog in the T&amp;D segment increased $2.5 million and C&amp;I backlog increased $18.6 million compared to June 30, 2025. Our backlog as of September 30, 2025 included our proportionate share of joint venture backlog totaling $166.0 million, compared to $172.9 million at June 30,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that amount of our backlog that we believe to be firm as of the dates shown and the amount of our current backlog that we reasonably estimate will not be recognized within the next twelve months, and the amount estimated to be recognized after the next twelve months:</w:t>
      </w:r>
    </w:p>
    <w:tbl>
      <w:tblPr>
        <w:tblW w:w="10205" w:type="dxa"/>
        <w:jc w:val="left"/>
        <w:tblInd w:w="0" w:type="dxa"/>
        <w:tblLayout w:type="fixed"/>
        <w:tblCellMar>
          <w:top w:w="28" w:type="dxa"/>
          <w:left w:w="28" w:type="dxa"/>
          <w:bottom w:w="28" w:type="dxa"/>
          <w:right w:w="28" w:type="dxa"/>
        </w:tblCellMar>
      </w:tblPr>
      <w:tblGrid>
        <w:gridCol w:w="394"/>
        <w:gridCol w:w="347"/>
        <w:gridCol w:w="348"/>
        <w:gridCol w:w="109"/>
        <w:gridCol w:w="109"/>
        <w:gridCol w:w="109"/>
        <w:gridCol w:w="211"/>
        <w:gridCol w:w="976"/>
        <w:gridCol w:w="109"/>
        <w:gridCol w:w="109"/>
        <w:gridCol w:w="109"/>
        <w:gridCol w:w="109"/>
        <w:gridCol w:w="330"/>
        <w:gridCol w:w="1528"/>
        <w:gridCol w:w="170"/>
        <w:gridCol w:w="109"/>
        <w:gridCol w:w="109"/>
        <w:gridCol w:w="109"/>
        <w:gridCol w:w="355"/>
        <w:gridCol w:w="1391"/>
        <w:gridCol w:w="183"/>
        <w:gridCol w:w="109"/>
        <w:gridCol w:w="109"/>
        <w:gridCol w:w="109"/>
        <w:gridCol w:w="401"/>
        <w:gridCol w:w="1856"/>
        <w:gridCol w:w="298"/>
      </w:tblGrid>
      <w:tr>
        <w:trPr/>
        <w:tc>
          <w:tcPr>
            <w:tcW w:w="39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Backlog at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estimated to be </w:t>
              <w:br/>
              <w:t>recognized within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estimated to be </w:t>
              <w:br/>
              <w:t>recognized after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backlog at December 31, 2024</w:t>
            </w:r>
          </w:p>
        </w:tc>
      </w:tr>
      <w:tr>
        <w:trPr/>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916,988 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818,185 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1,517,422 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216,235 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1,758,233 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2,434,410 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228,235 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2,576,418 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selected consolidated statements of operations data and such data as a percentage of revenues for the periods indicated:</w:t>
      </w:r>
    </w:p>
    <w:tbl>
      <w:tblPr>
        <w:tblW w:w="10394" w:type="dxa"/>
        <w:jc w:val="left"/>
        <w:tblInd w:w="0" w:type="dxa"/>
        <w:tblLayout w:type="fixed"/>
        <w:tblCellMar>
          <w:top w:w="28" w:type="dxa"/>
          <w:left w:w="28" w:type="dxa"/>
          <w:bottom w:w="28" w:type="dxa"/>
          <w:right w:w="28" w:type="dxa"/>
        </w:tblCellMar>
      </w:tblPr>
      <w:tblGrid>
        <w:gridCol w:w="491"/>
        <w:gridCol w:w="234"/>
        <w:gridCol w:w="236"/>
        <w:gridCol w:w="109"/>
        <w:gridCol w:w="109"/>
        <w:gridCol w:w="109"/>
        <w:gridCol w:w="181"/>
        <w:gridCol w:w="616"/>
        <w:gridCol w:w="109"/>
        <w:gridCol w:w="109"/>
        <w:gridCol w:w="109"/>
        <w:gridCol w:w="109"/>
        <w:gridCol w:w="233"/>
        <w:gridCol w:w="233"/>
        <w:gridCol w:w="267"/>
        <w:gridCol w:w="109"/>
        <w:gridCol w:w="109"/>
        <w:gridCol w:w="109"/>
        <w:gridCol w:w="181"/>
        <w:gridCol w:w="616"/>
        <w:gridCol w:w="109"/>
        <w:gridCol w:w="109"/>
        <w:gridCol w:w="109"/>
        <w:gridCol w:w="109"/>
        <w:gridCol w:w="233"/>
        <w:gridCol w:w="233"/>
        <w:gridCol w:w="267"/>
        <w:gridCol w:w="109"/>
        <w:gridCol w:w="109"/>
        <w:gridCol w:w="109"/>
        <w:gridCol w:w="181"/>
        <w:gridCol w:w="721"/>
        <w:gridCol w:w="109"/>
        <w:gridCol w:w="109"/>
        <w:gridCol w:w="109"/>
        <w:gridCol w:w="109"/>
        <w:gridCol w:w="233"/>
        <w:gridCol w:w="233"/>
        <w:gridCol w:w="267"/>
        <w:gridCol w:w="109"/>
        <w:gridCol w:w="109"/>
        <w:gridCol w:w="109"/>
        <w:gridCol w:w="181"/>
        <w:gridCol w:w="721"/>
        <w:gridCol w:w="109"/>
        <w:gridCol w:w="109"/>
        <w:gridCol w:w="109"/>
        <w:gridCol w:w="109"/>
        <w:gridCol w:w="233"/>
        <w:gridCol w:w="233"/>
        <w:gridCol w:w="318"/>
      </w:tblGrid>
      <w:tr>
        <w:trPr/>
        <w:tc>
          <w:tcPr>
            <w:tcW w:w="49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Nine months ended</w:t>
              <w:br/>
              <w:t>September 30,</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Percent</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950,400 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888,043 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2,684,345 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2,532,495 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838,508 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810,755 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2,371,841 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2,328,121 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11.8 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312,504 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204,374 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114,892 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0.8 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32,094 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81,868 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0.6 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Three Months Ended September 30, 2025 Compared to Three Months Ended September 30, 2024</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increased $62.4 million, or 7.0%, to $950.4 million for the three months ended September 30, 2025 from $888.0 million for the three months ended September 30, 2024. The increase was primarily due to an increase of $40.8 million in C&amp;I revenue, an increase of $16.3 million in revenue on transmission projects and an increase of $5.2 million in revenue on distribution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margin for the three months ended September 30, 2025 increased to 11.8% compared to 8.7% for the three months ended September 30, 2024. The increase in gross margin was primarily due to significant changes in our estimated gross profit on certain projects resulting in a net gross margin decrease of 0.6% for the three months ended September 30, 2025, compared to a net gross margin decrease of 3.9% for the three months ended September 30, 2024. During the three months ended September 30, 2025, significant estimate changes negatively impacted gross margin by 2.6%, largely related to an increase in costs associated with project inefficiencies, unfavorable change orders and inclement weather. In addition, significant estimate changes in gross profit positively impacted gross margin by 2.0%, primarily related to better-than-anticipated productivity, favorable change orders and favorable job closeouts. During the three months ended September 30, 2024, gross margin was primarily impacted by negative significant estimate changes in our estimated gross profit on certain T&amp;D clean energy projects and a C&amp;I project.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was $111.9 million for the three months ended September 30, 2025 compared to $77.3 million for the three months ended September 30, 2024. The increase of $34.6 million, or 44.8%, was due to higher margin and revenues.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(“SG&amp;A”) were $65.9 million for the three months ended September 30, 2025 compared to $57.5 million for the three months ended September 30, 2024. The period-over-period increase of $8.4 million was primarily due to an increase in employee incentive compensation costs and an increase in employee-related expenses to support future growth. These increases were partially offset by $1.1 million of contingent compensation expense, related to a prior acquisition, recognized during the three months ended September 30, 2024, that did not recur.</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was $1.4 million for the three months ended September 30, 2025 compared to $2.0 million for the three months ended September 30, 2024. The decrease was attributable to lower interest rates and lower average outstanding debt balances during the three months ended September 30, 2025 as compared to the three months ended September 30, 2024.</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expense was $12.6 million for the three months ended September 30, 2025, with an effective tax rate of 28.3%, compared to the income tax expense of $7.9 million for the three months ended September 30, 2024, with an effective tax rate of 42.5%. The decrease in the tax rate for the three months ended September 30, 2025 was primarily due to lower permanent difference items mostly associated with deductibility limits of contingent compensation experienced in the prior year, as well as lower U.S. taxes on Canadian income.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was $32.1 million for the three months ended September 30, 2025 compared to net income of $10.6 million for the three months ended September 30, 2024. The increase was primarily due to the reasons stated earlier.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statements of operations data by segment, segment net sales as percentage of total net sales and segment operating income as a percentage of segment net sales:</w:t>
      </w:r>
    </w:p>
    <w:tbl>
      <w:tblPr>
        <w:tblW w:w="8047" w:type="dxa"/>
        <w:jc w:val="left"/>
        <w:tblInd w:w="0" w:type="dxa"/>
        <w:tblLayout w:type="fixed"/>
        <w:tblCellMar>
          <w:top w:w="28" w:type="dxa"/>
          <w:left w:w="28" w:type="dxa"/>
          <w:bottom w:w="28" w:type="dxa"/>
          <w:right w:w="28" w:type="dxa"/>
        </w:tblCellMar>
      </w:tblPr>
      <w:tblGrid>
        <w:gridCol w:w="878"/>
        <w:gridCol w:w="774"/>
        <w:gridCol w:w="778"/>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418"/>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Transmission &amp; Distribution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for our T&amp;D segment for the three months ended September 30, 2025 were $503.4 million compared to $481.9 million for the three months ended September 30, 2024, an increase of $21.5 million, or 4.5%. The increase in revenue was related to an increase of $16.3 million in revenue on transmission projects and an increase of $5.2 million in revenue on distribution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for our T&amp;D segment for the three months ended September 30, 2025 was $41.5 million, an increase of $23.9 million, from the three months ended September 30, 2024. As a percentage of revenues, operating income for our T&amp;D segment was 8.2% for the three months ended September 30, 2025 compared to 3.6% for the three months ended September 30, 2024. The increase in operating income margin was driven by significant changes in our estimated gross profit on certain projects resulting in a net operating income margin increase of 0.2% for the three months ended September 30, 2025, compared to a net operating income margin decrease of 5.0% for the three months ended September 30, 2024. During the three months ended September 30, 2025, significant estimated gross profit changes positively impacted operating income as a percentage of revenues by 2.2%, primarily related to favorable change orders and better-than-anticipated productivity. These increases were partially offset by negative significant estimated gross profit changes totaling 2.0% and largely related to project inefficiencies, unfavorable change orders and inclement weather. During the three months ended September 30, 2024, operating income margin was negatively impacted by significant estimated gross profit changes related to clean energy projects.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&amp; Industrial</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for our C&amp;I segment for the three months ended September 30, 2025 were $447.0 million compared to $406.2 million for the three months ended September 30, 2024, an increase of $40.8 million, or 10.0%. The increase in revenue was primarily related to an increase of $49.9 million in revenue on fixed priced contracts.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income for our C&amp;I segment for the three months ended September 30, 2025 was $28.6 million, an increase of $8.3 million, over the three months ended September 30, 2024. As a percentage of revenues, operating income for our C&amp;I segment was 6.4% for the three months ended September 30, 2025 compared to 5.0% for the three months ended September 30, 2024. The increase in operating income margin was driven by significant changes in our estimated gross profit on certain projects resulting in a net operating income margin decrease of 1.5% for the three months ended September 30, 2025, compared to a net operating income margin decrease of 2.6% for the three months ended September 30, 2024. Significant estimated gross profit changes negatively impacted operating income as a percentage of revenues by 3.3%, primarily related to unfavorable change orders and an increase in costs associated with project inefficiencies. These decreases were partially offset by positive significant estimated gross profit changes totaling 1.8% and largely related to better-than-anticipated productivity and favorable job closeouts. During the three months ended September 30, 2024, operating income margin was negatively impacted by significant estimated gross profit changes primarily related to a single project. Operating income margin for the three months ended September 30, 2024, was negatively impacted by contingent compensation expense related to a prior acquisition, that did not recur during the three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Nine Months Ended September 30, 2025 Compared to Nine Months Ended September 30, 2024</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increased $151.8 million or 6.0%, to $2.68 billion for the nine months ended September 30, 2025 from $2.53 billion for the nine months ended September 30, 2024. The increase was primarily due to an increase of $110.9 million in C&amp;I revenue, and an increase of $45.8 million in revenue on distribution projects, partially offset by a decrease of $4.9 million in revenue on transmission projects, primarily related to clean energy.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margin for the nine months ended September 30, 2025 increased to 11.6% compared to 8.1% for the nine months ended September 30, 2024. The increase in gross margin was primarily due to significant changes in our estimated gross profit on certain projects resulting in a net gross margin decrease of 1.3% for the nine months ended September 30, 2025, compared to a net gross margin decrease of 4.4% for the nine months ended September 30, 2024. During the nine months ended September 30, 2025, significant estimate changes negatively impacted gross margin by 2.3%, largely related to an increase in costs associated with labor and project inefficiencies and unfavorable change orders. In addition, significant estimate changes in gross profit positively impacted gross margin by 1.0%, mainly related to better-than-anticipated productivity, favorable change orders and a favorable job closeout. During the nine months ended September 30, 2024, gross margin was primarily impacted by negative significant estimate changes in our estimated gross profit on certain T&amp;D clean energy projects and a C&amp;I project.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was $312.5 million for the nine months ended September 30, 2025 compared to $204.4 million for the nine months ended September 30, 2024. The increase of $108.1 million, or 52.9% was due to higher margin and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SG&amp;A expenses were $191.8 million for the nine months ended September 30, 2025 compared to $181.5 million for the nine months ended September 30, 2024. The period-over-period increase of $10.3 million was primarily due to an increase in employee incentive compensation costs and an increase in employee-related expenses to support future growth. These increases were partially offset by $9.3 million of contingent compensation expense, related to a prior acquisition, recognized during the nine months ended September 30, 2024, that did not recur.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Gains from the sale of property and equipment for the nine months ended September 30, 2025 were $3.2 million compared to $4.7 million for the nine months ended September 30, 2024. Gains from the sale of property and equipment are attributable to routine sales of property and equipment no longer useful or valuable to our ongoing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was $4.8 million for the nine months ended September 30, 2025 compared to $4.3 million for the nine months ended September 30, 2024. The increase was primarily attributable to higher average outstanding debt balances, partially offset by lower interest rates during the nine months ended September 30, 2025 as compared to the nine months ended September 30, 2024.</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expense was $33.0 million for the nine months ended September 30, 2025, with an effective tax rate of 28.7%, compared to the expense of $5.2 million for the nine months ended September 30, 2024, with an effective tax rate of 26.6%. The change in the tax rate for the nine months ended September 30, 2025 was primarily due to higher pretax income, lower other permanent difference items and lower stock compensation excess tax benefits.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was $81.9 million for the nine months ended September 30, 2025 compared to $14.3 million for the nine months ended September 30, 2024. The increase was primarily due to the reasons stated earlier.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statements of operations data by segment, segment net sales as percentage of total net sales and segment operating income as a percentage of segment net sales:</w:t>
      </w:r>
    </w:p>
    <w:tbl>
      <w:tblPr>
        <w:tblW w:w="8348" w:type="dxa"/>
        <w:jc w:val="left"/>
        <w:tblInd w:w="0" w:type="dxa"/>
        <w:tblLayout w:type="fixed"/>
        <w:tblCellMar>
          <w:top w:w="28" w:type="dxa"/>
          <w:left w:w="28" w:type="dxa"/>
          <w:bottom w:w="28" w:type="dxa"/>
          <w:right w:w="28" w:type="dxa"/>
        </w:tblCellMar>
      </w:tblPr>
      <w:tblGrid>
        <w:gridCol w:w="932"/>
        <w:gridCol w:w="748"/>
        <w:gridCol w:w="751"/>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18"/>
      </w:tblGrid>
      <w:tr>
        <w:trPr/>
        <w:tc>
          <w:tcPr>
            <w:tcW w:w="93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3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41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2,684,345 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2,532,495 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1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186,100 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Transmission &amp; Distribution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for our T&amp;D segment for the nine months ended September 30, 2025 were $1.47 billion compared to $1.43 billion for the nine months ended September 30, 2024, an increase of $41.0 million, or 2.9%. The increase in revenue was related to an increase of $45.8 million in revenue on distribution projects, partially offset by a decrease of $4.9 million in revenue on transmission projects. Revenues from transmission projects represented 59.0% and 61.0% of T&amp;D segment revenue for the nine months ended September 30, 2025 and 2024, respectively.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income for our T&amp;D segment for the nine months ended September 30, 2025 was $118.1 million, an increase of $79.0 million, from the nine months ended September 30, 2024. As a percentage of revenues, operating income for our T&amp;D segment was 8.0% for the nine months ended September 30, 2025 compared to 2.7% for the nine months ended September 30, 2024. The increase in operating income margin was driven by significant changes in our estimated gross profit on certain projects resulting in a net operating income margin decrease of 0.6% for the nine months ended September 30, 2025, compared to a net decrease of 6.0% for the nine months ended September 30, 2024. During the nine months ended September 30, 2025, significant estimated gross profit changes negatively impacted operating income as a percentage of revenues by 1.4% primarily related to labor and project inefficiencies. These decreases were partially offset by positive significant estimated gross profit changes totaling 0.8% of revenues mostly related to favorable change orders and better-than-anticipated productivity. During the nine months ended September 30, 2024, T&amp;D operating income margin was negatively impacted by significant estimated gross profit changes related to clean energy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&amp; Industrial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for our C&amp;I segment for the nine months ended September 30, 2025 were $1.21 billion compared to $1.10 billion for the nine months ended September 30, 2024, an increase of $110.9 million, or 10.1%. The increase in revenue was primarily related to an increase of $102.2 million in revenue on fixed priced contracts.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income for our C&amp;I segment for the nine months ended September 30, 2025 was $68.0 million, an increase of $34.7 million, over the nine months ended September 30, 2024. As a percentage of revenues, operating income for our C&amp;I segment was 5.6% for the nine months ended September 30, 2025, compared to 3.0% for the nine months ended September 30, 2024. Operating income margin was positively impacted during the nine months ended September 30, 2025, by a larger portion of our C&amp;I projects progressing at higher contractual margins, some of which are nearing completion. Additionally, C&amp;I operating income for the nine months ended September 30, 2024, was negatively impacted by contingent compensation expense related to a prior acquisition, that did not recur during the nine months ended September 30, 2025. C&amp;I operating income margin during the nine months ended September 30, 2025, was also impacted by significant changes in our estimated gross profit on certain projects resulting in a net operating income margin decrease of 2.1% for the nine months ended September 30, 2025, compared to a net decrease of 2.4% for the nine months ended September 30, 2024. Significant estimated gross profit changes negatively impacted operating income as a percentage of revenues by 3.4%, primarily related to an increase in costs associated with labor and project inefficiencies and unfavorable change orders. These decreases were partially offset by positive significant estimated gross profit changes totaling 1.3% and largely related to better-than-anticipated productivity, favorable change orders and a favorable job closeout.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Measure—EBITDA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define EBITDA, a performance measure used by management, as net income plus interest expense net of interest income, provision for income taxes and depreciation and amortization. EBITDA, a non-GAAP financial measure,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shareholders.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to EBITDA:</w:t>
      </w:r>
    </w:p>
    <w:tbl>
      <w:tblPr>
        <w:tblW w:w="8068" w:type="dxa"/>
        <w:jc w:val="left"/>
        <w:tblInd w:w="0" w:type="dxa"/>
        <w:tblLayout w:type="fixed"/>
        <w:tblCellMar>
          <w:top w:w="28" w:type="dxa"/>
          <w:left w:w="28" w:type="dxa"/>
          <w:bottom w:w="28" w:type="dxa"/>
          <w:right w:w="28" w:type="dxa"/>
        </w:tblCellMar>
      </w:tblPr>
      <w:tblGrid>
        <w:gridCol w:w="884"/>
        <w:gridCol w:w="779"/>
        <w:gridCol w:w="783"/>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4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net leverage ratio, which is defined in the Credit Agreement as Total Net Indebtedness (as defined in the Credit Agreement), divided by Consolidated EBITDA (as defined in the Credit Agreement) — could result in our lenders requiring us to immediately repay all amounts borrowed on our revolving credit facility.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cash flows provided by operating activities to EBITDA:</w:t>
      </w:r>
    </w:p>
    <w:tbl>
      <w:tblPr>
        <w:tblW w:w="10205" w:type="dxa"/>
        <w:jc w:val="left"/>
        <w:tblInd w:w="0" w:type="dxa"/>
        <w:tblLayout w:type="fixed"/>
        <w:tblCellMar>
          <w:top w:w="28" w:type="dxa"/>
          <w:left w:w="28" w:type="dxa"/>
          <w:bottom w:w="28" w:type="dxa"/>
          <w:right w:w="28" w:type="dxa"/>
        </w:tblCellMar>
      </w:tblPr>
      <w:tblGrid>
        <w:gridCol w:w="2192"/>
        <w:gridCol w:w="1204"/>
        <w:gridCol w:w="1185"/>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6"/>
      </w:tblGrid>
      <w:tr>
        <w:trPr/>
        <w:tc>
          <w:tcPr>
            <w:tcW w:w="219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5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Add/(subtract):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72,301 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Capital Resources and Material Cash Requirements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working capital of $267.4 million. We define working capital as current assets less current liabilities. During the nine months ended September 30, 2025, operating activities of our business provided net cash of $211.7 million, compared to $66.0 million of cash provided for the nine months ended September 30, 2024. Cash flow from operations is primarily influenced by operating margins, timing of contract performance and the type of services we provide to our customers. The $145.7 million year-over-year increase in cash provided by operating activities was primarily due to an increase of $67.6 million in net income and favorable net changes in operating assets and liabilities of $69.8 million. The favorable change in operating assets and liabilities was primarily due to the favorable change of $43.4 million in other liabilities, slightly offset by the net favorable year-over-year changes in various working capital accounts that relate primarily to construction activities (accounts receivable, contract assets, accounts payable and contract liabilities) of $29.2 million. The favorable change of $43.4 million in other liabilities was primarily due to changes in our employee incentive compensation accruals and the timing of employee related wage and tax payments.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we used net cash of $58.5 million in investing activities consisting of $64.5 million for capital expenditures, partially offset by $6.0 million of proceeds from the sale of equipment.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financing activities used net cash of $80.9 million, consisting primarily of $75.0 million of share repurchases under our prior repurchase program, $4.4 million of payments under our equipment notes and $2.7 million of shares repurchased to satisfy tax obligations under our stock compensation programs, partially offset by $2.0 million of net borrowings under our revolving line of credit.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our $399.8 million borrowing availability under our revolving line of credit as of September 30, 2025, future cash flow from operations and our ability to utilize short-term and long-term leases will provide sufficient liquidity for our short-term and long-term needs. Our primary short-term liquidity needs include cash for operations, debt service requirements, capital expenditures, and acquisition and joint venture opportunities. We believe we have adequate sources of liquidity to meet our long-term liquidity needs and foreseeable material cash requirements, including those associated with funding future acquisition opportunities. We continue to invest in developing key management and craft personnel in both our T&amp;D and C&amp;I segments and in procuring the specific specialty equipment and tooling needed to win and execute projects of all sizes and complexity.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not historically paid dividends and currently do not expect to pay dividends.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Debt Instruments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non-US currencies, up to the U.S. dollar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September 30, 2025.</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had $60.4 million and $58.4 million of borrowings outstanding under the Facility as of September 30, 2025 and December 31, 2024, respectively.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Letters of Credit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our vendors require letters of credit to ensure reimbursement for amounts they are disbursing on our behalf, such as to beneficiaries under our insurance programs. In addition, from time to time, certain customers require us to post letters of credit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it is likely that any claims will be made under any letter of credit.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$29.9 million in letters of credit outstanding under our Credit Agreement, including $29.8 million related to the Company's payment obligation under its insurance programs and $0.1 million related to contract performance obligations. As of December 31, 2024, we had $37.3 million in letters of credit outstanding under our Credit Agreement, including $32.6 million related to the Company's payment obligations under its insurance programs and $4.7 million related to contract performance obligations.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Equipment Notes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multiple Master Loan Agreements with multiple finance companies. The Master Loan Agreements may be used for financing of equipment between us and the lenders pursuant to one or more equipment notes ("Equipment Notes"). Each Equipment Note constitutes a separate, distinct and independent financing of equipment and contractual obligation.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we had one outstanding Equipment Note collateralized by equipment and vehicles owned by us. As of September 30, 2025 and December 31, 2024, we also had one other equipment note outstanding collateralized by a vehicle owned by us. The outstanding balance of all equipment notes was $11.6 million as of September 30, 2025 and $16.0 million as of December 31, 2024. As of September 30, 2025, we had outstanding short-term and long-term equipment notes of approximately $4.6 million and $7.1 million, respectively. As of December 31, 2024, we had outstanding short-term and long-term equipment notes of approximately $4.4 million and $11.6 million, respectively.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Lease Obligations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less than one to twelve years, some of which may include options to extend the leases for up to ten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outstanding balance of operating lease obligations was $44.7 million as of September 30, 2025, consisting of short-term and long-term operating lease obligations of approximately $13.1 million and $31.6 million, respectively. The outstanding balance of operating lease obligations was $42.6 million as of December 31, 2024, consisting of short-term and long-term operating lease obligations of approximately $12.1 million and $30.5 million, respectively.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outstanding balance of finance lease obligations was $2.2 million as of September 30, 2025, consisting of short-term and long-term finance lease obligations of approximately $0.8 million and $1.4 million, respectively. As of December 31, 2024, we had $3.0 million outstanding finance lease obligations, consisting of short-term and long-term finance lease obligations of approximately $1.1 million and $1.9 million, respectively.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Purchase Commitments for Construction Equipment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approximately $7.3 million in outstanding purchase obligations for certain construction equipment to be paid with cash outlays scheduled to occur in 2025.</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Performance and Payment Bonds and Parent Guarantees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the issuers of the bonds, we may be required to grant them a security interest relating to a particular project. We believe that it is unlikely that we will have to fund significant claims under our surety arrangements. As of September 30, 2025, an aggregate of approximately $2.26 billion in original face amount of bonds issued by our sureties were outstanding. Our estimated remaining cost to complete these bonded projects was approximately $702.2 million as of September 30, 2025.</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and Canada. Consequently, we are subject to potential credit risk related to changes in business and economic factors throughout the United States and Canada. However, we generally have certain statutory lien rights with respect to services provided. Under certain circumstances such as foreclosures or negotiated settlements, we may take title to the underlying assets in lieu of cash in settlement of receivables. As of September 30, 2025, accounts receivable for one of our customers individually accounted for approximately 10% of our consolidated accounts receivable. As of September 30, 2024, none of our customers individually exceeded 10% of consolidated accounts receivable. Management believes the terms and conditions in its contracts, billing and collection policies are adequate to minimize the potential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discussion regarding new accounting pronouncements, please refer to Note 1–Organization, Business and Basis of Presentation—Recent Accounting Pronouncements in the accompanying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Cautionary Statement Concerning Forward-Looking Statements and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including the following discussion to inform you of some of the risks and uncertainties that can affect our company and to take advantage of the protections for forward-looking statements that applicable federal securities law affords.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Statements in this Quarterly Report on Form 10-Q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2024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risks, contingencies and uncertainties include, but are not limited to, the following: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operating results may vary significantly from period to period.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industry is highly competitive.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Negative economic and market conditions including tariffs and inflation on materials, interest rates and recessionary conditions have in the past and may in the future adversely impact our customers’ spending and, as a result, our operations and growth.</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may be unsuccessful in generating internal growth, which could impact the projects available to the Company.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inability to successfully execute or integrate acquisitions or joint ventures may have an adverse impact on our growth strategy and business.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Project performance issues, including those caused by third parties, or certain contractual obligations</w:t>
      </w:r>
      <w:r>
        <w:rPr>
          <w:color w:val="000000"/>
        </w:rPr>
        <w:t xml:space="preserve"> </w:t>
      </w:r>
      <w:r>
        <w:rPr>
          <w:rFonts w:ascii="Times New Roman;serif" w:hAnsi="Times New Roman;serif"/>
          <w:b w:val="false"/>
          <w:color w:val="000000"/>
          <w:sz w:val="20"/>
        </w:rPr>
        <w:t>have in the past and may in the future result in additional costs to us, reductions or delays in revenues or the payment of penalties, including liquidated damages.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may be unable to attract and retain qualified personnel.</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timing of new contracts and termination of existing contracts may result in unpredictable fluctuations in our cash flows and financial results.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During the ordinary course of our business, we have in the past and may in the future become subject to lawsuits or indemnity claims.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Backlog may not be realized or may not result in profits and may not accurately represent future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insurance has limits and exclusions that may not fully indemnify us against certain claims or losses, including claims resulting from wildfires or other natural disasters and an increase in cost, or the unavailability or cancellation of third-party insurance coverages would increase our overall risk exposure and could disrupt our operations and reduce our profitability.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Risks associated with operating in the Canadian market could impact our profitability.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Changes in tax laws or our interpretations of tax laws could materially impact our tax liabilities.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nature of our business exposes us to potential liability for warranty claims and faulty engineering, which may reduce our profitability.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Pandemic outbreaks of disease, such as the COVID-19 pandemic, have in the past had and may in the future have an adverse impact on our business, employees, liquidity, financial condition, results of operations and cash flows.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dependence on customers, suppliers, subcontractors and equipment manufacturers has in the past and may in the future expose us to the risk of loss in our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participation in joint ventures and other projects with third parties may expose us to liability for failures of our partners.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Legislative or regulatory actions relating to electricity transmission and clean energy may impact demand for our services.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have in the past and may in the future incur liabilities and suffer negative financial or reputational impacts relating to occupational health and safety matters, including those related to environmental hazards such as wildfires and other natural disasters.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failure to comply with environmental and other laws and regulations could result in significant liabilities.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business may be affected by seasonal and other variations, including severe weather conditions and the nature of our work environment.</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Opportunities associated with government contracts could lead to increased governmental regulation applicable to us.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are subject to risks associated with climate change including financial risks and physical risks such as an increase in extreme weather events (such as floods, wildfires or hurricanes), rising sea levels and limitations on water availability and quality.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use of percentage-of-completion accounting could result in a reduction or reversal of previously recognized revenues and profits.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financial results are based upon estimates and assumptions that may differ from actual results.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actual costs may be greater than expected in performing our fixed-price and unit-price contracts.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An increase in the cost or availability for items such as materials, parts, commodities, equipment and tooling may also be impacted by trade regulations, tariffs, global relations, wars, taxes, transportation costs and inflation which could adversely affect our business.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may not be able to compete for, or work on, certain projects if we are not able to obtain necessary bonds, letters of credit, bank guarantees or other financial assurances.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Unfavorable developments affecting the banking and financial services industry could adversely affect our business, liquidity and financial condition and overall results of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Work stoppages or other labor issues with our unionized workforce could adversely affect our business, and we may be subject to unionization attempts.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Multi-employer pension plan obligations related to our unionized workforce could adversely impact our earnings.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operations within the United States and Canada, and we are exposed to market risks in the ordinary course of our business, including the effects of fluctuations in interest rates, foreign exchange rates, and commodity prices.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were not party to any derivative instruments. We did not use any material derivative financial instruments during the nine months ended September 30, 2025 and 2024, including instruments for trading, hedging, or speculating on changes in interest rates, changes in foreign currency rates or changes in commodity prices of materials used in our business.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borrowings under our Facility are based upon interest rates that will vary depending upon the prime rate, Canadian prime rate, the NYFRB overnight bank funding rate, Term CORRA, and Term SOFR Reference Rate, each as defined in the Credit Agreement. If the prime rate, Canadian prime rate, the NYFRB overnight bank funding rate, Term CORRA, or Term SOFR Reference Rate rises, any interest payment obligations would increase and have a negative effect on our cash flow and financial condition. We currently do not maintain any hedging contracts that would limit our exposure to variable rates of interest when we have outstanding borrowings. As of September 30, 2025, we had $60.4 million of borrowings outstanding under the Facility. If market rates of interest on all our revolving debt as of September 30, 2025, which is subject to variable rates, permanently increased by 1%, the increase in interest expense on all revolving debt would decrease future income before provision for income taxes and cash flows by approximately $0.6 million annually. If market rates of interest on all our revolving debt, which is subject to variable rates as of September 30, 2025, permanently decreased by 1%, the decrease in interest expense on all debt would increase future income before provision for income taxes and cash flows by approximately $0.6 million annually. Borrowings under our equipment notes are at fixed rates established on the date the respective equipment note was executed.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September 30,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period covered by this report, there were no changes in our internal control over financial reporting that materially affected, or that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discussion regarding legal proceedings, please refer to Note 8–Commitments and Contingencies—Litigation and Other Legal Matters in the accompanying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face a number of risks that could materially and adversely affect our business, employees, liquidity, financial condition, results of operations and cash flows. A discussion of our risk factors can be found in Item 1A. “Risk Factors” in our 2024 Annual Report. As of the date of this filing, there have been no material changes to the risk factors previously discussed in Item 1A. “Risk Factors” in our 2024 Annual Report. An investment in our common stock involves various risks. When considering an investment in the Company, you should carefully consider all of the risk factors described in our 2024 Annual Report. These risks and uncertainties are not the only ones facing us and there may be additional matters that are not known to us or that we currently consider immaterial. These risks and uncertainties could adversely affect our business, employees, liquidity, financial condition, results of operations or cash flows and, thus, the value of our common stock and any investment in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720"/>
        <w:jc w:val="left"/>
        <w:rPr/>
      </w:pPr>
      <w:r>
        <w:rPr>
          <w:rFonts w:ascii="Times New Roman;serif" w:hAnsi="Times New Roman;serif"/>
          <w:b/>
          <w:i/>
          <w:color w:val="000000"/>
          <w:sz w:val="20"/>
        </w:rPr>
        <w:t xml:space="preserve">Purchases of Common Stock. </w:t>
      </w:r>
      <w:r>
        <w:rPr>
          <w:rFonts w:ascii="Times New Roman;serif" w:hAnsi="Times New Roman;serif"/>
          <w:b w:val="false"/>
          <w:color w:val="000000"/>
          <w:sz w:val="20"/>
        </w:rPr>
        <w:t>The following table includes all of the Company’s repurchases of common stock for the periods shown. Repurchased shares are retired and returned to authorized but unissued common stock.</w:t>
      </w:r>
    </w:p>
    <w:tbl>
      <w:tblPr>
        <w:tblW w:w="10205" w:type="dxa"/>
        <w:jc w:val="left"/>
        <w:tblInd w:w="0" w:type="dxa"/>
        <w:tblLayout w:type="fixed"/>
        <w:tblCellMar>
          <w:top w:w="28" w:type="dxa"/>
          <w:left w:w="28" w:type="dxa"/>
          <w:bottom w:w="28" w:type="dxa"/>
          <w:right w:w="28" w:type="dxa"/>
        </w:tblCellMar>
      </w:tblPr>
      <w:tblGrid>
        <w:gridCol w:w="819"/>
        <w:gridCol w:w="395"/>
        <w:gridCol w:w="399"/>
        <w:gridCol w:w="109"/>
        <w:gridCol w:w="109"/>
        <w:gridCol w:w="109"/>
        <w:gridCol w:w="421"/>
        <w:gridCol w:w="421"/>
        <w:gridCol w:w="422"/>
        <w:gridCol w:w="109"/>
        <w:gridCol w:w="109"/>
        <w:gridCol w:w="109"/>
        <w:gridCol w:w="313"/>
        <w:gridCol w:w="603"/>
        <w:gridCol w:w="162"/>
        <w:gridCol w:w="109"/>
        <w:gridCol w:w="109"/>
        <w:gridCol w:w="109"/>
        <w:gridCol w:w="720"/>
        <w:gridCol w:w="720"/>
        <w:gridCol w:w="722"/>
        <w:gridCol w:w="109"/>
        <w:gridCol w:w="109"/>
        <w:gridCol w:w="109"/>
        <w:gridCol w:w="404"/>
        <w:gridCol w:w="2074"/>
        <w:gridCol w:w="302"/>
      </w:tblGrid>
      <w:tr>
        <w:trPr/>
        <w:tc>
          <w:tcPr>
            <w:tcW w:w="81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Number of Shares Purchased as Part of Publicly Announced Plans or Programs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Approximate Dollar Value of Shares That May Yet Be Purchased Under the Plans or Programs </w:t>
            </w:r>
            <w:r>
              <w:rPr>
                <w:rFonts w:ascii="Times New Roman;serif" w:hAnsi="Times New Roman;serif"/>
                <w:b/>
                <w:color w:val="000000"/>
                <w:sz w:val="10"/>
              </w:rPr>
              <w:t>(1)</w:t>
            </w:r>
          </w:p>
        </w:tc>
      </w:tr>
      <w:tr>
        <w:trPr/>
        <w:tc>
          <w:tcPr>
            <w:tcW w:w="1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75,000,000 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2025 -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75,000,000 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 On July 30, 2025, the Company announced that its Board of Directors had approved a new $75.0 million share repurchase program (the "Repurchase Program"). The Repurchase Program will expire on February 4, 2026, or when the authorized funds are exhausted, whichever is earlier. The Repurchase Program replaced and superseded the Company’s prior $75.0 million repurchase program, under which the Company had exhausted substantially all of the available funds, and such prior repurchase program was terminated. As of September 30, 2025, the Company had $75.0 million of funds available to repurchase shares of the Company’s common stock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(as defined in Rule 16a-1(f) promulgated under the Exchange Act) adopted, modified, or terminated a “Rule 10b5-1 trading arrangement” or a “non-Rule 10b5-1 trading arrangement,” as each term is defined in Item 408 of Regulation S-K, during the Company’s fiscal quarter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8756" w:type="dxa"/>
        <w:jc w:val="left"/>
        <w:tblInd w:w="0" w:type="dxa"/>
        <w:tblLayout w:type="fixed"/>
        <w:tblCellMar>
          <w:top w:w="28" w:type="dxa"/>
          <w:left w:w="28" w:type="dxa"/>
          <w:bottom w:w="28" w:type="dxa"/>
          <w:right w:w="28" w:type="dxa"/>
        </w:tblCellMar>
      </w:tblPr>
      <w:tblGrid>
        <w:gridCol w:w="315"/>
        <w:gridCol w:w="277"/>
        <w:gridCol w:w="278"/>
        <w:gridCol w:w="109"/>
        <w:gridCol w:w="109"/>
        <w:gridCol w:w="109"/>
        <w:gridCol w:w="2205"/>
        <w:gridCol w:w="2205"/>
        <w:gridCol w:w="314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myrg-20250930xexx311.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myrg-20250930xexx311.htm">
              <w:r>
                <w:rPr>
                  <w:rStyle w:val="InternetLink"/>
                  <w:rFonts w:ascii="Times New Roman;serif" w:hAnsi="Times New Roman;serif"/>
                  <w:b w:val="false"/>
                  <w:color w:val="0000FF"/>
                  <w:sz w:val="20"/>
                  <w:u w:val="single"/>
                </w:rPr>
                <w:t>Certification of Chief Executive Officer pursuant to SEC Rule 13a-14(a)/15d-14(a)†</w:t>
              </w:r>
            </w:hyperlink>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myrg-20250930xexx312.htm">
              <w:r>
                <w:rPr>
                  <w:rStyle w:val="InternetLink"/>
                  <w:rFonts w:ascii="Times New Roman;serif" w:hAnsi="Times New Roman;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myrg-20250930xexx312.htm">
              <w:r>
                <w:rPr>
                  <w:rStyle w:val="InternetLink"/>
                  <w:rFonts w:ascii="Times New Roman;serif" w:hAnsi="Times New Roman;serif"/>
                  <w:b w:val="false"/>
                  <w:color w:val="0000FF"/>
                  <w:sz w:val="20"/>
                  <w:u w:val="single"/>
                </w:rPr>
                <w:t>Certification of Chief Financial Officer pursuant to SEC Rule 13a-14(a)/15d-14(a)†</w:t>
              </w:r>
            </w:hyperlink>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myrg-20250930xexx321.htm">
              <w:r>
                <w:rPr>
                  <w:rStyle w:val="InternetLink"/>
                  <w:rFonts w:ascii="Times New Roman;serif" w:hAnsi="Times New Roman;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myrg-20250930xexx321.htm">
              <w:r>
                <w:rPr>
                  <w:rStyle w:val="InternetLink"/>
                  <w:rFonts w:ascii="Times New Roman;serif" w:hAnsi="Times New Roman;serif"/>
                  <w:b w:val="false"/>
                  <w:color w:val="0000FF"/>
                  <w:sz w:val="20"/>
                  <w:u w:val="single"/>
                </w:rPr>
                <w:t>Certification of Chief Executive Officer pursuant to 18 U.S.C. §1350+</w:t>
              </w:r>
            </w:hyperlink>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myrg-20250930xex322.htm">
              <w:r>
                <w:rPr>
                  <w:rStyle w:val="InternetLink"/>
                  <w:rFonts w:ascii="Times New Roman;serif" w:hAnsi="Times New Roman;serif"/>
                  <w:b w:val="false"/>
                  <w:color w:val="0000FF"/>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myrg-20250930xex322.htm">
              <w:r>
                <w:rPr>
                  <w:rStyle w:val="InternetLink"/>
                  <w:rFonts w:ascii="Times New Roman;serif" w:hAnsi="Times New Roman;serif"/>
                  <w:b w:val="false"/>
                  <w:color w:val="0000FF"/>
                  <w:sz w:val="20"/>
                  <w:u w:val="single"/>
                </w:rPr>
                <w:t>Certification of Chief Financial Officer pursuant to 18 U.S.C. §1350+</w:t>
              </w:r>
            </w:hyperlink>
          </w:p>
        </w:tc>
      </w:tr>
      <w:tr>
        <w:trPr/>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Filed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Electronically filed</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e18bd2108e04373ba47cafb696eaec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773" w:type="dxa"/>
        <w:jc w:val="left"/>
        <w:tblInd w:w="0" w:type="dxa"/>
        <w:tblLayout w:type="fixed"/>
        <w:tblCellMar>
          <w:top w:w="28" w:type="dxa"/>
          <w:left w:w="28" w:type="dxa"/>
          <w:bottom w:w="28" w:type="dxa"/>
          <w:right w:w="28" w:type="dxa"/>
        </w:tblCellMar>
      </w:tblPr>
      <w:tblGrid>
        <w:gridCol w:w="553"/>
        <w:gridCol w:w="487"/>
        <w:gridCol w:w="489"/>
        <w:gridCol w:w="2115"/>
        <w:gridCol w:w="2115"/>
        <w:gridCol w:w="301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MYR GROUP INC.</w:t>
              <w:br/>
              <w:t>(Registrant)</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29, 2025</w:t>
            </w:r>
          </w:p>
        </w:tc>
        <w:tc>
          <w:tcPr>
            <w:tcW w:w="7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Kelly M. Huntington</w:t>
              <w:br/>
              <w:t>Senior Vice President and Chief Financial Officer</w:t>
              <w:br/>
              <w:t>(Principal Financial Officer, Principal Accounting Officer, and Duly Authorized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Richard S. Swartz, Jr.,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MYR Group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39" w:type="dxa"/>
        <w:jc w:val="left"/>
        <w:tblInd w:w="0" w:type="dxa"/>
        <w:tblLayout w:type="fixed"/>
        <w:tblCellMar>
          <w:top w:w="28" w:type="dxa"/>
          <w:left w:w="28" w:type="dxa"/>
          <w:bottom w:w="28" w:type="dxa"/>
          <w:right w:w="28" w:type="dxa"/>
        </w:tblCellMar>
      </w:tblPr>
      <w:tblGrid>
        <w:gridCol w:w="553"/>
        <w:gridCol w:w="487"/>
        <w:gridCol w:w="489"/>
        <w:gridCol w:w="939"/>
        <w:gridCol w:w="939"/>
        <w:gridCol w:w="1332"/>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29, 2025</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S. SWARTZ, JR.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b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Kelly M. Huntington,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MYR Group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69" w:type="dxa"/>
        <w:jc w:val="left"/>
        <w:tblInd w:w="0" w:type="dxa"/>
        <w:tblLayout w:type="fixed"/>
        <w:tblCellMar>
          <w:top w:w="28" w:type="dxa"/>
          <w:left w:w="28" w:type="dxa"/>
          <w:bottom w:w="28" w:type="dxa"/>
          <w:right w:w="28" w:type="dxa"/>
        </w:tblCellMar>
      </w:tblPr>
      <w:tblGrid>
        <w:gridCol w:w="553"/>
        <w:gridCol w:w="487"/>
        <w:gridCol w:w="489"/>
        <w:gridCol w:w="1213"/>
        <w:gridCol w:w="1213"/>
        <w:gridCol w:w="171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29, 2025</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THE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Richard S. Swartz, Jr., Chief Executive Officer and President of MYR Group Inc. (the “Company”), certify, pursuant to 18 U.S.C. § 1350, as adopted pursuant to § 906 of the Sarbanes-Oxley Act of 2002,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for the quarter and nine months ended September 30, 2025 of the Company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such report fairly presents, in all material respects, the financial condition and results of operations of the Company.</w:t>
      </w:r>
    </w:p>
    <w:tbl>
      <w:tblPr>
        <w:tblW w:w="4769" w:type="dxa"/>
        <w:jc w:val="left"/>
        <w:tblInd w:w="0" w:type="dxa"/>
        <w:tblLayout w:type="fixed"/>
        <w:tblCellMar>
          <w:top w:w="28" w:type="dxa"/>
          <w:left w:w="28" w:type="dxa"/>
          <w:bottom w:w="28" w:type="dxa"/>
          <w:right w:w="28" w:type="dxa"/>
        </w:tblCellMar>
      </w:tblPr>
      <w:tblGrid>
        <w:gridCol w:w="553"/>
        <w:gridCol w:w="487"/>
        <w:gridCol w:w="489"/>
        <w:gridCol w:w="948"/>
        <w:gridCol w:w="948"/>
        <w:gridCol w:w="134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29, 2025</w:t>
            </w:r>
          </w:p>
        </w:tc>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S. SWARTZ, JR.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President</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THE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Kelly M. Huntington, Senior Vice President and Chief Financial Officer of MYR Group, Inc. (the “Company”), certify, pursuant to 18 U.S.C. § 1350, as adopted pursuant to § 906 of the Sarbanes-Oxley Act of 2002,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for the quarter and nine months ended September 30, 2025 of the Company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such report fairly presents, in all material respects, the financial condition and results of operations of the Company.</w:t>
      </w:r>
    </w:p>
    <w:tbl>
      <w:tblPr>
        <w:tblW w:w="5774" w:type="dxa"/>
        <w:jc w:val="left"/>
        <w:tblInd w:w="0" w:type="dxa"/>
        <w:tblLayout w:type="fixed"/>
        <w:tblCellMar>
          <w:top w:w="28" w:type="dxa"/>
          <w:left w:w="28" w:type="dxa"/>
          <w:bottom w:w="28" w:type="dxa"/>
          <w:right w:w="28" w:type="dxa"/>
        </w:tblCellMar>
      </w:tblPr>
      <w:tblGrid>
        <w:gridCol w:w="553"/>
        <w:gridCol w:w="487"/>
        <w:gridCol w:w="489"/>
        <w:gridCol w:w="1244"/>
        <w:gridCol w:w="1244"/>
        <w:gridCol w:w="1757"/>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29, 2025</w:t>
            </w:r>
          </w:p>
        </w:tc>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21689</Words>
  <Characters>122425</Characters>
  <CharactersWithSpaces>142678</CharactersWithSpaces>
  <Paragraphs>2612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