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0" w:after="0"/>
        <w:jc w:val="center"/>
        <w:rPr>
          <w:rFonts w:ascii="Times New Roman;sans-serif" w:hAnsi="Times New Roman;sans-serif"/>
          <w:b/>
          <w:color w:val="000000"/>
          <w:sz w:val="4"/>
        </w:rPr>
      </w:pPr>
      <w:r>
        <w:rPr>
          <w:rFonts w:ascii="Times New Roman;sans-serif" w:hAnsi="Times New Roman;sans-serif"/>
          <w:b/>
          <w:color w:val="000000"/>
          <w:sz w:val="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2024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1-08325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MYR GROUP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tbl>
      <w:tblPr>
        <w:tblW w:w="4001"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19"/>
        <w:gridCol w:w="419"/>
        <w:gridCol w:w="601"/>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36-3158643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(I.R.S. Employer </w:t>
            </w:r>
          </w:p>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Identification No.)</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12121 Grant Street, Suite 610</w:t>
      </w:r>
    </w:p>
    <w:p>
      <w:pPr>
        <w:pStyle w:val="TextBody"/>
        <w:bidi w:val="0"/>
        <w:spacing w:lineRule="auto" w:line="288" w:before="0" w:after="0"/>
        <w:jc w:val="center"/>
        <w:rPr/>
      </w:pPr>
      <w:r>
        <w:rPr>
          <w:rFonts w:ascii="Times New Roman;sans-serif" w:hAnsi="Times New Roman;sans-serif"/>
          <w:b/>
          <w:color w:val="000000"/>
          <w:sz w:val="18"/>
        </w:rPr>
        <w:t>Thornton, CO 80241</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0" w:after="0"/>
        <w:jc w:val="center"/>
        <w:rPr/>
      </w:pPr>
      <w:r>
        <w:rPr>
          <w:rFonts w:ascii="Times New Roman;sans-serif" w:hAnsi="Times New Roman;sans-serif"/>
          <w:b/>
          <w:color w:val="000000"/>
          <w:sz w:val="18"/>
        </w:rPr>
        <w:t>(303) 286-8000</w:t>
      </w:r>
      <w:r>
        <w:rPr>
          <w:rFonts w:ascii="Times New Roman;sans-serif" w:hAnsi="Times New Roman;sans-serif"/>
          <w:b w:val="false"/>
          <w:color w:val="000000"/>
          <w:sz w:val="20"/>
        </w:rPr>
        <w:br/>
      </w: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06" w:type="dxa"/>
        <w:jc w:val="left"/>
        <w:tblInd w:w="0" w:type="dxa"/>
        <w:tblLayout w:type="fixed"/>
        <w:tblCellMar>
          <w:top w:w="28" w:type="dxa"/>
          <w:left w:w="28" w:type="dxa"/>
          <w:bottom w:w="28" w:type="dxa"/>
          <w:right w:w="28" w:type="dxa"/>
        </w:tblCellMar>
      </w:tblPr>
      <w:tblGrid>
        <w:gridCol w:w="862"/>
        <w:gridCol w:w="756"/>
        <w:gridCol w:w="766"/>
        <w:gridCol w:w="109"/>
        <w:gridCol w:w="109"/>
        <w:gridCol w:w="109"/>
        <w:gridCol w:w="484"/>
        <w:gridCol w:w="484"/>
        <w:gridCol w:w="486"/>
        <w:gridCol w:w="109"/>
        <w:gridCol w:w="109"/>
        <w:gridCol w:w="109"/>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MYRG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The Nasdaq Stock Market LLC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(Nasdaq Global Market)</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0" w:after="0"/>
        <w:ind w:left="0" w:right="0" w:firstLine="360"/>
        <w:jc w:val="left"/>
        <w:rPr/>
      </w:pPr>
      <w:r>
        <w:rPr>
          <w:rFonts w:ascii="Times New Roman;sans-serif" w:hAnsi="Times New Roman;sans-serif"/>
          <w:b w:val="false"/>
          <w:color w:val="000000"/>
          <w:sz w:val="17"/>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ind w:left="0" w:right="0" w:firstLine="360"/>
        <w:jc w:val="left"/>
        <w:rPr/>
      </w:pPr>
      <w:r>
        <w:rPr>
          <w:rFonts w:ascii="Times New Roman;sans-serif" w:hAnsi="Times New Roman;sans-serif"/>
          <w:b w:val="false"/>
          <w:color w:val="000000"/>
          <w:sz w:val="17"/>
        </w:rPr>
        <w:t>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17"/>
        </w:rPr>
        <w:t>No  </w:t>
      </w:r>
      <w:r>
        <w:rPr>
          <w:color w:val="000000"/>
        </w:rPr>
        <w:t>☒</w:t>
      </w:r>
    </w:p>
    <w:p>
      <w:pPr>
        <w:pStyle w:val="TextBody"/>
        <w:bidi w:val="0"/>
        <w:spacing w:lineRule="auto" w:line="288" w:before="60" w:after="283"/>
        <w:ind w:left="0" w:right="0" w:firstLine="360"/>
        <w:jc w:val="left"/>
        <w:rPr>
          <w:rFonts w:ascii="Times New Roman;sans-serif" w:hAnsi="Times New Roman;sans-serif"/>
          <w:b w:val="false"/>
          <w:color w:val="000000"/>
          <w:sz w:val="17"/>
        </w:rPr>
      </w:pPr>
      <w:r>
        <w:rPr>
          <w:rFonts w:ascii="Times New Roman;sans-serif" w:hAnsi="Times New Roman;sans-serif"/>
          <w:b w:val="false"/>
          <w:color w:val="000000"/>
          <w:sz w:val="17"/>
        </w:rPr>
        <w:t>As of June 28, 2024 (the last business day of the registrant’s most recently completed second fiscal quarter), the aggregate market value of the outstanding common equity held by non-affiliates of the registrant was approximately $1.88 billion,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pStyle w:val="TextBody"/>
        <w:bidi w:val="0"/>
        <w:spacing w:lineRule="auto" w:line="288" w:before="60" w:after="283"/>
        <w:ind w:left="0" w:right="0" w:firstLine="360"/>
        <w:jc w:val="left"/>
        <w:rPr>
          <w:rFonts w:ascii="Times New Roman;sans-serif" w:hAnsi="Times New Roman;sans-serif"/>
          <w:b w:val="false"/>
          <w:color w:val="000000"/>
          <w:sz w:val="17"/>
        </w:rPr>
      </w:pPr>
      <w:r>
        <w:rPr>
          <w:rFonts w:ascii="Times New Roman;sans-serif" w:hAnsi="Times New Roman;sans-serif"/>
          <w:b w:val="false"/>
          <w:color w:val="000000"/>
          <w:sz w:val="17"/>
        </w:rPr>
        <w:t>As of February 21, 2025 there were 16,138,503 shares of the registrant’s $0.01 par value common stock outstanding.</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Portions of the registrant’s definitive proxy statement to be filed with the Securities and Exchange Commission (the “SEC”) in connection with its 2025 annual meeting of shareholders expected to be held on April 24, 2025, are incorporated into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MYR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ANNUAL REPORT ON FORM 10-K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5"/>
        <w:gridCol w:w="268"/>
        <w:gridCol w:w="270"/>
        <w:gridCol w:w="2932"/>
        <w:gridCol w:w="2920"/>
        <w:gridCol w:w="2936"/>
        <w:gridCol w:w="167"/>
        <w:gridCol w:w="167"/>
        <w:gridCol w:w="240"/>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3">
              <w:r>
                <w:rPr>
                  <w:rStyle w:val="InternetLink"/>
                  <w:rFonts w:ascii="Times New Roman;sans-serif" w:hAnsi="Times New Roman;sans-serif"/>
                  <w:b w:val="false"/>
                  <w:color w:val="0E32E1"/>
                  <w:sz w:val="20"/>
                  <w:u w:val="single"/>
                </w:rPr>
                <w:t>PART 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6">
              <w:r>
                <w:rPr>
                  <w:rStyle w:val="InternetLink"/>
                  <w:rFonts w:ascii="Times New Roman;sans-serif" w:hAnsi="Times New Roman;sans-serif"/>
                  <w:b w:val="false"/>
                  <w:color w:val="0000FF"/>
                  <w:sz w:val="20"/>
                  <w:u w:val="single"/>
                </w:rPr>
                <w:t>Item 1.</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6">
              <w:r>
                <w:rPr>
                  <w:rStyle w:val="InternetLink"/>
                  <w:rFonts w:ascii="Times New Roman;sans-serif" w:hAnsi="Times New Roman;sans-serif"/>
                  <w:b w:val="false"/>
                  <w:color w:val="0000FF"/>
                  <w:sz w:val="20"/>
                  <w:u w:val="single"/>
                </w:rPr>
                <w:t>Business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16">
              <w:r>
                <w:rPr>
                  <w:rStyle w:val="InternetLink"/>
                  <w:rFonts w:ascii="Times New Roman;sans-serif" w:hAnsi="Times New Roman;sans-serif"/>
                  <w:b w:val="false"/>
                  <w:color w:val="0000FF"/>
                  <w:sz w:val="20"/>
                  <w:u w:val="single"/>
                </w:rPr>
                <w:t>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9">
              <w:r>
                <w:rPr>
                  <w:rStyle w:val="InternetLink"/>
                  <w:rFonts w:ascii="Times New Roman;sans-serif" w:hAnsi="Times New Roman;sans-serif"/>
                  <w:b w:val="false"/>
                  <w:color w:val="0000FF"/>
                  <w:sz w:val="20"/>
                  <w:u w:val="single"/>
                </w:rPr>
                <w:t>Item 1A.</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9">
              <w:r>
                <w:rPr>
                  <w:rStyle w:val="InternetLink"/>
                  <w:rFonts w:ascii="Times New Roman;sans-serif" w:hAnsi="Times New Roman;sans-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19">
              <w:r>
                <w:rPr>
                  <w:rStyle w:val="InternetLink"/>
                  <w:rFonts w:ascii="Times New Roman;sans-serif" w:hAnsi="Times New Roman;sans-serif"/>
                  <w:b w:val="false"/>
                  <w:color w:val="0000FF"/>
                  <w:sz w:val="20"/>
                  <w:u w:val="single"/>
                </w:rPr>
                <w:t>11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2">
              <w:r>
                <w:rPr>
                  <w:rStyle w:val="InternetLink"/>
                  <w:rFonts w:ascii="Times New Roman;sans-serif" w:hAnsi="Times New Roman;sans-serif"/>
                  <w:b w:val="false"/>
                  <w:color w:val="0000FF"/>
                  <w:sz w:val="20"/>
                  <w:u w:val="single"/>
                </w:rPr>
                <w:t>Item 1B.</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2">
              <w:r>
                <w:rPr>
                  <w:rStyle w:val="InternetLink"/>
                  <w:rFonts w:ascii="Times New Roman;sans-serif" w:hAnsi="Times New Roman;sans-serif"/>
                  <w:b w:val="false"/>
                  <w:color w:val="0000FF"/>
                  <w:sz w:val="20"/>
                  <w:u w:val="single"/>
                </w:rPr>
                <w:t>Unresolved Staff Comments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2">
              <w:r>
                <w:rPr>
                  <w:rStyle w:val="InternetLink"/>
                  <w:rFonts w:ascii="Times New Roman;sans-serif" w:hAnsi="Times New Roman;sans-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5">
              <w:r>
                <w:rPr>
                  <w:rStyle w:val="InternetLink"/>
                  <w:rFonts w:ascii="Times New Roman;sans-serif" w:hAnsi="Times New Roman;sans-serif"/>
                  <w:b w:val="false"/>
                  <w:color w:val="0000FF"/>
                  <w:sz w:val="20"/>
                  <w:u w:val="single"/>
                </w:rPr>
                <w:t>Item 1C.</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5">
              <w:r>
                <w:rPr>
                  <w:rStyle w:val="InternetLink"/>
                  <w:rFonts w:ascii="Times New Roman;sans-serif" w:hAnsi="Times New Roman;sans-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5">
              <w:r>
                <w:rPr>
                  <w:rStyle w:val="InternetLink"/>
                  <w:rFonts w:ascii="Times New Roman;sans-serif" w:hAnsi="Times New Roman;sans-serif"/>
                  <w:b w:val="false"/>
                  <w:color w:val="0000FF"/>
                  <w:sz w:val="20"/>
                  <w:u w:val="single"/>
                </w:rPr>
                <w:t>25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8">
              <w:r>
                <w:rPr>
                  <w:rStyle w:val="InternetLink"/>
                  <w:rFonts w:ascii="Times New Roman;sans-serif" w:hAnsi="Times New Roman;sans-serif"/>
                  <w:b w:val="false"/>
                  <w:color w:val="0000FF"/>
                  <w:sz w:val="20"/>
                  <w:u w:val="single"/>
                </w:rPr>
                <w:t>Item 2.</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8">
              <w:r>
                <w:rPr>
                  <w:rStyle w:val="InternetLink"/>
                  <w:rFonts w:ascii="Times New Roman;sans-serif" w:hAnsi="Times New Roman;sans-serif"/>
                  <w:b w:val="false"/>
                  <w:color w:val="0000FF"/>
                  <w:sz w:val="20"/>
                  <w:u w:val="single"/>
                </w:rPr>
                <w:t>Properties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8">
              <w:r>
                <w:rPr>
                  <w:rStyle w:val="InternetLink"/>
                  <w:rFonts w:ascii="Times New Roman;sans-serif" w:hAnsi="Times New Roman;sans-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31">
              <w:r>
                <w:rPr>
                  <w:rStyle w:val="InternetLink"/>
                  <w:rFonts w:ascii="Times New Roman;sans-serif" w:hAnsi="Times New Roman;sans-serif"/>
                  <w:b w:val="false"/>
                  <w:color w:val="0000FF"/>
                  <w:sz w:val="20"/>
                  <w:u w:val="single"/>
                </w:rPr>
                <w:t>Item 3.</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31">
              <w:r>
                <w:rPr>
                  <w:rStyle w:val="InternetLink"/>
                  <w:rFonts w:ascii="Times New Roman;sans-serif" w:hAnsi="Times New Roman;sans-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31">
              <w:r>
                <w:rPr>
                  <w:rStyle w:val="InternetLink"/>
                  <w:rFonts w:ascii="Times New Roman;sans-serif" w:hAnsi="Times New Roman;sans-serif"/>
                  <w:b w:val="false"/>
                  <w:color w:val="0000FF"/>
                  <w:sz w:val="20"/>
                  <w:u w:val="single"/>
                </w:rPr>
                <w:t>25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34">
              <w:r>
                <w:rPr>
                  <w:rStyle w:val="InternetLink"/>
                  <w:rFonts w:ascii="Times New Roman;sans-serif" w:hAnsi="Times New Roman;sans-serif"/>
                  <w:b w:val="false"/>
                  <w:color w:val="0000FF"/>
                  <w:sz w:val="20"/>
                  <w:u w:val="single"/>
                </w:rPr>
                <w:t>Item 4.</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34">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34">
              <w:r>
                <w:rPr>
                  <w:rStyle w:val="InternetLink"/>
                  <w:rFonts w:ascii="Times New Roman;sans-serif" w:hAnsi="Times New Roman;sans-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37">
              <w:r>
                <w:rPr>
                  <w:rStyle w:val="InternetLink"/>
                  <w:rFonts w:ascii="Times New Roman;sans-serif" w:hAnsi="Times New Roman;sans-serif"/>
                  <w:b w:val="false"/>
                  <w:color w:val="0E32E1"/>
                  <w:sz w:val="20"/>
                  <w:u w:val="single"/>
                </w:rPr>
                <w:t>PART II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40">
              <w:r>
                <w:rPr>
                  <w:rStyle w:val="InternetLink"/>
                  <w:rFonts w:ascii="Times New Roman;sans-serif" w:hAnsi="Times New Roman;sans-serif"/>
                  <w:b w:val="false"/>
                  <w:color w:val="0000FF"/>
                  <w:sz w:val="20"/>
                  <w:u w:val="single"/>
                </w:rPr>
                <w:t>Item 5.</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40">
              <w:r>
                <w:rPr>
                  <w:rStyle w:val="InternetLink"/>
                  <w:rFonts w:ascii="Times New Roman;sans-serif" w:hAnsi="Times New Roman;sans-serif"/>
                  <w:b w:val="false"/>
                  <w:color w:val="0000FF"/>
                  <w:sz w:val="20"/>
                  <w:u w:val="single"/>
                </w:rPr>
                <w:t>Market for Registrant’s Common Equity, Related Shareholder Matters and Issuer Purchases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40">
              <w:r>
                <w:rPr>
                  <w:rStyle w:val="InternetLink"/>
                  <w:rFonts w:ascii="Times New Roman;sans-serif" w:hAnsi="Times New Roman;sans-serif"/>
                  <w:b w:val="false"/>
                  <w:color w:val="0000FF"/>
                  <w:sz w:val="20"/>
                  <w:u w:val="single"/>
                </w:rPr>
                <w:t>26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43">
              <w:r>
                <w:rPr>
                  <w:rStyle w:val="InternetLink"/>
                  <w:rFonts w:ascii="Times New Roman;sans-serif" w:hAnsi="Times New Roman;sans-serif"/>
                  <w:b w:val="false"/>
                  <w:color w:val="0000FF"/>
                  <w:sz w:val="20"/>
                  <w:u w:val="single"/>
                </w:rPr>
                <w:t>Item 6.</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43">
              <w:r>
                <w:rPr>
                  <w:rStyle w:val="InternetLink"/>
                  <w:rFonts w:ascii="Times New Roman;sans-serif" w:hAnsi="Times New Roman;sans-serif"/>
                  <w:b w:val="false"/>
                  <w:color w:val="0000FF"/>
                  <w:sz w:val="20"/>
                  <w:u w:val="single"/>
                </w:rPr>
                <w:t>[Reserved]</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43">
              <w:r>
                <w:rPr>
                  <w:rStyle w:val="InternetLink"/>
                  <w:rFonts w:ascii="Times New Roman;sans-serif" w:hAnsi="Times New Roman;sans-serif"/>
                  <w:b w:val="false"/>
                  <w:color w:val="0000FF"/>
                  <w:sz w:val="20"/>
                  <w:u w:val="single"/>
                </w:rPr>
                <w:t>27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46">
              <w:r>
                <w:rPr>
                  <w:rStyle w:val="InternetLink"/>
                  <w:rFonts w:ascii="Times New Roman;sans-serif" w:hAnsi="Times New Roman;sans-serif"/>
                  <w:b w:val="false"/>
                  <w:color w:val="0000FF"/>
                  <w:sz w:val="20"/>
                  <w:u w:val="single"/>
                </w:rPr>
                <w:t>Item 7.</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46">
              <w:r>
                <w:rPr>
                  <w:rStyle w:val="InternetLink"/>
                  <w:rFonts w:ascii="Times New Roman;sans-serif" w:hAnsi="Times New Roman;sans-serif"/>
                  <w:b w:val="false"/>
                  <w:color w:val="0000FF"/>
                  <w:sz w:val="20"/>
                  <w:u w:val="single"/>
                </w:rPr>
                <w:t>27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03">
              <w:r>
                <w:rPr>
                  <w:rStyle w:val="InternetLink"/>
                  <w:rFonts w:ascii="Times New Roman;sans-serif" w:hAnsi="Times New Roman;sans-serif"/>
                  <w:b w:val="false"/>
                  <w:color w:val="0000FF"/>
                  <w:sz w:val="20"/>
                  <w:u w:val="single"/>
                </w:rPr>
                <w:t>Item 7A.</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103">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103">
              <w:r>
                <w:rPr>
                  <w:rStyle w:val="InternetLink"/>
                  <w:rFonts w:ascii="Times New Roman;sans-serif" w:hAnsi="Times New Roman;sans-serif"/>
                  <w:b w:val="false"/>
                  <w:color w:val="0000FF"/>
                  <w:sz w:val="20"/>
                  <w:u w:val="single"/>
                </w:rPr>
                <w:t>44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06">
              <w:r>
                <w:rPr>
                  <w:rStyle w:val="InternetLink"/>
                  <w:rFonts w:ascii="Times New Roman;sans-serif" w:hAnsi="Times New Roman;sans-serif"/>
                  <w:b w:val="false"/>
                  <w:color w:val="0000FF"/>
                  <w:sz w:val="20"/>
                  <w:u w:val="single"/>
                </w:rPr>
                <w:t>Item 8.</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106">
              <w:r>
                <w:rPr>
                  <w:rStyle w:val="InternetLink"/>
                  <w:rFonts w:ascii="Times New Roman;sans-serif" w:hAnsi="Times New Roman;sans-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106">
              <w:r>
                <w:rPr>
                  <w:rStyle w:val="InternetLink"/>
                  <w:rFonts w:ascii="Times New Roman;sans-serif" w:hAnsi="Times New Roman;sans-serif"/>
                  <w:b w:val="false"/>
                  <w:color w:val="0000FF"/>
                  <w:sz w:val="20"/>
                  <w:u w:val="single"/>
                </w:rPr>
                <w:t>45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99">
              <w:r>
                <w:rPr>
                  <w:rStyle w:val="InternetLink"/>
                  <w:rFonts w:ascii="Times New Roman;sans-serif" w:hAnsi="Times New Roman;sans-serif"/>
                  <w:b w:val="false"/>
                  <w:color w:val="0000FF"/>
                  <w:sz w:val="20"/>
                  <w:u w:val="single"/>
                </w:rPr>
                <w:t>Item 9.</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19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199">
              <w:r>
                <w:rPr>
                  <w:rStyle w:val="InternetLink"/>
                  <w:rFonts w:ascii="Times New Roman;sans-serif" w:hAnsi="Times New Roman;sans-serif"/>
                  <w:b w:val="false"/>
                  <w:color w:val="0000FF"/>
                  <w:sz w:val="20"/>
                  <w:u w:val="single"/>
                </w:rPr>
                <w:t>82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02">
              <w:r>
                <w:rPr>
                  <w:rStyle w:val="InternetLink"/>
                  <w:rFonts w:ascii="Times New Roman;sans-serif" w:hAnsi="Times New Roman;sans-serif"/>
                  <w:b w:val="false"/>
                  <w:color w:val="0000FF"/>
                  <w:sz w:val="20"/>
                  <w:u w:val="single"/>
                </w:rPr>
                <w:t>Item 9A.</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02">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02">
              <w:r>
                <w:rPr>
                  <w:rStyle w:val="InternetLink"/>
                  <w:rFonts w:ascii="Times New Roman;sans-serif" w:hAnsi="Times New Roman;sans-serif"/>
                  <w:b w:val="false"/>
                  <w:color w:val="0000FF"/>
                  <w:sz w:val="20"/>
                  <w:u w:val="single"/>
                </w:rPr>
                <w:t>82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05">
              <w:r>
                <w:rPr>
                  <w:rStyle w:val="InternetLink"/>
                  <w:rFonts w:ascii="Times New Roman;sans-serif" w:hAnsi="Times New Roman;sans-serif"/>
                  <w:b w:val="false"/>
                  <w:color w:val="0000FF"/>
                  <w:sz w:val="20"/>
                  <w:u w:val="single"/>
                </w:rPr>
                <w:t>Item 9B.</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05">
              <w:r>
                <w:rPr>
                  <w:rStyle w:val="InternetLink"/>
                  <w:rFonts w:ascii="Times New Roman;sans-serif" w:hAnsi="Times New Roman;sans-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05">
              <w:r>
                <w:rPr>
                  <w:rStyle w:val="InternetLink"/>
                  <w:rFonts w:ascii="Times New Roman;sans-serif" w:hAnsi="Times New Roman;sans-serif"/>
                  <w:b w:val="false"/>
                  <w:color w:val="0000FF"/>
                  <w:sz w:val="20"/>
                  <w:u w:val="single"/>
                </w:rPr>
                <w:t>83</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08">
              <w:r>
                <w:rPr>
                  <w:rStyle w:val="InternetLink"/>
                  <w:rFonts w:ascii="Times New Roman;sans-serif" w:hAnsi="Times New Roman;sans-serif"/>
                  <w:b w:val="false"/>
                  <w:color w:val="0000FF"/>
                  <w:sz w:val="20"/>
                  <w:u w:val="single"/>
                </w:rPr>
                <w:t>Item 9C.</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08">
              <w:r>
                <w:rPr>
                  <w:rStyle w:val="InternetLink"/>
                  <w:rFonts w:ascii="Times New Roman;sans-serif" w:hAnsi="Times New Roman;sans-serif"/>
                  <w:b w:val="false"/>
                  <w:color w:val="0000FF"/>
                  <w:sz w:val="20"/>
                  <w:u w:val="single"/>
                </w:rPr>
                <w:t>Disclosure Regarding Foreign Jurisdictions that Prevent Inspections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08">
              <w:r>
                <w:rPr>
                  <w:rStyle w:val="InternetLink"/>
                  <w:rFonts w:ascii="Times New Roman;sans-serif" w:hAnsi="Times New Roman;sans-serif"/>
                  <w:b w:val="false"/>
                  <w:color w:val="0000FF"/>
                  <w:sz w:val="20"/>
                  <w:u w:val="single"/>
                </w:rPr>
                <w:t>83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11">
              <w:r>
                <w:rPr>
                  <w:rStyle w:val="InternetLink"/>
                  <w:rFonts w:ascii="Times New Roman;sans-serif" w:hAnsi="Times New Roman;sans-serif"/>
                  <w:b w:val="false"/>
                  <w:color w:val="0E32E1"/>
                  <w:sz w:val="20"/>
                  <w:u w:val="single"/>
                </w:rPr>
                <w:t>PART III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14">
              <w:r>
                <w:rPr>
                  <w:rStyle w:val="InternetLink"/>
                  <w:rFonts w:ascii="Times New Roman;sans-serif" w:hAnsi="Times New Roman;sans-serif"/>
                  <w:b w:val="false"/>
                  <w:color w:val="0000FF"/>
                  <w:sz w:val="20"/>
                  <w:u w:val="single"/>
                </w:rPr>
                <w:t>Item 10.</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14">
              <w:r>
                <w:rPr>
                  <w:rStyle w:val="InternetLink"/>
                  <w:rFonts w:ascii="Times New Roman;sans-serif" w:hAnsi="Times New Roman;sans-serif"/>
                  <w:b w:val="false"/>
                  <w:color w:val="0000FF"/>
                  <w:sz w:val="20"/>
                  <w:u w:val="single"/>
                </w:rPr>
                <w:t>Directors, Executive Officers and Corporate Governance</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14">
              <w:r>
                <w:rPr>
                  <w:rStyle w:val="InternetLink"/>
                  <w:rFonts w:ascii="Times New Roman;sans-serif" w:hAnsi="Times New Roman;sans-serif"/>
                  <w:b w:val="false"/>
                  <w:color w:val="0000FF"/>
                  <w:sz w:val="20"/>
                  <w:u w:val="single"/>
                </w:rPr>
                <w:t>84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17">
              <w:r>
                <w:rPr>
                  <w:rStyle w:val="InternetLink"/>
                  <w:rFonts w:ascii="Times New Roman;sans-serif" w:hAnsi="Times New Roman;sans-serif"/>
                  <w:b w:val="false"/>
                  <w:color w:val="0000FF"/>
                  <w:sz w:val="20"/>
                  <w:u w:val="single"/>
                </w:rPr>
                <w:t>Item 11.</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17">
              <w:r>
                <w:rPr>
                  <w:rStyle w:val="InternetLink"/>
                  <w:rFonts w:ascii="Times New Roman;sans-serif" w:hAnsi="Times New Roman;sans-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17">
              <w:r>
                <w:rPr>
                  <w:rStyle w:val="InternetLink"/>
                  <w:rFonts w:ascii="Times New Roman;sans-serif" w:hAnsi="Times New Roman;sans-serif"/>
                  <w:b w:val="false"/>
                  <w:color w:val="0000FF"/>
                  <w:sz w:val="20"/>
                  <w:u w:val="single"/>
                </w:rPr>
                <w:t>84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20">
              <w:r>
                <w:rPr>
                  <w:rStyle w:val="InternetLink"/>
                  <w:rFonts w:ascii="Times New Roman;sans-serif" w:hAnsi="Times New Roman;sans-serif"/>
                  <w:b w:val="false"/>
                  <w:color w:val="0000FF"/>
                  <w:sz w:val="20"/>
                  <w:u w:val="single"/>
                </w:rPr>
                <w:t>Item 12.</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20">
              <w:r>
                <w:rPr>
                  <w:rStyle w:val="InternetLink"/>
                  <w:rFonts w:ascii="Times New Roman;sans-serif" w:hAnsi="Times New Roman;sans-serif"/>
                  <w:b w:val="false"/>
                  <w:color w:val="0000FF"/>
                  <w:sz w:val="20"/>
                  <w:u w:val="single"/>
                </w:rPr>
                <w:t>Security Ownership of Certain Beneficial Owners and Management and Related Shareholder Matters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20">
              <w:r>
                <w:rPr>
                  <w:rStyle w:val="InternetLink"/>
                  <w:rFonts w:ascii="Times New Roman;sans-serif" w:hAnsi="Times New Roman;sans-serif"/>
                  <w:b w:val="false"/>
                  <w:color w:val="0000FF"/>
                  <w:sz w:val="20"/>
                  <w:u w:val="single"/>
                </w:rPr>
                <w:t>84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26">
              <w:r>
                <w:rPr>
                  <w:rStyle w:val="InternetLink"/>
                  <w:rFonts w:ascii="Times New Roman;sans-serif" w:hAnsi="Times New Roman;sans-serif"/>
                  <w:b w:val="false"/>
                  <w:color w:val="0000FF"/>
                  <w:sz w:val="20"/>
                  <w:u w:val="single"/>
                </w:rPr>
                <w:t>Item 13.</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2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26">
              <w:r>
                <w:rPr>
                  <w:rStyle w:val="InternetLink"/>
                  <w:rFonts w:ascii="Times New Roman;sans-serif" w:hAnsi="Times New Roman;sans-serif"/>
                  <w:b w:val="false"/>
                  <w:color w:val="0000FF"/>
                  <w:sz w:val="20"/>
                  <w:u w:val="single"/>
                </w:rPr>
                <w:t>85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29">
              <w:r>
                <w:rPr>
                  <w:rStyle w:val="InternetLink"/>
                  <w:rFonts w:ascii="Times New Roman;sans-serif" w:hAnsi="Times New Roman;sans-serif"/>
                  <w:b w:val="false"/>
                  <w:color w:val="0000FF"/>
                  <w:sz w:val="20"/>
                  <w:u w:val="single"/>
                </w:rPr>
                <w:t>Item 14.</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29">
              <w:r>
                <w:rPr>
                  <w:rStyle w:val="InternetLink"/>
                  <w:rFonts w:ascii="Times New Roman;sans-serif" w:hAnsi="Times New Roman;sans-serif"/>
                  <w:b w:val="false"/>
                  <w:color w:val="0000FF"/>
                  <w:sz w:val="20"/>
                  <w:u w:val="single"/>
                </w:rPr>
                <w:t>Principal Accountant Fees and Services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29">
              <w:r>
                <w:rPr>
                  <w:rStyle w:val="InternetLink"/>
                  <w:rFonts w:ascii="Times New Roman;sans-serif" w:hAnsi="Times New Roman;sans-serif"/>
                  <w:b w:val="false"/>
                  <w:color w:val="0000FF"/>
                  <w:sz w:val="20"/>
                  <w:u w:val="single"/>
                </w:rPr>
                <w:t>85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32">
              <w:r>
                <w:rPr>
                  <w:rStyle w:val="InternetLink"/>
                  <w:rFonts w:ascii="Times New Roman;sans-serif" w:hAnsi="Times New Roman;sans-serif"/>
                  <w:b w:val="false"/>
                  <w:color w:val="0E32E1"/>
                  <w:sz w:val="20"/>
                  <w:u w:val="single"/>
                </w:rPr>
                <w:t>PART IV</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35">
              <w:r>
                <w:rPr>
                  <w:rStyle w:val="InternetLink"/>
                  <w:rFonts w:ascii="Times New Roman;sans-serif" w:hAnsi="Times New Roman;sans-serif"/>
                  <w:b w:val="false"/>
                  <w:color w:val="0000FF"/>
                  <w:sz w:val="20"/>
                  <w:u w:val="single"/>
                </w:rPr>
                <w:t>Item 15.</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35">
              <w:r>
                <w:rPr>
                  <w:rStyle w:val="InternetLink"/>
                  <w:rFonts w:ascii="Times New Roman;sans-serif" w:hAnsi="Times New Roman;sans-serif"/>
                  <w:b w:val="false"/>
                  <w:color w:val="0000FF"/>
                  <w:sz w:val="20"/>
                  <w:u w:val="single"/>
                </w:rPr>
                <w:t>Exhibits and Financial Statement Schedules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35">
              <w:r>
                <w:rPr>
                  <w:rStyle w:val="InternetLink"/>
                  <w:rFonts w:ascii="Times New Roman;sans-serif" w:hAnsi="Times New Roman;sans-serif"/>
                  <w:b w:val="false"/>
                  <w:color w:val="0000FF"/>
                  <w:sz w:val="20"/>
                  <w:u w:val="single"/>
                </w:rPr>
                <w:t>86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238">
              <w:r>
                <w:rPr>
                  <w:rStyle w:val="InternetLink"/>
                  <w:rFonts w:ascii="Times New Roman;sans-serif" w:hAnsi="Times New Roman;sans-serif"/>
                  <w:b w:val="false"/>
                  <w:color w:val="0000FF"/>
                  <w:sz w:val="20"/>
                  <w:u w:val="single"/>
                </w:rPr>
                <w:t>Item 16.</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238">
              <w:r>
                <w:rPr>
                  <w:rStyle w:val="InternetLink"/>
                  <w:rFonts w:ascii="Times New Roman;sans-serif" w:hAnsi="Times New Roman;sans-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0ea90ddee54507b77502a3064df09f_238">
              <w:r>
                <w:rPr>
                  <w:rStyle w:val="InternetLink"/>
                  <w:rFonts w:ascii="Times New Roman;sans-serif" w:hAnsi="Times New Roman;sans-serif"/>
                  <w:b w:val="false"/>
                  <w:color w:val="0000FF"/>
                  <w:sz w:val="20"/>
                  <w:u w:val="single"/>
                </w:rPr>
                <w:t>88</w:t>
              </w:r>
            </w:hyperlink>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this report, references to “MYR Group,” the “Company,” “we,” “us,” and “our” refer to MYR Group Inc. and its consolidated subsidiaries, except as otherwise indicated or as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05"/>
        <w:jc w:val="left"/>
        <w:rPr/>
      </w:pPr>
      <w:r>
        <w:rPr>
          <w:rFonts w:ascii="Times New Roman;sans-serif" w:hAnsi="Times New Roman;sans-serif"/>
          <w:b w:val="false"/>
          <w:color w:val="000000"/>
          <w:sz w:val="20"/>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Annual Report on Form 10-K speak only as of the date of this Annual Report on Form 10</w:t>
      </w:r>
      <w:r>
        <w:rPr>
          <w:rFonts w:ascii="Times New Roman;sans-serif" w:hAnsi="Times New Roman;sans-serif"/>
          <w:b/>
          <w:color w:val="000000"/>
          <w:sz w:val="20"/>
        </w:rPr>
        <w:t>-</w:t>
      </w:r>
      <w:r>
        <w:rPr>
          <w:rFonts w:ascii="Times New Roman;sans-serif" w:hAnsi="Times New Roman;sans-serif"/>
          <w:b w:val="false"/>
          <w:color w:val="000000"/>
          <w:sz w:val="20"/>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wholly-owned subsidiaries. We primarily provide electrical construction services through a network of local offices located throughout the United States and Canada. We provide a broad range of services, including design, engineering, procurement, construction, upgrade, maintenance and repair services, with a particular focus on construction, maintenance and repair.</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12121 Grant Street, Suite 610, Thornton, Colorado 80241. The telephone number of our principal executive offices is (303) 286-8000.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subsidiaries, we are a leading specialty contractor serving the electric utility infrastructure, commercial and industrial construction markets in the United States and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Transmission and Distribution segment.</w:t>
      </w:r>
      <w:r>
        <w:rPr>
          <w:color w:val="000000"/>
        </w:rPr>
        <w:t>   </w:t>
      </w:r>
      <w:r>
        <w:rPr>
          <w:rFonts w:ascii="Times New Roman;sans-serif" w:hAnsi="Times New Roman;sans-serif"/>
          <w:b w:val="false"/>
          <w:color w:val="000000"/>
          <w:sz w:val="20"/>
        </w:rPr>
        <w:t>We have operated in the transmission and distribution industry since 1891. We are one of the largest U.S. contractors servicing the T&amp;D sector of the electric utility industry. Our T&amp;D segment provides a broad range of services on electric transmission and distribution networks and substation facilities which include design, engineering, procurement, construction, upgrade and maintenance and repair services, with a particular focus on construction, maintenance and repair, to customers in the electric utility industry throughout the United States and Ontario, Canada. Our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T&amp;D segment, we generally serve the electric utility industry and power generation companies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Commercial and Industrial segment.</w:t>
      </w:r>
      <w:r>
        <w:rPr>
          <w:color w:val="000000"/>
        </w:rPr>
        <w:t xml:space="preserve">   </w:t>
      </w:r>
      <w:r>
        <w:rPr>
          <w:rFonts w:ascii="Times New Roman;sans-serif" w:hAnsi="Times New Roman;sans-serif"/>
          <w:b w:val="false"/>
          <w:color w:val="000000"/>
          <w:sz w:val="20"/>
        </w:rPr>
        <w:t>We have provided electrical contracting services for commercial and industrial construction since 1912. Our C&amp;I segment provides services such as the design, installation, maintenance and repair of commercial and industrial wiring, the installation of intelligent transportation systems, roadway lighting, signalization and electric vehicle charging infrastructure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our C&amp;I segment, we generally provide our electric construction and maintenance services as a subcontractor to general contractors in the C&amp;I industry, but also contract directly with facility owners. The C&amp;I segment has a diverse customer base with many long-standing relationships.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financial information related to our business segments is provided under “Item 7. Management’s Discussion and Analysis of Financial Condition and Results of Operations” and in Note 17 — Segment Information to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customers include many of the leading providers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governmental agencies and developers.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long-standing relationships with many of our customers, and we cultivate these relationships at all levels of our organization.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emphasis on safety and customer service contribute to obtaining new contracts with both existing and new customers.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our top 10 customers accounted for 37.8%, 37.9%, and 35.4%, of our revenues, respectively. For the years ended December 31, 2024, 2023 and 2022, no single customer accounted for more than 10.0% of annual revenues.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revenues derived from T&amp;D customers accounted for 55.9%, 57.3% and 58.0% of our total revenues, respectively, and revenues derived from C&amp;I customers accounted for 44.1%, 42.7% and 42.0% of our total revenues,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Types of Service Arrangements and Bidding Process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Most of our contracts, including MSAs, may be terminated by our customers on short notice, typically 30 to 90 days, even if we are not in default under the contract. Although there is considerable variation in the terms of the contracts we undertake, our contracts are primarily structured as: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fixed-price agreements, under which we agree to perform the defined scope for a fixed amount;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unit-price agreements, under which we agree to perform the work at a fixed price per unit of work as specified in the agreement;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time-and-equipment and time-and-materials contracts, under which we agree to perform the work at negotiated hourly billing rates for labor and equipment and for other expenses, including materials, as incurred, at rates agreed to in the contract;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cost-plus contracts, where we are paid for our costs plus a negotiated margin.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occasion, time-and-equipment, time-and-materials and cost-plus contracts include shared savings clauses, in which the contract includes a target price and we agree to share savings from that target price with our customer.</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Work in our C&amp;I segment is typically performed under fixed-price, time-and-materials, time-and-equipment, cost-plus, and unit-price agreements. Fixed-price contracts accounted for 60.3% of total revenue for the year ended December 31, 2024, including 43.9% of our total revenue for our T&amp;D segment and 81.2% of our total revenue for our C&amp;I segment.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bidding at expiration and generally attract numerous bidders.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Materials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Subcontracting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the prime contractor for the majority of our T&amp;D projects, however, we occasionally perform work as a subcontractor, and we may elect to do so from time to 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and engineering under both segments.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When we perform work as a subcontractor we are often only paid after the general or prime contractor is paid. On larger projects, we may require performance and payment bonding from subcontractors, where we deem appropriate, based on the risk involved.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 location of construction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that customers consider in our industry are: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price and flexible contract terms;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safety programs and safety performance;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reputation and relationships with the customer;</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technical expertise and experience;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management team experience;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geographic presence and breadth of service offerings;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willingness to accept risk;</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quality of service execution;</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specialized equipment, tooling and centralized fleet structure;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availability of qualified and licensed personnel;</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adequate financial resources and bonding capacity;</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technological capabilities;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emergency restoration abilities and reputation.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our customers consider a number of factors when selecting a service provider, most of their work is awarded through a bid process where price is always a principal factor. See “Item 1A. Risk Factors — Our industry is highly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T&amp;D Competition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segment competes with a number of companies in the local markets where we operate, ranging from small local independent companies, to medium size regional firms, to large national competitors.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 number of barriers to entry into the T&amp;D markets, including the cost of equipment and tooling necessary to perform T&amp;D work, availability of qualified labor, scope of typical T&amp;D projects and technical, managerial and supervisory skills necessary to complete the job. Larger T&amp;D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T&amp;D infrastructure project varies greatly depending on a number of factors, including the size of the project, its location and the bidder qualification requirements imposed upon contractors by the customer. Additionally, our ability to compete in our T&amp;D markets is aided by our capacity to scale and flex for our customer's need. Some of our competitors restrict their operations to one geographic area while others operate nationally and internationally.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 favorable competitive position in the T&amp;D markets that we serve, due in part to our operating history, our financial strength, our reputation and our relationships with our customers.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C&amp;I Competition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C&amp;I segment predominately competes with a number of companies in the local markets where we operate, ranging from small local independent companies, to medium size regional firms, to large national competitors. The size, location and technical requirements of the project will impact which competitors we will encounter when bidding on any particular project.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major competitive factor in our C&amp;I segment is the individual relationships that we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procure the required materials and equipment of a particular project may impact the competition that we encounter. We differentiate ourselves from our competitors by bidding for larger and more technically complex projects, which we believe many of our smaller competitors may not be capable of executing effectively. We believe that we have a favorable competitive position in the C&amp;I markets that we serve, due in part to our operating history, local market share, our reputation, our relationships with our customers and our financial strengths.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Project Bonding Requirements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2024, we had approximately $416.3 million in original face amount of bonds outstanding for projects in our T&amp;D segment and approximately $1.86 billion for projects in our C&amp;I segment. Our estimated remaining cost to complete these bonded projects for both segments was approximately $662.6 million as of December 31, 2024. As of December 31, 2023, we had approximately $683.4 million in original face amount of bonds outstanding for projects in our T&amp;D segment and approximately $1.76 billion for projects in our C&amp;I segment. The ability to post bonds provides us with a competitive advantage over smaller or less financially secure competitors.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subsidiaries, which reduces the borrowing availability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12 — Revenue Recognition to our Financial Statements. See also “Item 1A. Risk Factors — Backlog may not be realized or may not result in profits and may not accurately represent future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as to the accuracy of our current estimates of customer requirements,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4"/>
        <w:gridCol w:w="347"/>
        <w:gridCol w:w="348"/>
        <w:gridCol w:w="109"/>
        <w:gridCol w:w="109"/>
        <w:gridCol w:w="109"/>
        <w:gridCol w:w="211"/>
        <w:gridCol w:w="976"/>
        <w:gridCol w:w="109"/>
        <w:gridCol w:w="109"/>
        <w:gridCol w:w="109"/>
        <w:gridCol w:w="109"/>
        <w:gridCol w:w="330"/>
        <w:gridCol w:w="1528"/>
        <w:gridCol w:w="170"/>
        <w:gridCol w:w="109"/>
        <w:gridCol w:w="109"/>
        <w:gridCol w:w="109"/>
        <w:gridCol w:w="355"/>
        <w:gridCol w:w="1391"/>
        <w:gridCol w:w="183"/>
        <w:gridCol w:w="109"/>
        <w:gridCol w:w="109"/>
        <w:gridCol w:w="109"/>
        <w:gridCol w:w="401"/>
        <w:gridCol w:w="1856"/>
        <w:gridCol w:w="2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Backlog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backlog at December 31, 2023</w:t>
            </w:r>
          </w:p>
        </w:tc>
      </w:tr>
      <w:tr>
        <w:trPr/>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806,239 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959,553 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1,552,846 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2,080,323 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496,095 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2,512,399 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backlog from period to period are primarily the result of fluctuations in the timing of awards and revenue recognition of contracts. Our backlog as of December 31, 2024 and 2023 included our proportionate share of unconsolidated joint venture backlog totaling $172.3 million and $18.9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Trade Names and Intellectual Property</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the United States under a number of trade names, including: The L. E. Myers Co.; Harlan Electric Company; Great Southwestern Construction, Inc.; Sturgeon Electric Company, Inc.; MYR Energy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Western Pacific Enterprises Ltd; Powerline Plus Ltd. and PLP Redimix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Equipment</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cranes and specialty construction equipment, such as wire pullers and wire tensioning machines. We also rely on specialized tooling, including stringing blocks, wire grips and presses. The standardization of our equipment allows us to streamline training, maintenance and parts costs. We operate a centralized fleet facility, as well as numerous regional maintenance shops, that are staffed with mechanics and equipment managers who service our fleet. Our ability to internally service our fleet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fleet of equipment is generally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laws and regulations including:</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licensing, permitting and inspection requirements applicable to contractors, electricians and engineers;</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regulations relating to worker safety and environmental protection;</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licensing, permitting and inspection requirements applicable to construction projects;</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building and electrical codes;</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special bidding and procurement requirements on government projects; and</w:t>
      </w:r>
    </w:p>
    <w:p>
      <w:pPr>
        <w:pStyle w:val="TextBody"/>
        <w:bidi w:val="0"/>
        <w:spacing w:lineRule="auto" w:line="288" w:before="50" w:after="283"/>
        <w:ind w:left="0" w:right="0" w:hanging="180"/>
        <w:jc w:val="left"/>
        <w:rPr/>
      </w:pPr>
      <w:r>
        <w:rPr>
          <w:color w:val="000000"/>
        </w:rPr>
        <w:t>•</w:t>
      </w:r>
      <w:r>
        <w:rPr>
          <w:rFonts w:ascii="Times New Roman;sans-serif" w:hAnsi="Times New Roman;sans-serif"/>
          <w:b w:val="false"/>
          <w:color w:val="000000"/>
          <w:sz w:val="20"/>
        </w:rPr>
        <w:t>local laws and government acts regulating work on protected sites.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increasingly complex and changing laws and regulations enacted to protect business and personal data regarding privacy, data protection and data security, including those related to the collection, storage, use, transmission and protection of personal information and other customer, vendor or employee data. In addition, health and safety regulations may require increased operating costs or capital investments to promote a safe working environment. With respect to the laws and regulations noted above, as well as other applicable laws and regulations, the Company's compliance programs may under certain circumstances involve material investments in the form of additional processes, training, personnel, information technology and capital. For a discussion of the risks associated with certain applicable laws and regulations, see “Item 1A. Risk Factors."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 We do not expect that continued compliance with such regulations will have a material effect upon capital expenditures, earnings, or 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into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in substantial compliance with environmental laws and regulations and that any obligations related to environmental matters should not have a material effect on our financial condition, results of operations or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are significant existing and proposed environmental regulations in the jurisdictions where we do business that are designed to encourage the use of clean energy technologies and regulate emissions of greenhouse gases to address climate change. We regularly monitor the various proposals and changes to laws in this regard. Although the impact of climate change regulations on our business will ultimately depend on the specifics of governmental policies, legislation, and regulation, we believe that we are well-positioned to adapt our business to meet new regulations. Furthermore, we perform a significant amount of services for customers that operate electrical power infrastructure assets in locations and climates that are more susceptible to wildfires or other natural disasters. See “Item 1A. Risk Factors — Our failure to comply with environmental and other laws and regulations could result in significant liabilities” and “Item 1A. Risk Factors — 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Cyclical Nature of Business and Seasonality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construction and maintenance services from our customers is cyclical in nature and vulnerable to downturns in the industries we serve as well as the economy in general. As a result, our volume of business could be adversely affected by declines or delays in new projects in various geographic regions.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revenues are primarily driven by spending patterns in our customers’ industries, our revenues and results of operations can be subject to seasonal and other variations. These variation can be influenced by a number of factors such as weather, daylight hours, availability of workforce, asset readiness and holidays.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also “Item 1A. Risk Factors — Our business may be affected by seasonal and other variations, including severe weather conditions and the nature of our work environment.”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people are our greatest assets and the success and growth of our business depend in large part on our ability to attract, develop and retain a diverse population of talented, qualified and highly skilled employees at all levels of our organization, including the individuals who comprise our workforce as well as our executive officers and other key personnel. We have developed key recruitment and retention strategies, objectives and measures that serve as the framework for our human capital management approach and guide the overall management of our business. These strategies, objectives and measures are advanced through a number of programs, policies and initiatives, including those related to: health and safety; inclusion; employee recruitment, training and development; and compensation and benefits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attract and retain highly qualified craft employees by providing a superior work environment through our emphasis on safety, competitive compensation, and our high-quality fleet of equipment. The number of individuals we employ varies significantly throughout the year, including the number of craft employees fluctuates depending on the number and size of projects at any particular time. As of December 31, 2024, we had approximately 8,500 employees, consisting of approximately 6,800 craft employees, with the remaining 1,700 employees mainly consisting of district managers, project managers, superintendents, estimators, office managers, administrative staff, clerical personnel and executive officers. Approximately 87%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tbl>
      <w:tblPr>
        <w:tblW w:w="8632" w:type="dxa"/>
        <w:jc w:val="left"/>
        <w:tblInd w:w="0" w:type="dxa"/>
        <w:tblLayout w:type="fixed"/>
        <w:tblCellMar>
          <w:top w:w="28" w:type="dxa"/>
          <w:left w:w="28" w:type="dxa"/>
          <w:bottom w:w="28" w:type="dxa"/>
          <w:right w:w="28" w:type="dxa"/>
        </w:tblCellMar>
      </w:tblPr>
      <w:tblGrid>
        <w:gridCol w:w="662"/>
        <w:gridCol w:w="580"/>
        <w:gridCol w:w="587"/>
        <w:gridCol w:w="109"/>
        <w:gridCol w:w="109"/>
        <w:gridCol w:w="109"/>
        <w:gridCol w:w="489"/>
        <w:gridCol w:w="489"/>
        <w:gridCol w:w="491"/>
        <w:gridCol w:w="109"/>
        <w:gridCol w:w="109"/>
        <w:gridCol w:w="109"/>
        <w:gridCol w:w="1367"/>
        <w:gridCol w:w="1367"/>
        <w:gridCol w:w="1946"/>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Age 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 Swartz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K. 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Operating Officer T&amp;D</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 A. Egan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Operating Officer C&amp;I</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F. Fry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Legal Officer and Secretary</w:t>
            </w:r>
          </w:p>
        </w:tc>
      </w:tr>
    </w:tbl>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Richard S. Swartz </w:t>
      </w:r>
      <w:r>
        <w:rPr>
          <w:rFonts w:ascii="Times New Roman;sans-serif" w:hAnsi="Times New Roman;sans-serif"/>
          <w:b w:val="false"/>
          <w:color w:val="000000"/>
          <w:sz w:val="20"/>
        </w:rPr>
        <w:t>was appointed president and chief executive officer in January 2017 and has served as a member of our Board of Directors since April 2019. Prior to his current role, he served as executive vice president and chief operating officer of MYR Group from September 2016 to December 2016 and as senior vice president and chief operating officer of MYR Group from May 2011 to September 2016. Mr. Swartz served as senior vice president of MYR Group from August 2009 to May 2011, and as a group vice president of MYR Group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Kelly M. Huntington</w:t>
      </w:r>
      <w:r>
        <w:rPr>
          <w:color w:val="000000"/>
        </w:rPr>
        <w:t xml:space="preserve"> </w:t>
      </w:r>
      <w:r>
        <w:rPr>
          <w:rFonts w:ascii="Times New Roman;sans-serif" w:hAnsi="Times New Roman;sans-serif"/>
          <w:b w:val="false"/>
          <w:color w:val="000000"/>
          <w:sz w:val="20"/>
        </w:rPr>
        <w:t>joined us as senior vice president in January 2023 and became chief financial officer in February 2023. Prior to joining us, Ms. Huntington served as senior vice president &amp; chief financial officer of USIC, LLC; an underground utility location and damage prevention company from 2019 to 2022. Ms. Huntington served as senior vice president, Enterprise Strategy for OneAmerica Financial Partners, Inc. a financial services company from 2015 to 2019. Prior to OneAmerica Financial Partners, Ms. Huntington worked for Indianapolis Power &amp; Light Company, an electrical utility and subsidiary of The AES Corporation, serving as president and chief executive officers from 2013 to 2015, as senior vice president and chief financial officer from 2011 to 2013 and in various other leadership positions from 2003 to 2011. Ms. Huntington also currently serves on the board of directors of Capital Power Corporation.</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Brian K. Stern</w:t>
      </w:r>
      <w:r>
        <w:rPr>
          <w:color w:val="000000"/>
        </w:rPr>
        <w:t> </w:t>
      </w:r>
      <w:r>
        <w:rPr>
          <w:rFonts w:ascii="Times New Roman;sans-serif" w:hAnsi="Times New Roman;sans-serif"/>
          <w:b w:val="false"/>
          <w:color w:val="000000"/>
          <w:sz w:val="20"/>
        </w:rPr>
        <w:t>was appointed senior vice president and chief operating officer of our T&amp;D segment in March 2024. Prior to his current role, he served as group vice president and a member of the company’s executive leadership team since 2017. Mr. Stern has held a number of additional positions at the Company from 2010 to 2017, including regional vice president and district manager. Prior to joining us, Mr. Stern served as director of financial analysis at a leading T&amp;D competitor from 2006 to 2010. Mr. Stern served as our market analyst from 2001 to 2006.</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Don A. Egan </w:t>
      </w:r>
      <w:r>
        <w:rPr>
          <w:rFonts w:ascii="Times New Roman;sans-serif" w:hAnsi="Times New Roman;sans-serif"/>
          <w:b w:val="false"/>
          <w:color w:val="000000"/>
          <w:sz w:val="20"/>
        </w:rPr>
        <w:t>was appointed to serve as senior vice president and chief operating officer of our C&amp;I segment in May 2023. Prior to his current role, he served as group vice president and a member of the company’s executive leadership team since 2017, Mr. Egan also served as president of several of our subsidiary companies including, Sturgeon Electric Company, Inc., from May 2020 to May 2023. Mr. Egan has held a number of additional positions since joining the Company in 1991, including regional vice president, vice president, district manager, operations manager, and project manager.</w:t>
      </w:r>
    </w:p>
    <w:p>
      <w:pPr>
        <w:pStyle w:val="TextBody"/>
        <w:bidi w:val="0"/>
        <w:spacing w:lineRule="auto" w:line="288" w:before="140" w:after="283"/>
        <w:ind w:left="0" w:right="0" w:firstLine="360"/>
        <w:jc w:val="left"/>
        <w:rPr/>
      </w:pPr>
      <w:r>
        <w:rPr>
          <w:rFonts w:ascii="Times New Roman;sans-serif" w:hAnsi="Times New Roman;sans-serif"/>
          <w:b w:val="false"/>
          <w:i/>
          <w:color w:val="000000"/>
          <w:sz w:val="20"/>
        </w:rPr>
        <w:t>William F. Fry</w:t>
      </w:r>
      <w:r>
        <w:rPr>
          <w:color w:val="000000"/>
        </w:rPr>
        <w:t> </w:t>
      </w:r>
      <w:r>
        <w:rPr>
          <w:rFonts w:ascii="Times New Roman;sans-serif" w:hAnsi="Times New Roman;sans-serif"/>
          <w:b w:val="false"/>
          <w:color w:val="000000"/>
          <w:sz w:val="20"/>
        </w:rPr>
        <w:t>joined us as vice president, chief legal officer and secretary in January 2019 and became senior vice president, chief legal officer and secretary in March 2024. Prior to joining us, Mr. Fry served as vice president - legal for Team Inc., a specialty industrial service, engineering and manufacturing company, from 2016 to 2018. Mr. Fry was general counsel, secretary, vice president &amp; chief compliance officer of Furmanite Corporation, a provider of specialized technical services and product solutions, from 2012 to 2016, before its merger with Team Inc. Prior to joining Furmanite Corporation, Mr. Fry worked for American Tank &amp; Vessel, Inc., a specialty engineering and construction company, in various roles from 2006 to 2012, ultimately serving as their general counsel.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Website Access to Company Reports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Our website address is </w:t>
      </w:r>
      <w:r>
        <w:rPr>
          <w:rFonts w:ascii="Times New Roman;sans-serif" w:hAnsi="Times New Roman;sans-serif"/>
          <w:b w:val="false"/>
          <w:i/>
          <w:color w:val="000000"/>
          <w:sz w:val="20"/>
        </w:rPr>
        <w:t>www.myrgroup.com</w:t>
      </w:r>
      <w:r>
        <w:rPr>
          <w:rFonts w:ascii="Times New Roman;sans-serif" w:hAnsi="Times New Roman;sans-serif"/>
          <w:b w:val="false"/>
          <w:color w:val="000000"/>
          <w:sz w:val="20"/>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Although the risks are organized by heading, and each risk is described separately, many of the risks are interrelated. Additional risks we do not yet know of, or that we currently think are immaterial, may also affect our operations. You should not interpret the disclosure of any risk factor to imply that the risk has not already materialized. If any of the events or circumstances described in the following risks actually occurs, our business, financial condition, results of operations and cash flows could be affected and our stock price could decline.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Industry &amp; Market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vary significantly from period to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can be highly cyclical and subject to seasonal and other variations that can result in significant differences in operating results from period to period. Additionally, our results may be materially and adversely affected by:</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timing and volume of work under contract;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increased competition and changes in the competitive marketplace for our services;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spending patterns of customers and governments;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safety performance and reputation;</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increased costs of performance of our services caused by adverse weather conditions;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 overruns on fixed-price and unit-price contracts;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decreased equipment utilization;</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delays on projects due to permitting, regulatory issues or customer-caused delays;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disputes with customers relating to payment terms under our contracts and change orders, and our ability to successfully negotiate and obtain payment or reimbursement under our contracts and change orders;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variations in the margins of projects performed during any particular reporting period;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the demand for our services;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schedule delays, equipment and materials availability and increasing insurance, equipment, labor and material costs related to supply chain disruptions, inflationary pressures, recessionary conditions, tariffs, regulatory slowdowns and market disruptions;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timing and integration of acquisitions and the magnitude of the related acquisition and integration costs;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loss of a major customer;</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the mix of our customers, contracts and business;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amount of subcontractor and material costs in our projects;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payment risk associated with the financial condition of our customers or others;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increases in design, construction and operating costs, due to inflation or other unforeseen causes, that we are unable to pass through to our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termination or expiration of existing agreements;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regional and general economic conditions and the condition of the financial markets;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losses experienced in our operations not otherwise covered by insurance;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we incur to support growth internally or otherwise;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availability of qualified labor for specific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supply chain interruptions, including as a result of natural disasters, wildfires, weather, labor disputes, wars, pandemic outbreak of disease, fire or explosions and power outages;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liabilities associated with participation in joint ventures related to third party failures;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inability to secure sufficient funding to finance continuing operations, fund growth or to provide the required financial resources certain large projects may require;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significant fluctuations in foreign currency exchange rates;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unfavorable changes in tax laws or tax rates;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significant fluctuations in interest rates;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bonding requirements applicable to existing and new agreements;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associated with our multi-employer pension plan obligations;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availability or increased cost of equipment;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impairment of goodwill or intangible assets;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warranty claims.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our operating results in any particular reporting period may not be indicative of the results that can be expected for any other reporting period.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industry is highly competitive.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fragmented and we compete with other companies, ranging from small, independent firms servicing local markets to larger firms servicing regional, national and international markets. Any organization that has adequate financial resources and access to technical expertise may become one of our competitors. Competition in the industry depends on many factors, including pricing of the construction services, the reputation for safety and the quality and reliability of the contractor. Some of our competitors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Additionally, we may face competition from in-house service organizations of our existing or prospective customers including electric utility companies and others which often employ personnel to internally perform some of the same types of services we do. If we are unable to compete successfully in our markets, our operating results could be adversely affected.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Negative economic and market conditions including tariffs and inflation on materials, interest rates and recessionary conditions have in the past and may in the future adversely impact our customers’ spending and, as a result, our operations and growth.</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our services from our customers has been, and will likely continue to be, cyclical in nature and vulnerable to downturns in the industries we serve as well as the economy in general. Stagnant or declining economic conditions could result in the delay, reduction or cancellation of certain projects and could cause our customers to outsource less work, which could adversely affect us in the future. Negative economic changes could be magnified by adverse rate cases limiting the capital expenditure budgets of our customers and leading to lower demand for our services. Additionally, many of our customers finance their projects through the incurrence of debt or the issuance of equity. A reduction in cash flow, the lack of availability of debt or equity financing, or a higher cost of debt or equity financing may result in a reduction in our customers’ spending for our services and may also impact the timing or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also have an adverse impact on our customers’ spending patterns. Consolidation, competition, capital constraints or negative economic conditions in the electric power industry may also result in reduced spending by, or the loss of, one or more of our customers.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tariffs or trade policies may impact customer spending, indirect inflationary impacts,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New Project and Growth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may be unsuccessful in generating internal growth, which could impact the projects available to the Company.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internal growth will be affected by, among other factors, our ability to:</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attract new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increase the number of projects performed for existing customers;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hire and retain qualified personnel;</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successfully bid new projects;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expand geographically;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adapt the range of services we offer to customers to address their evolving construction needs.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support internal growth. If we are unsuccessful, we may not be able to achieve internal growth, expand our operations and grow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inability to successfully execute or integrate acquisitions or joint ventures may have an adverse impact on our growth strategy and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business strategy includes expanding our presence in the industries we serve through strategic acquisitions of companies or entry into joint ventures that complement or diversify our business. Future acquisition targets that meet our criteria may be limited. We may also face competition for acquisition opportunities, and other potential acquirers may offer more favorable terms or have greater financial resources available for potential acquisitions. This competition may limit our ability to grow through acquisitions or could raise the prices of acquisitions, adversely impacting any accretion that might be achieved. Failure to consummate future acquisitions could negatively affect our future growth strategies. Additionally, the acquisitions we pursue may involve significant cash expenditures, the incurrence or assumption of debt or burdensome regulatory requirements.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acquisition may ultimately have a negative impact on our business, financial condition, results of operations or cash flows. We may not realize the anticipated benefits and synergies of an acquisition, and our attempts at integrating an acquired business may not be successful. Acquisitions or joint ventures may expose us to operational and financial challenges and risks, including:</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the disruption of our ongoing business;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significant diversion of resources and management’s attention from our existing business;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reductions of cash and other resources available for operations and other uses;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exposure to risks specific to the acquired businesses, services, or technologies to which we are not currently exposed;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the failure to retain key personnel or customers of an acquired business;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difficulties integrating new operations and personnel;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failure of acquired companies to achieve the results we expect; and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the assumption of unknown liabilities of the acquired business for which there are inadequate reserves and the potential impairment of acquired intangible assets.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and maintain our competitive position may be affected by our ability to successfully integrate any businesses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Business and Operating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projects involve challenging engineering, procurement and construction phases that may occur over several years. We have in the past and may in the future encounter difficulties that impact our ability to complete the project in accordance with the original delivery schedule. These difficulties have and may continue to be the result of delays in designs; engineering information or materials provided by the customer or a third party; delays or difficulties in equipment and material delivery; schedule changes; delays from our customer’s failure to timely obtain permits, rights-of-way or to meet other regulatory requirements; weather-related delays; delays caused by difficult worksite environments; delays caused by inefficiencies and not achieving expected labor performance and other factors, some of which are beyond our control. Any delay or failure by suppliers or by third-party contractors or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clean energy projects, or other facilities. We may not be able to recover the costs we incur that are caused by delays. Certain contracts have guarantee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have in the past and may in the future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 resolved. A failure to promptly recover on these types of claims in the future could have a negative impact on our business, financial condition, results of operations and cash flows. Additionally, any such claims may harm our future relationships with our customers.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attract and retain qualified personnel.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our productivity and our operating results may be limited by our ability to employ, train and retain qualified personnel necessary to operate efficiently and to support our growth strategy. We have from time to time experienced shortages of certain types of qualified personnel, such as linemen, field supervisors, project managers and engineers, in certain regions. In addition, our projects are sometimes located in remote areas, which can make recruitment and deployment of our personnel challenging. Delays in the completion of a project could impact the labor available for other projects, reducing our productivity and causing an increase in our labor costs. Additionally, during periods with large volumes of storm restoration services work, linemen are frequently recruited across geographic regions to satisfy demand. Many linemen are willing to travel to earn premium wages for such work, which from time to time makes it difficult for us to retain these workers for ongoing projects when storm conditions persist.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personnel with the requisite skills, we may also be forced to incur significant training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success of our business depends upon the continued efforts and abilities of our employees. The relationships between our employees and our customers are important to obtaining and retaining business. We are also dependent on recruiting effective personnel for our projects. There can be no assurance that any individual employee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or higher costs to retain and hire key personnel. The loss of key personnel, or the inability to hire and retain qualified personnel, could negatively impact our ability to manage our business and relationships with our customers.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The timing of new contracts and termination of existing contracts may result in unpredictable fluctuations in our cash flows and financial results.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revenues are derived from project-based work that is awarded through a competitive bid process. It is generally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when, or whether,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contracts may be canceled upon short notice, typically 30 to 90 days, even if we are not in default under the contract, and we may be unsuccessful in replacing contracts, resulting in a decrease in our revenue, net income and liquidity.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bidding at the expiration of their terms. There can be no assurance that we will be the successful bidder on our existing contracts that come up for re-bid.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During the ordinary course of our business, we have in the past and may in the future become subject to lawsuits or indemnity claims.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Backlog may not be realized or may not result in profits and may not accurately represent future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of our estimates of backlog. See “Item 1. Business — Backlog” for a discussion on how we calculate backlog for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coverages from third party insurers as part of our overall risk management strategy and most of our customer contracts require us to maintain specific insurance coverage limits. We maintain insurance policies with respect to automobile liability, general liability, employer’s liability, workers’ compensation, cybersecurity, our employee group health program, and other types of coverages, but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frequency and severity of injuries, the magnitude of damage to or loss of property or the environment, the determination of our liability in proportion to other parties, estimates of incidents not reported and the effectiveness of our safety programs, and as a result, our actual losses may exceed our estimates. There can be no assurance that our current or past insurance coverages will be sufficient or effective under all circumstances or against all claims and liabilities to which we may be subject.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available at reasonable and competitive rates or at the required limits. The cost of our insurance has significantly increased over time and may continue to increase in the future. In addition, insurers may fail, cancel our coverage, increase the cost of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For example, due to the increase in wildfire losses and related insurance claims, insurers have reduced coverage availability and increased the cost of insurance coverage for such events in recent years, and our current levels of coverage may not be sufficient to cover potential losses. If our risk exposure increases as a result of adverse changes in our insurance coverages, we could be subject to increased liabilities that could negatively affect our business, financial condition, results of operations and cash flow.</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become more frequent or severe in recent years, insurance may become difficult or impossible to obtain. Our contracts may require us to indemnify our customers, project owners and other parties for injury, damage or loss arising out of our presence at our customers’ location, or in the performance of our work, in both cases regardless of fault,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and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business,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Risks associated with operating in the Canadian market could impact our profitability.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including laws related to the U.S. Foreign Corrupt Practices Act (“FCPA”) and similar laws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Changes in tax laws or our interpretations of tax laws could materially impact our tax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Our interpretation of these tax laws has in the past and may in the future differ from the interpretation of taxing authorities. Changes in the operating environment, including changes in tax laws, as well as differences in the interpretation of tax laws, could materially impact our income tax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currently collect and remit sales and use, value added and other transaction taxes in certain jurisdictions, based on our assessment of the amount of taxes owed by us in such jurisdictions. A successful assertion that we are required to pay additional taxes, the imposition of new laws or regulations or the interpretation of existing laws and regulations requiring the payment of additional taxes could materially impact our tax liabilities.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The nature of our business exposes us to potential liability for warranty claims and faulty engineering, which may reduce our profitability.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contracts typically include a warranty for the services that we provide against certain defects in workmanship and material. Additionally, materials used in construction are often provided by the customer or are warranted against defects from the supplier. Certain projects have longer warranty periods and include facility performance warranties that may be broader than the warranties we generally provide.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our customers, if any of these suppliers default on their warranty obligations to us, we may incur costs to repair or replace the defective materials for which we are not reimbursed. Costs incurred because of warranty claims could adversely affect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professional judgments regarding the planning, design, development, construction, operations and management of electric power transmission, distribution, commercial and industrial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Pandemic outbreaks of disease, such as the COVID-19 pandemic, have in the past had and may in the future have an adverse impact on our business, employees, liquidity, financial condition, results of operations and cash flows.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Future pandemic outbreaks of disease may further disrupt supply chains and create significant additional volatility and disruption of financial markets, which may require us to make changes to our business and, implement new health and safety protocols. Any such future health outbreaks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ultimate impact of any pandemic outbreak of disease, which could adversely affect our business, financial condition, results of operations and cash flows. Such effects may be material and the potential impacts include, but are not limited to:</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disruptions in our supply chain due to transportation delays, travel restrictions, raw material cost increases and shortages, and closures of businesses or facilities;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reductions in our operating effectiveness due to workforce disruptions or the unavailability of key personnel necessary to conduct our business activities; and</w:t>
      </w:r>
    </w:p>
    <w:p>
      <w:pPr>
        <w:pStyle w:val="TextBody"/>
        <w:bidi w:val="0"/>
        <w:spacing w:lineRule="auto" w:line="288" w:before="60" w:after="120"/>
        <w:ind w:left="0" w:right="0" w:hanging="180"/>
        <w:jc w:val="left"/>
        <w:rPr>
          <w:color w:val="000000"/>
        </w:rPr>
      </w:pPr>
      <w:r>
        <w:rPr>
          <w:color w:val="000000"/>
        </w:rPr>
        <w:t xml:space="preserve">• </w:t>
      </w:r>
      <w:r>
        <w:rPr>
          <w:rFonts w:ascii="Times New Roman;sans-serif" w:hAnsi="Times New Roman;sans-serif"/>
          <w:b w:val="false"/>
          <w:color w:val="000000"/>
          <w:sz w:val="20"/>
        </w:rPr>
        <w:t>volatility in the financial markets, which could have a negative impact on our ability to access capital and additional sources of financing in the future.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Should a future health outbreak persist for a prolonged period, any of the above factors and others that are unknown, may have a material adverse effect on our business, financial condition, results of operations and cash flows. In addition, we cannot predict the ultimate impact of any pandemic outbreak of disease will have on our customers and suppliers, and any adverse impacts on these parties may have a material adverse impact on our business.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Third Party Partner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dependence on customers, suppliers, subcontractors and equipment manufacturers has in the past and may in the future expose us to the risk of loss in our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certain projects, we rely on suppliers to obtain the necessary materials and subcontractors to perform portions of our services. For some projects we act in a limited capacity or as a subcontractor and rely on our customers to oversee the overall management of a project. We also rely on equipment manufacturers to provide us with the equipment required to conduct our operations. Although we are not dependent on any single customer, supplier, subcontractor or equipment manufacturer, any substantial limitation on the availability of required customers, suppliers, subcontractors or equipment manufacturers could negatively impact our operations. The risk of a lack of available suppliers, subcontractors or equipment manufacturers may be heightened as a result of market, governmental and economic conditions. We have in the past and may in the future experience difficulties in acquiring equipment or materials due to supply chain interruptions, including as a result of natural disasters, weather, labor disputes, pandemic outbreak of disease, tariffs, fire or explosions and power outages. To the extent we cannot engage subcontractors or acquire equipment or materials, we could experience losses in the performance of our operations. Successful completion of our contracts may depend on whether our customers, subcontractors or other third parties, successfully fulfill their contractual obligations. If our customers, subcontractors or other third parties, fail to perform their contractual obligations as a result of financial or other difficulties, or if our customers, subcontractors or other third parties, fail to meet the expected completion dates or quality standards, we may be required to incur additional costs or provide additional services in order to make up such shortfall and we may suffer damage to our reputation.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participation in joint ventures and other projects with third parties may expose us to liability for failures of our partners.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Regulatory and Environmental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actions relating to electricity transmission and clean energy may impact demand for our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future legislative or regulatory actions may impact demand for our services, require utilities to meet reliability standards, and encourage installation of new electric transmission, distribution and clean energy generation facilities. However, it is unclear whether these initiatives will create sufficient incentives for projects or result in increased demand for our services.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most of our T&amp;D revenue is derived from the electric utility industry, regulatory and environmental requirements affecting that industry could adversely affect our business, financial condition, results of operations and cash flows.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many states have mandates in place that require specified percentages of electricity to be generated from clean energy sources, states could reduce those mandates or make them optional, which could reduce, delay or eliminate clean energy development in the affected states. Additionally, clean energy is generally more expensive to produce and may require additional power generation sources as backup. The locations of clean energy projects are often remote and may not be viable unless new or expanded transmission infrastructure to transport the electricity to demand centers is economically feasible. Furthermore, funding for clean energy initiatives may not be available. These factors could result in fewer clean energy projects and a delay in the construction of these projects and the related infrastructure, which could negatively impact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comply with environmental and other laws and regulations could result in significant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pStyle w:val="TextBody"/>
        <w:bidi w:val="0"/>
        <w:spacing w:lineRule="auto" w:line="276"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laws and regulations protecting endangered species, artifacts and archaeological sites. We may incur work stoppages to avoid violating these laws and regulations, or we may risk fines or other sanctions for accidentally or willfully violating these laws and regulations. We are also subject to immigration laws and regulations, for which noncompliance could be material and adversely affect our business, financial condition,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failure to obtain permitting, right-of-way access and other tactical considerations prior to the commencement of work could delay the commencement of work on projects or cause modifications of work plans, potentially resulting in lower margins. 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affected by seasonal and other variations, including severe weather conditions and the nature of our work environment.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abnormal or inclement weather conditions because work performed during these times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Our working capital needs are also influenced by the seasonality of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Opportunities associated with government contracts could lead to increased governmental regulation applicable to us.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 and are susceptible to a government shutdowns or a change in budgetary priorities which could lead to the cancellation of the award, unanticipated costs and delays.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 Certain risks associated with climate change could include but are not limited to:</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changes in insurance coverage, availability of coverage, availability of adequate insurance limits, higher insurance premiums, and larger self-insured retentions/deductibles,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 xml:space="preserve">changes in market demand based on climate change as well as legal and regulatory requirements and trends, </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operational disruptions and accompanying project inefficiencies and delays that may not be recoverable from clients due to severe weather events and changes in weather patterns,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damage from severe weather events to construction work in progress,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damage to our assets from severe weather events,</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reputational risk due to perceptions of the company’s sustainability efforts, and</w:t>
      </w:r>
    </w:p>
    <w:p>
      <w:pPr>
        <w:pStyle w:val="TextBody"/>
        <w:bidi w:val="0"/>
        <w:spacing w:lineRule="auto" w:line="288" w:before="60" w:after="283"/>
        <w:ind w:left="0" w:right="0" w:hanging="180"/>
        <w:jc w:val="left"/>
        <w:rPr>
          <w:color w:val="000000"/>
        </w:rPr>
      </w:pPr>
      <w:r>
        <w:rPr>
          <w:color w:val="000000"/>
        </w:rPr>
        <w:t xml:space="preserve">• </w:t>
      </w:r>
      <w:r>
        <w:rPr>
          <w:rFonts w:ascii="Times New Roman;sans-serif" w:hAnsi="Times New Roman;sans-serif"/>
          <w:b w:val="false"/>
          <w:color w:val="000000"/>
          <w:sz w:val="20"/>
        </w:rPr>
        <w:t>increased reporting and compliance costs due to new regulatory requirements, customer, shareholder, and stakeholder requests targeting climate change.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establish strategies and expectations related to climate change and other environmental matters. Our ability to achieve any such strategies or expectations is subject to numerous factors and conditions, many of which are outside of our control. Examples of such factors include, but are not limited to, evolving legal, regulatory, and other standards, processes, and assumptions, the pace of scientific and technological developments, increased costs, the availability of requisite financing, and changes in carbon markets. Failures or delays (whether actual or perceived) in achieving our strategies or expectations related to climate change and other environmental matters could adversely affect our business, operations, and reputation, and increase risk of litigation.</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Accounting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use of percentage-of-completion accounting could result in a reduction or reversal of previously recognized revenues and profits.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 See “Item 7. Management’s Discussion and Analysis of Financial Condition and Results from Operations — Critical Accounting Policies” and in the notes to our Financial Statements, for a discussion on how</w:t>
      </w:r>
      <w:r>
        <w:rPr>
          <w:color w:val="000000"/>
        </w:rPr>
        <w:t xml:space="preserve"> </w:t>
      </w:r>
      <w:r>
        <w:rPr>
          <w:rFonts w:ascii="Times New Roman;sans-serif" w:hAnsi="Times New Roman;sans-serif"/>
          <w:b w:val="false"/>
          <w:color w:val="000000"/>
          <w:sz w:val="20"/>
        </w:rPr>
        <w:t>percentage-of-completion accounting impacts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financial results are based upon estimates and assumptions that may differ from actual results.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These estimates and assumptions cannot be calculated with a high degree of precision from data available or is not capable of being readily calculated. In some cases, these estimates are particularly difficult to determine, and we must exercise significant judgment.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we use are related to costs to complete contracts, pending change orders and claims, shared savings, insurance reserves, income tax reserves, estimates surrounding stock-based compensation, acquisition-related contingent earn-out consideration liabilities, the recoverability of goodwill and intangibles, and accounts receivable reserves.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financial condition, results of operations and cash flows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business, financial condition, results of operations and cash flows.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Pricing and Cost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Our actual costs may be greater than expected in performing our fixed-price and unit-price contracts.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failure to properly estimate costs of engineering, material, equipment or labor;</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inefficient labor performance;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unanticipated technical problems with the materials or services being supplied by us, which may require us to incur additional costs to remedy the problem;</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project modifications that create unanticipated costs;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the costs or availability of equipment, materials, labor or subcontractors;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failure of our customers, suppliers, subcontractors or other third parties to perform;</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difficulties in our customers obtaining required governmental permits or approvals;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site conditions that differ from those assumed in the original bid;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availability and skill level of workers in the geographic location of the project;</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an increase in the cost of fuel or other resources;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or our interpretations of, local laws and regulations;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delays caused by local weather conditions, third parties or customers;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quality issues requiring rework.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contracts, we are exposed to market risks that may cause increases in the cost, or the availability of, parts, commodities, equipment and tooling, utilized in our operations. We have in the past been, and may in the future be impacted by, delays and cost volatility of these items due to supply chain disruptions, inflationary pressures, tariffs and regulatory slowdowns. In addition, our customers’ capital budgets may be impacted by cost increases and reduced customer spending could lead to fewer project awards and more competition. These costs could be materially impacted by general market conditions and other factors, including U.S. trade relationships with other countries or the imposition of tariffs. We are also exposed to increases in energy prices, particularly as they relate to fuel prices for our fleet vehicles. While we believe we can increase our prices to adjust for cost increases, there can be no assurance that future cost increases would be recoverable. Additionally, some of our fixed price contracts do not allow us to adjust our prices and, as a result, increases in the cost of parts, commodities, equipment and tooling or fuel costs could reduce our profitability with respect to such projects and could have a material adverse effect on our business, financial condition, results of operations and cash flows.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Capital and Credit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Unfavorable developments affecting the banking and financial services industry could adversely affect our business, liquidity and financial condition and overall results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Actual events, concerns or speculation about disruption or instability in the banking and financial services industry, such as liquidity constraints, the failure of individual institutions, or the inability of individual institutions or the banking and financial service industry generally to meet their contractual obligations, could significantly impair our access to capital, delay access to deposits or other financial assets, or cause actual loss of funds subject to cash management arrangements. Similarly, these events, concerns or speculation could result in less favorable financing terms such as higher interest rates or costs and stricter covenants, or systemic limitations on access to credit and liquidity sources, thereby making it more difficult for us to acquire financing on acceptable terms or at all. Additionally, our customers also could be adversely affected by these risks, which in turn could result in their committing a breach or default under their contractual agreements with us, their insolvency or bankruptcy, or other adverse effects. Any decline in available funding, limitation on access to our cash and liquidity resources, or non-compliance of banking and financial services counterparties with their contractual commitments to us could, among other risk, could have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Employee Risks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Work stoppages or other labor issues with our unionized workforce could adversely affect our business, and we may be subject to unionization attempts.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approximately 87% of our craft labor employees were covered by collective bargaining agreements. Although most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Multi-employer pension plan obligations related to our unionized workforce could adversely impact our earnings.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 </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currently aware of any potential significant liabilities to us as a result of these plans being classified as being in a “critical” or “endangered” status, our future financial results could be impacted by the amended funding rules.</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Cybersecurity and Information Technology Risks</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business, financial position, results of operations and cash flows, and significant costs could be incurred to remediate any problem.</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Increased IT security threats and more sophisticated computer crimes, including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business, financial position, results of operations and cash flows, competitive position and reputation.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While we maintain cybersecurity insurance, costs related to a cyberattack may exceed the amount of our insurance coverage or may be excluded under the terms of our cybersecurity insurance policy. Additionally, due to recent increases in cyber losses by the insurance industry, cyber insurance coverage may be limited and/or subject to a significant increase in cost. Furthermore, our relationships with, and access provided to, third parties and their vendors may create difficulties in anticipating and implementing adequate preventative measures or mitigating harms after an attack or breach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we have experienced and expect to continue to experience attempts to compromise our information and communications technology and related systems. To date, no cybersecurity incident or attack has had a material impact on our business or results of operations. If a material, actual or perceived breach of our security occurs, the public perception of the effectiveness of our security measures could be harmed and we could lose customers. Any such material disruptions or breaches of security would have a material adverse effect on our business, financial position, results of operations and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business,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oversight of risks from cybersecurity threats. The Board reviews cybersecurity risks as part of its overall risk management oversight and specifically reviews cybersecurity in detail at least annually. The Board relies on management and its use of the third-party consultants for expertise for assessing and managing the Company’s risks from cybersecurity threats. In conjunction with management, the Board considers the nature of the work provided by the Company’s operations, the potential impact of a cybersecurity event, costs, potential likelihood of an event, prior events, and benefits in its general oversight of the cybersecurity risk management.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targeted and non-targeted cybersecurity attacks and incidents in the past that have resulted in unauthorized persons gaining access to our information and systems, and we could in the future experience similar attacks. To date, no cybersecurity incident or attack, or any risk from cybersecurity threats, has materially affected or has been determined to be reasonably likely to materially affect the Company or our business strategy, results of operations, or financial condition.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also “Item 1A. Risk Factors — Cybersecurity and Information Technology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12121 Grant Street, Suite 610, Thornton, Colorado 80241, the lease term of which expires on November 30, 2029. In addition to our executive offices, certain legal, accounting and other personnel are located in this building. As of December 31, 2024, we owned 19 operating facilities and leased many other properties in various locations throughout our service territories.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and we believe that we have strong defenses to these claims as well as insurance coverage that will contribute to any settlement or liability in the event these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 Matters and Issuer Purchases of Equity Securities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par value $0.01, is listed on The Nasdaq Global Market under the symbol “MYRG.”</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Holders of Record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21, 2025, we had 6 holders of record of our common stock. This number does not include shareholders whose shares are held in the names of banks, security brokers, dealers, and registered clearing agencies.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 Policy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Purchases of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purchase any shares of common stock in October, November or December of 2024. On May 6, 2024, the Company announced that its Board of Directors had authorized a new $75.0 million share repurchase program (the "Repurchase Program"), which became effective on May 9, 2024. The Company exhausted substantially all of the funds available to repurchase shares of the Company’s common stock under the Repurchase Program. The Repurchase Program expired on November 8,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Graph</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Times New Roman;sans-serif" w:hAnsi="Times New Roman;sans-serif"/>
          <w:b w:val="false"/>
          <w:color w:val="000000"/>
          <w:sz w:val="20"/>
        </w:rPr>
        <w: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for the period from December 31, 2019 to December 31, 2024, the cumulative total shareholder return on our common stock with the cumulative total return on the Standard &amp; Poor’s 500 Index (the “S&amp;P 500 Index”), the Russell 2000 Index, and a peer group index selected by our management that includes eleven publicly traded companies within our industry (the “Peer Group”). The comparison assumes that $100 was invested on December 31, 2019 and further assumes any dividends were reinvested quarterly. The stock price performance reflected on the following graph is not necessarily indicative of future stock price performance.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The Peer Group is composed of the following companies:</w:t>
      </w:r>
    </w:p>
    <w:tbl>
      <w:tblPr>
        <w:tblW w:w="7889" w:type="dxa"/>
        <w:jc w:val="left"/>
        <w:tblInd w:w="0" w:type="dxa"/>
        <w:tblLayout w:type="fixed"/>
        <w:tblCellMar>
          <w:top w:w="28" w:type="dxa"/>
          <w:left w:w="28" w:type="dxa"/>
          <w:bottom w:w="28" w:type="dxa"/>
          <w:right w:w="28" w:type="dxa"/>
        </w:tblCellMar>
      </w:tblPr>
      <w:tblGrid>
        <w:gridCol w:w="837"/>
        <w:gridCol w:w="735"/>
        <w:gridCol w:w="738"/>
        <w:gridCol w:w="964"/>
        <w:gridCol w:w="964"/>
        <w:gridCol w:w="966"/>
        <w:gridCol w:w="786"/>
        <w:gridCol w:w="786"/>
        <w:gridCol w:w="111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Astec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Granite Construction Incorporated</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Primoris Services Corporation*</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Comfort Systems USA,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IES Holdings,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Quanta Services,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Dycom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MasTec,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Tetra Tech,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EMCOR Group*</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w:t>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Considered our core group of peers with a more significant portion of operations being similar to ours than the overall group. Graph presents entire Peer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COMPARISON OF 5 YEAR CUMULATIVE TOTAL RETURN*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MYR Group, Inc., the S&amp;P 500 Index, the Russell 2000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and a Peer Group </w:t>
      </w:r>
    </w:p>
    <w:p>
      <w:pPr>
        <w:pStyle w:val="TextBody"/>
        <w:bidi w:val="0"/>
        <w:spacing w:before="160" w:after="283"/>
        <w:jc w:val="center"/>
        <w:rPr/>
      </w:pPr>
      <w:r>
        <w:rPr/>
        <w:drawing>
          <wp:inline distT="0" distB="0" distL="0" distR="0">
            <wp:extent cx="5838825" cy="35528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5838825" cy="3552825"/>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 invested on 12/31/2019 in stock or including reinvestment of dividends.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Fiscal year ending December 31.</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xml:space="preserve">Copyright© 2025 Standard &amp; Poor's, a division of S&amp;P Global. All rights reserved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Copyright© 2025 Russell Investment Group. All right reserved.</w:t>
      </w:r>
    </w:p>
    <w:tbl>
      <w:tblPr>
        <w:tblW w:w="9420" w:type="dxa"/>
        <w:jc w:val="left"/>
        <w:tblInd w:w="0" w:type="dxa"/>
        <w:tblLayout w:type="fixed"/>
        <w:tblCellMar>
          <w:top w:w="28" w:type="dxa"/>
          <w:left w:w="28" w:type="dxa"/>
          <w:bottom w:w="28" w:type="dxa"/>
          <w:right w:w="28" w:type="dxa"/>
        </w:tblCellMar>
      </w:tblPr>
      <w:tblGrid>
        <w:gridCol w:w="554"/>
        <w:gridCol w:w="486"/>
        <w:gridCol w:w="48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400"/>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12/31/2024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MYR Group Inc.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456.49 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Russell 2000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Peer Group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provides a narrative on the Company’s financial performance and condition that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Presentation of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that follows includes a comparison of our results of operations and liquidity and capital resources for the fiscal years ended December 31, 2024 and 2023. For a discussion of changes from the fiscal year ended December 31, 2023 to the fiscal year ended December 31, 2022, refer to Management’s Discussion and Analysis of Financial Condition and Results of Operations in Part II, Item 7 of our Annual Report on Form 10-K for the year ended December 31, 2023 (filed 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Overview-Introduction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had revenues for the year ended December 31, 2024 of $3.36 billion compared to $3.64 billion for the year ended December 31, 2023. For the year ended December 31, 2024, net income was $30.3 million compared to $91.0 million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Overview-Segments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Transmission and Distribution segment</w:t>
      </w:r>
      <w:r>
        <w:rPr>
          <w:rFonts w:ascii="Times New Roman;sans-serif" w:hAnsi="Times New Roman;sans-serif"/>
          <w:b w:val="false"/>
          <w:color w:val="000000"/>
          <w:sz w:val="20"/>
        </w:rPr>
        <w:t>.   Our T&amp;D segment provides comprehensive solutions to providers in the electric utility industry. Our T&amp;D 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substation facilities, clean energy projects and electric vehicle charging infrastructure, which include design, engineering, procurement, construction, upgrade and maintenance and repair services. Our T&amp;D services include the construction and maintenance of high voltage transmission lines, substations and lower voltage underground and overhead distribution systems, clean energy projects and electric vehicle charging infrastructure. We also provide many services to our customers under multi-year master service agreements (“MSAs”) and other variable-term service agreements.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our T&amp;D revenues were $1.88 billion, or 55.9%, of our revenue, compared to $2.09 billion, or 57.3%, of our revenue for the year ended December 31, 2023 and $1.75 billion, or 58.0%, of our revenue for the year ended December 31, 2022. Revenues from transmission projects represented 60.6%, 66.1%, and 62.1% of T&amp;D segment revenue for the years ended December 31, 2024,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T&amp;D segment also provides restoration services in response to hurricanes, ice storms or other storm related events, which accounted for less than 5% of our annual revenues in 2024, 2023 and 2022.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Measured by revenues in our T&amp;D segment, we provided 43.9%, 52.7% and 47.8% of our T&amp;D services under fixed-price contracts during the years ended December 31, 2024, 2023 and 2022, respectively. </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Commercial and Industrial segment</w:t>
      </w:r>
      <w:r>
        <w:rPr>
          <w:rFonts w:ascii="Times New Roman;sans-serif" w:hAnsi="Times New Roman;sans-serif"/>
          <w:b w:val="false"/>
          <w:color w:val="000000"/>
          <w:sz w:val="20"/>
        </w:rPr>
        <w:t>.   Our C&amp;I segment provides a wide range of services including design, installation, maintenance and repair of commercial and industrial wiring, the installation of intelligent transportation systems, roadway lighting, signalization and electric vehicle charging infrastructure.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is critical to successful and timely execution. The majority of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our C&amp;I revenues were $1.48 billion, or 44.1%, of our revenue, compared to $1.55 billion, or 42.7%, of our revenue for the year ended December 31, 2023 and $1.26 billion, or 42.0%, of our revenue for the year ended December 31, 2022.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Measured by revenues in our C&amp;I segment, we provided 81.2%, 82.0% and 83.3% of our services under fixed-price contracts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Overview-Revenue and Gross Margins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Gross Margins.</w:t>
      </w:r>
      <w:r>
        <w:rPr>
          <w:color w:val="000000"/>
        </w:rPr>
        <w:t>   </w:t>
      </w:r>
      <w:r>
        <w:rPr>
          <w:rFonts w:ascii="Times New Roman;sans-serif" w:hAnsi="Times New Roman;sans-serif"/>
          <w:b w:val="false"/>
          <w:color w:val="000000"/>
          <w:sz w:val="20"/>
        </w:rPr>
        <w:t>Our gross margin can vary between periods as a result of many factors, some of which are beyond our control. These factors include: the mix of revenue derived from the industries we serve, the size and duration of our projects, the mix of business conducted in different parts of the United States and Canada, the mix of our contract types, the mix of service and maintenance work compared to new construction work, the amount of work that we subcontract, the amount of material we supply, changes in labor, equipment or insurance costs, seasonal and abnormal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Overview-Economic, Industry and Market Factors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Overview-Seasonality and Nature of Our Work Environment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directly impacted by the level of spending on T&amp;D infrastructure and the level of C&amp;I electrical construction activity across the United States and Canada. We are optimistic about infrastructure spending and believe related investment activity will continue to positively impact both our T&amp;D and C&amp;I markets for the foreseeable future. We believe that regulatory reform, increased electricity demand, state clean energy portfolio standards, the aging of the electric grid, and potential overall improvement of the economy will positively impact the level of spending by our customers in all of the markets we serve. Although competition remains strong, we see these trends as positive factors for us in the future.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legislative actions aimed at supporting infrastructure improvements in the United States may positively impact long-term demand, particularly in connection with electric power infrastructure, transportation and clean energy spending. We believe legislative actions are likely to provide greater long-term opportunity in both of our reporting segments.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an ongoing need for utilities to sustain investment in their transmission systems to improve reliability, reduce congestion, connect to new clean energy sources and support future load growth. Consequently, we believe we will continue to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2025 will not likely have a large impact on our 2025 results. Bidding and construction activity for small to medium-size transmission projects and upgrades remain active, and we expect this trend to continue.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a need for further investment by utilities on their distribution systems to properly maintain or meet reliability requirements. We continue to see strong bidding activity in some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C&amp;I bidding opportunities remain strong and we believe we will see continued opportunities in the primary markets we serve such as transportation, data centers, health care, clean energy and warehousing. However, we may experience unanticipated volatility associated with potential policy changes and tariffs.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continued to implement strategies that further expand our capabilities and effectively allocate capital. We have maintained a strong balance sheet, while also supporting our organic growth with capital expenditures and working capital and repurchasing our shares. During 2024 and 2023, the Company repurchased 643,549 and 25,042 shares, respectively of its common stock under repurchase programs at a weighted-average price of $116.54 and $114.55 per share, respectively. We believe the borrowing availability under our $490 million revolving credit facility and future cash flow from operations will enable us to support the organic growth of our business, pursue acquisitions and opportunistically repurchase shares.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 In 2024 and 2023, we invested in capital expenditures of approximately $75.9 million and $84.7 million, respectively. Most of our capital expenditures supported opportunities in our T&amp;D business. We plan to continue to evaluate our needs for additional equipment and tooling.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Understanding Backlog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backlog from period to period are primarily the result of fluctuations in the timing of awards, type of awards and revenue recognition of contracts. Backlog should not be relied upon as a stand-alone indicator of future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Understanding Gross Margins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Performance Risk.</w:t>
      </w:r>
      <w:r>
        <w:rPr>
          <w:color w:val="000000"/>
        </w:rPr>
        <w:t>   </w:t>
      </w:r>
      <w:r>
        <w:rPr>
          <w:rFonts w:ascii="Times New Roman;sans-serif" w:hAnsi="Times New Roman;sans-serif"/>
          <w:b w:val="false"/>
          <w:color w:val="000000"/>
          <w:sz w:val="20"/>
        </w:rPr>
        <w:t>Margins may fluctuate because of the volume of work and the impacts of pricing and job productivity, which can be impacted both 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equipment availability and regulatory and permitting delays.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 Mix and Contract Terms.</w:t>
      </w:r>
      <w:r>
        <w:rPr>
          <w:color w:val="000000"/>
        </w:rPr>
        <w:t>   </w:t>
      </w:r>
      <w:r>
        <w:rPr>
          <w:rFonts w:ascii="Times New Roman;sans-serif" w:hAnsi="Times New Roman;sans-serif"/>
          <w:b w:val="false"/>
          <w:color w:val="000000"/>
          <w:sz w:val="20"/>
        </w:rPr>
        <w:t>The mix of revenue derived from the industries we serve will impact gross margins. Changes in our customers’ 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Additionally, new construction work has a higher gross margin than maintenance and repair 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25% to 45%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 The timing of accounting recognition of such savings can 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Seasonal, Weather and Geographical.</w:t>
      </w:r>
      <w:r>
        <w:rPr>
          <w:color w:val="000000"/>
        </w:rPr>
        <w:t>   </w:t>
      </w:r>
      <w:r>
        <w:rPr>
          <w:rFonts w:ascii="Times New Roman;sans-serif" w:hAnsi="Times New Roman;sans-serif"/>
          <w:b w:val="false"/>
          <w:color w:val="000000"/>
          <w:sz w:val="20"/>
        </w:rPr>
        <w:t>Seasonal and changing patterns, primarily related to weather conditions and the availability of system outages, can have a significant impact on gross margins in a given period. It is typical during the winter months that parts of the country may experience snow or rainfall, which can affect our crews’ ability to work efficiently. Recent abnormal weather patterns including those related to excessive rainfall and increased thaw and freeze cycles also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Depreciation and Amortization.</w:t>
      </w:r>
      <w:r>
        <w:rPr>
          <w:color w:val="000000"/>
        </w:rPr>
        <w:t>   </w:t>
      </w:r>
      <w:r>
        <w:rPr>
          <w:rFonts w:ascii="Times New Roman;sans-serif" w:hAnsi="Times New Roman;sans-serif"/>
          <w:b w:val="false"/>
          <w:color w:val="000000"/>
          <w:sz w:val="20"/>
        </w:rPr>
        <w:t>We include depreciation on equipment and finance lease amortization in contract costs. This is common practice in our industry, but can make comparability to other companies difficult. We spend a significant amount of capital on property, facilities and equipment, with the majority of such expenditures being used to purchase additional specialized equipment to enhance our fleet and to reduce our reliance on lease arrangements and short-term equipment rentals. We believe the investment in specialized equipment helps to reduce our costs, improve our margins and provide us with valuable flexibility to take on additional and complex projects.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Material and Subcontract Costs.</w:t>
      </w:r>
      <w:r>
        <w:rPr>
          <w:color w:val="000000"/>
        </w:rPr>
        <w:t>   </w:t>
      </w:r>
      <w:r>
        <w:rPr>
          <w:rFonts w:ascii="Times New Roman;sans-serif" w:hAnsi="Times New Roman;sans-serif"/>
          <w:b w:val="false"/>
          <w:color w:val="000000"/>
          <w:sz w:val="20"/>
        </w:rPr>
        <w:t>Projects that include a greater amount of material or subcontractor costs can experience lower overall project gross 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for such shortfalls. Additionally, we are required to allocate more working capital to projects when we are required to provide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Insurance.</w:t>
      </w:r>
      <w:r>
        <w:rPr>
          <w:color w:val="000000"/>
        </w:rPr>
        <w:t>   </w:t>
      </w:r>
      <w:r>
        <w:rPr>
          <w:rFonts w:ascii="Times New Roman;sans-serif" w:hAnsi="Times New Roman;sans-serif"/>
          <w:b w:val="false"/>
          <w:color w:val="000000"/>
          <w:sz w:val="20"/>
        </w:rPr>
        <w:t>Gross margins could be impacted by fluctuations in insurance accruals related to our deductibles and loss history in the period in which such 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Fleet Availability, Cost, Utilization, Estimation, and Bidding.</w:t>
      </w:r>
      <w:r>
        <w:rPr>
          <w:color w:val="000000"/>
        </w:rPr>
        <w:t>   </w:t>
      </w:r>
      <w:r>
        <w:rPr>
          <w:rFonts w:ascii="Times New Roman;sans-serif" w:hAnsi="Times New Roman;sans-serif"/>
          <w:b w:val="false"/>
          <w:color w:val="000000"/>
          <w:sz w:val="20"/>
        </w:rPr>
        <w:t xml:space="preserve">We operate a centrally-managed fleet in the United States in an effort to control rising costs and achieve efficient equipment 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 </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Cost of Material.</w:t>
      </w:r>
      <w:r>
        <w:rPr>
          <w:color w:val="000000"/>
        </w:rPr>
        <w:t>   </w:t>
      </w:r>
      <w:r>
        <w:rPr>
          <w:rFonts w:ascii="Times New Roman;sans-serif" w:hAnsi="Times New Roman;sans-serif"/>
          <w:b w:val="false"/>
          <w:color w:val="000000"/>
          <w:sz w:val="20"/>
        </w:rPr>
        <w:t>On fixed-price contracts where we are required to provide materials, our overall gross margin may be affected if we experience increases in the quantity or costs of materials. Projects that include a greater amount of material cost can experience lower overall project gross margins as we typically add a lower mark-up to material cost in our bids than what we would add to our labor and equipment cost.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statements of operations data and such data as a percentage of revenues for the years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 Compared to the Year Ended December 31, 2023</w:t>
      </w:r>
    </w:p>
    <w:tbl>
      <w:tblPr>
        <w:tblW w:w="9453" w:type="dxa"/>
        <w:jc w:val="left"/>
        <w:tblInd w:w="0" w:type="dxa"/>
        <w:tblLayout w:type="fixed"/>
        <w:tblCellMar>
          <w:top w:w="28" w:type="dxa"/>
          <w:left w:w="28" w:type="dxa"/>
          <w:bottom w:w="28" w:type="dxa"/>
          <w:right w:w="28" w:type="dxa"/>
        </w:tblCellMar>
      </w:tblPr>
      <w:tblGrid>
        <w:gridCol w:w="1350"/>
        <w:gridCol w:w="1190"/>
        <w:gridCol w:w="1194"/>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73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decreased $281.6 million, or 7.7%, to $3.36 billion for the year ended December 31, 2024 from $3.64 billion for the year ended December 31, 2023. The decrease was primarily due to a decrease of $241.1 million in revenue on transmission projects, a decrease of $72.9 million in C&amp;I revenue, partially offset by an increase of $32.4 million in revenue on distribution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76"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year ended December 31, 2024 decreased to 8.6% compared to 10.0% for the year ended December 31, 2023. The decrease in gross margin was primarily impacted by significant changes in our estimated gross profit on certain projects resulting in a net gross margin decrease of 4.4% for the year ended December 31, 2024, compared to a net decrease of 1.7% for the year ended December 31, 2023. During the year ended December 31, 2024, significant estimate changes negatively impacted gross margin by 5.4% and primarily related to clean energy projects in T&amp;D that have reached mechanical completion, the unfavorable impact of a C&amp;I project that has reached substantial completion, labor and project inefficiencies, an increase in costs associated with schedule compression on certain projects, an unfavorable change order and an unfavorable job closeout. In addition, significant estimate changes in gross profit positively impacted gross margin by 1.0% and mainly related to better-than-anticipated productivity, favorable change orders and favorable job closeouts. Gross margin also benefited by approximately 0.2% from favorable joint venture results during the year ended December 31, 2024.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decreased $74.1 million, or 20.3%, to $290.3 million for year ended December 31, 2024 from $364.4 million for the year ended December 31, 2023, due to lower margins and lower revenues.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was $238.2 million for the year ended December 31, 2024, an increase of $3.6 million from $234.6 million for the year ended December 31, 2023. The year-over-year increase was primarily due to an increase in employee-related expenses to support future growth in our operations and an increase of $1.1 million related to contingent compensation expense related to a prior acquisition, partially offset by a decrease in employee incentive compensation costs.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Gains from the sale of property and equipment in the year ended December 31, 2024 were $6.9 million compared to $4.2 million in the year ended December 31, 2023. Gains from the sale of property and equipment are attributable to routine sales of property and equipment that are no longer useful or valuable to our ongoing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$6.5 million for the year ended December 31, 2024 compared to $4.9 million for the year ended December 31, 2023. This increase was primarily attributable to higher average debt balances partially offset by lower interest rates during the year ended December 31, 2024 as compared to the year ended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was $1.5 million for the year ended December 31, 2024 compared to an insignificant amount of other expense for the year ended December 31, 2023. The change was largely due to foreign currency losses from changes in exchange rates on intercompany receivables.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was $16.2 million for the year ended December 31, 2024, with an effective tax rate of 34.9%, compared to $34.0 million for the year ended December 31, 2023, with an effective tax rate of 27.2%. The increase in the tax rate for the year ended December 31, 2024 was primarily due to higher other permanent difference items and the unrecognized benefit of deferred tax assets, offset by lower stock compensation excess tax benefits. The increase in permanent difference items primarily related to deductibility limits of contingent compensation, associated with a prior acquisition.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decreased to $30.3 million for the year ended December 31, 2024 from $91.0 million for the year ended December 31, 2023. The decrease was primarily for the reasons stated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a percentage of total net sales and segment operating income as a percentage of segment net sales:</w:t>
      </w:r>
    </w:p>
    <w:tbl>
      <w:tblPr>
        <w:tblW w:w="83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T&amp;D segment for the year ended December 31, 2024 were $1.88 billion compared to $2.09 billion for the year ended December 31, 2023, a decrease of $208.7 million, or 10.0%. The decrease in revenue was related to a decrease of $241.1 million in revenue on transmission projects, primarily related to the mechanical completion of certain clean energy projects, partially offset by an increase of $32.4 million in revenue on distribution projects. Revenues from transmission projects represented 60.6% and 66.1%, of T&amp;D segment revenue for the year ended December 31, 2024 and 2023,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year ended December 31, 2024 was $69.4 million compared to $149.7 million for the year ended December 31, 2023, a decrease of $80.3 million, or 53.7%. As a percentage of revenues operating income for our T&amp;D segment was 3.7% for the year ended December 31, 2024 compared to 7.2% for the year ended December 31, 2023. Operating income margin was impacted by significant changes in our estimated gross profit on certain projects resulting in a net operating income margin decrease of 5.5% for the year ended December 31, 2024, compared to a net decrease of 1.5% for the year ended December 31, 2023. During the year ended December 31, 2024, significant estimated gross profit changes negatively impacted operating income as a percentage of revenues by 5.7% with 5.5% of the impact related to losses on certain clean energy projects that have reached mechanical completion. Losses on these projects were primarily related to contractual disputes, labor and project inefficiencies, higher labor and contract related costs and unfavorable weather conditions. Significant estimated gross profit changes were also negatively impacted by an unfavorable job closeout and labor and project inefficiencies. These decreases were partially offset by positive significant estimated gross profit changes totaling 0.2% of revenues mostly related to better-than-anticipated productivity.</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our C&amp;I segment for the year ended December 31, 2024 were $1.48 billion compared to $1.55 billion for the year ended December 31, 2023, a decrease of $72.9 million, or 4.7%, primarily due to the delayed start of certain projects in 2024. The decrease in revenue included a decrease of $72.1 million in revenue on fixed priced contracts and a decrease of $12.1 million in revenues on unit price work, partially offset by an increase of $11.2 million on T&amp;E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for our C&amp;I segment for the year ended December 31, 2024 was $48.0 million compared to $45.9 million for the year ended December 31, 2023, an increase of $2.1 million, or 4.7%. Operating income, as a percentage of revenues, for our C&amp;I segment increased to 3.2% for the year ended December 31, 2024 from 3.0% for the year ended December 31, 2023. Operating income margin was positively impacted during the year ended December 31, 2024, by the continued benefit of higher margins on certain completed projects and certain projects nearing completion, these benefits largely related to better-than-anticipated productivity and favorable change orders. The year-over-year increase in operating income margin was positively impacted by approximately 0.4% due to favorable joint venture results. Operating income margin was also impacted by significant changes in our estimated gross profit on certain projects resulting in a net operating income margin decrease of 2.9% for the year ended December 31, 2024, compared to a net decrease of 2.0% for the year ended December 31, 2023. Significant estimated gross profit changes negatively impacted operating income as a percentage of revenues by 5.0% with 2.3% of the impact from a single project that is substantially complete. The loss from this project was primarily due to scope additions, increased labor costs related to schedule compression and lower productivity due to access and workflow issues. Significant estimated gross profit changes were also negatively impacted by an increase in costs associated with labor and project inefficiencies, schedule compression on certain projects and an unfavorable change order. These decreases were partially offset by positive significant estimated gross profit changes totaling 2.1% of revenues largely related to better-than-anticipated productivity, some of which related to clean energy projects, favorable change orders and favorable job closeouts.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corporate expenses for the year ended December 31, 2024 was primarily attributable to a decrease in employee incentive compensation costs, partially offset by an increase in employee-related expenses to support future growth in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EBITDA</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is a non-GAAP measure used by management that we define as net income plus net income from noncontrolling interests, interest expense net of interest income, income tax expense and depreciation and amortization, as shown in the following table. EBITDA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define EBITDA as we do,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necessary elements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EBITDA:</w:t>
      </w:r>
    </w:p>
    <w:tbl>
      <w:tblPr>
        <w:tblW w:w="7059" w:type="dxa"/>
        <w:jc w:val="left"/>
        <w:tblInd w:w="0" w:type="dxa"/>
        <w:tblLayout w:type="fixed"/>
        <w:tblCellMar>
          <w:top w:w="28" w:type="dxa"/>
          <w:left w:w="28" w:type="dxa"/>
          <w:bottom w:w="28" w:type="dxa"/>
          <w:right w:w="28" w:type="dxa"/>
        </w:tblCellMar>
      </w:tblPr>
      <w:tblGrid>
        <w:gridCol w:w="939"/>
        <w:gridCol w:w="827"/>
        <w:gridCol w:w="82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EBITDA as a liquidity measure. Certain material covenants contained within our credit agreement (the “Credit Agreement”) are based on EBITDA with certain additional adjustments as defined 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26"/>
        <w:gridCol w:w="1805"/>
        <w:gridCol w:w="18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2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is a non-GAAP measure. We believe working capital is useful to investors and other external users of our Consolidated Financial Statements in evaluating our operating performance. The Company defines working capital as total current assets less total current liabilities. The following table provides the Company’s calculation of working capital:</w:t>
      </w:r>
    </w:p>
    <w:tbl>
      <w:tblPr>
        <w:tblW w:w="7163" w:type="dxa"/>
        <w:jc w:val="left"/>
        <w:tblInd w:w="0" w:type="dxa"/>
        <w:tblLayout w:type="fixed"/>
        <w:tblCellMar>
          <w:top w:w="28" w:type="dxa"/>
          <w:left w:w="28" w:type="dxa"/>
          <w:bottom w:w="28" w:type="dxa"/>
          <w:right w:w="28" w:type="dxa"/>
        </w:tblCellMar>
      </w:tblPr>
      <w:tblGrid>
        <w:gridCol w:w="868"/>
        <w:gridCol w:w="765"/>
        <w:gridCol w:w="766"/>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Material Cash Requirements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we had working capital of $265.8 million and $279.0 million, respectively. During the year ended December 31, 2024, our operating activities provided cash of $87.1 million, compared to $71.0 million for the year ended December 31, 2023. Cash flow from operations is primarily influenced by operating margins, timing of contract performance and the type of services we provide to our customers. The $16.1 million year-over-year increase in cash provided by operating activities was primarily due to favorable net changes in operating assets and liabilities of $74.4 million, offset by a $60.7 million decrease in net income. The favorable change in operating assets and liabilities was primarily due to the net favorable year-over-year changes in various working capital accounts that relate primarily to construction activities (accounts receivable, contract assets, accounts payable and contract liabilities) of $119.3 million, partially offset by the unfavorable change of $50.9 million in other liabilities. The net favorable changes of $119.3 million in cash provided by working capital accounts, mainly related to construction activities, was due to the timing of billings and payments under our contracts. The unfavorable change of $50.9 million in other liabilities was primarily due to the timing of contingent compensation payments associated with a prior acquisition, the timing of employee related wage and tax payments and lower employee incentive compensation accruals.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we used net cash of $67.2 million and $79.1 million, respectively, in investing activities. The $67.2 million of cash used in investing activities in the year ended December 31, 2024 consisted of $75.9 million for capital expenditures, partially offset by $8.7 million of proceeds from the sale of equipment. The $79.1 million of cash used in investing activities in the year ended December 31, 2023 consisted of $84.7 million for capital expenditures, partially offset by $5.6 million of proceeds from the sale of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and 2023, we used cash of $40.0 million, and $18.4 million, respectively in financing activities. The $40.0 million of cash used in financing activities in the year ended December 31, 2024 consisted primarily of $75.0 million of share repurchases under our share repurchase program, $7.1 million of payments under our equipment notes, $5.9 million of shares repurchased to satisfy tax obligations under our stock compensation programs and $1.2 million of repayments of finance lease obligations, partially offset by $45.2 million of net borrowings under our revolving line of credit. The $18.4 million of cash used in financing activities in the year ended December 31, 2023 consisted primarily of $7.9 million of shares repurchased to satisfy tax obligations under our stock compensation programs, $4.6 million of net repayments under our master equipment loan agreements, $2.9 million of shares repurchases under our share repurchase program and $1.1 million of repayments of finance lease obligations.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$354.8 million borrowing availability under our revolving line of credit as of December 31, 2024,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historically paid dividends and currently do not expect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Debt Instruments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On May 31, 2023, the Company entered into a five-year third amended and restated credit agreement with a maturity date of May 31, 2028, (the “Credit Agreement”) through a syndicate of banks led by JPMorgan Chase Bank, N.A. and Bank of America, N.A, that provides for a $490 million revolving credit facility (the “Facility”),</w:t>
      </w:r>
      <w:r>
        <w:rPr>
          <w:color w:val="026DCE"/>
        </w:rPr>
        <w:t xml:space="preserve"> </w:t>
      </w:r>
      <w:r>
        <w:rPr>
          <w:rFonts w:ascii="Times New Roman;sans-serif" w:hAnsi="Times New Roman;sans-serif"/>
          <w:b w:val="false"/>
          <w:color w:val="000000"/>
          <w:sz w:val="20"/>
        </w:rPr>
        <w:t>subject to certain financial covenants as defined in the Credit Agreement. The Facility allows for revolving loans in Canadian dollars and other non-US currencies, up to the U.S. dollars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December 31, 2024.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had $58.4 million and $13.2 million of borrowings outstanding under the Facility as of December 31, 2024 and December 31, 2023,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vendors require letters of credit to ensure reimbursement for amounts they are disbursing on our behalf, such as to beneficiaries under our insurance programs. In addition, from time to time, certain customers or our sureties require us to post letters of credit to ensure payment to our subcontractors and vendors and guarantee performance under our contracts. Such letters of credit are generally issued by a bank typically pursuant to our senior credit facility. Each letter of credit commits the issuer to pay specified amounts to the holder of the letter of credit if the holder claims that we have failed to perform specified actions. If this were to occur, we would be required to reimburse the issuer of the letter of credit. Depending on the circumstances of such a reimbursement, we may also have to record a charge to earnings for the reimbursement.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$37.3 million in letters of credit outstanding under our Credit Agreement, including $32.6 million related to the Company's payment obligations under its insurance programs and $4.7 million related to contract performance obligations. As of December 31, 2023, we had $34.4 million in letters of credit outstanding under our Credit Agreement including $27.1 million related to the Company's payment obligations under its insurance programs and $7.3 million related to contract performance obligations. We are not aware of any claims currently asserted or threatened under any of these letters of credit that are material, individually, or in the aggregate. However, to the extent payment is required for any such claims, the amount paid could be material and could adversely affect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multiple Master Loan and Security Agreements (the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one outstanding Equipment Note collateralized by equipment and vehicles owned by us. As of December 31, 2023, we had two outstanding Equipment Notes collateralized by equipment and vehicles owned by us. As of December 31, 2024 and 2023, we also had one other equipment note outstanding collateralized by a vehicle owned by us. The outstanding balance of all equipment notes was $16.0 million as of December 31, 2024, of which $4.4 million was due in the next twelve months. The outstanding balance of these equipment notes was $23.0 million as of December 31, 2023, of which $7.1 million was due in the next twelve months.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nine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of operating lease obligations was $42.6 million as of December 31, 2024. As of December 31, 2024, we had outstanding short-term and long-term operating lease obligations of approximately $12.1 million and $30.5 million, respectively. The outstanding balance of operating lease obligations was $35.0 million as of December 31, 2023. As of December 31, 2023, we had outstanding short-term and long-term operating lease obligations of approximately $9.2 million and $25.8 million,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$3.0 million outstanding finance lease obligations, consisting of short-term and long-term finance lease obligations of approximately $1.1 million and $1.9 million, respectively. As of December 31, 2023, we had $2.3 million outstanding finance lease obligations, consisting of short-term and long-term finance lease obligations of approximately $2.0 million and $0.3 million,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$4.9 million in outstanding purchase obligations for certain construction equipment to be paid with cash outlays scheduled to occur in 2025.</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typically issued by a surety or insurance company.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the respective issuers of the bonds for any claim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December 31, 2024, an aggregate of approximately $2.27 billion in original face amount of bonds issued by our sureties were outstanding. Our estimated remaining cost to complete these bonded projects was approximately $662.6 million as of December 31, 2024.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wholly-owned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grant trade credit under contractual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December 31, 2024, one customer individually exceeded 10.0% of our accounts receivable with approximately of 11.3% of the total accounts receivable amount (excluding the impact of allowance for doubtful accounts). As of December 31, 2023, none of our customers individually exceeded 10.0% of our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 accounting pronouncements, see Note 1 — Organization, Business and Significant Accounting Policies in the Notes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 computing percentage of completion in our industry. For purposes of recognizing revenue, we follow the five-step approach outlined in Accounting Standards Codification (“ASC”) 606.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 As of December 31, 2024 and 2023, we recognized revenues of $46.0 million and $76.5 million, respectively, related to significant change orders and/or claims that had been included as contract price adjustments on certain contracts, some of which are multi-year projects.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contracts may have contract terms that include variable consideration such as safety or performance bonuses or liquidated damages. In accordance with ASC 606, we estimate the variable consideration using one of two methods. In contracts in which there is a binary outcome, the most likely amount method is used. In instances in which there is a range of possible outcomes, the expected value method is used. In accordance with ASC 606,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We often enter into contracts that contain liquidated damage clauses. We do not include amounts associated with liquidated damage clauses until it is probable that liquidated damages will occur. These items are continually monitored by multiple levels of management throughout the reporting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the completeness and accuracy of the original bid;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associated with scope changes, change orders or claims;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costs of labor and/or materials;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extended overhead due to owner, weather and other delays;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subcontractor performance issues;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changes in productivity expectations;</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site conditions that differ from those assumed in the original bid (to the extent contract remedies are unavailable);</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 xml:space="preserve">the availability and skill level of workers in the geographic location of the project; and </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a change in the availability and proximity of equipment and materials.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as well as the stage of completion of contracts in process and the mix of contracts at different margins may cause fluctuations in gross profit between periods. During the year ended December 31, 2024, changes in estimates pertaining to certain projects decreased consolidated gross margin by 4.4%. During the year ended December 31, 2023, changes in estimates pertaining to certain projects decreased consolidated gross margin by 1.7%. During the year ended December 31, 2022, changes in estimates pertaining to certain projects decreased consolidated gross margin by 0.4%.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warranties to customers on a basis customary to the industry; however, the warranty period does not typically exceed one year. Historically, warranty claims have not been material.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Insurance.</w:t>
      </w:r>
      <w:r>
        <w:rPr>
          <w:color w:val="000000"/>
        </w:rPr>
        <w:t>   </w:t>
      </w:r>
      <w:r>
        <w:rPr>
          <w:rFonts w:ascii="Times New Roman;sans-serif" w:hAnsi="Times New Roman;sans-serif"/>
          <w:b w:val="false"/>
          <w:color w:val="000000"/>
          <w:sz w:val="20"/>
        </w:rPr>
        <w:t>We carry insurance policies, which are subject to certain deductibles, for workers’ compensation, general liability, automobile liability and other coverages. Our deductible for each line of coverage is up to $1.0 million. Certain health benefit plans are subject to stop-loss limits of up to $0.2 million, for qualified individuals. Losses up to the deductible and stop-loss amounts are accrued based upon our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Stock-Based Compensation.</w:t>
      </w:r>
      <w:r>
        <w:rPr>
          <w:color w:val="000000"/>
        </w:rPr>
        <w:t>   </w:t>
      </w:r>
      <w:r>
        <w:rPr>
          <w:rFonts w:ascii="Times New Roman;sans-serif" w:hAnsi="Times New Roman;sans-serif"/>
          <w:b w:val="false"/>
          <w:color w:val="000000"/>
          <w:sz w:val="20"/>
        </w:rPr>
        <w:t>We determine compensation expense for stock-based awards based on the estimated fair values at the grant date and recognize the related compensation expense ratably over the vesting period. We use the straight-line amortization method to recognize compensation expense related to stock-based awards, such as restricted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which may vary from zero to 200% of the target performance awards. We recognize compensation expense related to performance awards with market-based performance metrics on a straight-line basis over the requisite service period. We recognize forfeitures as they occur. Shares issued under the Company’s stock-based compensation program are taken out of authorized but unissued shares.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Goodwill and Intangibles.</w:t>
      </w:r>
      <w:r>
        <w:rPr>
          <w:color w:val="000000"/>
        </w:rPr>
        <w:t>   </w:t>
      </w:r>
      <w:r>
        <w:rPr>
          <w:rFonts w:ascii="Times New Roman;sans-serif" w:hAnsi="Times New Roman;sans-serif"/>
          <w:b w:val="false"/>
          <w:color w:val="000000"/>
          <w:sz w:val="20"/>
        </w:rPr>
        <w:t xml:space="preserve">Goodwill and intangible assets with indefinite lives are not amortized. Intangible assets with finite lives are amortized on a straight-line basis over their estimated useful lives. We perform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annual qualitative review process in 2023 and 2022, we determined it was not necessary to perform a quantitative assessment. In 2024, we performed a quantitative assessment on our goodwill and intangible assets with indefinite lives; this assessment did not indicate that our goodwill or indefinite lived intangible assets were impaired.</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Accounts Receivable and Allowance for Doubtful Accounts.</w:t>
      </w:r>
      <w:r>
        <w:rPr>
          <w:color w:val="000000"/>
        </w:rPr>
        <w:t>   </w:t>
      </w:r>
      <w:r>
        <w:rPr>
          <w:rFonts w:ascii="Times New Roman;sans-serif" w:hAnsi="Times New Roman;sans-serif"/>
          <w:b w:val="false"/>
          <w:color w:val="000000"/>
          <w:sz w:val="20"/>
        </w:rPr>
        <w:t>We do not generally charge interest to our customers, and we carry our customer receivables at their 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 The allowance for doubtful accounts associated with account receivables was $1.1 million as of December 31, 2024 and $2.0 million as of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and Canada, and we are exposed to market risks in the ordinary course of our business, including the effects of fluctuations in interest rates, foreign exchange rates and commodity prices.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not party to any derivative instruments. We did not use any material derivative financial instruments during the years ended December 31, 2024, 2023 or 2022, including instruments for trading, hedging, or speculating on changes in interest rates, changes in foreign currency rates or changes in commodity prices of materials used in our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our Facility are based upon interest rates that will vary depending upon the prime rate, Canadian prime rate, the NYFRB overnight bank funding rate, Term CORRA, and Term SOFR Reference Rate.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December 31, 2024, we had $58.4 million of borrowings under our Facility. If market rates of interest on all our revolving debt as of December 31, 2024, which is subject to variable rates, permanently increased by 1%, the increase in interest expense on all revolving debt would decrease future income before provision for income taxes and cash flows by approximately $0.6 million annually. If market rates of interest on all our revolving debt, which is subject to variable rates as of December 31, 2024, permanently decreased by 1%, the decrease in interest expense on all debt would increase future income before provision for income taxes and cash flows by approximately $0.6 million annually.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our Equipment Notes are at fixed rates established on the date the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567"/>
        <w:gridCol w:w="3120"/>
        <w:gridCol w:w="3126"/>
        <w:gridCol w:w="114"/>
        <w:gridCol w:w="114"/>
        <w:gridCol w:w="164"/>
      </w:tblGrid>
      <w:tr>
        <w:trPr/>
        <w:tc>
          <w:tcPr>
            <w:tcW w:w="3567"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109">
              <w:r>
                <w:rPr>
                  <w:rStyle w:val="InternetLink"/>
                  <w:rFonts w:ascii="Times New Roman;sans-serif" w:hAnsi="Times New Roman;sans-serif"/>
                  <w:b w:val="false"/>
                  <w:color w:val="0000FF"/>
                  <w:sz w:val="22"/>
                  <w:u w:val="single"/>
                </w:rPr>
                <w:t>Management’s Report on Internal Control Over Financial Reporting</w:t>
              </w:r>
            </w:hyperlink>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09">
              <w:r>
                <w:rPr>
                  <w:rStyle w:val="InternetLink"/>
                  <w:rFonts w:ascii="Times New Roman;sans-serif" w:hAnsi="Times New Roman;sans-serif"/>
                  <w:b w:val="false"/>
                  <w:color w:val="0000FF"/>
                  <w:sz w:val="22"/>
                  <w:u w:val="single"/>
                </w:rPr>
                <w:t>46</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12">
              <w:r>
                <w:rPr>
                  <w:rStyle w:val="InternetLink"/>
                  <w:rFonts w:ascii="Times New Roman;sans-serif" w:hAnsi="Times New Roman;sans-serif"/>
                  <w:b w:val="false"/>
                  <w:color w:val="0000FF"/>
                  <w:sz w:val="22"/>
                  <w:u w:val="single"/>
                </w:rPr>
                <w:t>Report of Independent Registered Public Accounting Firm</w:t>
              </w:r>
            </w:hyperlink>
            <w:hyperlink w:anchor="ica0ea90ddee54507b77502a3064df09f_112">
              <w:r>
                <w:rPr>
                  <w:rStyle w:val="InternetLink"/>
                  <w:rFonts w:ascii="Times New Roman;sans-serif" w:hAnsi="Times New Roman;sans-serif"/>
                  <w:b w:val="false"/>
                  <w:color w:val="0000FF"/>
                  <w:sz w:val="14"/>
                  <w:u w:val="single"/>
                </w:rPr>
                <w:t>(1)</w:t>
              </w:r>
            </w:hyperlink>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12">
              <w:r>
                <w:rPr>
                  <w:rStyle w:val="InternetLink"/>
                  <w:rFonts w:ascii="Times New Roman;sans-serif" w:hAnsi="Times New Roman;sans-serif"/>
                  <w:b w:val="false"/>
                  <w:color w:val="0000FF"/>
                  <w:sz w:val="22"/>
                  <w:u w:val="single"/>
                </w:rPr>
                <w:t>47</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15">
              <w:r>
                <w:rPr>
                  <w:rStyle w:val="InternetLink"/>
                  <w:rFonts w:ascii="Times New Roman;sans-serif" w:hAnsi="Times New Roman;sans-serif"/>
                  <w:b w:val="false"/>
                  <w:color w:val="000080"/>
                  <w:sz w:val="22"/>
                  <w:u w:val="single"/>
                </w:rPr>
                <w:t xml:space="preserve">Consolidated Balance Sheets as of </w:t>
              </w:r>
            </w:hyperlink>
            <w:r>
              <w:rPr>
                <w:rFonts w:ascii="Times New Roman;sans-serif" w:hAnsi="Times New Roman;sans-serif"/>
                <w:b w:val="false"/>
                <w:color w:val="0000FF"/>
                <w:sz w:val="22"/>
                <w:u w:val="single"/>
              </w:rPr>
              <w:t>December 31, 2024</w:t>
            </w:r>
            <w:hyperlink w:anchor="ica0ea90ddee54507b77502a3064df09f_115">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2023</w:t>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15">
              <w:r>
                <w:rPr>
                  <w:rStyle w:val="InternetLink"/>
                  <w:rFonts w:ascii="Times New Roman;sans-serif" w:hAnsi="Times New Roman;sans-serif"/>
                  <w:b w:val="false"/>
                  <w:color w:val="0000FF"/>
                  <w:sz w:val="22"/>
                  <w:u w:val="single"/>
                </w:rPr>
                <w:t>49</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18">
              <w:r>
                <w:rPr>
                  <w:rStyle w:val="InternetLink"/>
                  <w:rFonts w:ascii="Times New Roman;sans-serif" w:hAnsi="Times New Roman;sans-serif"/>
                  <w:b w:val="false"/>
                  <w:color w:val="000080"/>
                  <w:sz w:val="22"/>
                  <w:u w:val="single"/>
                </w:rPr>
                <w:t xml:space="preserve">Consolidated Statements of Operations and Comprehensive Income for the years ended </w:t>
              </w:r>
            </w:hyperlink>
            <w:r>
              <w:rPr>
                <w:rFonts w:ascii="Times New Roman;sans-serif" w:hAnsi="Times New Roman;sans-serif"/>
                <w:b w:val="false"/>
                <w:color w:val="0000FF"/>
                <w:sz w:val="22"/>
                <w:u w:val="single"/>
              </w:rPr>
              <w:t>December 31, 2024</w:t>
            </w:r>
            <w:hyperlink w:anchor="ica0ea90ddee54507b77502a3064df09f_118">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2023</w:t>
            </w:r>
            <w:hyperlink w:anchor="ica0ea90ddee54507b77502a3064df09f_118">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18">
              <w:r>
                <w:rPr>
                  <w:rStyle w:val="InternetLink"/>
                  <w:rFonts w:ascii="Times New Roman;sans-serif" w:hAnsi="Times New Roman;sans-serif"/>
                  <w:b w:val="false"/>
                  <w:color w:val="0000FF"/>
                  <w:sz w:val="22"/>
                  <w:u w:val="single"/>
                </w:rPr>
                <w:t>50</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21">
              <w:r>
                <w:rPr>
                  <w:rStyle w:val="InternetLink"/>
                  <w:rFonts w:ascii="Times New Roman;sans-serif" w:hAnsi="Times New Roman;sans-serif"/>
                  <w:b w:val="false"/>
                  <w:color w:val="000080"/>
                  <w:sz w:val="22"/>
                  <w:u w:val="single"/>
                </w:rPr>
                <w:t xml:space="preserve">Consolidated Statements of Shareholders’ Equity for the years ended </w:t>
              </w:r>
            </w:hyperlink>
            <w:r>
              <w:rPr>
                <w:rFonts w:ascii="Times New Roman;sans-serif" w:hAnsi="Times New Roman;sans-serif"/>
                <w:b w:val="false"/>
                <w:color w:val="0000FF"/>
                <w:sz w:val="22"/>
                <w:u w:val="single"/>
              </w:rPr>
              <w:t>December 31, 2024</w:t>
            </w:r>
            <w:hyperlink w:anchor="ica0ea90ddee54507b77502a3064df09f_121">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2023</w:t>
            </w:r>
            <w:hyperlink w:anchor="ica0ea90ddee54507b77502a3064df09f_121">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21">
              <w:r>
                <w:rPr>
                  <w:rStyle w:val="InternetLink"/>
                  <w:rFonts w:ascii="Times New Roman;sans-serif" w:hAnsi="Times New Roman;sans-serif"/>
                  <w:b w:val="false"/>
                  <w:color w:val="0000FF"/>
                  <w:sz w:val="22"/>
                  <w:u w:val="single"/>
                </w:rPr>
                <w:t>51</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0ea90ddee54507b77502a3064df09f_124">
              <w:r>
                <w:rPr>
                  <w:rStyle w:val="InternetLink"/>
                  <w:rFonts w:ascii="Times New Roman;sans-serif" w:hAnsi="Times New Roman;sans-serif"/>
                  <w:b w:val="false"/>
                  <w:color w:val="000080"/>
                  <w:sz w:val="22"/>
                  <w:u w:val="single"/>
                </w:rPr>
                <w:t xml:space="preserve">Consolidated Statements of Cash Flows for the years ended </w:t>
              </w:r>
            </w:hyperlink>
            <w:r>
              <w:rPr>
                <w:rFonts w:ascii="Times New Roman;sans-serif" w:hAnsi="Times New Roman;sans-serif"/>
                <w:b w:val="false"/>
                <w:color w:val="0000FF"/>
                <w:sz w:val="22"/>
                <w:u w:val="single"/>
              </w:rPr>
              <w:t>December 31, 2024</w:t>
            </w:r>
            <w:hyperlink w:anchor="ica0ea90ddee54507b77502a3064df09f_124">
              <w:r>
                <w:rPr>
                  <w:rStyle w:val="InternetLink"/>
                  <w:rFonts w:ascii="Times New Roman;sans-serif" w:hAnsi="Times New Roman;sans-serif"/>
                  <w:b w:val="false"/>
                  <w:color w:val="000080"/>
                  <w:sz w:val="22"/>
                  <w:u w:val="single"/>
                </w:rPr>
                <w:t xml:space="preserve">, </w:t>
              </w:r>
            </w:hyperlink>
            <w:r>
              <w:rPr>
                <w:rFonts w:ascii="Times New Roman;sans-serif" w:hAnsi="Times New Roman;sans-serif"/>
                <w:b w:val="false"/>
                <w:color w:val="0000FF"/>
                <w:sz w:val="22"/>
                <w:u w:val="single"/>
              </w:rPr>
              <w:t>2023</w:t>
            </w:r>
            <w:hyperlink w:anchor="ica0ea90ddee54507b77502a3064df09f_124">
              <w:r>
                <w:rPr>
                  <w:rStyle w:val="InternetLink"/>
                  <w:rFonts w:ascii="Times New Roman;sans-serif" w:hAnsi="Times New Roman;sans-serif"/>
                  <w:b w:val="false"/>
                  <w:color w:val="000080"/>
                  <w:sz w:val="22"/>
                  <w:u w:val="single"/>
                </w:rPr>
                <w:t xml:space="preserve"> and </w:t>
              </w:r>
            </w:hyperlink>
            <w:r>
              <w:rPr>
                <w:rFonts w:ascii="Times New Roman;sans-serif" w:hAnsi="Times New Roman;sans-serif"/>
                <w:b w:val="false"/>
                <w:color w:val="0000FF"/>
                <w:sz w:val="22"/>
                <w:u w:val="single"/>
              </w:rPr>
              <w:t>2022</w:t>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24">
              <w:r>
                <w:rPr>
                  <w:rStyle w:val="InternetLink"/>
                  <w:rFonts w:ascii="Times New Roman;sans-serif" w:hAnsi="Times New Roman;sans-serif"/>
                  <w:b w:val="false"/>
                  <w:color w:val="0000FF"/>
                  <w:sz w:val="22"/>
                  <w:u w:val="single"/>
                </w:rPr>
                <w:t>52</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0ea90ddee54507b77502a3064df09f_127">
              <w:r>
                <w:rPr>
                  <w:rStyle w:val="InternetLink"/>
                  <w:rFonts w:ascii="Times New Roman;sans-serif" w:hAnsi="Times New Roman;sans-serif"/>
                  <w:b w:val="false"/>
                  <w:color w:val="0000FF"/>
                  <w:sz w:val="22"/>
                  <w:u w:val="single"/>
                </w:rPr>
                <w:t>Notes to Financial Statements</w:t>
              </w:r>
            </w:hyperlink>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a0ea90ddee54507b77502a3064df09f_127">
              <w:r>
                <w:rPr>
                  <w:rStyle w:val="InternetLink"/>
                  <w:rFonts w:ascii="Times New Roman;sans-serif" w:hAnsi="Times New Roman;sans-serif"/>
                  <w:b w:val="false"/>
                  <w:color w:val="0000FF"/>
                  <w:sz w:val="22"/>
                  <w:u w:val="single"/>
                </w:rPr>
                <w:t>53</w:t>
              </w:r>
            </w:hyperlink>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of MYR Group’s independent registered public accounting firm (PCAOB ID:173) with respect to the above-referenced financial statements and their report on internal control over financial reporting are included in Item 8 of this Form 10-K at the page number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Times New Roman;sans-serif" w:hAnsi="Times New Roman;sans-serif"/>
          <w:b w:val="false"/>
          <w:i/>
          <w:color w:val="000000"/>
          <w:sz w:val="20"/>
        </w:rPr>
        <w:t>Internal Control — Integrated Framework</w:t>
      </w:r>
      <w:r>
        <w:rPr>
          <w:color w:val="000000"/>
        </w:rPr>
        <w:t> </w:t>
      </w:r>
      <w:r>
        <w:rPr>
          <w:rFonts w:ascii="Times New Roman;sans-serif" w:hAnsi="Times New Roman;sans-serif"/>
          <w:b w:val="false"/>
          <w:color w:val="000000"/>
          <w:sz w:val="20"/>
        </w:rPr>
        <w:t>issued by the Committee of Sponsoring Organizations of the Treadway Commission (2013 framework). Based on this evaluation, our management has concluded that our internal control over financial reporting was effective as of December 31, 2024 in providing reasonable assurance regarding the reliability of financial reporting and the preparation of financial statements for external reporting purposes in accordance with GAAP.</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Crowe LLP, the independent registered public accounting firm that audited and reported on the 2024 Financial Statements included in this Annual Report on Form 10-K, has audited the effectiveness of MYR Group’s internal control over financial reporting as of December 31, 2024 and has issued an attestation report on MYR Group’s internal control over financial reporting which appears herein.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MYR Group Inc.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Thornton, CO</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Opinions on the Financial Statements and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MYR Group Inc. (the “Company”) as of December 31, 2024 and 2023, the related consolidated statements of operations and comprehensive income, shareholders’ equity, and cash flows for each of the years in the three-year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Basis for Opinions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estimated costs to complete and variable consideration for fixed price construction contracts, including changes to estimates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of the Company’s consolidated financial statements, Organization, Business, and Significant Accounting Policies, and Note 12, Revenue Recognition, the Company recognizes revenue on fixed price construction projects over time using the cost-to-cost method, which measures the progress as the ratio of actual contract costs incurred to date to the estimated costs at completion. The amount of contract revenues and gross profit recognized on fixed price construction contracts is dependent on the contract price, the actual contract costs incurred, and the forecasted contract revenues and contract costs for construction projects. The recognition of revenue on fixed price construction contracts involves significant estimates due to the unique complexities of each construction project, uncertainty about estimates of costs to complete which can include unforeseen delays or construction complications, and uncertainty in the outcome of discussions with customers on the valuation of change orders and claims. The Company recognizes revenue related to change orders only when it is probable that the change order will result in an addition to contract value and can be reliably estimated. The Company evaluates change orders and claims based on historical experience with the customer, similar contracts, and on an individual basis, which involves significant judgment. The Company recognizes these estimated amounts of variable consideration in transaction price to the extent that it is probable there will not be a significant reversal of revenue. The Company reviews and revises, as needed, the estimated costs to complete and variable consideration for fixed price construction contacts while contracts are in process and through the date of contract completion.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auditing management’s estimates of variable consideration for change orders and claims, management’s estimates of costs to complete, and management’s assessment of changes to estimates of costs to complete on select fixed price construction contracts to be a critical audit matter. The critical audit matter relates to select fixed price construction contracts based on the magnitude of estimated costs to complete, the magnitude of variable consideration for change orders and claims, the stage of completion of the contract, and the significance of any changes to estimates of costs to complete. Estimates of variable consideration for change orders and claims and estimated costs to complete, including changes to estimates, require management to make assumptions about future events and, as a result, a high degree of auditor judgment is involved in auditing these estimates. Due to the factors above, auditing management’s estimates of costs to complete, variable consideration, and changes to estimates of costs to complete required extensive audit effort.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to address the critical audit matter included the following: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Tested the design, implementation, and operating effectiveness of controls that are designed to address the reasonableness of estimates of costs to complete contracts, estimates of variable consideration recognized on contracts, and changes to estimated costs to complete;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Evaluated the reasonableness of management’s estimates of cost to complete for a sample of fixed price construction contracts through testing the key components of the estimated costs to complete, including materials, labor, and subcontractor costs;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Agreed a sample of contract costs incurred to supporting documentation;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Performed inquiries of management and project personnel regarding facts and circumstances relevant to the accounting for such contracts;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Recalculated revenue recognition based on the percentage of completion of projects;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Evaluated variable consideration recognized related to construction projects by comparing estimates made by management to subsequent actual data, evaluating the contracts and other documents that support estimates made by management, and obtaining legal opinions from internal and external counsel;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Performed retrospective review procedures to assess management’s historical ability to accurately estimate the transaction price and cost to complete of construction contracts;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Obtained and evaluated evidence that changes to estimates of costs to complete contracts were recorded in the appropriate period.</w:t>
      </w:r>
    </w:p>
    <w:p>
      <w:pPr>
        <w:pStyle w:val="TextBody"/>
        <w:bidi w:val="0"/>
        <w:spacing w:lineRule="auto" w:line="276"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Crowe LLP</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Oakbrook Terrace, Illinois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41"/>
        <w:gridCol w:w="2152"/>
        <w:gridCol w:w="2159"/>
        <w:gridCol w:w="109"/>
        <w:gridCol w:w="109"/>
        <w:gridCol w:w="109"/>
        <w:gridCol w:w="196"/>
        <w:gridCol w:w="871"/>
        <w:gridCol w:w="109"/>
        <w:gridCol w:w="109"/>
        <w:gridCol w:w="109"/>
        <w:gridCol w:w="109"/>
        <w:gridCol w:w="196"/>
        <w:gridCol w:w="871"/>
        <w:gridCol w:w="156"/>
      </w:tblGrid>
      <w:tr>
        <w:trPr/>
        <w:tc>
          <w:tcPr>
            <w:tcW w:w="284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1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$1,129 and $1,987,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 of allowances of $422 and $610,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$387,223 and $380,465,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$34,573 and $30,534,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927,544 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 $0.01 par value per share; 4,000,000 authorized shares; none issued and outstanding at December 31,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per share; 100,000,000 authorized shares; 16,121,901 and 16,684,492 shares issued and outstanding at December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2014"/>
        <w:gridCol w:w="1635"/>
        <w:gridCol w:w="1640"/>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1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bl>
      <w:tblPr>
        <w:tblW w:w="11725" w:type="dxa"/>
        <w:jc w:val="left"/>
        <w:tblInd w:w="0" w:type="dxa"/>
        <w:tblLayout w:type="fixed"/>
        <w:tblCellMar>
          <w:top w:w="28" w:type="dxa"/>
          <w:left w:w="28" w:type="dxa"/>
          <w:bottom w:w="28" w:type="dxa"/>
          <w:right w:w="28" w:type="dxa"/>
        </w:tblCellMar>
      </w:tblPr>
      <w:tblGrid>
        <w:gridCol w:w="787"/>
        <w:gridCol w:w="295"/>
        <w:gridCol w:w="269"/>
        <w:gridCol w:w="109"/>
        <w:gridCol w:w="109"/>
        <w:gridCol w:w="109"/>
        <w:gridCol w:w="235"/>
        <w:gridCol w:w="453"/>
        <w:gridCol w:w="123"/>
        <w:gridCol w:w="109"/>
        <w:gridCol w:w="109"/>
        <w:gridCol w:w="109"/>
        <w:gridCol w:w="360"/>
        <w:gridCol w:w="361"/>
        <w:gridCol w:w="196"/>
        <w:gridCol w:w="109"/>
        <w:gridCol w:w="109"/>
        <w:gridCol w:w="109"/>
        <w:gridCol w:w="211"/>
        <w:gridCol w:w="466"/>
        <w:gridCol w:w="109"/>
        <w:gridCol w:w="109"/>
        <w:gridCol w:w="109"/>
        <w:gridCol w:w="109"/>
        <w:gridCol w:w="211"/>
        <w:gridCol w:w="826"/>
        <w:gridCol w:w="109"/>
        <w:gridCol w:w="109"/>
        <w:gridCol w:w="109"/>
        <w:gridCol w:w="109"/>
        <w:gridCol w:w="242"/>
        <w:gridCol w:w="847"/>
        <w:gridCol w:w="127"/>
        <w:gridCol w:w="109"/>
        <w:gridCol w:w="109"/>
        <w:gridCol w:w="109"/>
        <w:gridCol w:w="211"/>
        <w:gridCol w:w="826"/>
        <w:gridCol w:w="109"/>
        <w:gridCol w:w="109"/>
        <w:gridCol w:w="109"/>
        <w:gridCol w:w="109"/>
        <w:gridCol w:w="109"/>
        <w:gridCol w:w="109"/>
        <w:gridCol w:w="109"/>
        <w:gridCol w:w="109"/>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118" w:type="dxa"/>
        <w:jc w:val="left"/>
        <w:tblInd w:w="0" w:type="dxa"/>
        <w:tblLayout w:type="fixed"/>
        <w:tblCellMar>
          <w:top w:w="28" w:type="dxa"/>
          <w:left w:w="28" w:type="dxa"/>
          <w:bottom w:w="28" w:type="dxa"/>
          <w:right w:w="28" w:type="dxa"/>
        </w:tblCellMar>
      </w:tblPr>
      <w:tblGrid>
        <w:gridCol w:w="2256"/>
        <w:gridCol w:w="1989"/>
        <w:gridCol w:w="1994"/>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225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 for which payment is 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and Significant Accounting Policies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 (the “Company”) is a holding company of specialty electrical construction service providers conducting operations through wholly-owned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Consolidation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 As of December 31, 2024 and 2023, the Company recognized revenues related to significant variable consideration of $29.9 million and $76.5 million, respectively.</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contracts may have contract terms that include variable consideration such as safety or performance bonuses or liquidated damages. In accordance with ASC 606,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warranties to customers on a basis customary to the industry; however, the warranty period does not typically exceed one year. Historically, warranty claims have not been material to the Company. Based on the Company’s estimates, as of December 31, 2024, the Company recorded warranty reserves of $3.4 million and as of December 31, 2023, warranty reserves were not significant. Settlements on warranty claims during the years ended December 31, 2024, 2023 and 2022 were not significant.</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do not include sales tax as the Company considers itself a pass-through conduit for collecting and remitting sales taxes. Sales tax collected from customers is included in other current liabilities on the Company’s consolidated balance sheets.</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Joint Ventures and Noncontrolling Interests</w:t>
      </w:r>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During the years ended December 31, 2024, 2023 and 2022, the Company recognized its proportionate share of joint venture revenues of $22.4 million, $33.0 million, and $11.3 million, respectively. Under the equity method the net investment in joint ventures is stated as a single item on the Company’s consolidated balance sheets. If an investment in a joint venture contains a recourse or unfunded commitment to provide additional equity, distributions and/or losses in excess of the investment a liability is recorded in other current liabilities on the Company’s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recorded in other income (expense), net, for the years ended December 31, 2024, 2023 and 2022 were $1.4 million, $0.1 million and $0.2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are related to estimates of costs to complete on contracts, variable consideration inclusive of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period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recognized revenues of $46.0 million and $76.5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cost-to-cost method of accounting requires the Company to make estimates about the expected revenue and gross profit on each of its contracts in process. During the year ended December 31, 2024, changes in estimates pertaining to certain projects decreased consolidated gross margin by 4.4%, which resulted in decreases in operating income of $146.5 million, net income of $96.9 million and diluted earnings per common share of $5.86. The estimates are reviewed and revised quarterly, as needed. Additional discussion on the impact of these estimate changes can be found in Item 7, “Management’s Discussion and Analysis of Financial Condition and Results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changes in estimates pertaining to certain projects decreased consolidated gross margin by 1.7%, which resulted in decreases in operating income of $62.2 million, net income of $43.6 million and diluted earnings per common share of $2.59.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changes in estimates pertaining to certain projects decreased consolidated gross margin by 0.4%, which resulted in decreases in operating income of $9.8 million, net income of $6.9 million and diluted earnings per common share of $0.41.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when incurred. Advertising costs, included in selling, general and administrative expenses, were $2.0 million, $1.8 million and $1.2 million for the years ended December 31, 2024, 2023 and 2022, respectively.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uncertain income tax positions are included in income tax expense on the Company’s consolidated statements of operations. Interest and penalties actually incurred are charged to the interest expense and the “other income (expense), net” line, respectively.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compensation expense for stock-based awards based on the estimated fair values at the grant date and recognizes the related compensation expense over the vesting period. The Company uses the straight-line amortization method to recognize compensation expense related to stock-based awards, such as restricted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adjusts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The Company recognizes forfeitures as they occur. Shares issued under the Company’s stock-based compensation program are taken out of authorized but unissued shares.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an original maturity of three months or less to be cash equivalents. As of December 31, 2024 and 2023, the Company held its cash in checking accounts or in highly liquid money market accounts. The Company’s banking arrangements allow the Company to fund outstanding checks when presented to financial institutions for payment. The Company funds all intraday bank balance overdrafts during the same business day. Checks issued and outstanding in excess of bank balances are recorded in accounts payable on the Company’s consolidated balance sheets and are reflected as a financing activity on the Company’s Consolidated Statements of Cash Flows.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Doubtful Accounts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charge interest to its customers and carries its customer receivables at their face amounts, net of contract retainage,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Classification of Contract Assets and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carried at cost, except for assets acquired in a business combination which are recorded at fair value at the date of acquisition.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nine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2024, the Company had several leases with residual value guarantees. The total amount probable of being owed of residual leases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 Leases are accounted for as operating or finance leases, depending on the terms of the lease.</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Finance Leases.</w:t>
      </w:r>
      <w:r>
        <w:rPr>
          <w:color w:val="000000"/>
        </w:rPr>
        <w:t>   </w:t>
      </w:r>
      <w:r>
        <w:rPr>
          <w:rFonts w:ascii="Times New Roman;sans-serif" w:hAnsi="Times New Roman;sans-serif"/>
          <w:b w:val="false"/>
          <w:color w:val="000000"/>
          <w:sz w:val="20"/>
        </w:rPr>
        <w:t>The Company leases some vehicles and certain equipment under finance leases. The economic substance of the leases is a financing transaction 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is not provided the Company determines this rate by estimating the Company’s incremental borrowing rate, utilizing the borrowing rates associated with the Company’s various debt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Operating Right-of-Use Leases.</w:t>
      </w:r>
      <w:r>
        <w:rPr>
          <w:color w:val="000000"/>
        </w:rPr>
        <w:t>   </w:t>
      </w:r>
      <w:r>
        <w:rPr>
          <w:rFonts w:ascii="Times New Roman;sans-serif" w:hAnsi="Times New Roman;sans-serif"/>
          <w:b w:val="false"/>
          <w:color w:val="000000"/>
          <w:sz w:val="20"/>
        </w:rPr>
        <w:t xml:space="preserve">Operating right-of-use leases are included in operating lease right-of-use assets, current portion of operating lease obligations and operating lease obligations, net of current maturities on the 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which are considered in the present value calculations when it is reasonably certain we will exercise those options.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Insurance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for workers’ compensation, general liability, automobile liability and other coverages. The deductible for each line of coverage is up to $1.0 million. Certain health benefit plans are subject to a stop-loss limit of up to $0.2 million, for qualified individuals. Losses up to the deductible amounts are accrued based upon the Company’s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intangible assets with indefinite lives are not amortized. Intangible assets with finite lives are amortized on a straight-line basis over their estimated useful lives. The Company performs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annual qualitative review process in 2023 and 2022, the Company determined it was not necessary to perform a quantitative assessment. In 2024, the Company performed a quantitative assessment on goodwill and intangible assets with indefinite lives, this assessment did not indicate that the Company’s goodwill or indefinite lived intangible assets were impaired.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Concentrations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because it derives a significant portion of its revenues from a few customers. The Company’s top ten customers accounted for approximately 37.8%, 37.9%, and 35.4% of consolidated revenues for the years ended December 31, 2024, 2023 and 2022, respectively. For the years ended December 31, 2024, 2023 and 2022, no single customer accounted for more than 10.0% of annual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2024, one customer individually exceeded 10.0% of accounts receivable with approximately 11.3% of the total accounts receivable amount (excluding the impact of allowance for doubtful accounts). As of December 31, 2023, none of the Company’s customers individually exceeded 10.0% of accounts receivable. The Company believes the terms and conditions in its contracts, billing and collection policies are adequate to minimize the potential credit risk.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approximately 87% of the Company’s craft labor employees were covered by collective bargaining agreements. Although the majority of these agreements prohibit strikes and work stoppages, the Company cannot be certain that strikes or work stoppages will not occur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which is intended to improve reportable segment disclosure requirements, primarily through enhanced disclosures about significant reportable segment expenses and other disclosure requirements. The Company has adopted this ASU enhancing our segment disclosures. See Note 7–Segment Reporting for further information related to the Company’s segments.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 xml:space="preserve">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 </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 xml:space="preserve">which requires the disaggregation of certain expenses in the notes of the 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Acquisition</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Powerline Plus Ltd</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Cash consideration paid, funded through a combination of cash on hand and borrowings under the Facility (as defined below), including $0.1 million of net asset and other adjustments, was $110.7 million, net of cash acquired. The Company finalized the purchase price accounting relating to the acquisition of the Powerline Plus Companies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acquisition includes contingent earn-out consideration that may be payable if the Powerline Plus Companies achieve certain performance targets over a three-year post-acquisition period. As of the acquisition date, the fair value of the contingent earn-out consideration was $0.9 million. As of December 31, 2024 and 2023, the fair value of the contingent earn-out consideration was zero. The minimum thresholds of the performance targets were not achieved, and therefor no future payout of contingent earn-out consideration is necessary. Changes in contingent earn-out consideration, subsequent to the acquisition, of zero, $0.2 million and $0.7 million were recorded in other income, for the years ended December 31, 2024, 2023 and 2022, respectively. The results of the Powerline Plus Companies are included in the Company’s consolidated financial statements beginning on the transaction date. </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also includes contingent consideration provisions for down-side margin guarantee adjustments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No changes in margin guarantee adjustments on contracts, subsequent to the acquisition, have been recorded for the years ended December 31, 2024, 2023 and 2022. No margin guarantee adjustments will be recognized in other income in 2025.</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opening balance sheet as of the date of the Powerline Plus Companies acquisition:</w:t>
      </w:r>
    </w:p>
    <w:tbl>
      <w:tblPr>
        <w:tblW w:w="10205" w:type="dxa"/>
        <w:jc w:val="left"/>
        <w:tblInd w:w="0" w:type="dxa"/>
        <w:tblLayout w:type="fixed"/>
        <w:tblCellMar>
          <w:top w:w="28" w:type="dxa"/>
          <w:left w:w="28" w:type="dxa"/>
          <w:bottom w:w="28" w:type="dxa"/>
          <w:right w:w="28" w:type="dxa"/>
        </w:tblCellMar>
      </w:tblPr>
      <w:tblGrid>
        <w:gridCol w:w="1421"/>
        <w:gridCol w:w="1235"/>
        <w:gridCol w:w="1245"/>
        <w:gridCol w:w="109"/>
        <w:gridCol w:w="109"/>
        <w:gridCol w:w="109"/>
        <w:gridCol w:w="463"/>
        <w:gridCol w:w="1813"/>
        <w:gridCol w:w="238"/>
        <w:gridCol w:w="109"/>
        <w:gridCol w:w="109"/>
        <w:gridCol w:w="109"/>
        <w:gridCol w:w="211"/>
        <w:gridCol w:w="782"/>
        <w:gridCol w:w="109"/>
        <w:gridCol w:w="109"/>
        <w:gridCol w:w="109"/>
        <w:gridCol w:w="109"/>
        <w:gridCol w:w="301"/>
        <w:gridCol w:w="1181"/>
        <w:gridCol w:w="225"/>
      </w:tblGrid>
      <w:tr>
        <w:trPr/>
        <w:tc>
          <w:tcPr>
            <w:tcW w:w="142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January 4, 2022 acquisition date (initial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Measurement </w:t>
              <w:br/>
              <w:t xml:space="preserve">Period </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Final Acquisition Allocation</w:t>
            </w:r>
          </w:p>
        </w:tc>
      </w:tr>
      <w:tr>
        <w:trPr/>
        <w:tc>
          <w:tcPr>
            <w:tcW w:w="3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 fair value at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and 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net of estimated net asset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Acquired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less cash acquired, net of net asset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121,747 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111,525 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acquired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estimated fair values of identifiable intangible assets and the related weighted average amortization periods as of the acquisition date of the Powerline Plus Companies. </w:t>
      </w:r>
    </w:p>
    <w:tbl>
      <w:tblPr>
        <w:tblW w:w="10205" w:type="dxa"/>
        <w:jc w:val="center"/>
        <w:tblInd w:w="0" w:type="dxa"/>
        <w:tblLayout w:type="fixed"/>
        <w:tblCellMar>
          <w:top w:w="28" w:type="dxa"/>
          <w:left w:w="28" w:type="dxa"/>
          <w:bottom w:w="28" w:type="dxa"/>
          <w:right w:w="28" w:type="dxa"/>
        </w:tblCellMar>
      </w:tblPr>
      <w:tblGrid>
        <w:gridCol w:w="1012"/>
        <w:gridCol w:w="860"/>
        <w:gridCol w:w="864"/>
        <w:gridCol w:w="109"/>
        <w:gridCol w:w="109"/>
        <w:gridCol w:w="109"/>
        <w:gridCol w:w="567"/>
        <w:gridCol w:w="1940"/>
        <w:gridCol w:w="292"/>
        <w:gridCol w:w="109"/>
        <w:gridCol w:w="109"/>
        <w:gridCol w:w="109"/>
        <w:gridCol w:w="1172"/>
        <w:gridCol w:w="1172"/>
        <w:gridCol w:w="1672"/>
      </w:tblGrid>
      <w:tr>
        <w:trPr/>
        <w:tc>
          <w:tcPr>
            <w:tcW w:w="101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Amortization Period at Acquisition Date</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years)</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values of intangible assets were determined using the income approach, which discounts the projected future cash flows using a discount rate that appropriately reflects the risks associated with the projected cash flows. Under the income approach, the acquisition date fair value of the customer relationships and backlog were estimated using a multi-period excess earnings valuation method and the acquisition date fair value of the trade names was estimated using a relief from royalty valuation method. The fair value of the acquired operating lease obligation and operating right of use asset was estimated by applying the income approach. The fair value of the operating lease obligation was determined by comparing the difference between the annual lease contract rent over the remaining contractual term to a market rate cash flow stream, discounted to the present value. The Company calculated the fair value of the operating right of use asset based on the fair values of the operating lease obligation adjusted for a below market lease positions. The contractual value of the acquired accounts receivable is equal to the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Contract Assets and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December 31, 2024 and $0.6 million as of December 31, 2023.</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 at December 31:</w:t>
      </w:r>
    </w:p>
    <w:tbl>
      <w:tblPr>
        <w:tblW w:w="6579"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and an accrual for contracts in a loss provision.</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 at December 31:</w:t>
      </w:r>
    </w:p>
    <w:tbl>
      <w:tblPr>
        <w:tblW w:w="6339"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 at December 31:</w:t>
      </w:r>
    </w:p>
    <w:tbl>
      <w:tblPr>
        <w:tblW w:w="6219"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revenues recognized in the period that were included in the opening contract liability balances were $160.3 million and $130.7 million for the year ended December 31, 2024 and 2023, respectively. This revenue consists primarily of work performed on previous billings to customers.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consisted of the following at December 31:</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6,731,511 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is included within the contract asset and contract liability in the accompanying consolidated balance sheets as follows at December 31:</w:t>
      </w:r>
    </w:p>
    <w:tbl>
      <w:tblPr>
        <w:tblW w:w="4940"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211"/>
        <w:gridCol w:w="901"/>
        <w:gridCol w:w="109"/>
        <w:gridCol w:w="109"/>
        <w:gridCol w:w="109"/>
        <w:gridCol w:w="109"/>
        <w:gridCol w:w="211"/>
        <w:gridCol w:w="82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Lease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nine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December 31, 2024 and 2023,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1027"/>
        <w:gridCol w:w="906"/>
        <w:gridCol w:w="914"/>
        <w:gridCol w:w="109"/>
        <w:gridCol w:w="109"/>
        <w:gridCol w:w="109"/>
        <w:gridCol w:w="1391"/>
        <w:gridCol w:w="1381"/>
        <w:gridCol w:w="1384"/>
        <w:gridCol w:w="109"/>
        <w:gridCol w:w="109"/>
        <w:gridCol w:w="109"/>
        <w:gridCol w:w="220"/>
        <w:gridCol w:w="752"/>
        <w:gridCol w:w="113"/>
        <w:gridCol w:w="109"/>
        <w:gridCol w:w="109"/>
        <w:gridCol w:w="109"/>
        <w:gridCol w:w="219"/>
        <w:gridCol w:w="751"/>
        <w:gridCol w:w="166"/>
      </w:tblGrid>
      <w:tr>
        <w:trPr/>
        <w:tc>
          <w:tcPr>
            <w:tcW w:w="10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 terms and discount rates:</w:t>
      </w:r>
    </w:p>
    <w:tbl>
      <w:tblPr>
        <w:tblW w:w="7717" w:type="dxa"/>
        <w:jc w:val="left"/>
        <w:tblInd w:w="0" w:type="dxa"/>
        <w:tblLayout w:type="fixed"/>
        <w:tblCellMar>
          <w:top w:w="28" w:type="dxa"/>
          <w:left w:w="28" w:type="dxa"/>
          <w:bottom w:w="28" w:type="dxa"/>
          <w:right w:w="28" w:type="dxa"/>
        </w:tblCellMar>
      </w:tblPr>
      <w:tblGrid>
        <w:gridCol w:w="1750"/>
        <w:gridCol w:w="1536"/>
        <w:gridCol w:w="1543"/>
        <w:gridCol w:w="109"/>
        <w:gridCol w:w="109"/>
        <w:gridCol w:w="109"/>
        <w:gridCol w:w="244"/>
        <w:gridCol w:w="244"/>
        <w:gridCol w:w="607"/>
        <w:gridCol w:w="109"/>
        <w:gridCol w:w="109"/>
        <w:gridCol w:w="109"/>
        <w:gridCol w:w="231"/>
        <w:gridCol w:w="231"/>
        <w:gridCol w:w="677"/>
      </w:tblGrid>
      <w:tr>
        <w:trPr/>
        <w:tc>
          <w:tcPr>
            <w:tcW w:w="175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years</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years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information related to the lease costs for finance and operating leases:</w:t>
      </w:r>
    </w:p>
    <w:tbl>
      <w:tblPr>
        <w:tblW w:w="7058"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other information and supplemental cash flow information related to finance and operating leases:</w:t>
      </w:r>
    </w:p>
    <w:tbl>
      <w:tblPr>
        <w:tblW w:w="10205" w:type="dxa"/>
        <w:jc w:val="left"/>
        <w:tblInd w:w="0" w:type="dxa"/>
        <w:tblLayout w:type="fixed"/>
        <w:tblCellMar>
          <w:top w:w="28" w:type="dxa"/>
          <w:left w:w="28" w:type="dxa"/>
          <w:bottom w:w="28" w:type="dxa"/>
          <w:right w:w="28" w:type="dxa"/>
        </w:tblCellMar>
      </w:tblPr>
      <w:tblGrid>
        <w:gridCol w:w="2188"/>
        <w:gridCol w:w="1925"/>
        <w:gridCol w:w="1942"/>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8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operating and financing lease right of use assets and corresponding lease obligations acquired with the Powerline Plus Companies is provided in Note 2–Acquisitions to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undiscounted minimum lease payments, as reconciled to the discounted minimum lease obligation indicated on the Company’s consolidated balance sheets, under current portion of operating lease obligations and operating lease obligations, net of current maturities, as of December 31, 2024 were as follows:</w:t>
      </w:r>
    </w:p>
    <w:tbl>
      <w:tblPr>
        <w:tblW w:w="8622" w:type="dxa"/>
        <w:jc w:val="left"/>
        <w:tblInd w:w="0" w:type="dxa"/>
        <w:tblLayout w:type="fixed"/>
        <w:tblCellMar>
          <w:top w:w="28" w:type="dxa"/>
          <w:left w:w="28" w:type="dxa"/>
          <w:bottom w:w="28" w:type="dxa"/>
          <w:right w:w="28" w:type="dxa"/>
        </w:tblCellMar>
      </w:tblPr>
      <w:tblGrid>
        <w:gridCol w:w="1541"/>
        <w:gridCol w:w="1358"/>
        <w:gridCol w:w="1361"/>
        <w:gridCol w:w="109"/>
        <w:gridCol w:w="109"/>
        <w:gridCol w:w="109"/>
        <w:gridCol w:w="213"/>
        <w:gridCol w:w="622"/>
        <w:gridCol w:w="111"/>
        <w:gridCol w:w="109"/>
        <w:gridCol w:w="109"/>
        <w:gridCol w:w="109"/>
        <w:gridCol w:w="273"/>
        <w:gridCol w:w="935"/>
        <w:gridCol w:w="141"/>
        <w:gridCol w:w="109"/>
        <w:gridCol w:w="109"/>
        <w:gridCol w:w="109"/>
        <w:gridCol w:w="211"/>
        <w:gridCol w:w="72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w:t>
              <w:br/>
              <w:t xml:space="preserve">Lease </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 </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Lease </w:t>
              <w:br/>
              <w:t>Obligations</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component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present value of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subsidiaries of the Company have operating leases for facilities from third party companies that are owned, in whole or part, by employees of the subsidiaries. The terms and rental rates of these leases are at market rental rates. Lease expense associated with these leases was $2.5 million, $2.7 million and $2.4 million for the years ended December 31, 2024, 2023 and 2022, respectively. As of December 31, 2024, the minimum lease payments required under these leases totaled $10.0 million, which are due over the next 4.7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determined that the carrying value of cash and cash equivalents approximated fair value based on Level 1 inputs. As of December 31, 2024 and 2023, the fair value of the Company’s long-term debt and finance lease obligations were based on Level 2 inputs. The Company’s long-term debt was based on variable and fixed interest rates at December 31, 2024 and 2023. Long-term debt with variable interest rates is based on rates for new issues with similar remaining maturities, and approximated carrying value. In addition, based on borrowing rates currently available to the Company for borrowings with similar terms, the carrying value of the Company’s long term debt with fixed interest rates approximated fair value.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fair value of the Company’s contingent earn-out consideration liability associated with the acquisition of the Powerline Plus Companies, was based on Level 3 inputs. The contingent earn-out consideration recorded represents the estimated fair value of future amounts potentially payable to the former owners of the acquired Powerline Plus Companies, if the Powerline Plus Companies achieve certain performance targets over a three-year post-acquisition period. The fair value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Accounts Receivable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consisted of the following at December 31:</w:t>
      </w:r>
    </w:p>
    <w:tbl>
      <w:tblPr>
        <w:tblW w:w="6185" w:type="dxa"/>
        <w:jc w:val="left"/>
        <w:tblInd w:w="0" w:type="dxa"/>
        <w:tblLayout w:type="fixed"/>
        <w:tblCellMar>
          <w:top w:w="28" w:type="dxa"/>
          <w:left w:w="28" w:type="dxa"/>
          <w:bottom w:w="28" w:type="dxa"/>
          <w:right w:w="28" w:type="dxa"/>
        </w:tblCellMar>
      </w:tblPr>
      <w:tblGrid>
        <w:gridCol w:w="1156"/>
        <w:gridCol w:w="1018"/>
        <w:gridCol w:w="1020"/>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roll-forward of activity in the allowance for doubtful accounts was as follows for the years ended December 31:</w:t>
      </w:r>
    </w:p>
    <w:tbl>
      <w:tblPr>
        <w:tblW w:w="7569" w:type="dxa"/>
        <w:jc w:val="left"/>
        <w:tblInd w:w="0" w:type="dxa"/>
        <w:tblLayout w:type="fixed"/>
        <w:tblCellMar>
          <w:top w:w="28" w:type="dxa"/>
          <w:left w:w="28" w:type="dxa"/>
          <w:bottom w:w="28" w:type="dxa"/>
          <w:right w:w="28" w:type="dxa"/>
        </w:tblCellMar>
      </w:tblPr>
      <w:tblGrid>
        <w:gridCol w:w="1351"/>
        <w:gridCol w:w="1190"/>
        <w:gridCol w:w="119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reduction in (provision for)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write offs,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Prepaid Expenses and Other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 and other current assets consisted of the following at December 31:</w:t>
      </w:r>
    </w:p>
    <w:tbl>
      <w:tblPr>
        <w:tblW w:w="4475"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21"/>
        <w:gridCol w:w="109"/>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Property and Equipment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at December 31:</w:t>
      </w:r>
    </w:p>
    <w:tbl>
      <w:tblPr>
        <w:tblW w:w="8357" w:type="dxa"/>
        <w:jc w:val="left"/>
        <w:tblInd w:w="0" w:type="dxa"/>
        <w:tblLayout w:type="fixed"/>
        <w:tblCellMar>
          <w:top w:w="28" w:type="dxa"/>
          <w:left w:w="28" w:type="dxa"/>
          <w:bottom w:w="28" w:type="dxa"/>
          <w:right w:w="28" w:type="dxa"/>
        </w:tblCellMar>
      </w:tblPr>
      <w:tblGrid>
        <w:gridCol w:w="1487"/>
        <w:gridCol w:w="1309"/>
        <w:gridCol w:w="1314"/>
        <w:gridCol w:w="109"/>
        <w:gridCol w:w="109"/>
        <w:gridCol w:w="109"/>
        <w:gridCol w:w="309"/>
        <w:gridCol w:w="309"/>
        <w:gridCol w:w="311"/>
        <w:gridCol w:w="109"/>
        <w:gridCol w:w="109"/>
        <w:gridCol w:w="109"/>
        <w:gridCol w:w="211"/>
        <w:gridCol w:w="826"/>
        <w:gridCol w:w="109"/>
        <w:gridCol w:w="109"/>
        <w:gridCol w:w="109"/>
        <w:gridCol w:w="109"/>
        <w:gridCol w:w="211"/>
        <w:gridCol w:w="82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w:t>
              <w:br/>
              <w:t xml:space="preserve">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equipment includes assets under finance leases — see additional information provided in Note 4 — Lease Obligations to the Financial Statements.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property and equipment for the years ended December 31, 2024, 2023 and 2022 was $60.3 million, $54.2 million and $49.2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Goodwill and Intangible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consisted of the following at December 31:</w:t>
      </w:r>
    </w:p>
    <w:tbl>
      <w:tblPr>
        <w:tblW w:w="10205" w:type="dxa"/>
        <w:jc w:val="left"/>
        <w:tblInd w:w="0" w:type="dxa"/>
        <w:tblLayout w:type="fixed"/>
        <w:tblCellMar>
          <w:top w:w="28" w:type="dxa"/>
          <w:left w:w="28" w:type="dxa"/>
          <w:bottom w:w="28" w:type="dxa"/>
          <w:right w:w="28" w:type="dxa"/>
        </w:tblCellMar>
      </w:tblPr>
      <w:tblGrid>
        <w:gridCol w:w="703"/>
        <w:gridCol w:w="390"/>
        <w:gridCol w:w="354"/>
        <w:gridCol w:w="109"/>
        <w:gridCol w:w="109"/>
        <w:gridCol w:w="109"/>
        <w:gridCol w:w="211"/>
        <w:gridCol w:w="826"/>
        <w:gridCol w:w="109"/>
        <w:gridCol w:w="109"/>
        <w:gridCol w:w="109"/>
        <w:gridCol w:w="109"/>
        <w:gridCol w:w="219"/>
        <w:gridCol w:w="749"/>
        <w:gridCol w:w="114"/>
        <w:gridCol w:w="109"/>
        <w:gridCol w:w="109"/>
        <w:gridCol w:w="109"/>
        <w:gridCol w:w="211"/>
        <w:gridCol w:w="826"/>
        <w:gridCol w:w="109"/>
        <w:gridCol w:w="109"/>
        <w:gridCol w:w="109"/>
        <w:gridCol w:w="109"/>
        <w:gridCol w:w="211"/>
        <w:gridCol w:w="826"/>
        <w:gridCol w:w="109"/>
        <w:gridCol w:w="109"/>
        <w:gridCol w:w="109"/>
        <w:gridCol w:w="109"/>
        <w:gridCol w:w="219"/>
        <w:gridCol w:w="749"/>
        <w:gridCol w:w="114"/>
        <w:gridCol w:w="109"/>
        <w:gridCol w:w="109"/>
        <w:gridCol w:w="109"/>
        <w:gridCol w:w="211"/>
        <w:gridCol w:w="826"/>
        <w:gridCol w:w="157"/>
      </w:tblGrid>
      <w:tr>
        <w:trPr/>
        <w:tc>
          <w:tcPr>
            <w:tcW w:w="7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 xml:space="preserve">Carrying </w:t>
              <w:br/>
              <w:t>Amount</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amortizable trade names and backlog are being amortized on a straight-line method over an estimated useful life ranging up to 15 years and the remaining life of the contract, respectively, and have been determined to have no residual value. Certain trade names have indefinite lives and, therefore, are not being amortized. Intangible asset amortization expense was $4.9 million, $4.9 million and $9.0 million for the years ended December 31, 2024, 2023 and 2022, respectively.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estimated future intangible asset amortization expense for the each of the next five years and thereafter was as follows:</w:t>
      </w:r>
    </w:p>
    <w:tbl>
      <w:tblPr>
        <w:tblW w:w="2635"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26"/>
        <w:gridCol w:w="776"/>
        <w:gridCol w:w="167"/>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Future </w:t>
              <w:br/>
              <w:t xml:space="preserve">Amortization </w:t>
              <w:br/>
              <w:t>Expense</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Accrued Liabilities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at December 31:</w:t>
      </w:r>
    </w:p>
    <w:tbl>
      <w:tblPr>
        <w:tblW w:w="5931" w:type="dxa"/>
        <w:jc w:val="left"/>
        <w:tblInd w:w="0" w:type="dxa"/>
        <w:tblLayout w:type="fixed"/>
        <w:tblCellMar>
          <w:top w:w="28" w:type="dxa"/>
          <w:left w:w="28" w:type="dxa"/>
          <w:bottom w:w="28" w:type="dxa"/>
          <w:right w:w="28" w:type="dxa"/>
        </w:tblCellMar>
      </w:tblPr>
      <w:tblGrid>
        <w:gridCol w:w="1099"/>
        <w:gridCol w:w="968"/>
        <w:gridCol w:w="978"/>
        <w:gridCol w:w="109"/>
        <w:gridCol w:w="109"/>
        <w:gridCol w:w="109"/>
        <w:gridCol w:w="211"/>
        <w:gridCol w:w="721"/>
        <w:gridCol w:w="109"/>
        <w:gridCol w:w="109"/>
        <w:gridCol w:w="109"/>
        <w:gridCol w:w="109"/>
        <w:gridCol w:w="211"/>
        <w:gridCol w:w="826"/>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dues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sales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sharing and thrift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Company’s total debt, including borrowings under its credit agreement and equipment notes:</w:t>
      </w:r>
    </w:p>
    <w:tbl>
      <w:tblPr>
        <w:tblW w:w="10205" w:type="dxa"/>
        <w:jc w:val="left"/>
        <w:tblInd w:w="0" w:type="dxa"/>
        <w:tblLayout w:type="fixed"/>
        <w:tblCellMar>
          <w:top w:w="28" w:type="dxa"/>
          <w:left w:w="28" w:type="dxa"/>
          <w:bottom w:w="28" w:type="dxa"/>
          <w:right w:w="28" w:type="dxa"/>
        </w:tblCellMar>
      </w:tblPr>
      <w:tblGrid>
        <w:gridCol w:w="665"/>
        <w:gridCol w:w="469"/>
        <w:gridCol w:w="471"/>
        <w:gridCol w:w="109"/>
        <w:gridCol w:w="109"/>
        <w:gridCol w:w="109"/>
        <w:gridCol w:w="284"/>
        <w:gridCol w:w="284"/>
        <w:gridCol w:w="285"/>
        <w:gridCol w:w="109"/>
        <w:gridCol w:w="109"/>
        <w:gridCol w:w="109"/>
        <w:gridCol w:w="367"/>
        <w:gridCol w:w="268"/>
        <w:gridCol w:w="269"/>
        <w:gridCol w:w="109"/>
        <w:gridCol w:w="109"/>
        <w:gridCol w:w="109"/>
        <w:gridCol w:w="374"/>
        <w:gridCol w:w="374"/>
        <w:gridCol w:w="378"/>
        <w:gridCol w:w="109"/>
        <w:gridCol w:w="109"/>
        <w:gridCol w:w="109"/>
        <w:gridCol w:w="189"/>
        <w:gridCol w:w="189"/>
        <w:gridCol w:w="191"/>
        <w:gridCol w:w="109"/>
        <w:gridCol w:w="109"/>
        <w:gridCol w:w="109"/>
        <w:gridCol w:w="317"/>
        <w:gridCol w:w="1085"/>
        <w:gridCol w:w="163"/>
        <w:gridCol w:w="109"/>
        <w:gridCol w:w="109"/>
        <w:gridCol w:w="109"/>
        <w:gridCol w:w="313"/>
        <w:gridCol w:w="1070"/>
        <w:gridCol w:w="238"/>
      </w:tblGrid>
      <w:tr>
        <w:trPr/>
        <w:tc>
          <w:tcPr>
            <w:tcW w:w="6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Inception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Stated Interest </w:t>
              <w:br/>
              <w:t xml:space="preserve">Rate </w:t>
              <w:br/>
              <w:t>(per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Payment </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Term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 as of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 as of December 31,</w:t>
              <w:br/>
              <w:t>2023</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equipment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On May 31, 2023, the Company entered into a five-year third amended and restated credit agreement with a maturity date of May 31, 2028, (the “Credit Agreement”) through a syndicate of banks led by JPMorgan Chase Bank, N.A. and Bank of America, N.A, that provides for a $490 million revolving credit facility (the “Facility”),</w:t>
      </w:r>
      <w:r>
        <w:rPr>
          <w:color w:val="026DCE"/>
        </w:rPr>
        <w:t xml:space="preserve"> </w:t>
      </w:r>
      <w:r>
        <w:rPr>
          <w:rFonts w:ascii="Times New Roman;sans-serif" w:hAnsi="Times New Roman;sans-serif"/>
          <w:b w:val="false"/>
          <w:color w:val="000000"/>
          <w:sz w:val="20"/>
        </w:rPr>
        <w:t>subject to certain financial covenants as defined in the Credit Agreement. The Facility allows for revolving loans in Canadian dollars and other non-US currencies, up to the U.S. dollars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6.63% and 7.07% per annum, for the year ended December 31, 2024 and 2023, respectively.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December 31, 2024.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$58.4 million of borrowings outstanding under the Facility and letters of credit outstanding under the Facility of approximately $37.3 million, including $32.6 million related to the Company's payment obligation under its insurance programs and approximately $4.7 million related to contract performance obligations.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As of December 31, 2023, the Company had $13.2 million of borrowings outstanding under the Facility and</w:t>
      </w:r>
      <w:r>
        <w:rPr>
          <w:color w:val="008080"/>
        </w:rPr>
        <w:t xml:space="preserve"> </w:t>
      </w:r>
      <w:r>
        <w:rPr>
          <w:rFonts w:ascii="Times New Roman;sans-serif" w:hAnsi="Times New Roman;sans-serif"/>
          <w:b w:val="false"/>
          <w:color w:val="000000"/>
          <w:sz w:val="20"/>
        </w:rPr>
        <w:t>letters of credit outstanding under the Facility of approximately $34.4 million, including $27.1 million related to the Company's payment obligation under its insurance programs and approximately $7.3 million related to contract performance obligations.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remaining deferred debt issuance costs related to the Facility totaling $1.8 million and $2.2 million as of December 31, 2024 and 2023, respectively. As permitted, debt issuance costs have been deferred and are presented as an asset within other assets, which is amortized as interest expense over the term of the Credit Agreement.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Equipment Notes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one Equipment Note outstanding under the Master Loan Agreements that is collateralized by equipment and vehicles owned by the Company. As of December 31, 2024, the Company had one other equipment note outstanding that is collateralized by a vehicle owned by the Company. The following table sets forth our remaining principal payments for the Company’s outstanding equipment notes as of December 31, 2024:</w:t>
      </w:r>
    </w:p>
    <w:tbl>
      <w:tblPr>
        <w:tblW w:w="5291" w:type="dxa"/>
        <w:jc w:val="left"/>
        <w:tblInd w:w="0" w:type="dxa"/>
        <w:tblLayout w:type="fixed"/>
        <w:tblCellMar>
          <w:top w:w="28" w:type="dxa"/>
          <w:left w:w="28" w:type="dxa"/>
          <w:bottom w:w="28" w:type="dxa"/>
          <w:right w:w="28" w:type="dxa"/>
        </w:tblCellMar>
      </w:tblPr>
      <w:tblGrid>
        <w:gridCol w:w="1231"/>
        <w:gridCol w:w="1085"/>
        <w:gridCol w:w="1088"/>
        <w:gridCol w:w="109"/>
        <w:gridCol w:w="109"/>
        <w:gridCol w:w="109"/>
        <w:gridCol w:w="303"/>
        <w:gridCol w:w="1036"/>
        <w:gridCol w:w="221"/>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w:t>
              <w:br/>
              <w:t>Equipment Notes</w:t>
              <w:br/>
              <w:t>Principal Payments</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Revenue Recognition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17–Segment Information to the Financial Statements.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were as follows for the year ended December 31:</w:t>
      </w:r>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T&amp;E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T&amp;E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T&amp;E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Company T&amp;E contract type includes time-and-equipment, time-and-materials and cost-plus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were as follows for the year ended December 31:</w:t>
      </w:r>
    </w:p>
    <w:tbl>
      <w:tblPr>
        <w:tblW w:w="11099" w:type="dxa"/>
        <w:jc w:val="left"/>
        <w:tblInd w:w="0" w:type="dxa"/>
        <w:tblLayout w:type="fixed"/>
        <w:tblCellMar>
          <w:top w:w="28" w:type="dxa"/>
          <w:left w:w="28" w:type="dxa"/>
          <w:bottom w:w="28" w:type="dxa"/>
          <w:right w:w="28" w:type="dxa"/>
        </w:tblCellMar>
      </w:tblPr>
      <w:tblGrid>
        <w:gridCol w:w="607"/>
        <w:gridCol w:w="325"/>
        <w:gridCol w:w="269"/>
        <w:gridCol w:w="109"/>
        <w:gridCol w:w="109"/>
        <w:gridCol w:w="109"/>
        <w:gridCol w:w="240"/>
        <w:gridCol w:w="240"/>
        <w:gridCol w:w="24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2024, the Company had $2.34 billion of remaining performance obligations. The Company’s remaining performance obligations include projects that have a written award, a letter of intent, a notice to proceed or an agreed-upon work order to perform work on mutually accepted terms and conditions. The timing of when remaining performance obligations are recognized is evaluated quarterly and is largely driven by the estimated start date and duration of the underlying projects.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amount of remaining performance obligations as of December 31, 2024 that the Company expects to be realized, the amount of the remaining performance obligations that the Company reasonably estimates will be recognized within the next twelve months, and the amount estimated to be recognized after the next twelve months.</w:t>
      </w:r>
    </w:p>
    <w:tbl>
      <w:tblPr>
        <w:tblW w:w="7801"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20"/>
        <w:gridCol w:w="1019"/>
        <w:gridCol w:w="113"/>
        <w:gridCol w:w="113"/>
        <w:gridCol w:w="113"/>
        <w:gridCol w:w="113"/>
        <w:gridCol w:w="354"/>
        <w:gridCol w:w="1640"/>
        <w:gridCol w:w="181"/>
        <w:gridCol w:w="113"/>
        <w:gridCol w:w="113"/>
        <w:gridCol w:w="113"/>
        <w:gridCol w:w="377"/>
        <w:gridCol w:w="1479"/>
        <w:gridCol w:w="27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Performance Obligations as of December 31, 2024</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within 12 months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estimated to be </w:t>
              <w:br/>
              <w:t>recognized after 12 months</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1,746,929 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2,338,961 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1,842,866 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496,095 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20"/>
        </w:rPr>
        <w:t>The Company estimates approximately 95% or more</w:t>
      </w:r>
      <w:r>
        <w:rPr>
          <w:color w:val="EE2724"/>
        </w:rPr>
        <w:t xml:space="preserve"> </w:t>
      </w:r>
      <w:r>
        <w:rPr>
          <w:rFonts w:ascii="Times New Roman;sans-serif" w:hAnsi="Times New Roman;sans-serif"/>
          <w:b w:val="false"/>
          <w:color w:val="000000"/>
          <w:sz w:val="20"/>
        </w:rPr>
        <w:t>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by geographic area was, for the years ended December 31:</w:t>
      </w:r>
    </w:p>
    <w:tbl>
      <w:tblPr>
        <w:tblW w:w="5498"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consisted of the following for the years ended December 31:</w:t>
      </w:r>
    </w:p>
    <w:tbl>
      <w:tblPr>
        <w:tblW w:w="5918" w:type="dxa"/>
        <w:jc w:val="left"/>
        <w:tblInd w:w="0" w:type="dxa"/>
        <w:tblLayout w:type="fixed"/>
        <w:tblCellMar>
          <w:top w:w="28" w:type="dxa"/>
          <w:left w:w="28" w:type="dxa"/>
          <w:bottom w:w="28" w:type="dxa"/>
          <w:right w:w="28" w:type="dxa"/>
        </w:tblCellMar>
      </w:tblPr>
      <w:tblGrid>
        <w:gridCol w:w="640"/>
        <w:gridCol w:w="564"/>
        <w:gridCol w:w="56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between the U.S. federal statutory tax rate and the Company’s effective tax rate for operations were as follows for the years ended December 31:</w:t>
      </w:r>
    </w:p>
    <w:tbl>
      <w:tblPr>
        <w:tblW w:w="8187" w:type="dxa"/>
        <w:jc w:val="left"/>
        <w:tblInd w:w="0" w:type="dxa"/>
        <w:tblLayout w:type="fixed"/>
        <w:tblCellMar>
          <w:top w:w="28" w:type="dxa"/>
          <w:left w:w="28" w:type="dxa"/>
          <w:bottom w:w="28" w:type="dxa"/>
          <w:right w:w="28" w:type="dxa"/>
        </w:tblCellMar>
      </w:tblPr>
      <w:tblGrid>
        <w:gridCol w:w="1740"/>
        <w:gridCol w:w="1535"/>
        <w:gridCol w:w="1540"/>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74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U.S. federal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differential on foreign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meals and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excess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to return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net deferred tax assets and (liabilities) arising from temporary differences was as follows at December 31:</w:t>
      </w:r>
    </w:p>
    <w:tbl>
      <w:tblPr>
        <w:tblW w:w="7970"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211"/>
        <w:gridCol w:w="796"/>
        <w:gridCol w:w="109"/>
        <w:gridCol w:w="109"/>
        <w:gridCol w:w="109"/>
        <w:gridCol w:w="109"/>
        <w:gridCol w:w="211"/>
        <w:gridCol w:w="796"/>
        <w:gridCol w:w="154"/>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profit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 before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 tax over book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intangible assets — tax over book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tax over book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it is more-likely-than-not that it will not realize certain deferred tax assets related to net operating loss carryforwards on certain Canadian subsidiaries and therefore recorded a valuation allowance against the deferred tax assets for those entities.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from the Company’s Canadian subsidiaries are indefinitely reinvested in Canada, therefore as of December 31, 2024, the Company had no undistributed earnings or withholding deferral associated with its Canadian subsidiaries.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various jurisdictions. The Company’s 2020 through 2023 tax returns are subject to examination by U. S. federal authorities. The Company’s tax returns are subject to examination by various state authorities for the years 2019 through 2023.</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decrease in the unrecognized tax benefits as of</w:t>
      </w:r>
      <w:r>
        <w:rPr>
          <w:color w:val="000000"/>
        </w:rPr>
        <w:t xml:space="preserve"> </w:t>
      </w:r>
      <w:r>
        <w:rPr>
          <w:rFonts w:ascii="Times New Roman;sans-serif" w:hAnsi="Times New Roman;sans-serif"/>
          <w:b w:val="false"/>
          <w:color w:val="000000"/>
          <w:sz w:val="20"/>
        </w:rPr>
        <w:t>December 31, 2024 was primarily due to the lapses in the applicable statutes of limitations. The total unrecognized tax benefits is expected to be reduced by less than $0.2 million within the next 12 months. Interest and penalties related to uncertain income tax positions are included as a component of income tax expense in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beginning and ending liability for unrecognized tax benefits at December 31:</w:t>
      </w:r>
    </w:p>
    <w:tbl>
      <w:tblPr>
        <w:tblW w:w="7550" w:type="dxa"/>
        <w:jc w:val="left"/>
        <w:tblInd w:w="0" w:type="dxa"/>
        <w:tblLayout w:type="fixed"/>
        <w:tblCellMar>
          <w:top w:w="28" w:type="dxa"/>
          <w:left w:w="28" w:type="dxa"/>
          <w:bottom w:w="28" w:type="dxa"/>
          <w:right w:w="28" w:type="dxa"/>
        </w:tblCellMar>
      </w:tblPr>
      <w:tblGrid>
        <w:gridCol w:w="1910"/>
        <w:gridCol w:w="1682"/>
        <w:gridCol w:w="1687"/>
        <w:gridCol w:w="109"/>
        <w:gridCol w:w="109"/>
        <w:gridCol w:w="109"/>
        <w:gridCol w:w="211"/>
        <w:gridCol w:w="466"/>
        <w:gridCol w:w="109"/>
        <w:gridCol w:w="109"/>
        <w:gridCol w:w="109"/>
        <w:gridCol w:w="109"/>
        <w:gridCol w:w="211"/>
        <w:gridCol w:w="46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(decreases) in current period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 tax positions due to lapse of statutory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penalties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liability for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approximately $4.9 million in outstanding purchase orders for certain construction equipment, with cash payments scheduled to occur in 2025.</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Insurance and Claims Accruals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tbl>
      <w:tblPr>
        <w:tblW w:w="6020"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211"/>
        <w:gridCol w:w="721"/>
        <w:gridCol w:w="109"/>
        <w:gridCol w:w="109"/>
        <w:gridCol w:w="109"/>
        <w:gridCol w:w="109"/>
        <w:gridCol w:w="211"/>
        <w:gridCol w:w="72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increases in accrued self-insurance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payments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Insurance expense, including premiums, for workers’ compensation, general liability, automobile liability, employee health benefits, and other coverages for the years ended December 31, 2024, 2023 and 2022 was $90.6 million, $88.3 million and $77.1 million, respectively.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Performance and Payment Bonds and Parent Guarantees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2024, an aggregate of approximately $2.27 billion in original face amount of bonds issued by the Company’s sureties were outstanding. The Company estimated the remaining cost to complete these bonded projects was approximately $662.6 million as of December 31, 2024.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guarantees the obligations of wholly-owned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its wholly-owned subsidiaries, which reduces the borrowing availability under the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Indemnities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Collective Bargaining Agreements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16 — Employee Benefit Plans to the Financial Statements for further information related to the Company’s participation in multi-employer plans.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Litigation and Other Legal Matters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routinely subject to other civil claims, litigation and arbitration, and regulatory investigations arising in the ordinary course of business.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15. Stock-Based Compensation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equity compensation plans under which stock-based compensation has been granted, the 2017 Long-Term Incentive Plan (Amended and Restated as of April 24, 2024) (the “LTIP”) and the 2007 Long-Term Incentive Plan (Amended and Restated as of May 1, 2014) (the “2007 LTIP” and, collectively with the LTIP, the “Long-Term Incentive Plans”).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1,500,000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as a result of stock option exercises or stock grants are made available from authorized unissued shares of common stock or treasury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awarded any stock options since 2013, and in 2023 the Company's final outstanding and exercisable options were exercised or expired. Stock options granted to the Company’s employees or directors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stock option activity for the two-year period ended December 31, 2023:</w:t>
      </w:r>
    </w:p>
    <w:tbl>
      <w:tblPr>
        <w:tblW w:w="9639" w:type="dxa"/>
        <w:jc w:val="left"/>
        <w:tblInd w:w="0" w:type="dxa"/>
        <w:tblLayout w:type="fixed"/>
        <w:tblCellMar>
          <w:top w:w="28" w:type="dxa"/>
          <w:left w:w="28" w:type="dxa"/>
          <w:bottom w:w="28" w:type="dxa"/>
          <w:right w:w="28" w:type="dxa"/>
        </w:tblCellMar>
      </w:tblPr>
      <w:tblGrid>
        <w:gridCol w:w="1549"/>
        <w:gridCol w:w="1359"/>
        <w:gridCol w:w="1367"/>
        <w:gridCol w:w="109"/>
        <w:gridCol w:w="109"/>
        <w:gridCol w:w="109"/>
        <w:gridCol w:w="344"/>
        <w:gridCol w:w="346"/>
        <w:gridCol w:w="226"/>
        <w:gridCol w:w="109"/>
        <w:gridCol w:w="109"/>
        <w:gridCol w:w="109"/>
        <w:gridCol w:w="211"/>
        <w:gridCol w:w="616"/>
        <w:gridCol w:w="109"/>
        <w:gridCol w:w="109"/>
        <w:gridCol w:w="109"/>
        <w:gridCol w:w="109"/>
        <w:gridCol w:w="344"/>
        <w:gridCol w:w="344"/>
        <w:gridCol w:w="346"/>
        <w:gridCol w:w="109"/>
        <w:gridCol w:w="109"/>
        <w:gridCol w:w="109"/>
        <w:gridCol w:w="319"/>
        <w:gridCol w:w="616"/>
        <w:gridCol w:w="235"/>
      </w:tblGrid>
      <w:tr>
        <w:trPr/>
        <w:tc>
          <w:tcPr>
            <w:tcW w:w="15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 xml:space="preserve">Contractual </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 xml:space="preserve">Value </w:t>
              <w:b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intrinsic value of stock options exercised was $0.1 million.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Time-Vested Stock Awards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2024 vest ratably on an annual basis, over three years. Time-vested stock awards granted under the LTIP to non-employee directors in 2024 vest over a one year period.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time-vested stock vesting activity settled in common stock had an intrinsic value, at the time of vesting, of $6.8 million, $7.3 million and $7.0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time-vested stock awards activity for the three-year period ended December 31, 2024:</w:t>
      </w:r>
    </w:p>
    <w:tbl>
      <w:tblPr>
        <w:tblW w:w="7765"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413"/>
        <w:gridCol w:w="413"/>
        <w:gridCol w:w="196"/>
        <w:gridCol w:w="109"/>
        <w:gridCol w:w="109"/>
        <w:gridCol w:w="109"/>
        <w:gridCol w:w="460"/>
        <w:gridCol w:w="1574"/>
        <w:gridCol w:w="336"/>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Weighted- Average </w:t>
              <w:br/>
              <w:t xml:space="preserve">Grant Date </w:t>
              <w:br/>
              <w:t>Fair Value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certain financial and other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the Company’s common stock.</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granted in 2024 are expensed over the service period of approximately 2.8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performance award vesting activity settled in common stock had an intrinsic value, at the time of vesting, of $3.2 million, $12.0 million and $15.7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performance share award activity for the three-year period ended December 31, 2024:</w:t>
      </w:r>
    </w:p>
    <w:tbl>
      <w:tblPr>
        <w:tblW w:w="7839"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449"/>
        <w:gridCol w:w="451"/>
        <w:gridCol w:w="196"/>
        <w:gridCol w:w="109"/>
        <w:gridCol w:w="109"/>
        <w:gridCol w:w="109"/>
        <w:gridCol w:w="460"/>
        <w:gridCol w:w="1574"/>
        <w:gridCol w:w="336"/>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Weighted- Average </w:t>
              <w:br/>
              <w:t xml:space="preserve">Grant Date </w:t>
              <w:br/>
              <w:t>Fair Value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for performance above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for performance above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for performance below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unvested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of approximately $8.5 million, $8.4 million and $7.9 million for the years ended December 31, 2024, 2023 and 2022, respectively, in selling, general and administrative expenses on the Company’s consolidated statements of operations. As of December 31, 2024, there was approximately $12.6 million of unrecognized stock-based compensation expense related to awards granted under the Long-Term Incentive Plans. This included $6.9 million of unrecognized compensation cost related to unvested time-vested stock awards expected to be recognized over a remaining weighted average vesting period of approximately 1.5 years and $5.7 million of unrecognized compensation cost related to unvested performance awards, expected to be recognized over a remaining weighted average vesting period of approximately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Employee Benefit Plans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2024, 2023 and 2022 amounted to $12.4 million, $15.9 million, and $15.7 million, respectively.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contributes to a number of multiemployer defined benefit pension plans under the terms of collective-bargaining agreements that cover its union-represented employees, who are represented by more than 300 local unions. The related collective-bargaining agreements between those organizations and the Company, which specify the rate at which the Company must contribute to the multi-employer defined pension plan, expire at different times between 2025 and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risks of participating in these multiemployer defined benefit pension plans are different from single-employer plans in the following aspects: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1)Assets contributed to the multiemployer plan by one employer may be used to provide benefits to employees of other participating employers.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2)If a participating employer stops contributing to a plan, the unfunded obligations of the plan may be borne by the remaining participating employers.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3)If the Company chooses to stop participating in a multiemployer plan, it may be required to pay the plan an amount based on the underfunded status of the plan, referred to as a withdrawal liability.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2024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tbl>
      <w:tblPr>
        <w:tblW w:w="11546" w:type="dxa"/>
        <w:jc w:val="left"/>
        <w:tblInd w:w="0" w:type="dxa"/>
        <w:tblLayout w:type="fixed"/>
        <w:tblCellMar>
          <w:top w:w="28" w:type="dxa"/>
          <w:left w:w="28" w:type="dxa"/>
          <w:bottom w:w="28" w:type="dxa"/>
          <w:right w:w="28" w:type="dxa"/>
        </w:tblCellMar>
      </w:tblPr>
      <w:tblGrid>
        <w:gridCol w:w="542"/>
        <w:gridCol w:w="186"/>
        <w:gridCol w:w="188"/>
        <w:gridCol w:w="109"/>
        <w:gridCol w:w="109"/>
        <w:gridCol w:w="109"/>
        <w:gridCol w:w="290"/>
        <w:gridCol w:w="290"/>
        <w:gridCol w:w="291"/>
        <w:gridCol w:w="109"/>
        <w:gridCol w:w="109"/>
        <w:gridCol w:w="109"/>
        <w:gridCol w:w="169"/>
        <w:gridCol w:w="169"/>
        <w:gridCol w:w="173"/>
        <w:gridCol w:w="109"/>
        <w:gridCol w:w="109"/>
        <w:gridCol w:w="109"/>
        <w:gridCol w:w="230"/>
        <w:gridCol w:w="230"/>
        <w:gridCol w:w="231"/>
        <w:gridCol w:w="109"/>
        <w:gridCol w:w="109"/>
        <w:gridCol w:w="109"/>
        <w:gridCol w:w="169"/>
        <w:gridCol w:w="169"/>
        <w:gridCol w:w="173"/>
        <w:gridCol w:w="109"/>
        <w:gridCol w:w="109"/>
        <w:gridCol w:w="109"/>
        <w:gridCol w:w="230"/>
        <w:gridCol w:w="230"/>
        <w:gridCol w:w="231"/>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200"/>
        <w:gridCol w:w="200"/>
        <w:gridCol w:w="201"/>
        <w:gridCol w:w="109"/>
        <w:gridCol w:w="109"/>
        <w:gridCol w:w="109"/>
        <w:gridCol w:w="224"/>
        <w:gridCol w:w="224"/>
        <w:gridCol w:w="318"/>
      </w:tblGrid>
      <w:tr>
        <w:trPr/>
        <w:tc>
          <w:tcPr>
            <w:tcW w:w="54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EIN/Pension </w:t>
              <w:br/>
              <w:t>Plan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Pension Protection 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Contributions to Plan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Funding</w:t>
              <w:b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Surcharge</w:t>
              <w:br/>
              <w:t>Imposed</w:t>
            </w:r>
          </w:p>
        </w:tc>
      </w:tr>
      <w:tr>
        <w:trPr/>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Plan Year </w:t>
              <w:br/>
              <w:t>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Plan Year</w:t>
              <w:br/>
              <w:t>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Southern California IBEW-NECA Pension Trust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95-6392774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Yellow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Yellow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Eighth District Electrical Pension </w:t>
              <w:br/>
              <w:t>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84-6100393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National Electrical Benefit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53-0181657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IBEW Local 332 Pension Plan Part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94-2688032 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IBEW Local 769 Management Pension Plan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86-6049763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IBEW Local Union 1249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15-6035161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Laborers Local Union 158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23-6580323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Defined Contribution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National Electrical Annuity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52-6132372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Eighth District Electrical Pension Fund Annuity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84-6100393 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Mateo Country Electrical Construction Industry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51-6052127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All other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contributions:</w:t>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Company’s subsidiaries was listed in the Eighth District Electrical Pension Fund’s Form 5500 as providing more than five percent of the total contributions to that plan or was one of the top-ten highest contributors to that plan, for the plan years ended March 31, 2024, 2023 and 2022, in the National Electrical Benefit Fund’s Form 5500 as providing more than five percent of the total contributions to that plan or was one of the top-ten highest contributors to that plan, for the plan years ended December 31, 2023 and 2022, and in the IBEW local 769 Management Pension Plan A’s Form 5500 as providing more than five percent of the total contributions to that plan or was one of the top-ten highest contributors to that plan, for the plan years ended June 30, 2023, 2022 and 2021. Another of the company’s subsidiaries was listed in the Southern California IBEW-NECA Pension Trust Fund Plan’s Form 5500 as providing more than five percent of the total contributions to that plan or was one of the top-ten highest contributors to that plan, for the plan year ended June 30, 2023, 2022 and 2021, and in the IBEW Local 332 Pension Plan Part A’s Form 5500 as providing more than five percent of the total contributions to that plan or was one of the top-ten highest contributors to that plan, for the plan years ended December 31, 2023 and 2022. The Company also had a subsidiary that was listed in the Laborers Local Union 158 Pension Fund's Form 5500 as providing more than five percent of the total contributions to that plan or was one of the top-ten highest contributors to that plan, for the plan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17. Segment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For the CODM’s primary allocation of resources and performance assessment, he receives revenue and income for operations, by segment and excluding general corporate expenses, over multiple time periods, along with a comparison to the corresponding budgeted and prior year totals. General corporate expenses include corporate facility and staffing costs, which includes safety costs, professional fees, IT expenses and certain management fees. The CODM also considers many other factors, such as contract terms, individual project performance, project location and other items when determining performance measurement and resource allocation.</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Transmission and Distribution:</w:t>
      </w:r>
      <w:r>
        <w:rPr>
          <w:color w:val="000000"/>
        </w:rPr>
        <w:t> </w:t>
      </w:r>
      <w:r>
        <w:rPr>
          <w:rFonts w:ascii="Times New Roman;sans-serif" w:hAnsi="Times New Roman;sans-serif"/>
          <w:b w:val="false"/>
          <w:color w:val="000000"/>
          <w:sz w:val="20"/>
        </w:rPr>
        <w:t>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160" w:after="283"/>
        <w:ind w:left="0" w:right="0" w:firstLine="360"/>
        <w:jc w:val="left"/>
        <w:rPr/>
      </w:pPr>
      <w:r>
        <w:rPr>
          <w:rFonts w:ascii="Times New Roman;sans-serif" w:hAnsi="Times New Roman;sans-serif"/>
          <w:b w:val="false"/>
          <w:i/>
          <w:color w:val="000000"/>
          <w:sz w:val="20"/>
        </w:rPr>
        <w:t>Commercial and Industrial:</w:t>
      </w:r>
      <w:r>
        <w:rPr>
          <w:color w:val="000000"/>
        </w:rPr>
        <w:t> </w:t>
      </w:r>
      <w:r>
        <w:rPr>
          <w:rFonts w:ascii="Times New Roman;sans-serif" w:hAnsi="Times New Roman;sans-serif"/>
          <w:b w:val="false"/>
          <w:color w:val="000000"/>
          <w:sz w:val="20"/>
        </w:rPr>
        <w:t>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tables are derived from the segment’s internal financial reports used for corporate management purposes:</w:t>
      </w:r>
    </w:p>
    <w:tbl>
      <w:tblPr>
        <w:tblW w:w="10205" w:type="dxa"/>
        <w:jc w:val="left"/>
        <w:tblInd w:w="0" w:type="dxa"/>
        <w:tblLayout w:type="fixed"/>
        <w:tblCellMar>
          <w:top w:w="28" w:type="dxa"/>
          <w:left w:w="28" w:type="dxa"/>
          <w:bottom w:w="28" w:type="dxa"/>
          <w:right w:w="28" w:type="dxa"/>
        </w:tblCellMar>
      </w:tblPr>
      <w:tblGrid>
        <w:gridCol w:w="1255"/>
        <w:gridCol w:w="1104"/>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2024</w:t>
            </w:r>
          </w:p>
        </w:tc>
      </w:tr>
      <w:tr>
        <w:trPr/>
        <w:tc>
          <w:tcPr>
            <w:tcW w:w="3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costs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2023</w:t>
            </w:r>
          </w:p>
        </w:tc>
      </w:tr>
      <w:tr>
        <w:trPr/>
        <w:tc>
          <w:tcPr>
            <w:tcW w:w="3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costs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2022</w:t>
            </w:r>
          </w:p>
        </w:tc>
      </w:tr>
      <w:tr>
        <w:trPr/>
        <w:tc>
          <w:tcPr>
            <w:tcW w:w="3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costs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(67,138)</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for each segment are as follows as of December 31:</w:t>
      </w:r>
    </w:p>
    <w:tbl>
      <w:tblPr>
        <w:tblW w:w="489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211"/>
        <w:gridCol w:w="976"/>
        <w:gridCol w:w="109"/>
        <w:gridCol w:w="109"/>
        <w:gridCol w:w="109"/>
        <w:gridCol w:w="109"/>
        <w:gridCol w:w="211"/>
        <w:gridCol w:w="97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allocation of total depreciation, including depreciation of shared construction equipment, and amortization to each segment is as follows:</w:t>
      </w:r>
    </w:p>
    <w:tbl>
      <w:tblPr>
        <w:tblW w:w="6879" w:type="dxa"/>
        <w:jc w:val="left"/>
        <w:tblInd w:w="0" w:type="dxa"/>
        <w:tblLayout w:type="fixed"/>
        <w:tblCellMar>
          <w:top w:w="28" w:type="dxa"/>
          <w:left w:w="28" w:type="dxa"/>
          <w:bottom w:w="28" w:type="dxa"/>
          <w:right w:w="28" w:type="dxa"/>
        </w:tblCellMar>
      </w:tblPr>
      <w:tblGrid>
        <w:gridCol w:w="985"/>
        <w:gridCol w:w="869"/>
        <w:gridCol w:w="87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there were $177.9 million and $169.0 million, respectively, of identifiable assets attributable to Canadian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18. Earnings Per Share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the weighted average number of common shares used to compute basic and diluted earnings per share was as follows:</w:t>
      </w:r>
    </w:p>
    <w:tbl>
      <w:tblPr>
        <w:tblW w:w="8724"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certain common stock equivalents were excluded from the calculation of dilutive securities because their inclusion would have been anti-dilutive. The following table summarizes the shares of common stock underlying the Company’s unvested time-vested stock awards and performance awards that were excluded from the calculation of dilutive securities:</w:t>
      </w:r>
    </w:p>
    <w:tbl>
      <w:tblPr>
        <w:tblW w:w="4883" w:type="dxa"/>
        <w:jc w:val="left"/>
        <w:tblInd w:w="0" w:type="dxa"/>
        <w:tblLayout w:type="fixed"/>
        <w:tblCellMar>
          <w:top w:w="28" w:type="dxa"/>
          <w:left w:w="28" w:type="dxa"/>
          <w:bottom w:w="28" w:type="dxa"/>
          <w:right w:w="28" w:type="dxa"/>
        </w:tblCellMar>
      </w:tblPr>
      <w:tblGrid>
        <w:gridCol w:w="797"/>
        <w:gridCol w:w="703"/>
        <w:gridCol w:w="704"/>
        <w:gridCol w:w="109"/>
        <w:gridCol w:w="109"/>
        <w:gridCol w:w="109"/>
        <w:gridCol w:w="180"/>
        <w:gridCol w:w="181"/>
        <w:gridCol w:w="156"/>
        <w:gridCol w:w="109"/>
        <w:gridCol w:w="109"/>
        <w:gridCol w:w="109"/>
        <w:gridCol w:w="203"/>
        <w:gridCol w:w="203"/>
        <w:gridCol w:w="156"/>
        <w:gridCol w:w="109"/>
        <w:gridCol w:w="109"/>
        <w:gridCol w:w="109"/>
        <w:gridCol w:w="203"/>
        <w:gridCol w:w="203"/>
        <w:gridCol w:w="213"/>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2024, the Company announced that its Board of Directors had authorized a new $75.0 million share repurchase program (the "Repurchase Program") which became effective on May 9, 2024. The Repurchase Program expired on November 8, 2024. The Company’s prior $75.0 million repurchase program that commenced on November 9, 2023 expired on May 8, 2024.</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the Company repurchased 643,549 shares of its common stock under multiple repurchase programs at a weighted-average price of $116.54 per share. During 2023 the Company repurchased 25,042 shares of its common stock under multiple repurchase programs at a weighted-average price of $114.55 per share. All of the shares repurchased were retired. The shares repurchased resulted in no change to authorized shares and an increase to unissued shares. As of December 31, 2024, the Company had exhausted substantially all of the funds available to repurchase shares of the Company’s common stock under the Repurchase Program.</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and 2023, the Company repurchased 36,397 and 76,150 shares of stock, respectively, for approximately $5.9 million and $7.9 million, respectively, from its employees to satisfy tax obligations on shares vested under the LTIP. All of the shares repurchased were retired and returned to authorized but unissued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Internal Control over Financial Reporting</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Times New Roman;sans-serif" w:hAnsi="Times New Roman;sans-serif"/>
          <w:b w:val="false"/>
          <w:i/>
          <w:color w:val="000000"/>
          <w:sz w:val="20"/>
        </w:rPr>
        <w:t>Internal Control — Integrated Framework</w:t>
      </w:r>
      <w:r>
        <w:rPr>
          <w:color w:val="000000"/>
        </w:rPr>
        <w:t> </w:t>
      </w:r>
      <w:r>
        <w:rPr>
          <w:rFonts w:ascii="Times New Roman;sans-serif" w:hAnsi="Times New Roman;sans-serif"/>
          <w:b w:val="false"/>
          <w:color w:val="000000"/>
          <w:sz w:val="20"/>
        </w:rPr>
        <w:t>(2013) issued by the Committee of Sponsoring Organizations of the Treadway Commission. Based on this evaluation, our management has concluded that our internal control over financial reporting was effective, as of December 31, 2024,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Crowe LLP, an independent registered public accounting firm, audited and reported on the 2024 Financial Statements included in this Annual Report on Form 10-K, and has issued an attestation report on our internal control over financial reporting. The report is included in “Item 8. Financial Statements and Supplementary Data” of this Annual Report on Form 10-K.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fourth quarter ended December 31, 2024 that have materially affected, or that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quarter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10 related to our directors is incorporated by reference to the information to be included under “Proposal 1. Election of Two Class III Director Nominees for One-Year Terms” of our definitive Proxy Statement for our Annual Meeting of Shareholders expected to be held April 24, 2025 (the “2025 Proxy Statement”). Information regarding the procedures by which our shareholders may recommend nominees to our Board of Directors is incorporated by reference to the information to be included under the heading “Nominating, Environmental, Social and Corporate Governance Committee Matters and “2025 Annual Meeting of Shareholders” in the 2025 Proxy Statement. There were no material changes to the procedures by which security holders may recommend nominees to our board of directors in 2024. Information about our Audit Committee, including its members, and our Audit Committee financial experts, is incorporated by reference to the information to be included under the headings “Corporate Governance—Committee Membership and Meeting Attendance” and “Audit Committee Matters” in the 2025 Proxy Statement. Information related to our executive officers is contained in the section entitled “Information about our Executive Officers” in Part I of this Annual Report on Form 10-K.</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insider trading policies and procedures is incorporated by reference to the information to be included under the heading “Insider Trading Policy” in the 2025 Proxy Statement.</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We have a code of ethics that applies to all of our directors, officers and other employees, including our principal executive officer, principal financial officer and principal accounting officer. This code is publicly available on our website at </w:t>
      </w:r>
      <w:r>
        <w:rPr>
          <w:rFonts w:ascii="Times New Roman;sans-serif" w:hAnsi="Times New Roman;sans-serif"/>
          <w:b w:val="false"/>
          <w:i/>
          <w:color w:val="000000"/>
          <w:sz w:val="20"/>
        </w:rPr>
        <w:t>www.myrgroup.com</w:t>
      </w:r>
      <w:r>
        <w:rPr>
          <w:rFonts w:ascii="Times New Roman;sans-serif" w:hAnsi="Times New Roman;sans-serif"/>
          <w:b w:val="false"/>
          <w:color w:val="000000"/>
          <w:sz w:val="20"/>
        </w:rPr>
        <w:t>. Amendments to the code of ethics or any grant of a waiver from a provision of the code that applies to our principal executive officer, principal financial officer and principal accounting officer requiring disclosure under applicable SEC and Nasdaq Stock Market rules will be disclosed on our website. The information on our website is not a part of this Annual Report on Form 10-K or incorporated into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11 is incorporated by reference to the information to be included in the 2025 Proxy Statement under the headings “Proposal 1. Election of Two Class III Director Nominees for One-Year Terms - Non-Employee Director Compensation,” “Compensation Discussion and Analysis,” “Executive Compensation Tables” and “Compensation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88" w:before="16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Equity Compensation Plan Information</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2017 Long-Term Incentive Plan (Amended and Restated as of April 24, 2024) (the “LTIP”) as of December 31, 2024.</w:t>
      </w:r>
    </w:p>
    <w:tbl>
      <w:tblPr>
        <w:tblW w:w="10205" w:type="dxa"/>
        <w:jc w:val="left"/>
        <w:tblInd w:w="0" w:type="dxa"/>
        <w:tblLayout w:type="fixed"/>
        <w:tblCellMar>
          <w:top w:w="28" w:type="dxa"/>
          <w:left w:w="28" w:type="dxa"/>
          <w:bottom w:w="28" w:type="dxa"/>
          <w:right w:w="28" w:type="dxa"/>
        </w:tblCellMar>
      </w:tblPr>
      <w:tblGrid>
        <w:gridCol w:w="1429"/>
        <w:gridCol w:w="1251"/>
        <w:gridCol w:w="1263"/>
        <w:gridCol w:w="109"/>
        <w:gridCol w:w="109"/>
        <w:gridCol w:w="109"/>
        <w:gridCol w:w="413"/>
        <w:gridCol w:w="413"/>
        <w:gridCol w:w="239"/>
        <w:gridCol w:w="239"/>
        <w:gridCol w:w="239"/>
        <w:gridCol w:w="240"/>
        <w:gridCol w:w="109"/>
        <w:gridCol w:w="109"/>
        <w:gridCol w:w="109"/>
        <w:gridCol w:w="293"/>
        <w:gridCol w:w="567"/>
        <w:gridCol w:w="151"/>
        <w:gridCol w:w="151"/>
        <w:gridCol w:w="151"/>
        <w:gridCol w:w="153"/>
        <w:gridCol w:w="109"/>
        <w:gridCol w:w="109"/>
        <w:gridCol w:w="109"/>
        <w:gridCol w:w="488"/>
        <w:gridCol w:w="488"/>
        <w:gridCol w:w="235"/>
        <w:gridCol w:w="235"/>
        <w:gridCol w:w="235"/>
        <w:gridCol w:w="351"/>
      </w:tblGrid>
      <w:tr>
        <w:trPr/>
        <w:tc>
          <w:tcPr>
            <w:tcW w:w="142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 Plan Information</w:t>
            </w:r>
          </w:p>
        </w:tc>
      </w:tr>
      <w:tr>
        <w:trPr/>
        <w:tc>
          <w:tcPr>
            <w:tcW w:w="3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br/>
              <w:t xml:space="preserve">to be issued upon </w:t>
              <w:br/>
              <w:t xml:space="preserve">exercise of </w:t>
              <w:br/>
              <w:t xml:space="preserve">outstanding </w:t>
              <w:br/>
              <w:t xml:space="preserve">options, warrants </w:t>
              <w:br/>
              <w:t xml:space="preserve">and rights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 xml:space="preserve">exercise price </w:t>
              <w:br/>
              <w:t xml:space="preserve">of outstanding </w:t>
              <w:br/>
              <w:t xml:space="preserve">options, warrants </w:t>
              <w:br/>
              <w:t xml:space="preserve">and rights </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br/>
              <w:t xml:space="preserve">remaining available </w:t>
              <w:br/>
              <w:t xml:space="preserve">for future issuance </w:t>
              <w:br/>
              <w:t xml:space="preserve">under equity </w:t>
              <w:br/>
              <w:t xml:space="preserve">compensation plans </w:t>
              <w:br/>
              <w:t xml:space="preserve">(excluding shares </w:t>
              <w:br/>
              <w:t xml:space="preserve">reflected in </w:t>
              <w:br/>
              <w:t xml:space="preserve">column(a)) </w:t>
              <w:br/>
              <w:t>(c)</w:t>
            </w:r>
          </w:p>
        </w:tc>
      </w:tr>
      <w:tr>
        <w:trPr/>
        <w:tc>
          <w:tcPr>
            <w:tcW w:w="3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1,135,271 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1,135,271 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(i) 145,410 shares subject to outstanding performance share awards granted in 2022, 2023 and 2024 under the LTIP (actual performance for 2022 which vested on December 31, 2024 and were issued on February 19, 2025 and assumes maximum performance for 2023 and 2024) and (ii) 76,724 shares subject to outstanding restricted stock units granted under the LTIP.</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Reflects securities remaining available for future issuance under our LTIP.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required by this Item 12 is incorporated by reference to the information to be included in the 2025 Proxy Statement under the headings “Ownership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information required by this Item 13 is incorporated by reference to the information to be included in the</w:t>
      </w:r>
      <w:r>
        <w:rPr>
          <w:color w:val="7F160E"/>
        </w:rPr>
        <w:t xml:space="preserve"> </w:t>
      </w:r>
      <w:r>
        <w:rPr>
          <w:rFonts w:ascii="Times New Roman;sans-serif" w:hAnsi="Times New Roman;sans-serif"/>
          <w:b w:val="false"/>
          <w:color w:val="000000"/>
          <w:sz w:val="20"/>
        </w:rPr>
        <w:t>2025 Proxy Statement under the headings “Certain Relationships and Related Person Transactions” and “Corporate Governance —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The information required by this Item 14 is incorporated by reference to the information to be included in the</w:t>
      </w:r>
      <w:r>
        <w:rPr>
          <w:color w:val="7F160E"/>
        </w:rPr>
        <w:t xml:space="preserve"> </w:t>
      </w:r>
      <w:r>
        <w:rPr>
          <w:rFonts w:ascii="Times New Roman;sans-serif" w:hAnsi="Times New Roman;sans-serif"/>
          <w:b w:val="false"/>
          <w:color w:val="000000"/>
          <w:sz w:val="20"/>
        </w:rPr>
        <w:t>2025 Proxy Statement under the heading “Audit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    Documents filed as part of this Report</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    The following Financial Statements are filed herewith in Item 8 of Part II above.</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    Report of Management</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Report of Independent Registered Public Accounting Firms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    Consolidated Balance Sheets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    Consolidated Statements of Operations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(e)    Consolidated Statements of Comprehensive Income</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(f)    Consolidated Statements of Shareholders’ Equity</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(g)    Consolidated Statements of Cash Flows</w:t>
      </w:r>
    </w:p>
    <w:p>
      <w:pPr>
        <w:pStyle w:val="TextBody"/>
        <w:bidi w:val="0"/>
        <w:spacing w:lineRule="auto" w:line="288" w:before="16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(h)    Notes to Financial Statements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Financial Statement Schedules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supplemental schedules are omitted because of the absence of conditions under which they are required, or the required information is shown in the notes to the Financial Statements.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iii)Exhibit List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9"/>
        <w:gridCol w:w="2607"/>
        <w:gridCol w:w="372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Restated Certificate of Incorporation of MYR Group Inc., incorporated by reference to exhibit 3.1 of the Company’s Quarterly Report on Form 10-Q (File No. 001-08325), filed with the SEC on October 25,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Amended and Restated By-Laws of MYR Group Inc., effective April 20, 2023, incorporated by reference to exhibit 3.1 of the Company’s Current Report on Form 8-K (File No. 001-08325), filed with the SEC on April 24,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Specimen Common Stock Certificate, incorporated by reference to exhibit 4.2 of the Company’s Registration Statement on Form S-1/A (File No. 333-148864), filed with the SEC on July 14, 2008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80"/>
                  <w:sz w:val="20"/>
                  <w:u w:val="single"/>
                </w:rPr>
                <w:t>Description of Securities</w:t>
              </w:r>
            </w:hyperlink>
            <w:hyperlink r:id="rId11">
              <w:r>
                <w:rPr>
                  <w:rStyle w:val="InternetLink"/>
                  <w:rFonts w:ascii="Times New Roman;sans-serif" w:hAnsi="Times New Roman;sans-serif"/>
                  <w:b w:val="false"/>
                  <w:color w:val="000080"/>
                  <w:sz w:val="20"/>
                  <w:u w:val="single"/>
                </w:rPr>
                <w:t xml:space="preserve">, incorporated by reference to exhibit </w:t>
              </w:r>
            </w:hyperlink>
            <w:hyperlink r:id="rId12">
              <w:r>
                <w:rPr>
                  <w:rStyle w:val="InternetLink"/>
                  <w:rFonts w:ascii="Times New Roman;sans-serif" w:hAnsi="Times New Roman;sans-serif"/>
                  <w:b w:val="false"/>
                  <w:color w:val="000080"/>
                  <w:sz w:val="20"/>
                  <w:u w:val="single"/>
                </w:rPr>
                <w:t xml:space="preserve">4.2 </w:t>
              </w:r>
            </w:hyperlink>
            <w:hyperlink r:id="rId13">
              <w:r>
                <w:rPr>
                  <w:rStyle w:val="InternetLink"/>
                  <w:rFonts w:ascii="Times New Roman;sans-serif" w:hAnsi="Times New Roman;sans-serif"/>
                  <w:b w:val="false"/>
                  <w:color w:val="000080"/>
                  <w:sz w:val="20"/>
                  <w:u w:val="single"/>
                </w:rPr>
                <w:t>of the Company’s Annual Report on Form 10-K (File No. 001-08325), filed with the SEC on February 2</w:t>
              </w:r>
            </w:hyperlink>
            <w:hyperlink r:id="rId14">
              <w:r>
                <w:rPr>
                  <w:rStyle w:val="InternetLink"/>
                  <w:rFonts w:ascii="Times New Roman;sans-serif" w:hAnsi="Times New Roman;sans-serif"/>
                  <w:b w:val="false"/>
                  <w:color w:val="000080"/>
                  <w:sz w:val="20"/>
                  <w:u w:val="single"/>
                </w:rPr>
                <w:t>8</w:t>
              </w:r>
            </w:hyperlink>
            <w:hyperlink r:id="rId15">
              <w:r>
                <w:rPr>
                  <w:rStyle w:val="InternetLink"/>
                  <w:rFonts w:ascii="Times New Roman;sans-serif" w:hAnsi="Times New Roman;sans-serif"/>
                  <w:b w:val="false"/>
                  <w:color w:val="000080"/>
                  <w:sz w:val="20"/>
                  <w:u w:val="single"/>
                </w:rPr>
                <w:t>, 202</w:t>
              </w:r>
            </w:hyperlink>
            <w:hyperlink r:id="rId16">
              <w:r>
                <w:rPr>
                  <w:rStyle w:val="InternetLink"/>
                  <w:rFonts w:ascii="Times New Roman;sans-serif" w:hAnsi="Times New Roman;sans-serif"/>
                  <w:b w:val="false"/>
                  <w:color w:val="000080"/>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7">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Form of Indemnification Agreement for Directors and Officers, incorporated by reference to exhibit 10.1 of the Company’s Current Report on Form 8-K (File No. 001-08325), filed with the SEC on May 11, 2011+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MYR Group Senior Management Incentive Plan, Amended and Restated as of May 1, 2014, incorporated by reference to exhibit 10.2 of the Company’s Current Report on Form 8-K (File No. 001-08325), filed with the SEC on May 7,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Employment Agreement, dated April 29, 2015 between the Company and Tod Cooper, incorporated by reference to exhibit 10.21 of the Company’s Annual Report on Form 10-K for the year ended December 31, 2015 (File No. 001- 08325), filed with the SEC on March 3, 2016+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3">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Amendment to the Employment Agreement, dated January 1, 2017, between the Company and Richard S. Swartz, Jr., incorporated by reference to exhibit 10.25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Amendment to the Employment Agreement, dated January 1, 2017, between the Company and Tod M. Cooper, incorporated by reference to exhibit 10.26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Amendment to the Amended and Restated Employment Agreement, dated April 11, 2017, between the Company and Richard S. Swartz, Jr., incorporated by reference to exhibit 10.1 of the Company’s Quarterly Report on Form 10-Q (File No. 001-08325), filed with the SEC on May 3, 2017+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color w:val="0000FF"/>
            <w:sz w:val="16"/>
          </w:rPr>
          <w:t>TABLE OF CONTENTS</w:t>
        </w:r>
      </w:hyperlink>
    </w:p>
    <w:tbl>
      <w:tblPr>
        <w:tblW w:w="10205" w:type="dxa"/>
        <w:jc w:val="left"/>
        <w:tblInd w:w="0" w:type="dxa"/>
        <w:tblLayout w:type="fixed"/>
        <w:tblCellMar>
          <w:top w:w="28" w:type="dxa"/>
          <w:left w:w="28" w:type="dxa"/>
          <w:bottom w:w="28" w:type="dxa"/>
          <w:right w:w="28" w:type="dxa"/>
        </w:tblCellMar>
      </w:tblPr>
      <w:tblGrid>
        <w:gridCol w:w="296"/>
        <w:gridCol w:w="260"/>
        <w:gridCol w:w="261"/>
        <w:gridCol w:w="109"/>
        <w:gridCol w:w="109"/>
        <w:gridCol w:w="109"/>
        <w:gridCol w:w="2934"/>
        <w:gridCol w:w="2518"/>
        <w:gridCol w:w="3609"/>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Employment Agreement, dated January 21, 2019, between the Company and William F. Fry, incorporated by reference to exhibit 10.33 of the Company’s Annual Report on Form 10-K (File No. 001-08325), filed with the SEC on March 6, 2019+</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1">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20"/>
                  <w:u w:val="single"/>
                </w:rPr>
                <w:t>Form of Non-Employee Directors Restricted Stock Unit Award Agreement under the 2017 Long-Term Incentive Plan, incorporated by reference to exhibit 10.1 of the Company’s Quarterly Report on Form 10-Q (File No. 001-08325), filed with the SEC on July 31, 2019+</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3">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Asset Purchase Agreement, dated as of July 15, 2019, by and among MYR Group, Inc., certain subsidiaries of MYR Group, Inc., as purchasers, and CSI Electrical Contractors, Inc., incorporated by reference to exhibit 10.3 of the Company’s Quarterly Report on Form 10-Q (File No. 001-08325), filed with the SEC on July 31, 2019</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5">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Form of Restricted Stock Unit Award Agreement (Named Executive Officer) under the 2017 Long-Term Incentive Plan, incorporated by reference to exhibit 10.1 of the Company’s Quarterly Report on Form 10-Q (File No. 001-08325), filed with the SEC on April 27, 2022+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7">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20"/>
                  <w:u w:val="single"/>
                </w:rPr>
                <w:t>Form of Performance Shares Award Agreement (Named Executive Officer) under the 2017 Long-Term Incentive Plan, incorporated by reference to exhibit 10.2 of the Company’s Quarterly Report on Form 10-Q (File No. 001-08325), filed with the SEC on April 27, 2022+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9">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Employment Agreement, dated January 9, 2023 between the Company and Kelly M. Huntington, incorporated by reference to exhibit 10.27 of the Company’s Annual Report on Form 10-K (File No. 001-08325), filed with the SEC on February 22, 2023+</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1">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Employment Agreement, dated May 1, 2023, between the Company and Don A. Egan, incorporated by reference to exhibit 10.1 of the Company’s Quarterly Report on Form 10-Q (File No. 001-08325), filed with the SEC on July 26, 2023+</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3">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Third Amended and Restated Credit Agreement, dated May 31, 2023, by and among MYR Group Inc., the lenders party thereto, Bank of Montreal, CIBC Bank USA, TD Bank, N.A. and Wells Fargo Bank, National Association, as Co-Documentation Agents, Bank of America, N.A., as Syndication Agent and JPMorgan Chase Bank, N.A., as Administrative Agent, incorporated by reference to exhibit 10.2 of the Company’s Quarterly Report on Form 10-Q (File No. 001-08325), filed with the SEC on July 26, 2023</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5">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Employment Agreement, dated March 1, 2024 between the Company and Brian K. Stern, incorporated by reference to exhibit 10.1 of the Company’s Quarterly Report on Form 10-Q (File No. 001-08325), filed with the SEC on May 1, 2024+</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7">
              <w:r>
                <w:rPr>
                  <w:rStyle w:val="InternetLink"/>
                  <w:rFonts w:ascii="Times New Roman;sans-serif" w:hAnsi="Times New Roman;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80"/>
                  <w:sz w:val="20"/>
                  <w:u w:val="single"/>
                </w:rPr>
                <w:t>Form of Performance Shares Award Agreement (Named Executive Officer), incorporated by reference to exhibit 10.3 of the Company’s Quarterly Report on Form 10-Q (File No. 001-08325), filed with the SEC on May 1, 2024+</w:t>
              </w:r>
            </w:hyperlink>
            <w:r>
              <w:rPr>
                <w:rFonts w:ascii="Times New Roman;sans-serif" w:hAnsi="Times New Roman;sans-serif"/>
                <w:b w:val="false"/>
                <w:color w:val="0000FF"/>
                <w:sz w:val="20"/>
                <w:u w:val="single"/>
              </w:rPr>
              <w:t>    </w:t>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9">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Form of Restricted Stock Unit Award Agreement (Named Executive Officer), incorporated by reference to exhibit 10.2 of the Company’s Quarterly Report on Form 10-Q (File No. 001-08325), filed with the SEC on May 1, 2024+</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1">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20"/>
                  <w:u w:val="single"/>
                </w:rPr>
                <w:t>MYR Group Inc. 2017 Long-Term Incentive Plan (Amended and Restated as of April 24, 2024), incorporated by reference to Exhibit 10.1 of the Company’s Current Report on Form 8-K (File No. 001-08325), filed with the SEC on April 29, 2024+</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3">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20"/>
                  <w:u w:val="single"/>
                </w:rPr>
                <w:t>Amendment No. 1 to the Third Amended and Restated Credit Agreement, dated May 21, 2024, incorporated by reference to exhibit 10.1 of the Company’s Quarterly Report on Form 10-Q (File No. 001-08325), filed with the SEC on July 31, 2024</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fa0318insidertrading.htm">
              <w:r>
                <w:rPr>
                  <w:rStyle w:val="InternetLink"/>
                  <w:rFonts w:ascii="Times New Roman;sans-serif" w:hAnsi="Times New Roman;sans-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a0318insidertrading.htm">
              <w:r>
                <w:rPr>
                  <w:rStyle w:val="InternetLink"/>
                  <w:rFonts w:ascii="Times New Roman;sans-serif" w:hAnsi="Times New Roman;sans-serif"/>
                  <w:b w:val="false"/>
                  <w:color w:val="0000FF"/>
                  <w:sz w:val="20"/>
                  <w:u w:val="single"/>
                </w:rPr>
                <w:t>Insider Trading Policy†</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11-listingofsubsid.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listingofsubsid.htm">
              <w:r>
                <w:rPr>
                  <w:rStyle w:val="InternetLink"/>
                  <w:rFonts w:ascii="Times New Roman;sans-serif" w:hAnsi="Times New Roman;sans-serif"/>
                  <w:b w:val="false"/>
                  <w:color w:val="0000FF"/>
                  <w:sz w:val="20"/>
                  <w:u w:val="single"/>
                </w:rPr>
                <w:t>List of Subsidiaries†</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31croweconsent2024.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croweconsent2024.htm">
              <w:r>
                <w:rPr>
                  <w:rStyle w:val="InternetLink"/>
                  <w:rFonts w:ascii="Times New Roman;sans-serif" w:hAnsi="Times New Roman;sans-serif"/>
                  <w:b w:val="false"/>
                  <w:color w:val="000080"/>
                  <w:sz w:val="20"/>
                  <w:u w:val="single"/>
                </w:rPr>
                <w:t>Consent of Cr</w:t>
              </w:r>
            </w:hyperlink>
            <w:hyperlink w:anchor="exhibit231croweconsent2024.htm">
              <w:r>
                <w:rPr>
                  <w:rStyle w:val="InternetLink"/>
                  <w:rFonts w:ascii="Times New Roman;sans-serif" w:hAnsi="Times New Roman;sans-serif"/>
                  <w:b w:val="false"/>
                  <w:color w:val="000080"/>
                  <w:sz w:val="20"/>
                  <w:u w:val="single"/>
                </w:rPr>
                <w:t>owe LLP</w:t>
              </w:r>
            </w:hyperlink>
            <w:hyperlink w:anchor="exhibit231croweconsent2024.htm">
              <w:r>
                <w:rPr>
                  <w:rStyle w:val="InternetLink"/>
                  <w:rFonts w:ascii="Times New Roman;sans-serif" w:hAnsi="Times New Roman;sans-serif"/>
                  <w:b w:val="false"/>
                  <w:color w:val="000080"/>
                  <w:sz w:val="20"/>
                  <w:u w:val="single"/>
                </w:rPr>
                <w:t>†</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41-202410xkpowerof.htm">
              <w:r>
                <w:rPr>
                  <w:rStyle w:val="InternetLink"/>
                  <w:rFonts w:ascii="Times New Roman;sans-serif" w:hAnsi="Times New Roman;sans-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41-202410xkpowerof.htm">
              <w:r>
                <w:rPr>
                  <w:rStyle w:val="InternetLink"/>
                  <w:rFonts w:ascii="Times New Roman;sans-serif" w:hAnsi="Times New Roman;sans-serif"/>
                  <w:b w:val="false"/>
                  <w:color w:val="0000FF"/>
                  <w:sz w:val="20"/>
                  <w:u w:val="single"/>
                </w:rPr>
                <w:t>Power of Attorney†</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41231x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41231xex311.htm">
              <w:r>
                <w:rPr>
                  <w:rStyle w:val="InternetLink"/>
                  <w:rFonts w:ascii="Times New Roman;sans-serif" w:hAnsi="Times New Roman;sans-serif"/>
                  <w:b w:val="false"/>
                  <w:color w:val="0000FF"/>
                  <w:sz w:val="20"/>
                  <w:u w:val="single"/>
                </w:rPr>
                <w:t>Certification of Chief Executive Officer pursuant to SEC Rule 13a-14(a)/15d-14(a)†</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41231x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41231xex312.htm">
              <w:r>
                <w:rPr>
                  <w:rStyle w:val="InternetLink"/>
                  <w:rFonts w:ascii="Times New Roman;sans-serif" w:hAnsi="Times New Roman;sans-serif"/>
                  <w:b w:val="false"/>
                  <w:color w:val="0000FF"/>
                  <w:sz w:val="20"/>
                  <w:u w:val="single"/>
                </w:rPr>
                <w:t>Certification of Chief Financial Officer pursuant to SEC Rule 13a-14(a)/15d-14(a)†</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41231x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41231xex321.htm">
              <w:r>
                <w:rPr>
                  <w:rStyle w:val="InternetLink"/>
                  <w:rFonts w:ascii="Times New Roman;sans-serif" w:hAnsi="Times New Roman;sans-serif"/>
                  <w:b w:val="false"/>
                  <w:color w:val="0000FF"/>
                  <w:sz w:val="20"/>
                  <w:u w:val="single"/>
                </w:rPr>
                <w:t>Certification of Chief Executive Officer pursuant to 18 U.S.C. §1350††</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41231x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41231xex322.htm">
              <w:r>
                <w:rPr>
                  <w:rStyle w:val="InternetLink"/>
                  <w:rFonts w:ascii="Times New Roman;sans-serif" w:hAnsi="Times New Roman;sans-serif"/>
                  <w:b w:val="false"/>
                  <w:color w:val="0000FF"/>
                  <w:sz w:val="20"/>
                  <w:u w:val="single"/>
                </w:rPr>
                <w:t>Certification of Chief Financial Officer pursuant to 18 U.S.C. §1350††</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5">
              <w:r>
                <w:rPr>
                  <w:rStyle w:val="InternetLink"/>
                  <w:rFonts w:ascii="Times New Roman;sans-serif" w:hAnsi="Times New Roman;sans-serif"/>
                  <w:b w:val="false"/>
                  <w:color w:val="0000FF"/>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20"/>
                  <w:u w:val="single"/>
                </w:rPr>
                <w:t>Compensation Clawback Policy, incorporated by reference to exhibit 97.1 of the Company’s Annual Report on Form 10-K (File No. 001-08325), filed with the SEC on February 28, 2024</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color w:val="0000FF"/>
            <w:sz w:val="16"/>
          </w:rPr>
          <w:t>TABLE OF CONTENTS</w:t>
        </w:r>
      </w:hyperlink>
    </w:p>
    <w:tbl>
      <w:tblPr>
        <w:tblW w:w="9507"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428"/>
        <w:gridCol w:w="2428"/>
        <w:gridCol w:w="34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document and contained in Exhibit 101)</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 or arrangement.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Electronically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ca0ea90ddee54507b77502a3064df09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479" w:type="dxa"/>
        <w:jc w:val="left"/>
        <w:tblInd w:w="0" w:type="dxa"/>
        <w:tblLayout w:type="fixed"/>
        <w:tblCellMar>
          <w:top w:w="28" w:type="dxa"/>
          <w:left w:w="28" w:type="dxa"/>
          <w:bottom w:w="28" w:type="dxa"/>
          <w:right w:w="28" w:type="dxa"/>
        </w:tblCellMar>
      </w:tblPr>
      <w:tblGrid>
        <w:gridCol w:w="580"/>
        <w:gridCol w:w="511"/>
        <w:gridCol w:w="513"/>
        <w:gridCol w:w="400"/>
        <w:gridCol w:w="400"/>
        <w:gridCol w:w="400"/>
        <w:gridCol w:w="1065"/>
        <w:gridCol w:w="1065"/>
        <w:gridCol w:w="154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MYR GROUP INC.</w:t>
            </w:r>
            <w:r>
              <w:rPr>
                <w:color w:val="000000"/>
              </w:rPr>
              <w:t xml:space="preserve">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Vice President and Chief Financial </w:t>
              <w:br/>
              <w:t>Officer</w:t>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75"/>
        <w:gridCol w:w="771"/>
        <w:gridCol w:w="750"/>
        <w:gridCol w:w="109"/>
        <w:gridCol w:w="109"/>
        <w:gridCol w:w="109"/>
        <w:gridCol w:w="1875"/>
        <w:gridCol w:w="1858"/>
        <w:gridCol w:w="1882"/>
        <w:gridCol w:w="109"/>
        <w:gridCol w:w="109"/>
        <w:gridCol w:w="109"/>
        <w:gridCol w:w="448"/>
        <w:gridCol w:w="448"/>
        <w:gridCol w:w="644"/>
      </w:tblGrid>
      <w:tr>
        <w:trPr/>
        <w:tc>
          <w:tcPr>
            <w:tcW w:w="87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 Swartz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Financial Officer </w:t>
              <w:b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M. Hartwick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Bradley T. Favreau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Ajoy H. Karna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E.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C.I. Lucky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Shirin S. O'Connor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D. Patterson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5020" w:type="dxa"/>
        <w:jc w:val="left"/>
        <w:tblInd w:w="0" w:type="dxa"/>
        <w:tblLayout w:type="fixed"/>
        <w:tblCellMar>
          <w:top w:w="28" w:type="dxa"/>
          <w:left w:w="28" w:type="dxa"/>
          <w:bottom w:w="28" w:type="dxa"/>
          <w:right w:w="28" w:type="dxa"/>
        </w:tblCellMar>
      </w:tblPr>
      <w:tblGrid>
        <w:gridCol w:w="189"/>
        <w:gridCol w:w="167"/>
        <w:gridCol w:w="169"/>
        <w:gridCol w:w="844"/>
        <w:gridCol w:w="844"/>
        <w:gridCol w:w="846"/>
        <w:gridCol w:w="109"/>
        <w:gridCol w:w="109"/>
        <w:gridCol w:w="109"/>
        <w:gridCol w:w="478"/>
        <w:gridCol w:w="478"/>
        <w:gridCol w:w="678"/>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Policy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the course of conducting business for or on behalf of MYR Group Inc. and its subsidiary companies (collectively the “Company”), you may come into possession of material information about the Company or other entities that is not available to the public (“material nonpublic information”). You must maintain the confidentiality of material nonpublic information and may not use it in connection with the purchase or sale of Company securities or the securities of any other entity to which the information relates. The Company has adopted this Policy on Insider Trading (the “Trading Policy”) in order to facilitate compliance with the law and to avoid even the appearance of improper conduct by anyone associated with the Company. We have all worked hard to establish the Company’s reputation for integrity and ethical conduct, and we are all responsible for preserving and enhancing this reputation.</w:t>
      </w:r>
    </w:p>
    <w:p>
      <w:pPr>
        <w:pStyle w:val="TextBody"/>
        <w:bidi w:val="0"/>
        <w:spacing w:lineRule="auto" w:line="288" w:before="120" w:after="120"/>
        <w:ind w:left="0" w:right="0" w:hanging="576"/>
        <w:jc w:val="both"/>
        <w:rPr>
          <w:rFonts w:ascii="Arial;sans-serif" w:hAnsi="Arial;sans-serif"/>
          <w:b/>
          <w:color w:val="000000"/>
          <w:sz w:val="20"/>
          <w:u w:val="single"/>
        </w:rPr>
      </w:pPr>
      <w:r>
        <w:rPr>
          <w:rFonts w:ascii="Arial;sans-serif" w:hAnsi="Arial;sans-serif"/>
          <w:b/>
          <w:color w:val="000000"/>
          <w:sz w:val="20"/>
          <w:u w:val="single"/>
        </w:rPr>
        <w:t>Scope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restrictions set forth in this Trading Policy apply to the Company and all Company officers, directors and employees, wherever located. This Trading Policy also applies to Company officers’, directors’, and employees’ spouses or significant others, minor children, or other family members sharing the same household and any other person for whom the officer, director or employee exercises substantial influence or control over securities trading decisions (collectively, "family members"). This Trading Policy also applies to entities influenced or controlled by a Company officer, director, or employee, including any corporations, partnerships, or trusts (“controlled entities”). The Company may also determine from time to time that other persons will be subject to this Trading Policy, such as contractors or consultants who have access to material nonpublic information and certain stockholders of the Company. Officers, directors, and employees are responsible for confirming that all family members and related entities do not engage in the activities restricted or prohibited under this Trading Policy.</w:t>
      </w:r>
    </w:p>
    <w:p>
      <w:pPr>
        <w:pStyle w:val="TextBody"/>
        <w:bidi w:val="0"/>
        <w:spacing w:lineRule="auto" w:line="288" w:before="120" w:after="120"/>
        <w:jc w:val="both"/>
        <w:rPr/>
      </w:pPr>
      <w:r>
        <w:rPr>
          <w:rFonts w:ascii="Arial;sans-serif" w:hAnsi="Arial;sans-serif"/>
          <w:b w:val="false"/>
          <w:color w:val="000000"/>
          <w:sz w:val="20"/>
        </w:rPr>
        <w:t>To avoid even the appearance of impropriety, additional restrictions on trading Company securities apply to directors, officers and certain designated employees who have access to material nonpublic information about the Company on a periodic basis.</w:t>
      </w:r>
      <w:r>
        <w:rPr>
          <w:color w:val="000000"/>
        </w:rPr>
        <w:t xml:space="preserve"> </w:t>
      </w:r>
      <w:r>
        <w:rPr>
          <w:rFonts w:ascii="Arial;sans-serif" w:hAnsi="Arial;sans-serif"/>
          <w:b w:val="false"/>
          <w:color w:val="000000"/>
          <w:sz w:val="20"/>
        </w:rPr>
        <w:t xml:space="preserve">These additional restrictions are set forth in the Addendum to Policy on Insider Trading (the “Addendum”). The Company will notify you if you are subject to the Addendum. The Addendum generally prohibits those covered by it from trading in Company securities during blackout periods and requires pre-clearance for all transactions in Company securities. </w:t>
      </w:r>
    </w:p>
    <w:p>
      <w:pPr>
        <w:pStyle w:val="TextBody"/>
        <w:bidi w:val="0"/>
        <w:spacing w:lineRule="auto" w:line="288" w:before="120" w:after="120"/>
        <w:ind w:left="0" w:right="0" w:hanging="576"/>
        <w:jc w:val="both"/>
        <w:rPr>
          <w:rFonts w:ascii="Arial;sans-serif" w:hAnsi="Arial;sans-serif"/>
          <w:b/>
          <w:color w:val="000000"/>
          <w:sz w:val="20"/>
          <w:u w:val="single"/>
        </w:rPr>
      </w:pPr>
      <w:r>
        <w:rPr>
          <w:rFonts w:ascii="Arial;sans-serif" w:hAnsi="Arial;sans-serif"/>
          <w:b/>
          <w:color w:val="000000"/>
          <w:sz w:val="20"/>
          <w:u w:val="single"/>
        </w:rPr>
        <w:t>Guidelines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Inside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Company policy and the laws of the United States and many other countries strictly prohibit the Company and any director, officer or employee of the Company, whenever and in whatever capacity employed, from trading Company securities (including equity securities, convertible securities, options, bonds, and derivatives thereon) while in possession of “inside information” about the Company. Inside information is any material nonpublic information about a company.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If you become aware of any inside information, you may not execute any trade in Company securities and you should treat the information as strictly confidential. This prohibition applies to Company securities as well as the securities of any other company about which you acquire inside information in the course of your duties for the Company. It also applies to transactions for any Company account, client account, employee account or account over which the employee has investment discretion. You are responsible for reviewing this Trading Policy and confirming that your actions do not violate it.</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Material Nonpublic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As noted above, it is illegal and a violation of Company policy to trade securities while aware of material nonpublic information.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What is Material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Under Company policy and United States laws, information is material if:</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35660"/>
                <wp:effectExtent l="0" t="0" r="0" b="0"/>
                <wp:wrapNone/>
                <wp:docPr id="92" name="Frame9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there is a substantial likelihood that a reasonable investor would consider the information important in determining whether to trade in a security; </w:t>
      </w:r>
      <w:r>
        <w:rPr>
          <w:rFonts w:ascii="Arial;sans-serif" w:hAnsi="Arial;sans-serif"/>
          <w:b w:val="false"/>
          <w:color w:val="000000"/>
          <w:sz w:val="20"/>
          <w:u w:val="single"/>
        </w:rPr>
        <w:t>or</w:t>
      </w:r>
      <w:r>
        <w:rPr>
          <w:color w:val="000000"/>
        </w:rPr>
        <w:t xml:space="preserv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information, if made public, could reasonably be expected to affect the market price of a company's securities.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Information may be material even if it relates to future, speculative or contingent events and even if it is significant only when considered in combination with publicly available information. Material information can be positive, neutral or negative. If you have a question about the materiality of particular information, you should assume it to be material and trading should be avoided.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There is no bright-line standard for assessing materiality and it is not possible to define all categories of material information, as the ultimate determination of materiality by enforcement authorities will be based on an assessment of all relevant facts and circumstances. Information that is material at one point in time may cease to be material at another point in time, and vice versa. Depending on the facts and circumstances, information that could be considered material includes, but is not limited to: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earnings announcements or estimates, or changes to previously released announcements or estimates;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other unpublished results or guidance;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preliminary or interim information on the Company’s performance;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budgets and forecasts of performance;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award of contracts and alliance agreements for material projects;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write downs and additions to reserves for bad debts;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changes to, expansion of or curtailment of operations or business plans;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significant changes to marketing, pricing and bidding plans;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new products, inventions or discoveries;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patent or other intellectual property milestones;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actual or threatened disputes, claims, arbitration, litigation or government actions, including citations;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mergers, divestitures, acquisitions, tender offers, joint ventures or other significant changes in assets;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changes in analyst recommendations or debt ratings;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events regarding the Company's securities (e.g., the establishment, amendment, or termination of repurchase plans, stock splits, changes in dividends, changes to the rights of security holders or public or private sales of additional securities);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material breach or unauthorized access to property or assets, including relating to a cybersecurity incident or attack;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changes in control of the Company;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significant changes in relations among major stockholders, customers, vendors or suppliers;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senior management or member of the board of directors;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extraordinary borrowing;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liquidity problems; and</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35660"/>
                <wp:effectExtent l="0" t="0" r="0" b="0"/>
                <wp:wrapNone/>
                <wp:docPr id="93" name="Frame92"/>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auditors or auditor notification that the Company may no longer rely on an audit report.</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What is Nonpublic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Information is considered to be nonpublic unless it has been adequately disclosed to the public, which means that the information must be publicly disseminated and sufficient time must have passed for the securities markets to absorb and evaluate the information.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It is important to note that information is not necessarily publicly disseminated merely because it has been discussed in the press, which will sometimes report rumors. You should presume that information is nonpublic unless you can point to its official release by the Company in at least one of the following ways: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public filings with securities regulatory authorities;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issuance of press releases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meetings with members of the press and the public;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information contained in proxy statements and prospectuses.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You may not attempt to “beat the market” by trading simultaneously with, or shortly after, the official release of material information. Although there is no fixed period for how long it takes the market to absorb information, out of prudence a person aware of material nonpublic information should refrain from any trading activity for approximately two full trading days following its official release; shorter or longer waiting periods might be warranted based upon the liquidity of the security and the nature of the information.</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Notwithstanding these timing guidelines, it is illegal for you to trade while in possession of material nonpublic information, including situations in which you are aware of major developments that have not yet been publicly announced by the Company or other issuer of the securities in question.</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What Transactions are covered by this Trading Policy?</w:t>
      </w:r>
    </w:p>
    <w:p>
      <w:pPr>
        <w:pStyle w:val="TextBody"/>
        <w:bidi w:val="0"/>
        <w:spacing w:lineRule="auto" w:line="288" w:before="120" w:after="120"/>
        <w:jc w:val="both"/>
        <w:rPr/>
      </w:pPr>
      <w:r>
        <w:rPr>
          <w:rFonts w:ascii="Arial;sans-serif" w:hAnsi="Arial;sans-serif"/>
          <w:b w:val="false"/>
          <w:color w:val="000000"/>
          <w:sz w:val="20"/>
        </w:rPr>
        <w:t>This Trading Policy applies to transactions in Company securities, including the Company’s common stock, options to purchase common stock, stock appreciation rights, restricted stock units, and any other types of securities that the Company may issue, including (but not limited to) preferred stock, non-convertible debt securities such as senior notes, convertible debt securities and warrants, as well as derivative securities that are not issued by the Company, such as exchange-traded put or call options or swaps relating to Company Securities</w:t>
      </w:r>
      <w:r>
        <w:rPr>
          <w:color w:val="000000"/>
        </w:rPr>
        <w:t xml:space="preserve"> </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Prohibition Against Insider Trading </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No Transactions on the Basis of Material Nonpublic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Neither the Company nor any officer, director, employee, family member, or controlled entity may directly or indirectly through third parties, buy, sell, or otherwise engage in any transactions in Company securities if such person or entity possesses material nonpublic information.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 officer, director, employee, family member, or controlled entity may buy, sell or otherwise engage in any transactions, directly or indirectly through third parties, in securities of any other firm (including, without limitation, a current or prospective Company customer, supplier, joint venture participant, partner, or party to a potential corporate transaction) if they are in possession of any material nonpublic information about that firm that they obtained in the course of their employment, or other services performed on behalf of, the Company, or any other relationship with the Company. Examples include information about a major contract or potential merger. Note that even if information is immaterial to the Company, it may nevertheless be material to the other firm.</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35660"/>
                <wp:effectExtent l="0" t="0" r="0" b="0"/>
                <wp:wrapNone/>
                <wp:docPr id="94" name="Frame93"/>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No Recommendations on the Basis of Material Nonpublic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Neither the Company nor any officer, director, employee, family member, or controlled entity may make recommendations or express opinions about trading in Company securities if such person or entity possesses material nonpublic information.</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No Assistance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Neither the Company nor any officer, director, employee, family member, or controlled entity may assist anyone engaged in the activities described above.</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Other Prohibited Transactions in Company Securities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 has also determined that there is a heightened legal risk and the appearance of improper or inappropriate conduct if officers, directors, employees, family members, or controlled entities engage in certain types of other transactions. Therefore, the following rules are applicable to such persons and entities:</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Short Sales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Neither the Company nor any officer, director, employee, family member, or controlled entity may execute short sales (a sale of securities that are not currently owned by the seller) of Company securities or derivative or speculative transactions in Company securities, including puts and calls. </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Publicly-Traded Options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No officer, director, employee, family member, or controlled entity may engage in transactions in put options, call options or other derivative securities, on an exchange or in any other organized market.</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Hedging Transactions; Margin Accounts and Pledged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No officer, director, employee, family member, or controlled entity may purchase or use, directly or indirectly through other persons or entities, financial instruments (including prepaid variable forward contracts, equity swaps, collars, and exchange funds), or otherwise engage in transactions, that hedge or offset, or are designed to hedge or offset, any decrease in the market value of Company securities.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No officer, director, employee, family member, or controlled entity may hold Company securities in a margin account or pledge Company securities as collateral for a loan; provided, however, that such persons or entities may enter into pledging transactions if approved by the chair of the Audit Committee or his or her designee, who will consider such items as he or she deems relevant, including the amount of the pledge as compared to both the average daily trading volume and the total value of Company securities held by such person or entity, as well as the person’s ability to repay any loans secured by Company stock or to substitute other assets as collateral. </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Standing and Limit Orders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Due to the general lack of control over the timing of the transaction and the potential for execution at a time when you are in possession of material nonpublic information, standing and limit orders (except standing and limit orders under approved Rule 10b5-1 plans, as described in the Addendum) create heightened risks for insider trading violations and should be used only for a brief period of time and otherwise in compliance with this Trading Policy. </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Permitted Transactions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Trading Policy does not apply to transactions with the Company involving Company securities, except as specifically noted.</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35660"/>
                <wp:effectExtent l="0" t="0" r="0" b="0"/>
                <wp:wrapNone/>
                <wp:docPr id="95" name="Frame94"/>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 trading restrictions in this Trading Policy do not apply to exercises of stock options where no Company common stock is sold in the market to fund the option exercise price or related taxes. The trading restrictions do apply, however, to sales of Company common stock received upon the exercise of options in which the proceeds are used to fund the option exercise price (i.e., a cashless exercise of options) or related taxes. </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Restricted Stock and Restricted Stock Units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trading restrictions in this Trading Policy do not apply to the vesting and settlement of restricted stock and restricted stock units, or the withholding or sale of stock back to the Company to satisfy tax withholding obligations upon the vesting of any restricted stock or restricted stock units. The Trading Policy does apply, however, to any market sale of stock after vesting.</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Employee Stock Purchase and Savings Plans; Deferred Compensation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trading restrictions in this Trading Policy do not apply to purchases of Company securities in a Company employee stock purchase plan, 401(k) plan, or deferred compensation plan or similar employee benefit plans resulting from an officer’s, director’s, or employee’s periodic contribution of money to the plan pursuant to his or her payroll deduction election. This Trading Policy does apply, however, to certain elections an officer, director, or employee may make under these plans, including: (a) an election to increase or decrease the percentage of periodic contributions that will be allocated to a Company stock fund; (b) an election to switch an existing account balance into or out of a Company stock fund; (c) an election to borrow money against a plan account if the loan will result in a liquidation of some or all of a Company stock fund; (d) an election to withdraw money from a plan account if the withdrawal will result in a liquidation of some or all of a Company stock fund; and (e) an election to pre-pay a plan loan if the pre-payment will result in allocation of loan proceeds to a Company stock fund. </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Mutual Funds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trading restrictions in this Trading Policy do not apply to transactions in a mutual fund or other collective investment vehicle (e.g., hedge fund or exchange traded fund) that is invested in Company securities and (1) is publicly traded and widely held, (2) is broad based and diversified, and (3) has investment discretion for fund investments exercised by an independent third party.</w:t>
      </w:r>
    </w:p>
    <w:p>
      <w:pPr>
        <w:pStyle w:val="TextBody"/>
        <w:bidi w:val="0"/>
        <w:spacing w:lineRule="auto" w:line="288" w:before="120" w:after="120"/>
        <w:ind w:left="0" w:right="0" w:hanging="576"/>
        <w:jc w:val="both"/>
        <w:rPr>
          <w:rFonts w:ascii="Arial;sans-serif" w:hAnsi="Arial;sans-serif"/>
          <w:b/>
          <w:color w:val="000000"/>
          <w:sz w:val="20"/>
          <w:u w:val="single"/>
        </w:rPr>
      </w:pPr>
      <w:r>
        <w:rPr>
          <w:rFonts w:ascii="Arial;sans-serif" w:hAnsi="Arial;sans-serif"/>
          <w:b/>
          <w:color w:val="000000"/>
          <w:sz w:val="20"/>
          <w:u w:val="single"/>
        </w:rPr>
        <w:t>Post-Termination Transactions</w:t>
      </w:r>
    </w:p>
    <w:p>
      <w:pPr>
        <w:pStyle w:val="TextBody"/>
        <w:bidi w:val="0"/>
        <w:spacing w:lineRule="auto" w:line="288" w:before="120" w:after="120"/>
        <w:jc w:val="left"/>
        <w:rPr>
          <w:rFonts w:ascii="Arial;sans-serif" w:hAnsi="Arial;sans-serif"/>
          <w:b w:val="false"/>
          <w:color w:val="000000"/>
          <w:sz w:val="20"/>
          <w:u w:val="single"/>
        </w:rPr>
      </w:pPr>
      <w:r>
        <w:rPr>
          <w:rFonts w:ascii="Arial;sans-serif" w:hAnsi="Arial;sans-serif"/>
          <w:b w:val="false"/>
          <w:color w:val="000000"/>
          <w:sz w:val="20"/>
          <w:u w:val="single"/>
        </w:rPr>
        <w:t>This Trading Policy continues to apply to transactions in Company securities even after termination of service to, or employment with, the Company. If an individual is in possession of material nonpublic information when his or her service or employment terminates, neither that individual nor his or her family members or controlled entities may not trade in Company securities until that information has become public or is no longer material.</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TWENTY-TWENTY HINDSIGHT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If securities transactions ever become the subject of scrutiny, they are likely to be viewed after-the-fact with the benefit of hindsight. As a result, before engaging in any transaction, you should carefully consider how the transaction may be construed in the bright light of hindsight. If you have any questions or uncertainties about this Trading Policy or a proposed transaction, please ask the Company’s Compliance Officer or Chief Legal Officer.</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35660"/>
                <wp:effectExtent l="0" t="0" r="0" b="0"/>
                <wp:wrapNone/>
                <wp:docPr id="96" name="Frame9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center"/>
        <w:rPr>
          <w:color w:val="000000"/>
        </w:rPr>
      </w:pPr>
      <w:r>
        <w:rPr>
          <w:color w:val="000000"/>
        </w:rPr>
        <w:t>“</w:t>
      </w:r>
      <w:r>
        <w:rPr>
          <w:rFonts w:ascii="Arial;sans-serif" w:hAnsi="Arial;sans-serif"/>
          <w:b/>
          <w:color w:val="000000"/>
          <w:sz w:val="20"/>
        </w:rPr>
        <w:t>TIPPING” MATERIAL NONPUBLIC INFORMATION IS PROHIBITED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In addition to trading while in possession of material nonpublic information, it is illegal and a violation of this Trading Policy for any officer, director, employee, family member, or controlled entity to directly or indirectly disclose material nonpublic information to (a) persons within the Company whose jobs do not require them to have that information, or (b) persons outside the Company including, but not limited to, family members, controlled entities, friends, business associates, investors, and consulting firms, unless any such disclosure is authorized and made in a manner to protect such information from unauthorized disclosure.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Officers, directors, employees, family members, and controlled entities may be liable for tipping material nonpublic information to any third party (a “Tippee”). Tippees inherit an insider’s duties and may be liable for trading on material nonpublic information illegally tipped to them by an insider. Tipping may also result in the same penalties to the tipper as if that person effected the transaction themselves.</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SAFEGUARDING CONFIDENTIAL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If material information relating to the Company or its business has not been publicly disclosed, such information must be kept in strict confidence and should be discussed only with persons who have a “need to know” the information for a legitimate business purpose. The utmost care and circumspection must be exercised at all times in order to protect the Company's confidential information. The following practices should be followed to help prevent the misuse of confidential information: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Avoid discussing confidential information in places where you may be overheard by people who do not have a valid need to know such information, such as on elevators, in restaurants and on public transportation.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Avoid discussing confidential information on cellular phones, and take great care when discussing such information on speaker phones. Do not discuss such information with relatives or social acquaintances.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Discuss confidential information with others in offices or conference rooms with the doors closed.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Do not give your computer IDs and passwords to any other person. Password protect computers and log off when they are not in use.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Refrain from retaining confidential information on laptop hard drives, external memory sticks or other portable media.</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Always put confidential documents away when not in use and, based upon the sensitivity of the material, keep such documents in a locked desk or office. Do not leave documents containing confidential information where they may be seen by persons who do not have a need to know the content of the documents.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Be aware that the Internet and other external electronic mail carriers are not secure environments for the transmission of confidential information.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Comply with the specific terms of any confidentiality agreements of which you are aware.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Upon termination of your employment, you must return to the Company all physical (including electronic) copies of confidential information as well as all other material embodied in any physical or electronic form that is based on or derived from such information, without retaining any copies.</w:t>
      </w:r>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You may not bring the confidential information of any former employer to the Company.</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35660"/>
                <wp:effectExtent l="0" t="0" r="0" b="0"/>
                <wp:wrapNone/>
                <wp:docPr id="97" name="Frame96"/>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RESPONDING TO REQUESTS FOR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You may find yourself the recipient of questions concerning various activities of the Company. Such inquiries can come from the media, securities analysts, investors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Only Company individuals specifically authorized to do so may answer questions about or disclose information concerning the Company.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Refer requests for information regarding the Company from the financial community, such as securities analysts, brokers or investors to the Company's Chief Financial Officer.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Refer requests for information regarding the Company from the media or press to the Company’s Vice President of Marketing.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Refer requests for information from the Securities and Exchange Commission or other regulators to the Company’s Chief Legal Officer.</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REPORTING VIOLATIONS/SEEKING ADVICE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You must report known or suspected violations of this Trading Policy to the Company’s Compliance Officer or Chief Legal Officer by phone (303) 853.7643 or e-mail (wfry@myrgroup.com) or to the Company’s Anonymous Incident Reporting System - MYRlistens – www.MYRlistens.com - seven days a week, 24 hours a day.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In addition, if you: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receive material nonpublic information that you are not authorized to receive or that you do not legitimately need to know to perform your employment responsibilities; or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receive confidential information and are unsure if it may be material nonpublic information or whether its release might be contrary to a fiduciary or other duty or obligation, you should not share it with anyone.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 seek advice about what to do under those circumstances, you should contact the Company's Compliance Officer or Chief Legal Officer. Consulting your colleagues can have the effect of exacerbating the problem. Containment of the information, until the legal implications of possessing it are determined, is critical.</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PENALTIES FOR VIOLATIONS OF THE TRADING POLICY AND LAWS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the United States and many other countries, the personal consequences to you of illegally trading securities while in possession of material nonpublic information can be quite severe. Besides requiring disgorgement of profits gained or losses avoided, there are substantial civil and criminal penalties that may be assessed for insider trading. Penalties could include imposition of a penalty of up to three times the illicit windfall. In addition, corporations and individuals may be fined up to millions of dollars and individuals may be imprisoned for up to twenty years for insider trading violations. Company employees who violate this Trading Policy may also be subject to discipline by the Company, up to and including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35660"/>
                <wp:effectExtent l="0" t="0" r="0" b="0"/>
                <wp:wrapNone/>
                <wp:docPr id="98" name="Frame9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ADDENDUM</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88" w:before="120" w:after="120"/>
        <w:jc w:val="both"/>
        <w:rPr/>
      </w:pPr>
      <w:r>
        <w:rPr>
          <w:rFonts w:ascii="Arial;sans-serif" w:hAnsi="Arial;sans-serif"/>
          <w:b w:val="false"/>
          <w:color w:val="000000"/>
          <w:sz w:val="20"/>
        </w:rPr>
        <w:t>This Addendum explains requirements and procedures which apply to all directors, officers and certain designated employees (the “Covered Persons”) of MYR Group Inc. and its subsidiary companies</w:t>
      </w:r>
      <w:r>
        <w:rPr>
          <w:color w:val="000000"/>
        </w:rPr>
        <w:t xml:space="preserve"> </w:t>
      </w:r>
      <w:r>
        <w:rPr>
          <w:rFonts w:ascii="Arial;sans-serif" w:hAnsi="Arial;sans-serif"/>
          <w:b w:val="false"/>
          <w:color w:val="000000"/>
          <w:sz w:val="20"/>
        </w:rPr>
        <w:t>(collectively, the “Company”) who have access to material nonpublic information about the Company, and is in addition to and supplements the Company’s Policy on Insider Trading (the “Trading Policy”). The positions held by those who are Covered Persons subject to this Addendum are listed on attached Schedule A. The Company may from time to time designate other positions to be subject to or removed from this Addendum and will amend Schedule A as necessary to reflect such changes. The Company may also from time to time designate other individuals to be subject to this Addendum. The Company will notify you if you are subject to this Addendum. Please note that the Trading Policy and this Addendum apply to all Company securities that you hold or may acquire in the future.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Please read this Addendum carefully. When you have completed your review, please sign the attached acknowledgment form and return as instructed in the training or to: </w:t>
      </w:r>
    </w:p>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MYR Group Inc.</w:t>
      </w:r>
    </w:p>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12121 Grant Street, Suite 510</w:t>
      </w:r>
    </w:p>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Thornton, CO 80241</w:t>
      </w:r>
    </w:p>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Attention: Vice President, Human Resources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Contact the Company’s Chief Legal Officer, if at any time you:</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have questions about the Trading Policy, the Addendum or their application to a particular situation;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plan to trade in the Company's securities but are unsure about whether you are authorized to do so.</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GENERAL RULES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In general terms, the law and Company policy prohibit: </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1.    Buying or selling Company securities or derivative securities (or in some cases the securities of other companies) while in possession of material nonpublic information. In order to avoid even the appearance of impropriety, the Company's policy is to require pre-clearance of all transactions in Company securities by Covered Persons (as described in more detail below), and to prohibit any transactions in the Company's securities by the Covered Persons during certain designated blackout periods, as detailed below.</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2.    Disclosing material nonpublic information to outsiders, including family members (as defined in the Trading Policy) and others (tipping), who then trade or pass the information on to other outsiders who trade in the Company's securities or the securities of another company while in possession of that information. </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3.    Retaining “short-swing profits” earned by directors or certain officers through trading in the Company's equity securities (including derivative securities), whether or not in possession of material nonpublic information. Any such profits, which generally involve a purchase and sale or a sale and purchase (or any number of these transactions) within any period of less than six months, must be disgorged to the Company. </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4.    The sale of any Company securities without complying with all applicable requirements of the Securities Act of 1933 (the “Securities Act”).</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5.    Answering questions or providing information about the Company and its affairs to outsiders unless you are specifically authorized to do so, or it is a regular part of your position.</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35660"/>
                <wp:effectExtent l="0" t="0" r="0" b="0"/>
                <wp:wrapNone/>
                <wp:docPr id="99" name="Frame98"/>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pPr>
      <w:r>
        <w:rPr>
          <w:rFonts w:ascii="Arial;sans-serif" w:hAnsi="Arial;sans-serif"/>
          <w:b w:val="false"/>
          <w:color w:val="000000"/>
          <w:sz w:val="20"/>
        </w:rPr>
        <w:t>In addition, Company directors and those officers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designated by the Board of Directors as Section 16 officers (“Section 16 Officers”) are required to file a number of forms with the Securities and Exchange Commission (the “SEC”) in connection with various events, which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 initial statement regarding beneficial ownership of equity securities of the Company, usually filed at the time of becoming a director or Section 16 Officer, regardless of actual ownership of such securities (Form 3).</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Statements of changes of beneficial ownership of securities of the Company, or derivatives thereof, to be filed before the end of the second business day after any such change (Form 4).</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Annual statement of beneficial ownership of securities, filed within 45 days of the end of the Company's fiscal year with respect to certain securities transactions not earlier reported (Form 5).</w:t>
      </w:r>
    </w:p>
    <w:p>
      <w:pPr>
        <w:pStyle w:val="TextBody"/>
        <w:bidi w:val="0"/>
        <w:spacing w:lineRule="auto" w:line="288" w:before="120" w:after="120"/>
        <w:jc w:val="both"/>
        <w:rPr/>
      </w:pPr>
      <w:r>
        <w:rPr>
          <w:rFonts w:ascii="Arial;sans-serif" w:hAnsi="Arial;sans-serif"/>
          <w:b w:val="false"/>
          <w:color w:val="000000"/>
          <w:sz w:val="20"/>
        </w:rPr>
        <w:t>Although the Company's</w:t>
      </w:r>
      <w:r>
        <w:rPr>
          <w:color w:val="000000"/>
        </w:rPr>
        <w:t xml:space="preserve"> </w:t>
      </w:r>
      <w:r>
        <w:rPr>
          <w:rFonts w:ascii="Arial;sans-serif" w:hAnsi="Arial;sans-serif"/>
          <w:b w:val="false"/>
          <w:color w:val="000000"/>
          <w:sz w:val="20"/>
        </w:rPr>
        <w:t>Chief Legal Officer will provide information to its directors and Section 16 Officers concerning these requirements and the filing of needed Forms, each Section 16 Officer and director bears legal responsibility for complying with these requirements. Consult with the Company’s Chief Legal Officer, or, if you prefer, with your individual legal counsel regarding any questions you have in this area.</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TRADING WHILE AWARE OF MATERIAL NONPUBLIC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You must maintain the confidentiality of material nonpublic information and may not trade in Company securities or derivatives or the securities or derivatives of any other entity to which the information relates until the information has been made public. The Company's Trading Policy has a detailed policy describing the prohibition against trading while aware of material nonpublic information, which you must read and follow.</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TRADING PLANS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Notwithstanding the prohibition against insider trading, subject to the requirements of Rule 10b5-1 under the Securities Exchange Act of 1934 (the “Exchange Act”), Covered Persons may trade in Company securities regardless of their awareness of inside information if the transaction is made pursuant to a pre-arranged written trading plan (“Trading Plan”) that meets the requirements of Rule 10b5-1 and the Company’s Rule 10b5-1 Trading Plan Guidelines (described in Appendix A to this Addendum). </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PRE-CLEARANCE PROCEDURES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Covered Persons and their family members and controlled entities (each as defined in the Trading Policy), may not engage in any transaction involving the Company's securities (including the exercise of stock options, gifts, loans, contributions to a trust, or any other transfers) without first obtaining clearance of the transaction from the Company's Chief Legal Officer. A request for pre-clearance to trade in Company securities should be submitted in writing to the Chief Legal Officer at least two business days in advance of the proposed transaction. When a request for pre-clearance is made, the requestor should confirm in the request that (1) the Trading Policy, including this Addendum, has been reviewed and (2) no material nonpublic information about the Company is possessed by the requestor. The Chief Legal Officer will review the circumstances of the proposed trade, taking into consideration </w:t>
      </w:r>
    </w:p>
    <w:p>
      <w:pPr>
        <w:pStyle w:val="TextBody"/>
        <w:bidi w:val="0"/>
        <w:spacing w:lineRule="auto" w:line="288" w:before="0" w:after="120"/>
        <w:jc w:val="both"/>
        <w:rPr/>
      </w:pPr>
      <w:r>
        <w:rPr>
          <w:rFonts w:ascii="Times New Roman;sans-serif" w:hAnsi="Times New Roman;sans-serif"/>
          <w:b w:val="false"/>
          <w:color w:val="000000"/>
          <w:sz w:val="13"/>
        </w:rPr>
        <w:t>1</w:t>
      </w:r>
      <w:r>
        <w:rPr>
          <w:color w:val="000000"/>
        </w:rPr>
        <w:t xml:space="preserve">     </w:t>
      </w:r>
      <w:r>
        <w:rPr>
          <w:rFonts w:ascii="Arial;sans-serif" w:hAnsi="Arial;sans-serif"/>
          <w:b w:val="false"/>
          <w:color w:val="000000"/>
          <w:sz w:val="18"/>
        </w:rPr>
        <w:t>Rule 16a-1 under the Exchange Act defines those "officers" who are subject to the trading restrictions and reporting obligations of Section 16 of the Exchange Act to include an issuer's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Officers of the issuer's parent(s) or subsidiaries are deemed officers of the issuer if they perform such policy-making functions for the issuer.</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35660"/>
                <wp:effectExtent l="0" t="0" r="0" b="0"/>
                <wp:wrapNone/>
                <wp:docPr id="100" name="Frame99"/>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any pending material events or other material information regarding the Company that has not yet been publicly disclosed, and whether it raises insider trading concerns or other concerns under federal laws and regulations. The Chief Legal Officer is under no obligation to pre-clear any trade. If a request for pre-clearance does not receive a response, the request will be deemed to have been denied. Clearance of a transaction must be obtained during a period when trading is permitted in accordance with this Addendum. If a proposed transaction receives pre-clearance, the pre-cleared trade must be effected within three business days of receipt of pre-clearance, unless an exception is granted or the person becomes aware of material nonpublic information before the trade is executed, in which case the pre-clearance is void and the trade must not be completed. If the transaction order is not placed within the time limit, clearance of the transaction must be re-requested. If clearance is denied, such person should refrain from initiating any transaction in Company securities and the fact of such denial must be kept confidential by the person requesting such clearance. Notwithstanding the foregoing, pre-clearance is not required for an employee to trade in the Company’s securities pursuant to a pre-arranged Trading Plan adopted in accordance with the requirements of Rule 10b5-1 and the Company’s Rule 10b5-1 Trading Plan Guidelines.</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BLACKOUT PERIODS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addition to being subject to the limitations set forth in the Trading Policy, Covered Persons and their family members and controlled entities are subject to the following blackout periods, during which they may not trade in the Company's securities (except that such persons and entities may trade in the Company’s securities by means of pre-arranged Trading Plans established in accordance with the requirements of Rule 10b5-1 and the Company’s Rule 10b5-1 Trading Plan Guidelines).</w:t>
      </w:r>
    </w:p>
    <w:p>
      <w:pPr>
        <w:pStyle w:val="TextBody"/>
        <w:bidi w:val="0"/>
        <w:spacing w:lineRule="auto" w:line="288" w:before="120" w:after="120"/>
        <w:jc w:val="both"/>
        <w:rPr/>
      </w:pPr>
      <w:r>
        <w:rPr>
          <w:rFonts w:ascii="Arial;sans-serif" w:hAnsi="Arial;sans-serif"/>
          <w:b/>
          <w:i/>
          <w:color w:val="000000"/>
          <w:sz w:val="20"/>
          <w:u w:val="single"/>
        </w:rPr>
        <w:t>Quarterly Blackout</w:t>
      </w:r>
      <w:r>
        <w:rPr>
          <w:rFonts w:ascii="Arial;sans-serif" w:hAnsi="Arial;sans-serif"/>
          <w:b w:val="false"/>
          <w:i/>
          <w:color w:val="000000"/>
          <w:sz w:val="20"/>
          <w:u w:val="single"/>
        </w:rPr>
        <w:t>.</w:t>
      </w:r>
      <w:r>
        <w:rPr>
          <w:color w:val="000000"/>
        </w:rPr>
        <w:t xml:space="preserve"> </w:t>
      </w:r>
    </w:p>
    <w:p>
      <w:pPr>
        <w:pStyle w:val="TextBody"/>
        <w:bidi w:val="0"/>
        <w:spacing w:lineRule="auto" w:line="288" w:before="120" w:after="120"/>
        <w:jc w:val="both"/>
        <w:rPr/>
      </w:pPr>
      <w:r>
        <w:rPr>
          <w:rFonts w:ascii="Arial;sans-serif" w:hAnsi="Arial;sans-serif"/>
          <w:b w:val="false"/>
          <w:color w:val="000000"/>
          <w:sz w:val="20"/>
        </w:rPr>
        <w:t>Because the announcement of the Company's quarterly and annual financial results will almost always have the potential to have a material effect on the market for the Company's securities, you may not trade in the Company's securities during the period beginning on the earlier of (1)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last month of the quarter or (2) the day of the Company’s monthly internal financial review in the last month of the quarter and ending after the second full business day following the release of the Company's financial results for that quarter. </w:t>
      </w:r>
    </w:p>
    <w:p>
      <w:pPr>
        <w:pStyle w:val="TextBody"/>
        <w:bidi w:val="0"/>
        <w:spacing w:lineRule="auto" w:line="288" w:before="120" w:after="120"/>
        <w:jc w:val="both"/>
        <w:rPr/>
      </w:pPr>
      <w:r>
        <w:rPr>
          <w:rFonts w:ascii="Arial;sans-serif" w:hAnsi="Arial;sans-serif"/>
          <w:b/>
          <w:i/>
          <w:color w:val="000000"/>
          <w:sz w:val="20"/>
          <w:u w:val="single"/>
        </w:rPr>
        <w:t>Interim Earnings Guidance and Event-Specific Blackouts</w:t>
      </w:r>
      <w:r>
        <w:rPr>
          <w:rFonts w:ascii="Arial;sans-serif" w:hAnsi="Arial;sans-serif"/>
          <w:b w:val="false"/>
          <w:i/>
          <w:color w:val="000000"/>
          <w:sz w:val="20"/>
          <w:u w:val="single"/>
        </w:rPr>
        <w:t>.</w:t>
      </w:r>
      <w:r>
        <w:rPr>
          <w:color w:val="000000"/>
        </w:rPr>
        <w:t xml:space="preserv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 may, on occasion, issue interim earnings guidance or other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From time to time, an event may occur that is material to the Company and is known by only a few individuals. The existence of an event-specific blackout will not be announced. If, however, a person whose trades are subject to pre-clearance requests permission to trade in the Company's securities during an event-specific blackout, the Company’s Chief Legal Officer may inform the requesting person of the existence of a blackout period, without disclosing the reason for the blackout. Any person made aware of the existence of an event-specific blackout should not disclose the existence of the blackout to any other person.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Directors and Section 16 Officers may also be subject to event-specific blackouts pursuant to the SEC's Regulation Blackout Trading Restriction, which prohibits certain sales and other transfers by insiders during certain pension plan blackout periods.</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35660"/>
                <wp:effectExtent l="0" t="0" r="0" b="0"/>
                <wp:wrapNone/>
                <wp:docPr id="101" name="Frame100"/>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Even if a blackout period is not in effect, at no time may you trade in Company securities if you are aware of material nonpublic information about the Company. The fact that the Company’s Chief Legal Officer does not notify you of an event-specific blackout will not relieve you of the obligation not to trade while aware of material nonpublic information. Trading in the Company's securities while a blackout period is not in effect should not be considered a “safe harbor,” and you should use good judgment at all times. Ultimately, you have the individual responsibility to comply with the Trading Policy and this Addendum. You may, from time to time, have to forego a proposed transaction in the Company's securities even if you planned to make the transaction before learning of the material nonpublic information and even though you believe you may suffer an economic loss or forego anticipated profit by waiting.</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REPORTING AND FORM FILING REQUIREMENTS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Under Section 16(a) of the Exchange Act, directors and Section 16 Officers of the Company must file forms with the SEC when they engage in certain transactions involving the Company's equity securities. In this context, in addition to equity interests such as common stock, “equity securities” of the Company also include securities known as derivative securities, which include options, warrants, convertible securities, and stock appreciation rights. </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Any questions concerning whether a particular transaction will necessitate filing of one of the following described forms, or how or when it should be completed should be asked of the Company's Chief Legal Officer, or, if you prefer, your individual legal counsel. The Company must disclose in its Annual Report on Form 10-K and in its Proxy Statement any delinquent filings of Forms 3, 4 or 5 by directors and Section 16 Officers, and must post on its website, by the end of the business day after filing with the SEC, any Forms 3, 4 and 5 relating to the Company's securities.</w:t>
      </w:r>
    </w:p>
    <w:p>
      <w:pPr>
        <w:pStyle w:val="TextBody"/>
        <w:bidi w:val="0"/>
        <w:spacing w:lineRule="auto" w:line="288" w:before="120" w:after="120"/>
        <w:jc w:val="both"/>
        <w:rPr>
          <w:rFonts w:ascii="Arial;sans-serif" w:hAnsi="Arial;sans-serif"/>
          <w:b w:val="false"/>
          <w:color w:val="000000"/>
          <w:sz w:val="20"/>
          <w:u w:val="single"/>
        </w:rPr>
      </w:pPr>
      <w:r>
        <w:rPr>
          <w:rFonts w:ascii="Arial;sans-serif" w:hAnsi="Arial;sans-serif"/>
          <w:b w:val="false"/>
          <w:color w:val="000000"/>
          <w:sz w:val="20"/>
          <w:u w:val="single"/>
        </w:rPr>
        <w:t>The Chief Legal Officer’s office will assist directors and Section 16 Officers in preparing and filing the required Section 16 forms; however, such directors and Section 16 Officers retain responsibility for the Section 16 form. To facilitate compliance with all reporting requirements, such directors and Section 16 Officers must, on the date of any trade, provide the Chief Legal Officer’s office with all information relating to the trade that is necessary to properly prepare a Form 4 or other Section 16 form. Such directors and Section 16 Officers must also execute a Form 4 or other Section 16 form (either individually or through a duly authorized power of attorney) within a sufficient amount of time to allow the Chief Legal Officer’s office to electronically file the Form 4 via the SEC’s Electronic Data Gathering, Analysis, and Retrieval system before the end of the second business day following the trade.</w:t>
      </w:r>
    </w:p>
    <w:p>
      <w:pPr>
        <w:pStyle w:val="TextBody"/>
        <w:bidi w:val="0"/>
        <w:spacing w:lineRule="auto" w:line="288" w:before="120" w:after="120"/>
        <w:jc w:val="both"/>
        <w:rPr/>
      </w:pPr>
      <w:r>
        <w:rPr>
          <w:rFonts w:ascii="Arial;sans-serif" w:hAnsi="Arial;sans-serif"/>
          <w:b/>
          <w:i/>
          <w:color w:val="000000"/>
          <w:sz w:val="20"/>
          <w:u w:val="single"/>
        </w:rPr>
        <w:t>Form 3:</w:t>
      </w:r>
      <w:r>
        <w:rPr>
          <w:color w:val="000000"/>
        </w:rPr>
        <w:t xml:space="preserve"> </w:t>
      </w:r>
      <w:r>
        <w:rPr>
          <w:rFonts w:ascii="Arial;sans-serif" w:hAnsi="Arial;sans-serif"/>
          <w:b/>
          <w:i/>
          <w:color w:val="000000"/>
          <w:sz w:val="20"/>
          <w:u w:val="single"/>
        </w:rPr>
        <w:t>Initial Beneficial Ownership Statement</w:t>
      </w:r>
      <w:r>
        <w:rPr>
          <w:rFonts w:ascii="Arial;sans-serif" w:hAnsi="Arial;sans-serif"/>
          <w:b w:val="false"/>
          <w:i/>
          <w:color w:val="000000"/>
          <w:sz w:val="20"/>
        </w:rPr>
        <w:t>.</w:t>
      </w:r>
      <w:r>
        <w:rPr>
          <w:color w:val="000000"/>
        </w:rPr>
        <w:t xml:space="preserv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person who becomes a director or Section 16 Officer of the Company must file a Form 3 within ten calendar days of becoming a director or Section 16 Officer, even if the director or Section 16 Officer is not an owner of the Company's equity securities at the time. The Form 3 must disclose the director's or Section 16 Officer's ownership of any Company equity securities the director or Section 16 Officer owns immediately prior to assuming office.</w:t>
      </w:r>
    </w:p>
    <w:p>
      <w:pPr>
        <w:pStyle w:val="TextBody"/>
        <w:bidi w:val="0"/>
        <w:spacing w:lineRule="auto" w:line="288" w:before="120" w:after="120"/>
        <w:jc w:val="both"/>
        <w:rPr/>
      </w:pPr>
      <w:r>
        <w:rPr>
          <w:rFonts w:ascii="Arial;sans-serif" w:hAnsi="Arial;sans-serif"/>
          <w:b/>
          <w:i/>
          <w:color w:val="000000"/>
          <w:sz w:val="20"/>
          <w:u w:val="single"/>
        </w:rPr>
        <w:t>Form 4: Changes of Beneficial Ownership Statement.</w:t>
      </w:r>
      <w:r>
        <w:rPr>
          <w:color w:val="000000"/>
        </w:rPr>
        <w:t xml:space="preserv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As long as a person remains a director or Section 16 Officer, and, for certain transactions, for up to six months after a person no longer holds such a position with the Company, a Form 4 must be filed before 10:00 p.m. (eastern time) on the second business day following the day that there is a change in the number of equity securities of the Company held from that previously reported to the SEC. There are limited exceptions to this requirement. </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35660"/>
                <wp:effectExtent l="0" t="0" r="0" b="0"/>
                <wp:wrapNone/>
                <wp:docPr id="102" name="Frame10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pPr>
      <w:r>
        <w:rPr>
          <w:rFonts w:ascii="Arial;sans-serif" w:hAnsi="Arial;sans-serif"/>
          <w:b/>
          <w:i/>
          <w:color w:val="000000"/>
          <w:sz w:val="20"/>
          <w:u w:val="single"/>
        </w:rPr>
        <w:t>Form 5: Annual Beneficial Ownership Statement.</w:t>
      </w:r>
      <w:r>
        <w:rPr>
          <w:color w:val="000000"/>
        </w:rPr>
        <w:t xml:space="preserv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 Form 5 must be filed with the SEC by any individual who served as a director or Section 16 Officer of the Company during any part of the Company's fiscal year to report: (1) all reportable transactions in Company equity securities exempt from the Form 4 filing requirement or unreported transactions of less than $10,000; (2) all transactions that should have been reported during the last fiscal year but were not; and (3) with respect to an individual's first Form 5, all transactions which should have been reported but were not for the last two fiscal years.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Form 5 need not be filed if all transactions otherwise reportable have been previously reported. If required, Form 5 must be filed on or before the 45th day after the end of the Company fiscal year, which is December 31. Common types of transactions reportable on Form 5 include unreported transactions of less than $10,000.</w:t>
      </w:r>
    </w:p>
    <w:p>
      <w:pPr>
        <w:pStyle w:val="TextBody"/>
        <w:bidi w:val="0"/>
        <w:spacing w:lineRule="auto" w:line="288" w:before="120" w:after="120"/>
        <w:jc w:val="left"/>
        <w:rPr>
          <w:rFonts w:ascii="Arial;sans-serif" w:hAnsi="Arial;sans-serif"/>
          <w:b/>
          <w:i/>
          <w:color w:val="000000"/>
          <w:sz w:val="20"/>
          <w:u w:val="single"/>
        </w:rPr>
      </w:pPr>
      <w:r>
        <w:rPr>
          <w:rFonts w:ascii="Arial;sans-serif" w:hAnsi="Arial;sans-serif"/>
          <w:b/>
          <w:i/>
          <w:color w:val="000000"/>
          <w:sz w:val="20"/>
          <w:u w:val="single"/>
        </w:rPr>
        <w:t>Family Holdings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Directors and Section 16 Officers are presumed to beneficially own securities held by any member of the director's or Section 16 Officer's immediate family sharing the director's or Section 16 Officer's household. As a result, directors and Section 16 Officers must report all holdings and transactions by immediate family members living in the director's or Section 16 Officer's household. For this purpose, "immediate family" includes a spouse, children, stepchildren, grandchildren, parents, grandparents, stepparents, siblings, and in-laws, and also includes adoptive relationships.</w:t>
      </w:r>
    </w:p>
    <w:p>
      <w:pPr>
        <w:pStyle w:val="TextBody"/>
        <w:bidi w:val="0"/>
        <w:spacing w:lineRule="auto" w:line="288" w:before="120" w:after="120"/>
        <w:jc w:val="both"/>
        <w:rPr>
          <w:rFonts w:ascii="Arial;sans-serif" w:hAnsi="Arial;sans-serif"/>
          <w:b/>
          <w:i/>
          <w:color w:val="000000"/>
          <w:sz w:val="20"/>
          <w:u w:val="single"/>
        </w:rPr>
      </w:pPr>
      <w:r>
        <w:rPr>
          <w:rFonts w:ascii="Arial;sans-serif" w:hAnsi="Arial;sans-serif"/>
          <w:b/>
          <w:i/>
          <w:color w:val="000000"/>
          <w:sz w:val="20"/>
          <w:u w:val="single"/>
        </w:rPr>
        <w:t>Reporting Exemptions for Certain Employee Benefit Plan Transactions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Rule 16b-3 under the Exchange Act provides exemptions for director and Section 16 Officer reporting of certain employee benefit plan events on Forms 4 and 5, including certain routine non-volitional transactions under tax-conditioned thrift, stock purchase and excess benefit plans.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transaction that results only in a change in the form of a person's beneficial ownership is also exempt from reporting. An exempt "change in the form of beneficial ownership" would include, for example, a distribution of benefit plan securities to an insider participant where the securities were previously attributable to the insider. Exercises or conversions of derivative securities would not, however, be considered mere changes in beneficial ownership and would be reportable.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vesting of most stock options, restricted stock and stock appreciation rights is also not subject to the reporting requirements.</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SHORT-SWING TRADING PROFITS AND SHORT SALES</w:t>
      </w:r>
    </w:p>
    <w:p>
      <w:pPr>
        <w:pStyle w:val="TextBody"/>
        <w:bidi w:val="0"/>
        <w:spacing w:lineRule="auto" w:line="288" w:before="120" w:after="120"/>
        <w:jc w:val="both"/>
        <w:rPr/>
      </w:pPr>
      <w:r>
        <w:rPr>
          <w:rFonts w:ascii="Arial;sans-serif" w:hAnsi="Arial;sans-serif"/>
          <w:b/>
          <w:i/>
          <w:color w:val="000000"/>
          <w:sz w:val="20"/>
          <w:u w:val="single"/>
        </w:rPr>
        <w:t>Short-Swing Trading Profits</w:t>
      </w:r>
      <w:r>
        <w:rPr>
          <w:color w:val="000000"/>
        </w:rPr>
        <w:t xml:space="preserv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order to discourage directors and officers from profiting through short-term trading transactions in equity securities of the Company, Section 16(b) of the Exchange Act requires that any “short-swing profits” be disgorged to the Company. (This is in addition to the Section 16 reporting requirements described above.) "Short-swing profits" are profits that result from any purchase and sale, or sale and purchase of the Company's equity securities within a six-month period, unless there is an applicable exemption for either transaction. It is important to note that this rule applies to any matched transactions in the Company's securities (including derivative securities), not only a purchase and sale or sale and purchase of the same shares, or even of the same class of securities. Furthermore, pursuant to the SEC's rules, profit is determined so as to maximize the amount that the director or Section 16 Officer must disgorge, and this amount may not be offset by any losses realized. "Short-swing profits" may exceed economic profits.</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35660"/>
                <wp:effectExtent l="0" t="0" r="0" b="0"/>
                <wp:wrapNone/>
                <wp:docPr id="103" name="Frame102"/>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jc w:val="both"/>
        <w:rPr/>
      </w:pPr>
      <w:r>
        <w:rPr>
          <w:rFonts w:ascii="Arial;sans-serif" w:hAnsi="Arial;sans-serif"/>
          <w:b/>
          <w:i/>
          <w:color w:val="000000"/>
          <w:sz w:val="20"/>
          <w:u w:val="single"/>
        </w:rPr>
        <w:t>Short-swing Exemptions for Certain Reinvestment and</w:t>
      </w:r>
      <w:r>
        <w:rPr>
          <w:color w:val="000000"/>
        </w:rPr>
        <w:t xml:space="preserve"> </w:t>
      </w:r>
      <w:r>
        <w:rPr>
          <w:rFonts w:ascii="Arial;sans-serif" w:hAnsi="Arial;sans-serif"/>
          <w:b/>
          <w:i/>
          <w:color w:val="000000"/>
          <w:sz w:val="20"/>
          <w:u w:val="single"/>
        </w:rPr>
        <w:t>Employee Benefit Plan Transactions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As indicated, to come within the short-swing rules, a purchase and sale (or sale and purchase) within any period of less than six months are matched to determine what profit there is (if any). Rule 16b-3 has carved out a few exceptions to what constitutes a "purchase" for these matching purposes.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Under this Rule certain transactions involving acquisitions of equity securities under employee benefit plans are not counted as "purchases" for short-swing purposes, provided that the benefit plan meets various statutory requirements.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Company's Long-Term Incentive Plan meets these requirements, and therefore an acquisition of equity securities under it, generally speaking, is not a “purchase” for short-swing purposes.</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LIMITATIONS AND REQUIREMENTS ON RESALES OF THE COMPANY'S SECURITIES</w:t>
      </w:r>
    </w:p>
    <w:p>
      <w:pPr>
        <w:pStyle w:val="TextBody"/>
        <w:bidi w:val="0"/>
        <w:spacing w:lineRule="auto" w:line="288" w:before="120" w:after="120"/>
        <w:jc w:val="both"/>
        <w:rPr/>
      </w:pPr>
      <w:r>
        <w:rPr>
          <w:rFonts w:ascii="Arial;sans-serif" w:hAnsi="Arial;sans-serif"/>
          <w:b w:val="false"/>
          <w:color w:val="000000"/>
          <w:sz w:val="20"/>
        </w:rPr>
        <w:t>Under the Securities Act, directors and certain officers who are affiliates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of the Company who wish to sell Company securities generally must comply with the requirements of Rule 144 or be forced to register them under the Securities Act. "Securities" under Rule 144 (unlike under Section 16) are broadly defined to include all securities, not just equity securities. Therefore, with limited exception, the Rule 144 requirements apply not only to common and preferred stock, but also to bonds, debentures and any other form of security. Also, the safe harbor afforded by this rule is available whether or not the securities to be resold were previously registered under the Securities Act (except that the minimum holding period required to satisfy the safe harbor shall apply only to securities which were not registered under the Securities Act).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relevant provisions of Rule 144 as they apply to resales by affiliate directors and officers seeking to take advantage of the safe harbor are as follows:</w:t>
      </w:r>
    </w:p>
    <w:p>
      <w:pPr>
        <w:pStyle w:val="TextBody"/>
        <w:bidi w:val="0"/>
        <w:spacing w:lineRule="auto" w:line="288" w:before="120" w:after="120"/>
        <w:ind w:left="0" w:right="0" w:hanging="360"/>
        <w:jc w:val="both"/>
        <w:rPr/>
      </w:pPr>
      <w:r>
        <w:rPr>
          <w:rFonts w:ascii="Arial;sans-serif" w:hAnsi="Arial;sans-serif"/>
          <w:b w:val="false"/>
          <w:color w:val="000000"/>
          <w:sz w:val="20"/>
        </w:rPr>
        <w:t>1.    </w:t>
      </w:r>
      <w:r>
        <w:rPr>
          <w:rFonts w:ascii="Arial;sans-serif" w:hAnsi="Arial;sans-serif"/>
          <w:b w:val="false"/>
          <w:i/>
          <w:color w:val="000000"/>
          <w:sz w:val="20"/>
          <w:u w:val="single"/>
        </w:rPr>
        <w:t>Current public information</w:t>
      </w:r>
      <w:r>
        <w:rPr>
          <w:rFonts w:ascii="Arial;sans-serif" w:hAnsi="Arial;sans-serif"/>
          <w:b w:val="false"/>
          <w:color w:val="000000"/>
          <w:sz w:val="20"/>
        </w:rPr>
        <w:t>. There must be adequate current public information available regarding the Company. This requirement is satisfied only if the Company has filed all reports required by the Exchange Act during the twelve months preceding the sale.</w:t>
      </w:r>
    </w:p>
    <w:p>
      <w:pPr>
        <w:pStyle w:val="TextBody"/>
        <w:bidi w:val="0"/>
        <w:spacing w:lineRule="auto" w:line="288" w:before="120" w:after="120"/>
        <w:ind w:left="0" w:right="0" w:hanging="360"/>
        <w:jc w:val="both"/>
        <w:rPr/>
      </w:pPr>
      <w:r>
        <w:rPr>
          <w:rFonts w:ascii="Arial;sans-serif" w:hAnsi="Arial;sans-serif"/>
          <w:b w:val="false"/>
          <w:color w:val="000000"/>
          <w:sz w:val="20"/>
        </w:rPr>
        <w:t>2.    </w:t>
      </w:r>
      <w:r>
        <w:rPr>
          <w:rFonts w:ascii="Arial;sans-serif" w:hAnsi="Arial;sans-serif"/>
          <w:b w:val="false"/>
          <w:i/>
          <w:color w:val="000000"/>
          <w:sz w:val="20"/>
          <w:u w:val="single"/>
        </w:rPr>
        <w:t>Manner of sale</w:t>
      </w:r>
      <w:r>
        <w:rPr>
          <w:rFonts w:ascii="Arial;sans-serif" w:hAnsi="Arial;sans-serif"/>
          <w:b w:val="false"/>
          <w:i/>
          <w:color w:val="000000"/>
          <w:sz w:val="20"/>
        </w:rPr>
        <w:t xml:space="preserve">. </w:t>
      </w:r>
      <w:r>
        <w:rPr>
          <w:rFonts w:ascii="Arial;sans-serif" w:hAnsi="Arial;sans-serif"/>
          <w:b w:val="false"/>
          <w:color w:val="000000"/>
          <w:sz w:val="20"/>
        </w:rPr>
        <w:t>The sale of the Company's equity securities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must be made in an open market transaction through a broker at the prevailing market price for no more than the usual and customary brokerage commission (or to a market maker at the price held out by the market maker). Furthermore, the broker may not solicit or arrange for the solicitation of customers to purchase the shares. In addition, your broker likely has its own Rule 144 procedures (and must be involved in transmitting Form 144 (see item 4 below)), so it is important to speak with your broker prior to any sale. Even if your stock certificates do not contain any restrictive legends, you should inform your broker that you may be considered an affiliate of the Company.</w:t>
      </w:r>
    </w:p>
    <w:p>
      <w:pPr>
        <w:pStyle w:val="TextBody"/>
        <w:bidi w:val="0"/>
        <w:spacing w:lineRule="auto" w:line="288" w:before="120" w:after="120"/>
        <w:ind w:left="0" w:right="0" w:hanging="360"/>
        <w:jc w:val="both"/>
        <w:rPr/>
      </w:pPr>
      <w:r>
        <w:rPr>
          <w:rFonts w:ascii="Arial;sans-serif" w:hAnsi="Arial;sans-serif"/>
          <w:b w:val="false"/>
          <w:color w:val="000000"/>
          <w:sz w:val="20"/>
        </w:rPr>
        <w:t>3.    </w:t>
      </w:r>
      <w:r>
        <w:rPr>
          <w:rFonts w:ascii="Arial;sans-serif" w:hAnsi="Arial;sans-serif"/>
          <w:b w:val="false"/>
          <w:i/>
          <w:color w:val="000000"/>
          <w:sz w:val="20"/>
          <w:u w:val="single"/>
        </w:rPr>
        <w:t>Number of shares which may be sold.</w:t>
      </w:r>
      <w:r>
        <w:rPr>
          <w:color w:val="000000"/>
        </w:rPr>
        <w:t xml:space="preserve"> </w:t>
      </w:r>
      <w:r>
        <w:rPr>
          <w:rFonts w:ascii="Arial;sans-serif" w:hAnsi="Arial;sans-serif"/>
          <w:b w:val="false"/>
          <w:color w:val="000000"/>
          <w:sz w:val="20"/>
        </w:rPr>
        <w:t>The amount of equity securities that may be sold in a three-month period is limited to the greater of:</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a.    one percent of the outstanding shares of the same class of the Company, or</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b.    the average weekly reported trading volume in the four calendar weeks preceding the transactions.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With regard to debt securities, up to ten percent of a tranche (or class in the case of non-participatory preferred stock), together with all sales of securities of the same tranche (or class) sold for the account of the selling holder, may be sold in any three-month period. </w:t>
      </w:r>
    </w:p>
    <w:p>
      <w:pPr>
        <w:pStyle w:val="TextBody"/>
        <w:bidi w:val="0"/>
        <w:spacing w:lineRule="auto" w:line="288" w:before="0" w:after="12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Rule 144 under the Securities Act defines "affiliate" of an issuer as "a person that directly, or indirectly through one or more intermediaries, controls, or is controlled by, or is under common control with, such issuer."</w:t>
      </w:r>
    </w:p>
    <w:p>
      <w:pPr>
        <w:pStyle w:val="TextBody"/>
        <w:bidi w:val="0"/>
        <w:spacing w:lineRule="auto" w:line="288" w:before="0" w:after="12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Debt securities are not subject to any manner of sale requirements.</w:t>
      </w:r>
      <w:r>
        <w:rPr>
          <w:color w:val="000000"/>
        </w:rPr>
        <w:t xml:space="preserve"> </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35660"/>
                <wp:effectExtent l="0" t="0" r="0" b="0"/>
                <wp:wrapNone/>
                <wp:docPr id="104" name="Frame103"/>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120"/>
        <w:ind w:left="0" w:right="0" w:hanging="360"/>
        <w:jc w:val="both"/>
        <w:rPr/>
      </w:pPr>
      <w:r>
        <w:rPr>
          <w:rFonts w:ascii="Arial;sans-serif" w:hAnsi="Arial;sans-serif"/>
          <w:b w:val="false"/>
          <w:color w:val="000000"/>
          <w:sz w:val="20"/>
        </w:rPr>
        <w:t>4.    </w:t>
      </w:r>
      <w:r>
        <w:rPr>
          <w:rFonts w:ascii="Arial;sans-serif" w:hAnsi="Arial;sans-serif"/>
          <w:b w:val="false"/>
          <w:i/>
          <w:color w:val="000000"/>
          <w:sz w:val="20"/>
          <w:u w:val="single"/>
        </w:rPr>
        <w:t>Notice of proposed sale</w:t>
      </w:r>
      <w:r>
        <w:rPr>
          <w:rFonts w:ascii="Arial;sans-serif" w:hAnsi="Arial;sans-serif"/>
          <w:b/>
          <w:i/>
          <w:color w:val="000000"/>
          <w:sz w:val="20"/>
        </w:rPr>
        <w:t>.</w:t>
      </w:r>
      <w:r>
        <w:rPr>
          <w:color w:val="000000"/>
        </w:rPr>
        <w:t xml:space="preserve"> </w:t>
      </w:r>
      <w:r>
        <w:rPr>
          <w:rFonts w:ascii="Arial;sans-serif" w:hAnsi="Arial;sans-serif"/>
          <w:b w:val="false"/>
          <w:color w:val="000000"/>
          <w:sz w:val="20"/>
        </w:rPr>
        <w:t>If the amount of securities proposed to be sold during any three-month period exceeds 5,000 shares or has an aggregate sale price in excess of $50,000, the affiliate must file a notice of sale with the SEC on Form 144 prior to, or concurrently with, the placing of the order to sell securities.</w:t>
      </w:r>
    </w:p>
    <w:p>
      <w:pPr>
        <w:pStyle w:val="TextBody"/>
        <w:bidi w:val="0"/>
        <w:spacing w:lineRule="auto" w:line="288" w:before="120" w:after="120"/>
        <w:ind w:left="0" w:right="0" w:hanging="360"/>
        <w:jc w:val="both"/>
        <w:rPr/>
      </w:pPr>
      <w:r>
        <w:rPr>
          <w:rFonts w:ascii="Arial;sans-serif" w:hAnsi="Arial;sans-serif"/>
          <w:b w:val="false"/>
          <w:color w:val="000000"/>
          <w:sz w:val="20"/>
        </w:rPr>
        <w:t>5.    </w:t>
      </w:r>
      <w:r>
        <w:rPr>
          <w:rFonts w:ascii="Arial;sans-serif" w:hAnsi="Arial;sans-serif"/>
          <w:b w:val="false"/>
          <w:i/>
          <w:color w:val="000000"/>
          <w:sz w:val="20"/>
          <w:u w:val="single"/>
        </w:rPr>
        <w:t>Holding Periods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Any securities of the Company acquired directly or indirectly from the Company in a transaction that was not registered with the SEC under the Securities Act (restricted securities) must be held for 6 months prior to reselling such securities. There is no statutory minimum holding period for securities which were registered under the Securities Act or acquired in an open-market transaction.</w:t>
      </w:r>
    </w:p>
    <w:p>
      <w:pPr>
        <w:pStyle w:val="TextBody"/>
        <w:bidi w:val="0"/>
        <w:spacing w:lineRule="auto" w:line="288" w:before="120" w:after="120"/>
        <w:jc w:val="both"/>
        <w:rPr/>
      </w:pPr>
      <w:r>
        <w:rPr>
          <w:rFonts w:ascii="Arial;sans-serif" w:hAnsi="Arial;sans-serif"/>
          <w:b w:val="false"/>
          <w:color w:val="000000"/>
          <w:sz w:val="20"/>
        </w:rPr>
        <w:t>In certain situations (</w:t>
      </w:r>
      <w:r>
        <w:rPr>
          <w:rFonts w:ascii="Arial;sans-serif" w:hAnsi="Arial;sans-serif"/>
          <w:b w:val="false"/>
          <w:i/>
          <w:color w:val="000000"/>
          <w:sz w:val="20"/>
        </w:rPr>
        <w:t>e.g</w:t>
      </w:r>
      <w:r>
        <w:rPr>
          <w:rFonts w:ascii="Arial;sans-serif" w:hAnsi="Arial;sans-serif"/>
          <w:b w:val="false"/>
          <w:color w:val="000000"/>
          <w:sz w:val="20"/>
        </w:rPr>
        <w:t>., securities acquired through stock dividends, splits or conversions), "tacking" is permitted; that is, the new securities will be deemed to have been acquired at the same time as the original securities.</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QUESTIONS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Because of the technical nature of some aspects of the federal securities laws, all directors and officers should review this material carefully and contact the Company’s Chief Legal Officer prior to engaging in any transaction in the Company's securities which might be in conflict with the securities law and this Company Policy.</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35660"/>
                <wp:effectExtent l="0" t="0" r="0" b="0"/>
                <wp:wrapNone/>
                <wp:docPr id="105" name="Frame104"/>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SCHEDULE A</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POSITIONS OF COVERED PERSONS</w:t>
      </w:r>
    </w:p>
    <w:tbl>
      <w:tblPr>
        <w:tblW w:w="4844" w:type="dxa"/>
        <w:jc w:val="left"/>
        <w:tblInd w:w="0" w:type="dxa"/>
        <w:tblLayout w:type="fixed"/>
        <w:tblCellMar>
          <w:top w:w="28" w:type="dxa"/>
          <w:left w:w="28" w:type="dxa"/>
          <w:bottom w:w="28" w:type="dxa"/>
          <w:right w:w="28" w:type="dxa"/>
        </w:tblCellMar>
      </w:tblPr>
      <w:tblGrid>
        <w:gridCol w:w="924"/>
        <w:gridCol w:w="809"/>
        <w:gridCol w:w="817"/>
        <w:gridCol w:w="670"/>
        <w:gridCol w:w="670"/>
        <w:gridCol w:w="954"/>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MYR Group Inc.</w:t>
            </w:r>
          </w:p>
        </w:tc>
        <w:tc>
          <w:tcPr>
            <w:tcW w:w="22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MYR Group Inc.</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Subsidiary Companies</w:t>
            </w:r>
          </w:p>
        </w:tc>
      </w:tr>
      <w:tr>
        <w:trPr/>
        <w:tc>
          <w:tcPr>
            <w:tcW w:w="25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Directors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President</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Chief Operating Officer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Treasurer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Chief Accounting Officer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Chief Legal Officer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Secretary</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Group Vice Presidents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Senior Vice Presidents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Vice Presidents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Controllers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Assistant Controllers</w:t>
            </w:r>
          </w:p>
          <w:p>
            <w:pPr>
              <w:pStyle w:val="TableContents"/>
              <w:bidi w:val="0"/>
              <w:spacing w:lineRule="auto" w:line="288" w:before="60" w:after="60"/>
              <w:jc w:val="center"/>
              <w:rPr/>
            </w:pPr>
            <w:r>
              <w:rPr>
                <w:rFonts w:ascii="Arial;sans-serif" w:hAnsi="Arial;sans-serif"/>
                <w:b w:val="false"/>
                <w:color w:val="000000"/>
                <w:sz w:val="20"/>
              </w:rPr>
              <w:t>Accounting Managers</w:t>
            </w:r>
            <w:r>
              <w:rPr>
                <w:rFonts w:ascii="Arial;sans-serif" w:hAnsi="Arial;sans-serif"/>
                <w:b w:val="false"/>
                <w:color w:val="000000"/>
                <w:sz w:val="13"/>
              </w:rPr>
              <w:t>1</w:t>
            </w:r>
          </w:p>
          <w:p>
            <w:pPr>
              <w:pStyle w:val="TableContents"/>
              <w:bidi w:val="0"/>
              <w:spacing w:lineRule="auto" w:line="288" w:before="60" w:after="60"/>
              <w:jc w:val="center"/>
              <w:rPr/>
            </w:pPr>
            <w:r>
              <w:rPr>
                <w:rFonts w:ascii="Arial;sans-serif" w:hAnsi="Arial;sans-serif"/>
                <w:b w:val="false"/>
                <w:color w:val="000000"/>
                <w:sz w:val="20"/>
              </w:rPr>
              <w:t>Accounting Supervisors</w:t>
            </w:r>
            <w:r>
              <w:rPr>
                <w:rFonts w:ascii="Arial;sans-serif" w:hAnsi="Arial;sans-serif"/>
                <w:b w:val="false"/>
                <w:color w:val="000000"/>
                <w:sz w:val="13"/>
              </w:rPr>
              <w:t>1</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Staff Accountants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Financial Analysis Staff</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Director Risk Management</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Director Internal Audit</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Internal Audit Staff</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Manager SEC Reporting</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SEC Reporting Staff</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Assistant General Counsels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Attorneys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Chief Estimator</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Accounting Supervisor</w:t>
            </w:r>
          </w:p>
        </w:tc>
        <w:tc>
          <w:tcPr>
            <w:tcW w:w="22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Directors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Presidents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Treasurers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Secretaries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Senior Vice Presidents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Vice Presidents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Controllers</w:t>
            </w:r>
          </w:p>
          <w:p>
            <w:pPr>
              <w:pStyle w:val="TableContents"/>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Assistant Controllers</w:t>
            </w:r>
          </w:p>
          <w:p>
            <w:pPr>
              <w:pStyle w:val="TableContents"/>
              <w:bidi w:val="0"/>
              <w:spacing w:lineRule="auto" w:line="288" w:before="60" w:after="60"/>
              <w:jc w:val="center"/>
              <w:rPr/>
            </w:pPr>
            <w:r>
              <w:rPr>
                <w:rFonts w:ascii="Arial;sans-serif" w:hAnsi="Arial;sans-serif"/>
                <w:b w:val="false"/>
                <w:color w:val="000000"/>
                <w:sz w:val="20"/>
              </w:rPr>
              <w:t>Accounting Managers</w:t>
            </w:r>
            <w:r>
              <w:rPr>
                <w:rFonts w:ascii="Arial;sans-serif" w:hAnsi="Arial;sans-serif"/>
                <w:b w:val="false"/>
                <w:color w:val="000000"/>
                <w:sz w:val="13"/>
              </w:rPr>
              <w:t>1</w:t>
            </w:r>
          </w:p>
          <w:p>
            <w:pPr>
              <w:pStyle w:val="TableContents"/>
              <w:bidi w:val="0"/>
              <w:spacing w:lineRule="auto" w:line="288" w:before="60" w:after="60"/>
              <w:jc w:val="center"/>
              <w:rPr/>
            </w:pPr>
            <w:r>
              <w:rPr>
                <w:rFonts w:ascii="Arial;sans-serif" w:hAnsi="Arial;sans-serif"/>
                <w:b w:val="false"/>
                <w:color w:val="000000"/>
                <w:sz w:val="20"/>
              </w:rPr>
              <w:t>Accounting Supervisors</w:t>
            </w:r>
            <w:r>
              <w:rPr>
                <w:rFonts w:ascii="Arial;sans-serif" w:hAnsi="Arial;sans-serif"/>
                <w:b w:val="false"/>
                <w:color w:val="000000"/>
                <w:sz w:val="13"/>
              </w:rPr>
              <w:t>1</w:t>
            </w:r>
          </w:p>
          <w:p>
            <w:pPr>
              <w:pStyle w:val="TableContents"/>
              <w:bidi w:val="0"/>
              <w:spacing w:before="60" w:after="60"/>
              <w:jc w:val="center"/>
              <w:rPr/>
            </w:pPr>
            <w:r>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    Excludes accounting managers and accounting supervisors for accounts receivables, accounts payable, and fixed assets.</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35660"/>
                <wp:effectExtent l="0" t="0" r="0" b="0"/>
                <wp:wrapNone/>
                <wp:docPr id="106" name="Frame10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APPENDIX A</w:t>
      </w:r>
    </w:p>
    <w:p>
      <w:pPr>
        <w:pStyle w:val="TextBody"/>
        <w:bidi w:val="0"/>
        <w:spacing w:lineRule="auto" w:line="288" w:before="120" w:after="120"/>
        <w:jc w:val="center"/>
        <w:rPr>
          <w:rFonts w:ascii="Arial;sans-serif" w:hAnsi="Arial;sans-serif"/>
          <w:b/>
          <w:color w:val="000000"/>
          <w:sz w:val="20"/>
          <w:u w:val="single"/>
        </w:rPr>
      </w:pPr>
      <w:r>
        <w:rPr>
          <w:rFonts w:ascii="Arial;sans-serif" w:hAnsi="Arial;sans-serif"/>
          <w:b/>
          <w:color w:val="000000"/>
          <w:sz w:val="20"/>
          <w:u w:val="single"/>
        </w:rPr>
        <w:t>RULE 10b5-1 TRADING PLAN GUIDELINES</w:t>
      </w:r>
    </w:p>
    <w:p>
      <w:pPr>
        <w:pStyle w:val="TextBody"/>
        <w:bidi w:val="0"/>
        <w:spacing w:lineRule="auto" w:line="288" w:before="120" w:after="120"/>
        <w:jc w:val="left"/>
        <w:rPr/>
      </w:pPr>
      <w:r>
        <w:rPr>
          <w:color w:val="000000"/>
        </w:rPr>
        <w:t>    </w:t>
      </w:r>
      <w:r>
        <w:rPr>
          <w:rFonts w:ascii="Arial;sans-serif" w:hAnsi="Arial;sans-serif"/>
          <w:b w:val="false"/>
          <w:color w:val="000000"/>
          <w:sz w:val="20"/>
        </w:rPr>
        <w:t>These guidelines are designed to facilitate the review of pre-arranged trading plans under Rule 10b5-1 (“Rule 10b5-1”) of the Securities Exchange Act of 1934 (as amended, the “Exchange Act”) submitted to the Chief Legal Officer of MYR Group Inc. (the “Company”) for review and pre-approval pursuant to the Company’s the Company’s Policy on Insider Trading and related Addendum (collectively, the “Policy”). Capitalized terms used in these guidelines without definition are as defined in the Policy. The Chief Legal Officer has been authorized by the Board of Directors of the Company to amend these guidelines at any time for the purpose of conforming these guidelines with applicable law, in accordance with legal advice, or the rules and regulations of the Securities and Exchange Commission.</w:t>
      </w:r>
    </w:p>
    <w:p>
      <w:pPr>
        <w:pStyle w:val="TextBody"/>
        <w:bidi w:val="0"/>
        <w:spacing w:lineRule="auto" w:line="288" w:before="120" w:after="120"/>
        <w:jc w:val="left"/>
        <w:rPr/>
      </w:pPr>
      <w:r>
        <w:rPr>
          <w:color w:val="000000"/>
        </w:rPr>
        <w:t>    </w:t>
      </w:r>
      <w:r>
        <w:rPr>
          <w:rFonts w:ascii="Arial;sans-serif" w:hAnsi="Arial;sans-serif"/>
          <w:b/>
          <w:color w:val="000000"/>
          <w:sz w:val="20"/>
        </w:rPr>
        <w:t>Pre-Arranged Plan Provisions</w:t>
      </w:r>
      <w:r>
        <w:rPr>
          <w:color w:val="000000"/>
        </w:rPr>
        <w:t>—</w:t>
      </w:r>
      <w:r>
        <w:rPr>
          <w:rFonts w:ascii="Arial;sans-serif" w:hAnsi="Arial;sans-serif"/>
          <w:b w:val="false"/>
          <w:color w:val="000000"/>
          <w:sz w:val="20"/>
        </w:rPr>
        <w:t>Each pre-arranged trading plan will be reviewed and pre-approved by the Chief Legal Officer. The Chief Legal Officer will determine whether the proposed pre-arranged trading plan contains the following mandatory terms, unless the Chief Legal Officer recognizes there is an exception in a particular case.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plan must affirm an intent to comply with Rule 10b5-1.</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If the person entering into (or modifying) the plan is an “officer” (as defined in Rule 16a-1(f) of the Exchange Act, an “Officer”) of the Company or a member of the Board of Directors of the Company (a “Director”), the plan must include a certification by such person that, on the date of adoption (or modification) of the plan, such person is not in possession of material nonpublic information about the Company or its securities.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If the person entering into (or modifying) the plan is an Officer or a Director, the plan must include a certification by the person that, on the date of adoption (or modification) of the plan, the person is adopting (or modifying) the plan in good faith and not as part of a plan or scheme to evade the prohibitions of Section 10(b) and Rule 10b-5 under the Exchange Act.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plan must specify the nature of the transactions (e.g., purchase or sale).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plan must not permit the exercise of any subsequent influence over how, when or whether to effect purchases or sales; provided, in addition, that any other person who, pursuant to the plan, did exercise such influence must not have been aware of material nonpublic information when doing so.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plan must specify the terms of all transactions (identify the amounts, prices, and dates of proposed transactions).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If the person entering into (or modifying) the plan is an Officer or a Director, the plan must provide for a cooling-off period of at least the later of (1) 90 days after the adoption (or modification) of the plan and (2) two business days following the disclosure of the Company’s financial results in a Form 10-Q or Form 10-K for the completed fiscal quarter in which the plan was adopted (or modified) (but not to exceed 120 days following plan adoption (or modification)), before execution of the first transaction (or next transaction, in the case of a modification) under the plan.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If the person entering into (or modifying) the plan is not an Officer or Director, the plan must provide for a cooling-off period of at least 30 days after adoption (or modification) of the plan before execution of the first transaction (or next transaction, in the case of a modification) under the plan. </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35660"/>
                <wp:effectExtent l="0" t="0" r="0" b="0"/>
                <wp:wrapNone/>
                <wp:docPr id="107" name="Frame106"/>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plan must specify a termination date that is at least six months following the effective date of the plan.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If the person entering into (or modifying) the plan is an Officer or Director, the plan must include reporting compliance provisions, instructing parties effecting transactions to provide timely notification of such transactions to the Chief Legal Officer for purposes of assuring compliance with applicable reporting requirements, such as those arising under Rule 144 of the Securities Act of 1933 and Section 16 under the Exchange Act.</w:t>
      </w:r>
    </w:p>
    <w:p>
      <w:pPr>
        <w:pStyle w:val="TextBody"/>
        <w:bidi w:val="0"/>
        <w:spacing w:lineRule="auto" w:line="288" w:before="120" w:after="120"/>
        <w:jc w:val="left"/>
        <w:rPr/>
      </w:pPr>
      <w:r>
        <w:rPr>
          <w:color w:val="000000"/>
        </w:rPr>
        <w:t>    </w:t>
      </w:r>
      <w:r>
        <w:rPr>
          <w:rFonts w:ascii="Arial;sans-serif" w:hAnsi="Arial;sans-serif"/>
          <w:b/>
          <w:color w:val="000000"/>
          <w:sz w:val="20"/>
        </w:rPr>
        <w:t>Additional Requirements/Considerations</w:t>
      </w:r>
      <w:r>
        <w:rPr>
          <w:color w:val="000000"/>
        </w:rPr>
        <w:t>—</w:t>
      </w:r>
      <w:r>
        <w:rPr>
          <w:rFonts w:ascii="Arial;sans-serif" w:hAnsi="Arial;sans-serif"/>
          <w:b w:val="false"/>
          <w:color w:val="000000"/>
          <w:sz w:val="20"/>
        </w:rPr>
        <w:t>The following requirements and considerations apply in connection with any pre-arranged trading plan, unless the Chief Legal Officer recognizes there is an exception in a particular case.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 plan must be entered into (or modified) in good faith and not as part of a plan or scheme to evade the prohibitions of Section 10(b) and Rule 10b-5 under the Exchange Act.</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Once a plan has been entered into (or modified), the person entering into the plan must act in good faith with respect to such plan throughout the duration of the plan.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Any modification or change to the amount, price or timing of the purchase or sale of securities underlying a plan will generally be considered a termination of such plan and the adoption of a new plan.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plan may not be entered into, modified, or terminated during a blackout period.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plan must be entered into, modified or terminated while the person entering into, modifying, or terminating the plan is not aware of any material nonpublic information regarding the Company and its securities.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plan may not be modified or terminated without the prior approval of the Chief Legal Officer, which approval may require a waiting period, as appropriate.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person entering into (or modifying) the plan may generally only have one pre-arranged trading plan in effect and active at any time. However, a person may maintain two separate plans at the same time so long as trading pursuant to the later-commencing plan is not authorized to begin until after all trades under an earlier-commencing plan are completed or have expired without execution (if an individual otherwise terminates the earlier-commencing plan, the later-commencing plan would be subject to a new cooling-off period, as described above).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If the plan is designed to effect the open-market purchase or sale of the total amount of securities subject to such plan as a single transaction (a “single-trade plan”), the person entering into (or modifying) the plan must not have entered into (or modified) another single-trade plan in the prior 12-month period that also qualified for the affirmative defense under Rule 10b5-1.</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In the case of Officers and Directors, the adoption, modification, or termination of a plan, the material terms of a plan (other than price), and transactions pursuant to a plan will be publicly disclosed in accordance with the applicable laws, rules, and regulations of the Securities and Exchange Commission. </w:t>
      </w:r>
    </w:p>
    <w:p>
      <w:pPr>
        <w:pStyle w:val="TextBody"/>
        <w:bidi w:val="0"/>
        <w:spacing w:lineRule="auto" w:line="288" w:before="0" w:after="0"/>
        <w:jc w:val="right"/>
        <w:rPr>
          <w:rFonts w:ascii="Arial;sans-serif" w:hAnsi="Arial;sans-serif"/>
          <w:b/>
          <w:color w:val="000000"/>
          <w:sz w:val="40"/>
        </w:rPr>
      </w:pPr>
      <w:r>
        <w:rPr>
          <w:rFonts w:ascii="Arial;sans-serif" w:hAnsi="Arial;sans-serif"/>
          <w:b/>
          <w:color w:val="000000"/>
          <w:sz w:val="40"/>
        </w:rPr>
        <w:t>Insider Trading</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35660"/>
                <wp:effectExtent l="0" t="0" r="0" b="0"/>
                <wp:wrapNone/>
                <wp:docPr id="108" name="Frame10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337.5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Finance &amp; Administration Policy Statement</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FA 03.18</w:t>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In connection with the entry into (or modification of) a plan, an Officer or Director should consider, in consultation with the Chief Legal Officer, Section 16(b) of the Exchange Act. Most transactions under Rule 10b5-1 trading plans are likely to involve open-market sales or purchases that could be matched with opposite-way transactions within less than six months to produce profits recoverable by the Company under Section 16(b). An Officer or Director establishing a plan should determine whether there are any potentially matchable transactions in the past, or in the future, that could cause profits from plan transactions to be recovered by the Company under Section 16(b).</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35660"/>
                <wp:effectExtent l="0" t="0" r="0" b="0"/>
                <wp:wrapNone/>
                <wp:docPr id="109" name="Frame108"/>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pPr>
      <w:r>
        <w:rPr>
          <w:color w:val="000000"/>
        </w:rPr>
        <w:t xml:space="preserve">                                         </w:t>
      </w:r>
      <w:r>
        <w:rPr>
          <w:rFonts w:ascii="Times New Roman;sans-serif" w:hAnsi="Times New Roman;sans-serif"/>
          <w:b/>
          <w:color w:val="000000"/>
          <w:sz w:val="20"/>
        </w:rPr>
        <w:t>Exhibit 21.1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Registrant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601(b)(21)(ii) of Regulation S-K, the names of certain subsidiaries of the Company have been omitted because such unnamed subsidiaries, considered in the aggregate as a single subsidiary, would not constitute a significant subsidiary as of December 31, 2024.</w:t>
      </w:r>
    </w:p>
    <w:p>
      <w:pPr>
        <w:pStyle w:val="TextBody"/>
        <w:bidi w:val="0"/>
        <w:spacing w:before="0" w:after="0"/>
        <w:jc w:val="left"/>
        <w:rPr/>
      </w:pPr>
      <w:r>
        <w:rPr/>
      </w:r>
    </w:p>
    <w:tbl>
      <w:tblPr>
        <w:tblW w:w="7144" w:type="dxa"/>
        <w:jc w:val="left"/>
        <w:tblInd w:w="0" w:type="dxa"/>
        <w:tblLayout w:type="fixed"/>
        <w:tblCellMar>
          <w:top w:w="28" w:type="dxa"/>
          <w:left w:w="28" w:type="dxa"/>
          <w:bottom w:w="28" w:type="dxa"/>
          <w:right w:w="28" w:type="dxa"/>
        </w:tblCellMar>
      </w:tblPr>
      <w:tblGrid>
        <w:gridCol w:w="135"/>
        <w:gridCol w:w="120"/>
        <w:gridCol w:w="120"/>
        <w:gridCol w:w="113"/>
        <w:gridCol w:w="113"/>
        <w:gridCol w:w="113"/>
        <w:gridCol w:w="1146"/>
        <w:gridCol w:w="1146"/>
        <w:gridCol w:w="1187"/>
        <w:gridCol w:w="109"/>
        <w:gridCol w:w="109"/>
        <w:gridCol w:w="109"/>
        <w:gridCol w:w="767"/>
        <w:gridCol w:w="767"/>
        <w:gridCol w:w="1090"/>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CSI Electrical Contractors,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 Boulos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Southwestern Construction,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Harlan Electric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Michigan,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Country Line Construction,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Huen Electric,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Equipment,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Group Construction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Real Estate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Real Estate Holdings Alaska,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Energy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Transmission Services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Transmission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Powerline Plus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Ontario,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Sturgeon Electric Company,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Michigan,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Sturgeon Electric California,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 E. Myers Co.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Pacific Enterprises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Statements on Form S-8 (Nos 333-279140, 333-237904, 333-217559, 333-196110, 333-174152, and 333-156501) of MYR Group Inc. of our report dated February 26, 2025 relating to the consolidated financial statements and effectiveness of internal control over financial reporting, appearing in the this Annual Report on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040"/>
        <w:jc w:val="both"/>
        <w:rPr>
          <w:rFonts w:ascii="Arial;sans-serif" w:hAnsi="Arial;sans-serif"/>
          <w:b w:val="false"/>
          <w:color w:val="000000"/>
          <w:sz w:val="20"/>
        </w:rPr>
      </w:pPr>
      <w:r>
        <w:rPr>
          <w:rFonts w:ascii="Arial;sans-serif" w:hAnsi="Arial;sans-serif"/>
          <w:b w:val="false"/>
          <w:color w:val="000000"/>
          <w:sz w:val="20"/>
        </w:rPr>
        <w:t>/s/ Crowe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Oakbrook Terrace, Illinois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1" w:before="120" w:after="120"/>
        <w:jc w:val="center"/>
        <w:rPr>
          <w:rFonts w:ascii="Georgia;serif" w:hAnsi="Georgia;serif"/>
          <w:b/>
          <w:color w:val="000000"/>
          <w:sz w:val="22"/>
        </w:rPr>
      </w:pPr>
      <w:r>
        <w:rPr>
          <w:rFonts w:ascii="Georgia;serif" w:hAnsi="Georgia;serif"/>
          <w:b/>
          <w:color w:val="000000"/>
          <w:sz w:val="22"/>
        </w:rPr>
        <w:t>POWER OF ATTORNEY RESOLUTION</w:t>
      </w:r>
    </w:p>
    <w:p>
      <w:pPr>
        <w:pStyle w:val="TextBody"/>
        <w:bidi w:val="0"/>
        <w:spacing w:lineRule="auto" w:line="261" w:before="120" w:after="120"/>
        <w:jc w:val="center"/>
        <w:rPr>
          <w:rFonts w:ascii="Georgia;serif" w:hAnsi="Georgia;serif"/>
          <w:b/>
          <w:color w:val="000000"/>
          <w:sz w:val="22"/>
        </w:rPr>
      </w:pPr>
      <w:r>
        <w:rPr>
          <w:rFonts w:ascii="Georgia;serif" w:hAnsi="Georgia;serif"/>
          <w:b/>
          <w:color w:val="000000"/>
          <w:sz w:val="22"/>
        </w:rPr>
        <w:t>SIGNATURE AUTHORITY 2024 FORM 10-K</w:t>
      </w:r>
    </w:p>
    <w:p>
      <w:pPr>
        <w:pStyle w:val="TextBody"/>
        <w:bidi w:val="0"/>
        <w:spacing w:lineRule="auto" w:line="261" w:before="120" w:after="120"/>
        <w:jc w:val="both"/>
        <w:rPr>
          <w:rFonts w:ascii="Georgia;serif" w:hAnsi="Georgia;serif"/>
          <w:b w:val="false"/>
          <w:color w:val="000000"/>
          <w:sz w:val="22"/>
        </w:rPr>
      </w:pPr>
      <w:r>
        <w:rPr>
          <w:rFonts w:ascii="Georgia;serif" w:hAnsi="Georgia;serif"/>
          <w:b w:val="false"/>
          <w:color w:val="000000"/>
          <w:sz w:val="22"/>
        </w:rPr>
        <w:t>WHEREAS, MYR Group Inc., a Delaware corporation (the “Company”), is required to file with the Securities and Exchange Commission pursuant to Section 13 or 15(d) under the provisions of the Securities Act of 1934 a Form 10-K for the fiscal year ended December 31, 2024; and</w:t>
      </w:r>
    </w:p>
    <w:p>
      <w:pPr>
        <w:pStyle w:val="TextBody"/>
        <w:bidi w:val="0"/>
        <w:spacing w:lineRule="auto" w:line="261" w:before="120" w:after="120"/>
        <w:jc w:val="both"/>
        <w:rPr>
          <w:rFonts w:ascii="Georgia;serif" w:hAnsi="Georgia;serif"/>
          <w:b w:val="false"/>
          <w:color w:val="000000"/>
          <w:sz w:val="22"/>
        </w:rPr>
      </w:pPr>
      <w:r>
        <w:rPr>
          <w:rFonts w:ascii="Georgia;serif" w:hAnsi="Georgia;serif"/>
          <w:b w:val="false"/>
          <w:color w:val="000000"/>
          <w:sz w:val="22"/>
        </w:rPr>
        <w:t>WHEREAS, each of the undersigned holds the office or offices in the Company herein below set opposite his or her name.</w:t>
      </w:r>
    </w:p>
    <w:p>
      <w:pPr>
        <w:pStyle w:val="TextBody"/>
        <w:bidi w:val="0"/>
        <w:spacing w:lineRule="auto" w:line="249" w:before="120" w:after="120"/>
        <w:jc w:val="both"/>
        <w:rPr/>
      </w:pPr>
      <w:r>
        <w:rPr>
          <w:rFonts w:ascii="Georgia;serif" w:hAnsi="Georgia;serif"/>
          <w:b w:val="false"/>
          <w:color w:val="000000"/>
          <w:sz w:val="22"/>
        </w:rPr>
        <w:t xml:space="preserve">NOW, THEREFORE, each of the undersigned hereby constitutes and appoints Richard S. Swartz, Kelly M. Huntington, and </w:t>
      </w:r>
      <w:r>
        <w:rPr>
          <w:rFonts w:ascii="Times New Roman;sans-serif" w:hAnsi="Times New Roman;sans-serif"/>
          <w:b w:val="false"/>
          <w:color w:val="000000"/>
          <w:sz w:val="24"/>
        </w:rPr>
        <w:t>William F. Fry</w:t>
      </w:r>
      <w:r>
        <w:rPr>
          <w:rFonts w:ascii="Georgia;serif" w:hAnsi="Georgia;serif"/>
          <w:b w:val="false"/>
          <w:color w:val="000000"/>
          <w:sz w:val="22"/>
        </w:rPr>
        <w:t>,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1" w:before="120" w:after="120"/>
        <w:jc w:val="center"/>
        <w:rPr>
          <w:rFonts w:ascii="Georgia;serif" w:hAnsi="Georgia;serif"/>
          <w:b w:val="false"/>
          <w:color w:val="000000"/>
          <w:sz w:val="22"/>
        </w:rPr>
      </w:pPr>
      <w:r>
        <w:rPr>
          <w:rFonts w:ascii="Georgia;serif" w:hAnsi="Georgia;serif"/>
          <w:b w:val="false"/>
          <w:color w:val="000000"/>
          <w:sz w:val="22"/>
        </w:rPr>
        <w:t>[Signature page follows]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58750"/>
                <wp:effectExtent l="0" t="0" r="0" b="0"/>
                <wp:wrapNone/>
                <wp:docPr id="112" name="Frame111"/>
                <a:graphic xmlns:a="http://schemas.openxmlformats.org/drawingml/2006/main">
                  <a:graphicData uri="http://schemas.microsoft.com/office/word/2010/wordprocessingShape">
                    <wps:wsp>
                      <wps:cNvSpPr txBox="1"/>
                      <wps:spPr>
                        <a:xfrm>
                          <a:off x="0" y="0"/>
                          <a:ext cx="6480175" cy="158750"/>
                        </a:xfrm>
                        <a:prstGeom prst="rect"/>
                        <a:solidFill>
                          <a:srgbClr val="FFFFFF"/>
                        </a:solidFill>
                      </wps:spPr>
                      <wps:txbx>
                        <w:txbxContent>
                          <w:p>
                            <w:pPr>
                              <w:pStyle w:val="TextBody"/>
                              <w:bidi w:val="0"/>
                              <w:spacing w:lineRule="auto" w:line="288" w:before="0" w:after="0"/>
                              <w:jc w:val="center"/>
                              <w:rPr>
                                <w:rFonts w:ascii="Georgia;serif" w:hAnsi="Georgia;serif"/>
                                <w:b w:val="false"/>
                                <w:color w:val="000000"/>
                                <w:sz w:val="22"/>
                              </w:rPr>
                            </w:pPr>
                            <w:r>
                              <w:rPr>
                                <w:rFonts w:ascii="Georgia;serif" w:hAnsi="Georgia;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Georgia;serif" w:hAnsi="Georgia;serif"/>
                          <w:b w:val="false"/>
                          <w:color w:val="000000"/>
                          <w:sz w:val="22"/>
                        </w:rPr>
                      </w:pPr>
                      <w:r>
                        <w:rPr>
                          <w:rFonts w:ascii="Georgia;serif" w:hAnsi="Georgia;serif"/>
                          <w:b w:val="false"/>
                          <w:color w:val="000000"/>
                          <w:sz w:val="22"/>
                        </w:rPr>
                        <w:t>1</w:t>
                      </w:r>
                    </w:p>
                  </w:txbxContent>
                </v:textbox>
                <w10:wrap type="none"/>
              </v:rect>
            </w:pict>
          </mc:Fallback>
        </mc:AlternateContent>
      </w:r>
    </w:p>
    <w:p>
      <w:pPr>
        <w:pStyle w:val="TextBody"/>
        <w:bidi w:val="0"/>
        <w:spacing w:lineRule="auto" w:line="261" w:before="120" w:after="120"/>
        <w:jc w:val="left"/>
        <w:rPr/>
      </w:pPr>
      <w:r>
        <w:rPr>
          <w:rFonts w:ascii="Georgia;serif" w:hAnsi="Georgia;serif"/>
          <w:b w:val="false"/>
          <w:color w:val="000000"/>
          <w:sz w:val="22"/>
        </w:rPr>
        <w:t>IN WITNESS WHEREOF, the undersigned have hereunto set their hands this 24</w:t>
      </w:r>
      <w:r>
        <w:rPr>
          <w:rFonts w:ascii="Georgia;serif" w:hAnsi="Georgia;serif"/>
          <w:b w:val="false"/>
          <w:color w:val="000000"/>
          <w:sz w:val="14"/>
        </w:rPr>
        <w:t>th</w:t>
      </w:r>
      <w:r>
        <w:rPr>
          <w:color w:val="000000"/>
        </w:rPr>
        <w:t xml:space="preserve"> </w:t>
      </w:r>
      <w:r>
        <w:rPr>
          <w:rFonts w:ascii="Georgia;serif" w:hAnsi="Georgia;serif"/>
          <w:b w:val="false"/>
          <w:color w:val="000000"/>
          <w:sz w:val="22"/>
        </w:rPr>
        <w:t>day of February 2025.</w:t>
      </w:r>
    </w:p>
    <w:p>
      <w:pPr>
        <w:pStyle w:val="TextBody"/>
        <w:bidi w:val="0"/>
        <w:spacing w:before="0" w:after="0"/>
        <w:jc w:val="left"/>
        <w:rPr/>
      </w:pPr>
      <w:r>
        <w:rPr/>
      </w:r>
    </w:p>
    <w:tbl>
      <w:tblPr>
        <w:tblW w:w="9345" w:type="dxa"/>
        <w:jc w:val="left"/>
        <w:tblInd w:w="0" w:type="dxa"/>
        <w:tblLayout w:type="fixed"/>
        <w:tblCellMar>
          <w:top w:w="28" w:type="dxa"/>
          <w:left w:w="28" w:type="dxa"/>
          <w:bottom w:w="28" w:type="dxa"/>
          <w:right w:w="28" w:type="dxa"/>
        </w:tblCellMar>
      </w:tblPr>
      <w:tblGrid>
        <w:gridCol w:w="1042"/>
        <w:gridCol w:w="916"/>
        <w:gridCol w:w="922"/>
        <w:gridCol w:w="1892"/>
        <w:gridCol w:w="1892"/>
        <w:gridCol w:w="268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RICHARD S. SWARTZ</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Richard S. Swartz</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President, Chief Executive Officer, Director (Principal Executive Officer)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KELLY M. HUNTINGTON</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Kelly M. Huntington</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 (Principal Financial</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Officer and Principal Accounting Officer)</w:t>
            </w:r>
          </w:p>
          <w:p>
            <w:pPr>
              <w:pStyle w:val="TableContents"/>
              <w:bidi w:val="0"/>
              <w:spacing w:before="0" w:after="0"/>
              <w:jc w:val="left"/>
              <w:rPr/>
            </w:pPr>
            <w:r>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BRADLEY T. FAVREAU</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Bradley T. Favreau</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KENNETH M. HARTWICK</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Kenneth M. Hartwick</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(Chair)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AJOY H. KARNA</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Ajoy H. Karna</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JENNIFER E. LOWRY</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Jennifer E. Lowry</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DONALD C. I. LUCKY</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Donald C. I. Lucky</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SHIRIN S. O'CONNOR</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Shirin S. O'Connor</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WILLIAM D. PATTERSON</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William D. Patterson</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Director</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52400"/>
                <wp:effectExtent l="0" t="0" r="0" b="0"/>
                <wp:wrapNone/>
                <wp:docPr id="113" name="Frame112"/>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uto" w:line="208" w:before="0" w:after="0"/>
                              <w:jc w:val="center"/>
                              <w:rPr/>
                            </w:pPr>
                            <w:r>
                              <w:rPr>
                                <w:color w:val="000000"/>
                              </w:rPr>
                              <w:t>    </w:t>
                            </w:r>
                            <w:r>
                              <w:rPr>
                                <w:rFonts w:ascii="Georgia;serif" w:hAnsi="Georgia;serif"/>
                                <w:b w:val="false"/>
                                <w:color w:val="000000"/>
                                <w:sz w:val="22"/>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center"/>
                        <w:rPr/>
                      </w:pPr>
                      <w:r>
                        <w:rPr>
                          <w:color w:val="000000"/>
                        </w:rPr>
                        <w:t>    </w:t>
                      </w:r>
                      <w:r>
                        <w:rPr>
                          <w:rFonts w:ascii="Georgia;serif" w:hAnsi="Georgia;serif"/>
                          <w:b w:val="false"/>
                          <w:color w:val="000000"/>
                          <w:sz w:val="22"/>
                        </w:rPr>
                        <w:t>2    </w:t>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MYR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14" w:type="dxa"/>
        <w:jc w:val="left"/>
        <w:tblInd w:w="0" w:type="dxa"/>
        <w:tblLayout w:type="fixed"/>
        <w:tblCellMar>
          <w:top w:w="28" w:type="dxa"/>
          <w:left w:w="28" w:type="dxa"/>
          <w:bottom w:w="28" w:type="dxa"/>
          <w:right w:w="28" w:type="dxa"/>
        </w:tblCellMar>
      </w:tblPr>
      <w:tblGrid>
        <w:gridCol w:w="580"/>
        <w:gridCol w:w="511"/>
        <w:gridCol w:w="513"/>
        <w:gridCol w:w="940"/>
        <w:gridCol w:w="940"/>
        <w:gridCol w:w="133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MYR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744" w:type="dxa"/>
        <w:jc w:val="left"/>
        <w:tblInd w:w="0" w:type="dxa"/>
        <w:tblLayout w:type="fixed"/>
        <w:tblCellMar>
          <w:top w:w="28" w:type="dxa"/>
          <w:left w:w="28" w:type="dxa"/>
          <w:bottom w:w="28" w:type="dxa"/>
          <w:right w:w="28" w:type="dxa"/>
        </w:tblCellMar>
      </w:tblPr>
      <w:tblGrid>
        <w:gridCol w:w="580"/>
        <w:gridCol w:w="511"/>
        <w:gridCol w:w="513"/>
        <w:gridCol w:w="1213"/>
        <w:gridCol w:w="1213"/>
        <w:gridCol w:w="171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b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Richard S. Swartz, Chief Executive Officer and President of MYR Group Inc. (the “Company”), certify, pursuant to 18 U.S.C. § 1350, as adopted pursuant to § 906 of the Sarbanes-Oxley Act of 2002,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for the year ended December 31, 2024 of the Company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4843" w:type="dxa"/>
        <w:jc w:val="left"/>
        <w:tblInd w:w="0" w:type="dxa"/>
        <w:tblLayout w:type="fixed"/>
        <w:tblCellMar>
          <w:top w:w="28" w:type="dxa"/>
          <w:left w:w="28" w:type="dxa"/>
          <w:bottom w:w="28" w:type="dxa"/>
          <w:right w:w="28" w:type="dxa"/>
        </w:tblCellMar>
      </w:tblPr>
      <w:tblGrid>
        <w:gridCol w:w="580"/>
        <w:gridCol w:w="511"/>
        <w:gridCol w:w="513"/>
        <w:gridCol w:w="948"/>
        <w:gridCol w:w="948"/>
        <w:gridCol w:w="134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SECTION 906 OF THE SARBANES-OXLEY ACT OF 2002</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Kelly M. Huntington, Senior Vice President and Chief Financial Officer of MYR Group, Inc.(the “Company”), certify, pursuant to 18 U.S.C. § 1350, as adopted pursuant to § 906 of the Sarbanes-Oxley Act of 2002,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for the year ended December 31, 2024 of the Company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49" w:type="dxa"/>
        <w:jc w:val="left"/>
        <w:tblInd w:w="0" w:type="dxa"/>
        <w:tblLayout w:type="fixed"/>
        <w:tblCellMar>
          <w:top w:w="28" w:type="dxa"/>
          <w:left w:w="28" w:type="dxa"/>
          <w:bottom w:w="28" w:type="dxa"/>
          <w:right w:w="28" w:type="dxa"/>
        </w:tblCellMar>
      </w:tblPr>
      <w:tblGrid>
        <w:gridCol w:w="580"/>
        <w:gridCol w:w="511"/>
        <w:gridCol w:w="513"/>
        <w:gridCol w:w="1244"/>
        <w:gridCol w:w="1244"/>
        <w:gridCol w:w="175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00923/000070092323000064/myrgroupinc-dexamendmentau.htm" TargetMode="External"/><Relationship Id="rId4" Type="http://schemas.openxmlformats.org/officeDocument/2006/relationships/hyperlink" Target="https://www.sec.gov/Archives/edgar/data/700923/000070092323000064/myrgroupinc-dexamendmentau.htm" TargetMode="External"/><Relationship Id="rId5" Type="http://schemas.openxmlformats.org/officeDocument/2006/relationships/hyperlink" Target="https://www.sec.gov/Archives/edgar/data/700923/000070092323000035/myr-arbylawsboarddeclassif.htm" TargetMode="External"/><Relationship Id="rId6" Type="http://schemas.openxmlformats.org/officeDocument/2006/relationships/hyperlink" Target="https://www.sec.gov/Archives/edgar/data/700923/000070092323000035/myr-arbylawsboarddeclassif.htm" TargetMode="External"/><Relationship Id="rId7" Type="http://schemas.openxmlformats.org/officeDocument/2006/relationships/hyperlink" Target="https://www.sec.gov/Archives/edgar/data/700923/000104746908008139/a2186750zex-4_2.htm" TargetMode="External"/><Relationship Id="rId8" Type="http://schemas.openxmlformats.org/officeDocument/2006/relationships/hyperlink" Target="https://www.sec.gov/Archives/edgar/data/700923/000104746908008139/a2186750zex-4_2.htm" TargetMode="External"/><Relationship Id="rId9" Type="http://schemas.openxmlformats.org/officeDocument/2006/relationships/hyperlink" Target="https://www.sec.gov/Archives/edgar/data/700923/000070092324000008/exhibit42-descriptionofsec.htm" TargetMode="External"/><Relationship Id="rId10" Type="http://schemas.openxmlformats.org/officeDocument/2006/relationships/hyperlink" Target="https://www.sec.gov/Archives/edgar/data/700923/000070092324000008/exhibit42-descriptionofsec.htm" TargetMode="External"/><Relationship Id="rId11" Type="http://schemas.openxmlformats.org/officeDocument/2006/relationships/hyperlink" Target="https://www.sec.gov/Archives/edgar/data/700923/000070092324000008/exhibit42-descriptionofsec.htm" TargetMode="External"/><Relationship Id="rId12" Type="http://schemas.openxmlformats.org/officeDocument/2006/relationships/hyperlink" Target="https://www.sec.gov/Archives/edgar/data/700923/000070092324000008/exhibit42-descriptionofsec.htm" TargetMode="External"/><Relationship Id="rId13" Type="http://schemas.openxmlformats.org/officeDocument/2006/relationships/hyperlink" Target="https://www.sec.gov/Archives/edgar/data/700923/000070092324000008/exhibit42-descriptionofsec.htm" TargetMode="External"/><Relationship Id="rId14" Type="http://schemas.openxmlformats.org/officeDocument/2006/relationships/hyperlink" Target="https://www.sec.gov/Archives/edgar/data/700923/000070092324000008/exhibit42-descriptionofsec.htm" TargetMode="External"/><Relationship Id="rId15" Type="http://schemas.openxmlformats.org/officeDocument/2006/relationships/hyperlink" Target="https://www.sec.gov/Archives/edgar/data/700923/000070092324000008/exhibit42-descriptionofsec.htm" TargetMode="External"/><Relationship Id="rId16" Type="http://schemas.openxmlformats.org/officeDocument/2006/relationships/hyperlink" Target="https://www.sec.gov/Archives/edgar/data/700923/000070092324000008/exhibit42-descriptionofsec.htm" TargetMode="External"/><Relationship Id="rId17" Type="http://schemas.openxmlformats.org/officeDocument/2006/relationships/hyperlink" Target="https://www.sec.gov/Archives/edgar/data/700923/000110465911028039/a11-11956_1ex10d1.htm" TargetMode="External"/><Relationship Id="rId18" Type="http://schemas.openxmlformats.org/officeDocument/2006/relationships/hyperlink" Target="https://www.sec.gov/Archives/edgar/data/700923/000110465911028039/a11-11956_1ex10d1.htm" TargetMode="External"/><Relationship Id="rId19" Type="http://schemas.openxmlformats.org/officeDocument/2006/relationships/hyperlink" Target="https://www.sec.gov/Archives/edgar/data/700923/000110465914035790/a14-12029_1ex10d2.htm" TargetMode="External"/><Relationship Id="rId20" Type="http://schemas.openxmlformats.org/officeDocument/2006/relationships/hyperlink" Target="https://www.sec.gov/Archives/edgar/data/700923/000110465914035790/a14-12029_1ex10d2.htm" TargetMode="External"/><Relationship Id="rId21" Type="http://schemas.openxmlformats.org/officeDocument/2006/relationships/hyperlink" Target="https://www.sec.gov/Archives/edgar/data/700923/000114420416085692/v427195_ex10-21.htm" TargetMode="External"/><Relationship Id="rId22" Type="http://schemas.openxmlformats.org/officeDocument/2006/relationships/hyperlink" Target="https://www.sec.gov/Archives/edgar/data/700923/000114420416085692/v427195_ex10-21.htm" TargetMode="External"/><Relationship Id="rId23" Type="http://schemas.openxmlformats.org/officeDocument/2006/relationships/hyperlink" Target="https://www.sec.gov/Archives/edgar/data/700923/000114420417013721/v455820_ex10-25.htm" TargetMode="External"/><Relationship Id="rId24" Type="http://schemas.openxmlformats.org/officeDocument/2006/relationships/hyperlink" Target="https://www.sec.gov/Archives/edgar/data/700923/000114420417013721/v455820_ex10-25.htm" TargetMode="External"/><Relationship Id="rId25" Type="http://schemas.openxmlformats.org/officeDocument/2006/relationships/hyperlink" Target="https://www.sec.gov/Archives/edgar/data/700923/000114420417013721/v455820_ex10-26.htm" TargetMode="External"/><Relationship Id="rId26" Type="http://schemas.openxmlformats.org/officeDocument/2006/relationships/hyperlink" Target="https://www.sec.gov/Archives/edgar/data/700923/000114420417013721/v455820_ex10-26.htm" TargetMode="External"/><Relationship Id="rId27" Type="http://schemas.openxmlformats.org/officeDocument/2006/relationships/hyperlink" Target="https://www.sec.gov/Archives/edgar/data/700923/000114420417024199/v464187_ex10-1.htm" TargetMode="External"/><Relationship Id="rId28" Type="http://schemas.openxmlformats.org/officeDocument/2006/relationships/hyperlink" Target="https://www.sec.gov/Archives/edgar/data/700923/000114420417024199/v464187_ex10-1.htm" TargetMode="External"/><Relationship Id="rId29" Type="http://schemas.openxmlformats.org/officeDocument/2006/relationships/hyperlink" Target="https://www.sec.gov/Archives/edgar/data/700923/000114420419012547/v511680_exh10x33.htm" TargetMode="External"/><Relationship Id="rId30" Type="http://schemas.openxmlformats.org/officeDocument/2006/relationships/hyperlink" Target="https://www.sec.gov/Archives/edgar/data/700923/000114420419012547/v511680_exh10x33.htm" TargetMode="External"/><Relationship Id="rId31" Type="http://schemas.openxmlformats.org/officeDocument/2006/relationships/hyperlink" Target="https://www.sec.gov/Archives/edgar/data/700923/000114420419036885/tv521718_ex10-1.htm" TargetMode="External"/><Relationship Id="rId32" Type="http://schemas.openxmlformats.org/officeDocument/2006/relationships/hyperlink" Target="https://www.sec.gov/Archives/edgar/data/700923/000114420419036885/tv521718_ex10-1.htm" TargetMode="External"/><Relationship Id="rId33" Type="http://schemas.openxmlformats.org/officeDocument/2006/relationships/hyperlink" Target="https://www.sec.gov/Archives/edgar/data/700923/000114420419036885/tv521718_ex10-3.htm" TargetMode="External"/><Relationship Id="rId34" Type="http://schemas.openxmlformats.org/officeDocument/2006/relationships/hyperlink" Target="https://www.sec.gov/Archives/edgar/data/700923/000114420419036885/tv521718_ex10-3.htm" TargetMode="External"/><Relationship Id="rId35" Type="http://schemas.openxmlformats.org/officeDocument/2006/relationships/hyperlink" Target="https://www.sec.gov/Archives/edgar/data/700923/000070092322000022/exhibit101formofrestricted.htm" TargetMode="External"/><Relationship Id="rId36" Type="http://schemas.openxmlformats.org/officeDocument/2006/relationships/hyperlink" Target="https://www.sec.gov/Archives/edgar/data/700923/000070092322000022/exhibit101formofrestricted.htm" TargetMode="External"/><Relationship Id="rId37" Type="http://schemas.openxmlformats.org/officeDocument/2006/relationships/hyperlink" Target="https://www.sec.gov/Archives/edgar/data/700923/000070092322000022/exhibit102formofexecoffice.htm" TargetMode="External"/><Relationship Id="rId38" Type="http://schemas.openxmlformats.org/officeDocument/2006/relationships/hyperlink" Target="https://www.sec.gov/Archives/edgar/data/700923/000070092322000022/exhibit102formofexecoffice.htm" TargetMode="External"/><Relationship Id="rId39" Type="http://schemas.openxmlformats.org/officeDocument/2006/relationships/hyperlink" Target="https://www.sec.gov/Archives/edgar/data/700923/000070092323000012/ex1027-myrxcfoemploymentag.htm" TargetMode="External"/><Relationship Id="rId40" Type="http://schemas.openxmlformats.org/officeDocument/2006/relationships/hyperlink" Target="https://www.sec.gov/Archives/edgar/data/700923/000070092323000012/ex1027-myrxcfoemploymentag.htm" TargetMode="External"/><Relationship Id="rId41" Type="http://schemas.openxmlformats.org/officeDocument/2006/relationships/hyperlink" Target="https://www.sec.gov/Archives/edgar/data/700923/000070092323000056/ex101myr-eganemploymentagr.htm" TargetMode="External"/><Relationship Id="rId42" Type="http://schemas.openxmlformats.org/officeDocument/2006/relationships/hyperlink" Target="https://www.sec.gov/Archives/edgar/data/700923/000070092323000056/ex101myr-eganemploymentagr.htm" TargetMode="External"/><Relationship Id="rId43" Type="http://schemas.openxmlformats.org/officeDocument/2006/relationships/hyperlink" Target="https://www.sec.gov/Archives/edgar/data/700923/000070092323000056/myr-thirdamendedandrestate.htm" TargetMode="External"/><Relationship Id="rId44" Type="http://schemas.openxmlformats.org/officeDocument/2006/relationships/hyperlink" Target="https://www.sec.gov/Archives/edgar/data/700923/000070092323000056/myr-thirdamendedandrestate.htm" TargetMode="External"/><Relationship Id="rId45" Type="http://schemas.openxmlformats.org/officeDocument/2006/relationships/hyperlink" Target="https://www.sec.gov/Archives/edgar/data/700923/000070092324000029/ex101-myrxcooemploymentagr.htm" TargetMode="External"/><Relationship Id="rId46" Type="http://schemas.openxmlformats.org/officeDocument/2006/relationships/hyperlink" Target="https://www.sec.gov/Archives/edgar/data/700923/000070092324000029/ex101-myrxcooemploymentagr.htm" TargetMode="External"/><Relationship Id="rId47" Type="http://schemas.openxmlformats.org/officeDocument/2006/relationships/hyperlink" Target="https://www.sec.gov/Archives/edgar/data/700923/000070092324000029/exhibit103formofperformanc.htm" TargetMode="External"/><Relationship Id="rId48" Type="http://schemas.openxmlformats.org/officeDocument/2006/relationships/hyperlink" Target="https://www.sec.gov/Archives/edgar/data/700923/000070092324000029/exhibit103formofperformanc.htm" TargetMode="External"/><Relationship Id="rId49" Type="http://schemas.openxmlformats.org/officeDocument/2006/relationships/hyperlink" Target="https://www.sec.gov/Archives/edgar/data/700923/000070092324000029/exhibit102formofrestricted.htm" TargetMode="External"/><Relationship Id="rId50" Type="http://schemas.openxmlformats.org/officeDocument/2006/relationships/hyperlink" Target="https://www.sec.gov/Archives/edgar/data/700923/000070092324000029/exhibit102formofrestricted.htm" TargetMode="External"/><Relationship Id="rId51" Type="http://schemas.openxmlformats.org/officeDocument/2006/relationships/hyperlink" Target="https://www.sec.gov/Archives/edgar/data/700923/000070092324000024/a2017long-termincentivepla.htm" TargetMode="External"/><Relationship Id="rId52" Type="http://schemas.openxmlformats.org/officeDocument/2006/relationships/hyperlink" Target="https://www.sec.gov/Archives/edgar/data/700923/000070092324000024/a2017long-termincentivepla.htm" TargetMode="External"/><Relationship Id="rId53" Type="http://schemas.openxmlformats.org/officeDocument/2006/relationships/hyperlink" Target="https://www.sec.gov/Archives/edgar/data/700923/000070092324000045/myrgroupamendmentno1tothir.htm" TargetMode="External"/><Relationship Id="rId54" Type="http://schemas.openxmlformats.org/officeDocument/2006/relationships/hyperlink" Target="https://www.sec.gov/Archives/edgar/data/700923/000070092324000045/myrgroupamendmentno1tothir.htm" TargetMode="External"/><Relationship Id="rId55" Type="http://schemas.openxmlformats.org/officeDocument/2006/relationships/hyperlink" Target="https://www.sec.gov/Archives/edgar/data/700923/000070092324000008/compensationclawbackpolicy.htm" TargetMode="External"/><Relationship Id="rId56" Type="http://schemas.openxmlformats.org/officeDocument/2006/relationships/hyperlink" Target="https://www.sec.gov/Archives/edgar/data/700923/000070092324000008/compensationclawbackpolicy.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63802</Words>
  <Characters>359260</Characters>
  <CharactersWithSpaces>420428</CharactersWithSpaces>
  <Paragraphs>4454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