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Richard Aurelie Pascale</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320" w:type="dxa"/>
            <w:vAlign w:val="bottom"/>
            <w:tcBorders>
              <w:top w:val="single" w:sz="8" w:color="0000EE"/>
              <w:bottom w:val="single" w:sz="8" w:color="9A9A9A"/>
            </w:tcBorders>
          </w:tcPr>
          <w:p>
            <w:pPr>
              <w:spacing w:after="0"/>
              <w:rPr>
                <w:sz w:val="17"/>
                <w:szCs w:val="17"/>
                <w:color w:val="auto"/>
              </w:rPr>
            </w:pPr>
          </w:p>
        </w:tc>
        <w:tc>
          <w:tcPr>
            <w:tcW w:w="7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08/26/2025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MYR GROUP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MYRG</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80" w:type="dxa"/>
            <w:vAlign w:val="bottom"/>
          </w:tcPr>
          <w:p>
            <w:pPr>
              <w:ind w:left="280"/>
              <w:spacing w:after="0"/>
              <w:rPr>
                <w:sz w:val="20"/>
                <w:szCs w:val="20"/>
                <w:color w:val="auto"/>
              </w:rPr>
            </w:pPr>
            <w:r>
              <w:rPr>
                <w:rFonts w:ascii="Arial" w:cs="Arial" w:eastAsia="Arial" w:hAnsi="Arial"/>
                <w:sz w:val="15"/>
                <w:szCs w:val="15"/>
                <w:color w:val="auto"/>
              </w:rPr>
              <w:t>(First)</w:t>
            </w:r>
          </w:p>
        </w:tc>
        <w:tc>
          <w:tcPr>
            <w:tcW w:w="1240" w:type="dxa"/>
            <w:vAlign w:val="bottom"/>
          </w:tcPr>
          <w:p>
            <w:pPr>
              <w:jc w:val="center"/>
              <w:ind w:right="134"/>
              <w:spacing w:after="0"/>
              <w:rPr>
                <w:sz w:val="20"/>
                <w:szCs w:val="20"/>
                <w:color w:val="auto"/>
              </w:rPr>
            </w:pPr>
            <w:r>
              <w:rPr>
                <w:rFonts w:ascii="Arial" w:cs="Arial" w:eastAsia="Arial" w:hAnsi="Arial"/>
                <w:sz w:val="15"/>
                <w:szCs w:val="15"/>
                <w:color w:val="auto"/>
                <w:w w:val="99"/>
              </w:rPr>
              <w:t>(Middle)</w:t>
            </w:r>
          </w:p>
        </w:tc>
      </w:tr>
      <w:tr>
        <w:trPr>
          <w:trHeight w:val="310"/>
        </w:trPr>
        <w:tc>
          <w:tcPr>
            <w:tcW w:w="1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MYR GROUP INC.</w:t>
            </w:r>
          </w:p>
        </w:tc>
        <w:tc>
          <w:tcPr>
            <w:tcW w:w="124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12121 GRANT STREET, SUITE 610</w:t>
            </w:r>
          </w:p>
        </w:tc>
      </w:tr>
      <w:tr>
        <w:trPr>
          <w:trHeight w:val="177"/>
        </w:trPr>
        <w:tc>
          <w:tcPr>
            <w:tcW w:w="78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65"/>
        </w:trPr>
        <w:tc>
          <w:tcPr>
            <w:tcW w:w="1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THORNTON CO</w:t>
            </w:r>
          </w:p>
        </w:tc>
        <w:tc>
          <w:tcPr>
            <w:tcW w:w="1240" w:type="dxa"/>
            <w:vAlign w:val="bottom"/>
          </w:tcPr>
          <w:p>
            <w:pPr>
              <w:jc w:val="right"/>
              <w:ind w:right="394"/>
              <w:spacing w:after="0"/>
              <w:rPr>
                <w:sz w:val="20"/>
                <w:szCs w:val="20"/>
                <w:color w:val="auto"/>
              </w:rPr>
            </w:pPr>
            <w:r>
              <w:rPr>
                <w:rFonts w:ascii="Times New Roman" w:cs="Times New Roman" w:eastAsia="Times New Roman" w:hAnsi="Times New Roman"/>
                <w:sz w:val="20"/>
                <w:szCs w:val="20"/>
                <w:color w:val="0000FF"/>
              </w:rPr>
              <w:t>80241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ind w:left="800"/>
              <w:spacing w:after="0"/>
              <w:rPr>
                <w:sz w:val="20"/>
                <w:szCs w:val="20"/>
                <w:color w:val="auto"/>
              </w:rPr>
            </w:pPr>
            <w:r>
              <w:rPr>
                <w:rFonts w:ascii="Times New Roman" w:cs="Times New Roman" w:eastAsia="Times New Roman" w:hAnsi="Times New Roman"/>
                <w:sz w:val="20"/>
                <w:szCs w:val="20"/>
                <w:color w:val="0000FF"/>
              </w:rPr>
              <w:t>0</w:t>
            </w:r>
          </w:p>
        </w:tc>
        <w:tc>
          <w:tcPr>
            <w:tcW w:w="1000" w:type="dxa"/>
            <w:vAlign w:val="bottom"/>
            <w:gridSpan w:val="2"/>
          </w:tcPr>
          <w:p>
            <w:pPr>
              <w:ind w:left="840"/>
              <w:spacing w:after="0"/>
              <w:rPr>
                <w:sz w:val="20"/>
                <w:szCs w:val="20"/>
                <w:color w:val="auto"/>
              </w:rPr>
            </w:pPr>
            <w:r>
              <w:rPr>
                <w:rFonts w:ascii="Times New Roman" w:cs="Times New Roman" w:eastAsia="Times New Roman" w:hAnsi="Times New Roman"/>
                <w:sz w:val="20"/>
                <w:szCs w:val="20"/>
                <w:color w:val="0000FF"/>
                <w:w w:val="96"/>
              </w:rPr>
              <w:t>D</w:t>
            </w: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480" w:type="dxa"/>
            <w:vAlign w:val="bottom"/>
            <w:tcBorders>
              <w:bottom w:val="single" w:sz="8" w:color="2C2C2C"/>
            </w:tcBorders>
            <w:gridSpan w:val="2"/>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2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8"/>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9"/>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4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8"/>
                <w:szCs w:val="18"/>
                <w:color w:val="auto"/>
              </w:rPr>
            </w:pPr>
          </w:p>
        </w:tc>
        <w:tc>
          <w:tcPr>
            <w:tcW w:w="1500" w:type="dxa"/>
            <w:vAlign w:val="bottom"/>
            <w:gridSpan w:val="3"/>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gridSpan w:val="3"/>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60" w:type="dxa"/>
            <w:vAlign w:val="bottom"/>
            <w:vMerge w:val="restart"/>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00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20" w:type="dxa"/>
            <w:vAlign w:val="bottom"/>
            <w:gridSpan w:val="3"/>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20" w:type="dxa"/>
            <w:vAlign w:val="bottom"/>
            <w:gridSpan w:val="3"/>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2760" w:type="dxa"/>
            <w:vAlign w:val="bottom"/>
          </w:tcPr>
          <w:p>
            <w:pPr>
              <w:ind w:left="20"/>
              <w:spacing w:after="0"/>
              <w:rPr>
                <w:sz w:val="20"/>
                <w:szCs w:val="20"/>
                <w:color w:val="auto"/>
              </w:rPr>
            </w:pPr>
            <w:r>
              <w:rPr>
                <w:rFonts w:ascii="Arial" w:cs="Arial" w:eastAsia="Arial" w:hAnsi="Arial"/>
                <w:sz w:val="20"/>
                <w:szCs w:val="20"/>
                <w:b w:val="1"/>
                <w:bCs w:val="1"/>
                <w:color w:val="auto"/>
              </w:rPr>
              <w:t>Remarks:</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ind w:left="20"/>
              <w:spacing w:after="0"/>
              <w:rPr>
                <w:sz w:val="20"/>
                <w:szCs w:val="20"/>
                <w:color w:val="auto"/>
              </w:rPr>
            </w:pPr>
            <w:r>
              <w:rPr>
                <w:rFonts w:ascii="Times New Roman" w:cs="Times New Roman" w:eastAsia="Times New Roman" w:hAnsi="Times New Roman"/>
                <w:sz w:val="15"/>
                <w:szCs w:val="15"/>
                <w:color w:val="008000"/>
              </w:rPr>
              <w:t>Exhibit List: Exhibit 24 - Power of Attorney.</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5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0"/>
                <w:szCs w:val="20"/>
                <w:color w:val="0000FF"/>
                <w:w w:val="94"/>
              </w:rPr>
              <w:t>/s/ William F. Fry as</w:t>
            </w:r>
          </w:p>
        </w:tc>
        <w:tc>
          <w:tcPr>
            <w:tcW w:w="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20" w:type="dxa"/>
            <w:vAlign w:val="bottom"/>
            <w:gridSpan w:val="5"/>
          </w:tcPr>
          <w:p>
            <w:pPr>
              <w:spacing w:after="0" w:line="220" w:lineRule="exact"/>
              <w:rPr>
                <w:sz w:val="20"/>
                <w:szCs w:val="20"/>
                <w:color w:val="auto"/>
              </w:rPr>
            </w:pPr>
            <w:r>
              <w:rPr>
                <w:rFonts w:ascii="Times New Roman" w:cs="Times New Roman" w:eastAsia="Times New Roman" w:hAnsi="Times New Roman"/>
                <w:sz w:val="20"/>
                <w:szCs w:val="20"/>
                <w:color w:val="0000FF"/>
              </w:rPr>
              <w:t>Attorney-in-Fact for</w:t>
            </w:r>
          </w:p>
        </w:tc>
        <w:tc>
          <w:tcPr>
            <w:tcW w:w="2420" w:type="dxa"/>
            <w:vAlign w:val="bottom"/>
            <w:gridSpan w:val="4"/>
          </w:tcPr>
          <w:p>
            <w:pPr>
              <w:jc w:val="right"/>
              <w:ind w:right="1260"/>
              <w:spacing w:after="0" w:line="220" w:lineRule="exact"/>
              <w:rPr>
                <w:sz w:val="20"/>
                <w:szCs w:val="20"/>
                <w:color w:val="auto"/>
              </w:rPr>
            </w:pPr>
            <w:r>
              <w:rPr>
                <w:rFonts w:ascii="Times New Roman" w:cs="Times New Roman" w:eastAsia="Times New Roman" w:hAnsi="Times New Roman"/>
                <w:sz w:val="20"/>
                <w:szCs w:val="20"/>
                <w:color w:val="0000FF"/>
              </w:rPr>
              <w:t>09/04/2025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580" w:type="dxa"/>
            <w:vAlign w:val="bottom"/>
            <w:tcBorders>
              <w:top w:val="single" w:sz="8" w:color="auto"/>
            </w:tcBorders>
            <w:gridSpan w:val="4"/>
          </w:tcPr>
          <w:p>
            <w:pPr>
              <w:spacing w:after="0" w:line="220" w:lineRule="exact"/>
              <w:rPr>
                <w:sz w:val="20"/>
                <w:szCs w:val="20"/>
                <w:color w:val="auto"/>
              </w:rPr>
            </w:pPr>
            <w:r>
              <w:rPr>
                <w:rFonts w:ascii="Times New Roman" w:cs="Times New Roman" w:eastAsia="Times New Roman" w:hAnsi="Times New Roman"/>
                <w:sz w:val="20"/>
                <w:szCs w:val="20"/>
                <w:color w:val="0000FF"/>
              </w:rPr>
              <w:t>Aurelie P. Richard</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ind w:left="700"/>
        <w:spacing w:after="0"/>
        <w:tabs>
          <w:tab w:leader="none" w:pos="8880" w:val="left"/>
        </w:tabs>
        <w:rPr>
          <w:sz w:val="20"/>
          <w:szCs w:val="20"/>
          <w:color w:val="auto"/>
        </w:rPr>
      </w:pPr>
      <w:r>
        <w:rPr>
          <w:rFonts w:ascii="Courier New" w:cs="Courier New" w:eastAsia="Courier New" w:hAnsi="Courier New"/>
          <w:sz w:val="20"/>
          <w:szCs w:val="20"/>
          <w:color w:val="auto"/>
        </w:rPr>
        <w:t>POWER OF ATTORNEY</w:t>
      </w:r>
      <w:r>
        <w:rPr>
          <w:sz w:val="20"/>
          <w:szCs w:val="20"/>
          <w:color w:val="auto"/>
        </w:rPr>
        <w:tab/>
      </w:r>
      <w:r>
        <w:rPr>
          <w:rFonts w:ascii="Courier New" w:cs="Courier New" w:eastAsia="Courier New" w:hAnsi="Courier New"/>
          <w:sz w:val="18"/>
          <w:szCs w:val="18"/>
          <w:color w:val="auto"/>
        </w:rPr>
        <w:t>Exhibit 24</w:t>
      </w:r>
    </w:p>
    <w:p>
      <w:pPr>
        <w:spacing w:after="0" w:line="224" w:lineRule="exact"/>
        <w:rPr>
          <w:sz w:val="20"/>
          <w:szCs w:val="20"/>
          <w:color w:val="auto"/>
        </w:rPr>
      </w:pPr>
    </w:p>
    <w:p>
      <w:pPr>
        <w:jc w:val="both"/>
        <w:ind w:right="1280"/>
        <w:spacing w:after="0" w:line="339" w:lineRule="auto"/>
        <w:rPr>
          <w:sz w:val="20"/>
          <w:szCs w:val="20"/>
          <w:color w:val="auto"/>
        </w:rPr>
      </w:pPr>
      <w:r>
        <w:rPr>
          <w:rFonts w:ascii="Courier New" w:cs="Courier New" w:eastAsia="Courier New" w:hAnsi="Courier New"/>
          <w:sz w:val="18"/>
          <w:szCs w:val="18"/>
          <w:color w:val="auto"/>
        </w:rPr>
        <w:t>KNOW ALL BY THESE PRESENTS, that the undersigned does hereby constitute and appoint each of Richard S. Swartz, Kelly M. Huntington and William F. Fry, signing singly, the undersigned's true and lawful attorneys-in-fact to:</w:t>
      </w:r>
    </w:p>
    <w:p>
      <w:pPr>
        <w:spacing w:after="0" w:line="36" w:lineRule="exact"/>
        <w:rPr>
          <w:sz w:val="20"/>
          <w:szCs w:val="20"/>
          <w:color w:val="auto"/>
        </w:rPr>
      </w:pPr>
    </w:p>
    <w:p>
      <w:pPr>
        <w:ind w:right="340"/>
        <w:spacing w:after="0" w:line="279" w:lineRule="auto"/>
        <w:tabs>
          <w:tab w:leader="none" w:pos="93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U.S. Securities and Exchange Commission (the "SEC") a Form ID, including amendments thereto, and any other documents necessary or appropriate</w:t>
      </w:r>
    </w:p>
    <w:p>
      <w:pPr>
        <w:ind w:right="820"/>
        <w:spacing w:after="0" w:line="31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 obtain codes and passwords enabling the undersigned to make electronic filings with the SEC of reports required by Section 16(a) of the Securities Exchange Act of 1934 (the "Exchange Act") or any rule or regulation of the SEC;</w:t>
      </w:r>
    </w:p>
    <w:p>
      <w:pPr>
        <w:spacing w:after="0" w:line="53" w:lineRule="exact"/>
        <w:rPr>
          <w:rFonts w:ascii="Courier New" w:cs="Courier New" w:eastAsia="Courier New" w:hAnsi="Courier New"/>
          <w:sz w:val="18"/>
          <w:szCs w:val="18"/>
          <w:color w:val="auto"/>
        </w:rPr>
      </w:pPr>
    </w:p>
    <w:p>
      <w:pPr>
        <w:ind w:right="340"/>
        <w:spacing w:after="0" w:line="339" w:lineRule="auto"/>
        <w:tabs>
          <w:tab w:leader="none" w:pos="93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executive officer of MYR Group Inc. (the "Company"), Forms 3, 4 and 5 in accordance with Section 16(a) of the Exchange Act and the rules thereunder;</w:t>
      </w:r>
    </w:p>
    <w:p>
      <w:pPr>
        <w:spacing w:after="0" w:line="36" w:lineRule="exact"/>
        <w:rPr>
          <w:rFonts w:ascii="Courier New" w:cs="Courier New" w:eastAsia="Courier New" w:hAnsi="Courier New"/>
          <w:sz w:val="18"/>
          <w:szCs w:val="18"/>
          <w:color w:val="auto"/>
        </w:rPr>
      </w:pPr>
    </w:p>
    <w:p>
      <w:pPr>
        <w:ind w:right="460"/>
        <w:spacing w:after="0" w:line="275" w:lineRule="auto"/>
        <w:tabs>
          <w:tab w:leader="none" w:pos="937"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Forms 3, 4 and 5, complete and execute any amendment or amendments thereto, and file such form with the SEC and any stock exchange or similar authority; and</w:t>
      </w:r>
    </w:p>
    <w:p>
      <w:pPr>
        <w:spacing w:after="0" w:line="87" w:lineRule="exact"/>
        <w:rPr>
          <w:rFonts w:ascii="Courier New" w:cs="Courier New" w:eastAsia="Courier New" w:hAnsi="Courier New"/>
          <w:sz w:val="20"/>
          <w:szCs w:val="20"/>
          <w:color w:val="auto"/>
        </w:rPr>
      </w:pPr>
    </w:p>
    <w:p>
      <w:pPr>
        <w:ind w:right="700"/>
        <w:spacing w:after="0" w:line="256" w:lineRule="auto"/>
        <w:tabs>
          <w:tab w:leader="none" w:pos="937"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9" w:lineRule="exact"/>
        <w:rPr>
          <w:sz w:val="20"/>
          <w:szCs w:val="20"/>
          <w:color w:val="auto"/>
        </w:rPr>
      </w:pPr>
    </w:p>
    <w:p>
      <w:pPr>
        <w:ind w:right="700"/>
        <w:spacing w:after="0" w:line="248"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17" w:lineRule="exact"/>
        <w:rPr>
          <w:sz w:val="20"/>
          <w:szCs w:val="20"/>
          <w:color w:val="auto"/>
        </w:rPr>
      </w:pPr>
    </w:p>
    <w:p>
      <w:pPr>
        <w:ind w:right="700"/>
        <w:spacing w:after="0" w:line="265"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reports required by Section 16(a) with respect to the undersigned's holdings of and transactions in securities issued by the Company, unless earlier revoked by the undersigned in a signed writing delivered to the foregoing attorneys-in-fact.</w:t>
      </w:r>
    </w:p>
    <w:p>
      <w:pPr>
        <w:spacing w:after="0" w:line="100" w:lineRule="exact"/>
        <w:rPr>
          <w:sz w:val="20"/>
          <w:szCs w:val="20"/>
          <w:color w:val="auto"/>
        </w:rPr>
      </w:pPr>
    </w:p>
    <w:p>
      <w:pPr>
        <w:ind w:right="1280"/>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the 21 day of August, 2025.</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Aurelie P. Richard</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w:t>
      </w:r>
    </w:p>
    <w:p>
      <w:pPr>
        <w:spacing w:after="0"/>
        <w:tabs>
          <w:tab w:leader="none" w:pos="920" w:val="left"/>
        </w:tabs>
        <w:rPr>
          <w:sz w:val="20"/>
          <w:szCs w:val="20"/>
          <w:color w:val="auto"/>
        </w:rPr>
      </w:pPr>
      <w:r>
        <w:rPr>
          <w:rFonts w:ascii="Courier New" w:cs="Courier New" w:eastAsia="Courier New" w:hAnsi="Courier New"/>
          <w:sz w:val="20"/>
          <w:szCs w:val="20"/>
          <w:color w:val="auto"/>
        </w:rPr>
        <w:t>Name:</w:t>
      </w:r>
      <w:r>
        <w:rPr>
          <w:sz w:val="20"/>
          <w:szCs w:val="20"/>
          <w:color w:val="auto"/>
        </w:rPr>
        <w:tab/>
      </w:r>
      <w:r>
        <w:rPr>
          <w:rFonts w:ascii="Courier New" w:cs="Courier New" w:eastAsia="Courier New" w:hAnsi="Courier New"/>
          <w:sz w:val="20"/>
          <w:szCs w:val="20"/>
          <w:color w:val="auto"/>
        </w:rPr>
        <w:t>Aurelie P. Richard</w:t>
      </w:r>
    </w:p>
    <w:sectPr>
      <w:pgSz w:w="11900" w:h="16838" w:orient="portrait"/>
      <w:cols w:equalWidth="0" w:num="1">
        <w:col w:w="10060"/>
      </w:cols>
      <w:pgMar w:left="480" w:top="106" w:right="1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084488" TargetMode="External"/><Relationship Id="rId11" Type="http://schemas.openxmlformats.org/officeDocument/2006/relationships/hyperlink" Target="http://www.sec.gov/cgi-bin/browse-edgar?action=getcompany&amp;CIK=0000700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2025-09-04T15:18:26Z</dcterms:created>
  <dcterms:modified xsi:type="dcterms:W3CDTF">2025-09-04T15:18:26Z</dcterms:modified>
</cp:coreProperties>
</file>