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Washington, D.C. 20549</w:t>
      </w:r>
    </w:p>
    <w:p>
      <w:pPr>
        <w:spacing w:after="0" w:line="137" w:lineRule="exact"/>
        <w:rPr>
          <w:sz w:val="24"/>
          <w:szCs w:val="24"/>
          <w:color w:val="auto"/>
        </w:rPr>
      </w:pPr>
    </w:p>
    <w:p>
      <w:pPr>
        <w:jc w:val="center"/>
        <w:ind w:right="14"/>
        <w:spacing w:after="0"/>
        <w:rPr>
          <w:sz w:val="20"/>
          <w:szCs w:val="20"/>
          <w:color w:val="auto"/>
        </w:rPr>
      </w:pPr>
      <w:r>
        <w:rPr>
          <w:rFonts w:ascii="Arial" w:cs="Arial" w:eastAsia="Arial" w:hAnsi="Arial"/>
          <w:sz w:val="20"/>
          <w:szCs w:val="20"/>
          <w:b w:val="1"/>
          <w:bCs w:val="1"/>
          <w:color w:val="auto"/>
        </w:rPr>
        <w:t>FORM 10-Q</w:t>
      </w:r>
    </w:p>
    <w:p>
      <w:pPr>
        <w:spacing w:after="0" w:line="153" w:lineRule="exact"/>
        <w:rPr>
          <w:sz w:val="24"/>
          <w:szCs w:val="24"/>
          <w:color w:val="auto"/>
        </w:rPr>
      </w:pPr>
    </w:p>
    <w:p>
      <w:pPr>
        <w:ind w:left="346" w:hanging="346"/>
        <w:spacing w:after="0"/>
        <w:tabs>
          <w:tab w:leader="none" w:pos="346"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346" w:hanging="346"/>
        <w:spacing w:after="0"/>
        <w:tabs>
          <w:tab w:leader="none" w:pos="346"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p>
      <w:pPr>
        <w:jc w:val="center"/>
        <w:ind w:right="34"/>
        <w:spacing w:after="0"/>
        <w:tabs>
          <w:tab w:leader="none" w:pos="4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67"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Commission file number: 1-08325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174625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14"/>
        <w:spacing w:after="0"/>
        <w:rPr>
          <w:sz w:val="20"/>
          <w:szCs w:val="20"/>
          <w:color w:val="auto"/>
        </w:rPr>
      </w:pPr>
      <w:r>
        <w:rPr>
          <w:rFonts w:ascii="Arial" w:cs="Arial" w:eastAsia="Arial" w:hAnsi="Arial"/>
          <w:sz w:val="25"/>
          <w:szCs w:val="25"/>
          <w:b w:val="1"/>
          <w:bCs w:val="1"/>
          <w:color w:val="auto"/>
        </w:rPr>
        <w:t>MYR GROUP INC.</w:t>
      </w:r>
    </w:p>
    <w:p>
      <w:pPr>
        <w:spacing w:after="0" w:line="37" w:lineRule="exact"/>
        <w:rPr>
          <w:sz w:val="24"/>
          <w:szCs w:val="24"/>
          <w:color w:val="auto"/>
        </w:rPr>
      </w:pPr>
    </w:p>
    <w:p>
      <w:pPr>
        <w:jc w:val="center"/>
        <w:ind w:right="14"/>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1226" w:type="dxa"/>
        <w:tblCellMar>
          <w:top w:w="0" w:type="dxa"/>
          <w:left w:w="0" w:type="dxa"/>
          <w:bottom w:w="0" w:type="dxa"/>
          <w:right w:w="0" w:type="dxa"/>
        </w:tblCellMar>
      </w:tblPr>
      <w:tr>
        <w:trPr>
          <w:trHeight w:val="207"/>
        </w:trPr>
        <w:tc>
          <w:tcPr>
            <w:tcW w:w="2980" w:type="dxa"/>
            <w:vAlign w:val="bottom"/>
          </w:tcPr>
          <w:p>
            <w:pPr>
              <w:jc w:val="center"/>
              <w:ind w:right="339"/>
              <w:spacing w:after="0"/>
              <w:rPr>
                <w:sz w:val="20"/>
                <w:szCs w:val="20"/>
                <w:color w:val="auto"/>
              </w:rPr>
            </w:pPr>
            <w:r>
              <w:rPr>
                <w:rFonts w:ascii="Arial" w:cs="Arial" w:eastAsia="Arial" w:hAnsi="Arial"/>
                <w:sz w:val="16"/>
                <w:szCs w:val="16"/>
                <w:b w:val="1"/>
                <w:bCs w:val="1"/>
                <w:color w:val="auto"/>
                <w:w w:val="91"/>
              </w:rPr>
              <w:t>Delaware</w:t>
            </w:r>
          </w:p>
        </w:tc>
        <w:tc>
          <w:tcPr>
            <w:tcW w:w="4680" w:type="dxa"/>
            <w:vAlign w:val="bottom"/>
          </w:tcPr>
          <w:p>
            <w:pPr>
              <w:jc w:val="right"/>
              <w:ind w:right="699"/>
              <w:spacing w:after="0"/>
              <w:rPr>
                <w:sz w:val="20"/>
                <w:szCs w:val="20"/>
                <w:color w:val="auto"/>
              </w:rPr>
            </w:pPr>
            <w:r>
              <w:rPr>
                <w:rFonts w:ascii="Arial" w:cs="Arial" w:eastAsia="Arial" w:hAnsi="Arial"/>
                <w:sz w:val="16"/>
                <w:szCs w:val="16"/>
                <w:b w:val="1"/>
                <w:bCs w:val="1"/>
                <w:color w:val="auto"/>
              </w:rPr>
              <w:t>36-3158643</w:t>
            </w:r>
          </w:p>
        </w:tc>
      </w:tr>
      <w:tr>
        <w:trPr>
          <w:trHeight w:val="203"/>
        </w:trPr>
        <w:tc>
          <w:tcPr>
            <w:tcW w:w="2980" w:type="dxa"/>
            <w:vAlign w:val="bottom"/>
          </w:tcPr>
          <w:p>
            <w:pPr>
              <w:jc w:val="center"/>
              <w:ind w:right="339"/>
              <w:spacing w:after="0"/>
              <w:rPr>
                <w:sz w:val="20"/>
                <w:szCs w:val="20"/>
                <w:color w:val="auto"/>
              </w:rPr>
            </w:pPr>
            <w:r>
              <w:rPr>
                <w:rFonts w:ascii="Arial" w:cs="Arial" w:eastAsia="Arial" w:hAnsi="Arial"/>
                <w:sz w:val="16"/>
                <w:szCs w:val="16"/>
                <w:color w:val="auto"/>
                <w:w w:val="93"/>
              </w:rPr>
              <w:t>(State or other jurisdiction of</w:t>
            </w:r>
          </w:p>
        </w:tc>
        <w:tc>
          <w:tcPr>
            <w:tcW w:w="4680" w:type="dxa"/>
            <w:vAlign w:val="bottom"/>
          </w:tcPr>
          <w:p>
            <w:pPr>
              <w:jc w:val="center"/>
              <w:ind w:left="2259"/>
              <w:spacing w:after="0"/>
              <w:rPr>
                <w:sz w:val="20"/>
                <w:szCs w:val="20"/>
                <w:color w:val="auto"/>
              </w:rPr>
            </w:pPr>
            <w:r>
              <w:rPr>
                <w:rFonts w:ascii="Arial" w:cs="Arial" w:eastAsia="Arial" w:hAnsi="Arial"/>
                <w:sz w:val="16"/>
                <w:szCs w:val="16"/>
                <w:color w:val="auto"/>
                <w:w w:val="94"/>
              </w:rPr>
              <w:t>(I.R.S. Employer Identification No.)</w:t>
            </w:r>
          </w:p>
        </w:tc>
      </w:tr>
      <w:tr>
        <w:trPr>
          <w:trHeight w:val="206"/>
        </w:trPr>
        <w:tc>
          <w:tcPr>
            <w:tcW w:w="2980" w:type="dxa"/>
            <w:vAlign w:val="bottom"/>
          </w:tcPr>
          <w:p>
            <w:pPr>
              <w:jc w:val="center"/>
              <w:ind w:right="379"/>
              <w:spacing w:after="0"/>
              <w:rPr>
                <w:sz w:val="20"/>
                <w:szCs w:val="20"/>
                <w:color w:val="auto"/>
              </w:rPr>
            </w:pPr>
            <w:r>
              <w:rPr>
                <w:rFonts w:ascii="Arial" w:cs="Arial" w:eastAsia="Arial" w:hAnsi="Arial"/>
                <w:sz w:val="16"/>
                <w:szCs w:val="16"/>
                <w:color w:val="auto"/>
                <w:w w:val="94"/>
              </w:rPr>
              <w:t>incorporation or organization)</w:t>
            </w:r>
          </w:p>
        </w:tc>
        <w:tc>
          <w:tcPr>
            <w:tcW w:w="4680" w:type="dxa"/>
            <w:vAlign w:val="bottom"/>
          </w:tcPr>
          <w:p>
            <w:pPr>
              <w:spacing w:after="0"/>
              <w:rPr>
                <w:sz w:val="17"/>
                <w:szCs w:val="17"/>
                <w:color w:val="auto"/>
              </w:rPr>
            </w:pPr>
          </w:p>
        </w:tc>
      </w:tr>
      <w:tr>
        <w:trPr>
          <w:trHeight w:val="343"/>
        </w:trPr>
        <w:tc>
          <w:tcPr>
            <w:tcW w:w="2980" w:type="dxa"/>
            <w:vAlign w:val="bottom"/>
          </w:tcPr>
          <w:p>
            <w:pPr>
              <w:jc w:val="center"/>
              <w:ind w:right="339"/>
              <w:spacing w:after="0"/>
              <w:rPr>
                <w:sz w:val="20"/>
                <w:szCs w:val="20"/>
                <w:color w:val="auto"/>
              </w:rPr>
            </w:pPr>
            <w:r>
              <w:rPr>
                <w:rFonts w:ascii="Arial" w:cs="Arial" w:eastAsia="Arial" w:hAnsi="Arial"/>
                <w:sz w:val="16"/>
                <w:szCs w:val="16"/>
                <w:b w:val="1"/>
                <w:bCs w:val="1"/>
                <w:color w:val="auto"/>
                <w:w w:val="91"/>
              </w:rPr>
              <w:t>1701 Golf Road, Suite 3-1012</w:t>
            </w:r>
          </w:p>
        </w:tc>
        <w:tc>
          <w:tcPr>
            <w:tcW w:w="4680" w:type="dxa"/>
            <w:vAlign w:val="bottom"/>
          </w:tcPr>
          <w:p>
            <w:pPr>
              <w:spacing w:after="0"/>
              <w:rPr>
                <w:sz w:val="24"/>
                <w:szCs w:val="24"/>
                <w:color w:val="auto"/>
              </w:rPr>
            </w:pPr>
          </w:p>
        </w:tc>
      </w:tr>
      <w:tr>
        <w:trPr>
          <w:trHeight w:val="206"/>
        </w:trPr>
        <w:tc>
          <w:tcPr>
            <w:tcW w:w="2980" w:type="dxa"/>
            <w:vAlign w:val="bottom"/>
          </w:tcPr>
          <w:p>
            <w:pPr>
              <w:jc w:val="center"/>
              <w:ind w:right="339"/>
              <w:spacing w:after="0"/>
              <w:rPr>
                <w:sz w:val="20"/>
                <w:szCs w:val="20"/>
                <w:color w:val="auto"/>
              </w:rPr>
            </w:pPr>
            <w:r>
              <w:rPr>
                <w:rFonts w:ascii="Arial" w:cs="Arial" w:eastAsia="Arial" w:hAnsi="Arial"/>
                <w:sz w:val="16"/>
                <w:szCs w:val="16"/>
                <w:b w:val="1"/>
                <w:bCs w:val="1"/>
                <w:color w:val="auto"/>
                <w:w w:val="93"/>
              </w:rPr>
              <w:t>Rolling Meadows, IL</w:t>
            </w:r>
          </w:p>
        </w:tc>
        <w:tc>
          <w:tcPr>
            <w:tcW w:w="4680" w:type="dxa"/>
            <w:vAlign w:val="bottom"/>
          </w:tcPr>
          <w:p>
            <w:pPr>
              <w:jc w:val="right"/>
              <w:ind w:right="879"/>
              <w:spacing w:after="0"/>
              <w:rPr>
                <w:sz w:val="20"/>
                <w:szCs w:val="20"/>
                <w:color w:val="auto"/>
              </w:rPr>
            </w:pPr>
            <w:r>
              <w:rPr>
                <w:rFonts w:ascii="Arial" w:cs="Arial" w:eastAsia="Arial" w:hAnsi="Arial"/>
                <w:sz w:val="16"/>
                <w:szCs w:val="16"/>
                <w:b w:val="1"/>
                <w:bCs w:val="1"/>
                <w:color w:val="auto"/>
              </w:rPr>
              <w:t>60008</w:t>
            </w:r>
          </w:p>
        </w:tc>
      </w:tr>
      <w:tr>
        <w:trPr>
          <w:trHeight w:val="206"/>
        </w:trPr>
        <w:tc>
          <w:tcPr>
            <w:tcW w:w="2980" w:type="dxa"/>
            <w:vAlign w:val="bottom"/>
          </w:tcPr>
          <w:p>
            <w:pPr>
              <w:jc w:val="center"/>
              <w:ind w:right="339"/>
              <w:spacing w:after="0"/>
              <w:rPr>
                <w:sz w:val="20"/>
                <w:szCs w:val="20"/>
                <w:color w:val="auto"/>
              </w:rPr>
            </w:pPr>
            <w:r>
              <w:rPr>
                <w:rFonts w:ascii="Arial" w:cs="Arial" w:eastAsia="Arial" w:hAnsi="Arial"/>
                <w:sz w:val="16"/>
                <w:szCs w:val="16"/>
                <w:color w:val="auto"/>
                <w:w w:val="93"/>
              </w:rPr>
              <w:t>(Address of principal executive offices)</w:t>
            </w:r>
          </w:p>
        </w:tc>
        <w:tc>
          <w:tcPr>
            <w:tcW w:w="4680" w:type="dxa"/>
            <w:vAlign w:val="bottom"/>
          </w:tcPr>
          <w:p>
            <w:pPr>
              <w:jc w:val="center"/>
              <w:ind w:left="2259"/>
              <w:spacing w:after="0"/>
              <w:rPr>
                <w:sz w:val="20"/>
                <w:szCs w:val="20"/>
                <w:color w:val="auto"/>
              </w:rPr>
            </w:pPr>
            <w:r>
              <w:rPr>
                <w:rFonts w:ascii="Arial" w:cs="Arial" w:eastAsia="Arial" w:hAnsi="Arial"/>
                <w:sz w:val="16"/>
                <w:szCs w:val="16"/>
                <w:color w:val="auto"/>
                <w:w w:val="92"/>
              </w:rPr>
              <w:t>(Zip Code)</w:t>
            </w:r>
          </w:p>
        </w:tc>
      </w:tr>
      <w:tr>
        <w:trPr>
          <w:trHeight w:val="338"/>
        </w:trPr>
        <w:tc>
          <w:tcPr>
            <w:tcW w:w="2980" w:type="dxa"/>
            <w:vAlign w:val="bottom"/>
          </w:tcPr>
          <w:p>
            <w:pPr>
              <w:spacing w:after="0"/>
              <w:rPr>
                <w:sz w:val="24"/>
                <w:szCs w:val="24"/>
                <w:color w:val="auto"/>
              </w:rPr>
            </w:pPr>
          </w:p>
        </w:tc>
        <w:tc>
          <w:tcPr>
            <w:tcW w:w="4680" w:type="dxa"/>
            <w:vAlign w:val="bottom"/>
          </w:tcPr>
          <w:p>
            <w:pPr>
              <w:jc w:val="right"/>
              <w:ind w:right="3179"/>
              <w:spacing w:after="0"/>
              <w:rPr>
                <w:sz w:val="20"/>
                <w:szCs w:val="20"/>
                <w:color w:val="auto"/>
              </w:rPr>
            </w:pPr>
            <w:r>
              <w:rPr>
                <w:rFonts w:ascii="Arial" w:cs="Arial" w:eastAsia="Arial" w:hAnsi="Arial"/>
                <w:sz w:val="16"/>
                <w:szCs w:val="16"/>
                <w:b w:val="1"/>
                <w:bCs w:val="1"/>
                <w:color w:val="auto"/>
              </w:rPr>
              <w:t>(847) 290-1891</w:t>
            </w:r>
          </w:p>
        </w:tc>
      </w:tr>
    </w:tbl>
    <w:p>
      <w:pPr>
        <w:jc w:val="center"/>
        <w:ind w:right="14"/>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144145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400" w:lineRule="exact"/>
        <w:rPr>
          <w:sz w:val="24"/>
          <w:szCs w:val="24"/>
          <w:color w:val="auto"/>
        </w:rPr>
      </w:pPr>
    </w:p>
    <w:p>
      <w:pPr>
        <w:ind w:left="326"/>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7" w:lineRule="exact"/>
        <w:rPr>
          <w:sz w:val="24"/>
          <w:szCs w:val="24"/>
          <w:color w:val="auto"/>
        </w:rPr>
      </w:pPr>
    </w:p>
    <w:tbl>
      <w:tblPr>
        <w:tblLayout w:type="fixed"/>
        <w:tblInd w:w="16" w:type="dxa"/>
        <w:tblCellMar>
          <w:top w:w="0" w:type="dxa"/>
          <w:left w:w="0" w:type="dxa"/>
          <w:bottom w:w="0" w:type="dxa"/>
          <w:right w:w="0" w:type="dxa"/>
        </w:tblCellMar>
      </w:tblPr>
      <w:tr>
        <w:trPr>
          <w:trHeight w:val="230"/>
        </w:trPr>
        <w:tc>
          <w:tcPr>
            <w:tcW w:w="4100" w:type="dxa"/>
            <w:vAlign w:val="bottom"/>
            <w:tcBorders>
              <w:top w:val="single" w:sz="8" w:color="auto"/>
              <w:left w:val="single" w:sz="8" w:color="auto"/>
              <w:bottom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100" w:type="dxa"/>
            <w:vAlign w:val="bottom"/>
            <w:tcBorders>
              <w:left w:val="single" w:sz="8" w:color="auto"/>
              <w:bottom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90"/>
              </w:rPr>
              <w:t>Common Stock, $0.01 par value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MYRG</w:t>
            </w:r>
          </w:p>
        </w:tc>
        <w:tc>
          <w:tcPr>
            <w:tcW w:w="4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0"/>
        </w:trPr>
        <w:tc>
          <w:tcPr>
            <w:tcW w:w="4100" w:type="dxa"/>
            <w:vAlign w:val="bottom"/>
            <w:tcBorders>
              <w:left w:val="single" w:sz="8" w:color="auto"/>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4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125" w:lineRule="exact"/>
        <w:rPr>
          <w:sz w:val="24"/>
          <w:szCs w:val="24"/>
          <w:color w:val="auto"/>
        </w:rPr>
      </w:pPr>
    </w:p>
    <w:p>
      <w:pPr>
        <w:ind w:left="6" w:right="8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28" w:lineRule="exact"/>
        <w:rPr>
          <w:sz w:val="24"/>
          <w:szCs w:val="24"/>
          <w:color w:val="auto"/>
        </w:rPr>
      </w:pPr>
    </w:p>
    <w:p>
      <w:pPr>
        <w:ind w:left="6" w:right="14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28" w:lineRule="exact"/>
        <w:rPr>
          <w:sz w:val="24"/>
          <w:szCs w:val="24"/>
          <w:color w:val="auto"/>
        </w:rPr>
      </w:pPr>
    </w:p>
    <w:p>
      <w:pPr>
        <w:jc w:val="both"/>
        <w:ind w:left="6" w:right="4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6"/>
          </w:cols>
          <w:pgMar w:left="834" w:top="665" w:right="819" w:bottom="1440" w:gutter="0" w:footer="0" w:header="0"/>
        </w:sectPr>
      </w:pPr>
    </w:p>
    <w:p>
      <w:pPr>
        <w:spacing w:after="0" w:line="87" w:lineRule="exact"/>
        <w:rPr>
          <w:sz w:val="24"/>
          <w:szCs w:val="24"/>
          <w:color w:val="auto"/>
        </w:rPr>
      </w:pPr>
    </w:p>
    <w:p>
      <w:pPr>
        <w:ind w:left="1026"/>
        <w:spacing w:after="0" w:line="201" w:lineRule="exact"/>
        <w:rPr>
          <w:sz w:val="20"/>
          <w:szCs w:val="20"/>
          <w:color w:val="auto"/>
        </w:rPr>
      </w:pPr>
      <w:r>
        <w:rPr>
          <w:rFonts w:ascii="Arial" w:cs="Arial" w:eastAsia="Arial" w:hAnsi="Arial"/>
          <w:sz w:val="15"/>
          <w:szCs w:val="15"/>
          <w:color w:val="auto"/>
        </w:rPr>
        <w:t xml:space="preserve">Large accelerated filer </w:t>
      </w:r>
      <w:r>
        <w:rPr>
          <w:rFonts w:ascii="Arial Unicode MS" w:cs="Arial Unicode MS" w:eastAsia="Arial Unicode MS" w:hAnsi="Arial Unicode MS"/>
          <w:sz w:val="15"/>
          <w:szCs w:val="15"/>
          <w:color w:val="auto"/>
        </w:rPr>
        <w:t>☐</w:t>
      </w:r>
    </w:p>
    <w:p>
      <w:pPr>
        <w:spacing w:after="0" w:line="41" w:lineRule="exact"/>
        <w:rPr>
          <w:sz w:val="24"/>
          <w:szCs w:val="24"/>
          <w:color w:val="auto"/>
        </w:rPr>
      </w:pPr>
    </w:p>
    <w:p>
      <w:pPr>
        <w:ind w:left="1026"/>
        <w:spacing w:after="0" w:line="215" w:lineRule="exact"/>
        <w:rPr>
          <w:sz w:val="20"/>
          <w:szCs w:val="20"/>
          <w:color w:val="auto"/>
        </w:rPr>
      </w:pP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32"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Emerging growth company </w:t>
      </w:r>
      <w:r>
        <w:rPr>
          <w:rFonts w:ascii="Arial Unicode MS" w:cs="Arial Unicode MS" w:eastAsia="Arial Unicode MS" w:hAnsi="Arial Unicode MS"/>
          <w:sz w:val="15"/>
          <w:szCs w:val="15"/>
          <w:color w:val="auto"/>
        </w:rPr>
        <w:t>☐</w:t>
      </w:r>
    </w:p>
    <w:p>
      <w:pPr>
        <w:spacing w:after="0" w:line="123" w:lineRule="exact"/>
        <w:rPr>
          <w:sz w:val="24"/>
          <w:szCs w:val="24"/>
          <w:color w:val="auto"/>
        </w:rPr>
      </w:pPr>
    </w:p>
    <w:p>
      <w:pPr>
        <w:sectPr>
          <w:pgSz w:w="11900" w:h="16838" w:orient="portrait"/>
          <w:cols w:equalWidth="0" w:num="2">
            <w:col w:w="4466" w:space="720"/>
            <w:col w:w="5060"/>
          </w:cols>
          <w:pgMar w:left="834" w:top="665" w:right="819" w:bottom="1440" w:gutter="0" w:footer="0" w:header="0"/>
          <w:type w:val="continuous"/>
        </w:sectPr>
      </w:pPr>
    </w:p>
    <w:p>
      <w:pPr>
        <w:ind w:left="6" w:right="28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83" w:lineRule="exact"/>
        <w:rPr>
          <w:sz w:val="24"/>
          <w:szCs w:val="24"/>
          <w:color w:val="auto"/>
        </w:rPr>
      </w:pPr>
    </w:p>
    <w:p>
      <w:pPr>
        <w:ind w:left="326" w:right="1640"/>
        <w:spacing w:after="0" w:line="29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As of July 24, 2020, there were 16,708,925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570230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193040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6"/>
          </w:cols>
          <w:pgMar w:left="834" w:top="665" w:right="8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0" w:type="dxa"/>
            <w:vAlign w:val="bottom"/>
            <w:gridSpan w:val="4"/>
          </w:tcPr>
          <w:p>
            <w:pPr>
              <w:ind w:left="14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0"/>
                <w:szCs w:val="20"/>
                <w:color w:val="auto"/>
              </w:rPr>
            </w:pPr>
          </w:p>
        </w:tc>
      </w:tr>
      <w:tr>
        <w:trPr>
          <w:trHeight w:val="445"/>
        </w:trPr>
        <w:tc>
          <w:tcPr>
            <w:tcW w:w="9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r>
      <w:tr>
        <w:trPr>
          <w:trHeight w:val="210"/>
        </w:trPr>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0" w:type="dxa"/>
            <w:vAlign w:val="bottom"/>
            <w:gridSpan w:val="5"/>
            <w:shd w:val="clear" w:color="auto" w:fill="CCEEFF"/>
          </w:tcPr>
          <w:p>
            <w:pPr>
              <w:jc w:val="center"/>
              <w:ind w:right="1900"/>
              <w:spacing w:after="0"/>
              <w:rPr>
                <w:sz w:val="20"/>
                <w:szCs w:val="20"/>
                <w:color w:val="auto"/>
              </w:rPr>
            </w:pPr>
            <w:r>
              <w:rPr>
                <w:rFonts w:ascii="Arial" w:cs="Arial" w:eastAsia="Arial" w:hAnsi="Arial"/>
                <w:sz w:val="18"/>
                <w:szCs w:val="18"/>
                <w:b w:val="1"/>
                <w:bCs w:val="1"/>
                <w:color w:val="auto"/>
                <w:w w:val="95"/>
              </w:rPr>
              <w:t>Part I—Financial Information</w:t>
            </w:r>
          </w:p>
        </w:tc>
        <w:tc>
          <w:tcPr>
            <w:tcW w:w="6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730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68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7300" w:type="dxa"/>
            <w:vAlign w:val="bottom"/>
            <w:gridSpan w:val="7"/>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as of June 30, 2020 (unaudited) and December 31, 2019</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76"/>
        </w:trPr>
        <w:tc>
          <w:tcPr>
            <w:tcW w:w="920" w:type="dxa"/>
            <w:vAlign w:val="bottom"/>
          </w:tcPr>
          <w:p>
            <w:pPr>
              <w:spacing w:after="0"/>
              <w:rPr>
                <w:sz w:val="15"/>
                <w:szCs w:val="15"/>
                <w:color w:val="auto"/>
              </w:rPr>
            </w:pPr>
          </w:p>
        </w:tc>
        <w:tc>
          <w:tcPr>
            <w:tcW w:w="6960" w:type="dxa"/>
            <w:vAlign w:val="bottom"/>
            <w:tcBorders>
              <w:bottom w:val="single" w:sz="8" w:color="0000EE"/>
            </w:tcBorders>
            <w:gridSpan w:val="5"/>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Operations and Comprehensive Income for the Three and</w:t>
              </w:r>
            </w:hyperlink>
          </w:p>
        </w:tc>
        <w:tc>
          <w:tcPr>
            <w:tcW w:w="340" w:type="dxa"/>
            <w:vAlign w:val="bottom"/>
            <w:gridSpan w:val="2"/>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r>
      <w:tr>
        <w:trPr>
          <w:trHeight w:val="196"/>
        </w:trPr>
        <w:tc>
          <w:tcPr>
            <w:tcW w:w="920" w:type="dxa"/>
            <w:vAlign w:val="bottom"/>
          </w:tcPr>
          <w:p>
            <w:pPr>
              <w:spacing w:after="0"/>
              <w:rPr>
                <w:sz w:val="17"/>
                <w:szCs w:val="17"/>
                <w:color w:val="auto"/>
              </w:rPr>
            </w:pPr>
          </w:p>
        </w:tc>
        <w:tc>
          <w:tcPr>
            <w:tcW w:w="7300" w:type="dxa"/>
            <w:vAlign w:val="bottom"/>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Six Months Ended June 30, 2020 and 2019</w:t>
              </w:r>
            </w:hyperlink>
          </w:p>
        </w:tc>
        <w:tc>
          <w:tcPr>
            <w:tcW w:w="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7300" w:type="dxa"/>
            <w:vAlign w:val="bottom"/>
            <w:gridSpan w:val="7"/>
            <w:shd w:val="clear" w:color="auto" w:fill="CCEEFF"/>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Unaudited Consolidated Statements of Stockholders’ Equity for the Three and Six Months Ended</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700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2020 and 2019</w:t>
              </w:r>
            </w:hyperlink>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rPr>
                <w:sz w:val="15"/>
                <w:szCs w:val="15"/>
                <w:color w:val="auto"/>
              </w:rPr>
            </w:pPr>
          </w:p>
        </w:tc>
        <w:tc>
          <w:tcPr>
            <w:tcW w:w="7300" w:type="dxa"/>
            <w:vAlign w:val="bottom"/>
            <w:gridSpan w:val="7"/>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Unaudited Consolidated Statements of Cash Flows for the Six Months Ended June 30, 2020 and</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r>
      <w:tr>
        <w:trPr>
          <w:trHeight w:val="196"/>
        </w:trPr>
        <w:tc>
          <w:tcPr>
            <w:tcW w:w="9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2019</w:t>
              </w:r>
            </w:hyperlink>
          </w:p>
        </w:tc>
        <w:tc>
          <w:tcPr>
            <w:tcW w:w="13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38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7300" w:type="dxa"/>
            <w:vAlign w:val="bottom"/>
            <w:gridSpan w:val="7"/>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Consolidated Financial Statements</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w:t>
              </w:r>
            </w:hyperlink>
          </w:p>
        </w:tc>
        <w:tc>
          <w:tcPr>
            <w:tcW w:w="7300" w:type="dxa"/>
            <w:vAlign w:val="bottom"/>
            <w:gridSpan w:val="7"/>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20" w:type="dxa"/>
            <w:vAlign w:val="bottom"/>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3.</w:t>
              </w:r>
            </w:hyperlink>
          </w:p>
        </w:tc>
        <w:tc>
          <w:tcPr>
            <w:tcW w:w="7300" w:type="dxa"/>
            <w:vAlign w:val="bottom"/>
            <w:gridSpan w:val="7"/>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Quantitative and Qualitative Disclosures About Market Risk</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4.</w:t>
              </w:r>
            </w:hyperlink>
          </w:p>
        </w:tc>
        <w:tc>
          <w:tcPr>
            <w:tcW w:w="7300" w:type="dxa"/>
            <w:vAlign w:val="bottom"/>
            <w:gridSpan w:val="7"/>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0" w:type="dxa"/>
            <w:vAlign w:val="bottom"/>
            <w:gridSpan w:val="5"/>
            <w:shd w:val="clear" w:color="auto" w:fill="CCEEFF"/>
          </w:tcPr>
          <w:p>
            <w:pPr>
              <w:jc w:val="center"/>
              <w:ind w:right="1900"/>
              <w:spacing w:after="0"/>
              <w:rPr>
                <w:rFonts w:ascii="Arial" w:cs="Arial" w:eastAsia="Arial" w:hAnsi="Arial"/>
                <w:sz w:val="18"/>
                <w:szCs w:val="18"/>
                <w:b w:val="1"/>
                <w:bCs w:val="1"/>
                <w:u w:val="single" w:color="auto"/>
                <w:color w:val="0000EE"/>
                <w:w w:val="97"/>
              </w:rPr>
            </w:pPr>
            <w:hyperlink w:anchor="page41">
              <w:r>
                <w:rPr>
                  <w:rFonts w:ascii="Arial" w:cs="Arial" w:eastAsia="Arial" w:hAnsi="Arial"/>
                  <w:sz w:val="18"/>
                  <w:szCs w:val="18"/>
                  <w:b w:val="1"/>
                  <w:bCs w:val="1"/>
                  <w:u w:val="single" w:color="auto"/>
                  <w:color w:val="0000EE"/>
                  <w:w w:val="97"/>
                </w:rPr>
                <w:t>Part II—Other Information</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1.</w:t>
              </w:r>
            </w:hyperlink>
          </w:p>
        </w:tc>
        <w:tc>
          <w:tcPr>
            <w:tcW w:w="7300" w:type="dxa"/>
            <w:vAlign w:val="bottom"/>
            <w:gridSpan w:val="7"/>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0" w:type="dxa"/>
            <w:vAlign w:val="bottom"/>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1A.</w:t>
              </w:r>
            </w:hyperlink>
          </w:p>
        </w:tc>
        <w:tc>
          <w:tcPr>
            <w:tcW w:w="7300" w:type="dxa"/>
            <w:vAlign w:val="bottom"/>
            <w:gridSpan w:val="7"/>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Risk Factors</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2.</w:t>
              </w:r>
            </w:hyperlink>
          </w:p>
        </w:tc>
        <w:tc>
          <w:tcPr>
            <w:tcW w:w="7300" w:type="dxa"/>
            <w:vAlign w:val="bottom"/>
            <w:gridSpan w:val="7"/>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20" w:type="dxa"/>
            <w:vAlign w:val="bottom"/>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6.</w:t>
              </w:r>
            </w:hyperlink>
          </w:p>
        </w:tc>
        <w:tc>
          <w:tcPr>
            <w:tcW w:w="7300" w:type="dxa"/>
            <w:vAlign w:val="bottom"/>
            <w:gridSpan w:val="7"/>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Exhibits</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202" w:lineRule="exact"/>
        <w:rPr>
          <w:sz w:val="20"/>
          <w:szCs w:val="20"/>
          <w:color w:val="auto"/>
        </w:rPr>
      </w:pPr>
    </w:p>
    <w:p>
      <w:pPr>
        <w:ind w:left="60" w:right="199" w:firstLine="648"/>
        <w:spacing w:after="0" w:line="308" w:lineRule="auto"/>
        <w:rPr>
          <w:sz w:val="20"/>
          <w:szCs w:val="20"/>
          <w:color w:val="auto"/>
        </w:rPr>
      </w:pPr>
      <w:r>
        <w:rPr>
          <w:rFonts w:ascii="Arial" w:cs="Arial" w:eastAsia="Arial" w:hAnsi="Arial"/>
          <w:sz w:val="17"/>
          <w:szCs w:val="17"/>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ind w:left="60"/>
              <w:spacing w:after="0" w:line="142" w:lineRule="exact"/>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300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9,991</w:t>
            </w:r>
          </w:p>
        </w:tc>
        <w:tc>
          <w:tcPr>
            <w:tcW w:w="34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12,397</w:t>
            </w: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Arial" w:cs="Arial" w:eastAsia="Arial" w:hAnsi="Arial"/>
                <w:sz w:val="16"/>
                <w:szCs w:val="16"/>
                <w:color w:val="auto"/>
              </w:rPr>
              <w:t>Accounts receivable, net of allowances of $3,186 and $3,364, respectively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341,514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388,479</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Contract assets, net of allowances of $393 and $147, respectively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224,275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217,109</w:t>
            </w: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Arial" w:cs="Arial" w:eastAsia="Arial" w:hAnsi="Arial"/>
                <w:sz w:val="16"/>
                <w:szCs w:val="16"/>
                <w:color w:val="auto"/>
              </w:rPr>
              <w:t>Current portion of receivable for insurance claims in excess of deductibles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6,415</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Refundable income taxes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10,007</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12,811</w:t>
            </w: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594,916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639,184</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w w:val="95"/>
              </w:rPr>
              <w:t>Property and equipment, net of accumulated depreciation of $284,385 and $272,865, respectively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181,711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185,344</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22,958</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66,051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66,060</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 of accumulated amortization of $13,311 and $10,880, respectively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54,940</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Receivable for insurance claims in excess of deductibles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30,976</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Investment in joint ventures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4,722</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3,687</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950,086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1,007,871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5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7,186</w:t>
            </w:r>
          </w:p>
        </w:tc>
        <w:tc>
          <w:tcPr>
            <w:tcW w:w="34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8,737</w:t>
            </w: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Arial" w:cs="Arial" w:eastAsia="Arial" w:hAnsi="Arial"/>
                <w:sz w:val="16"/>
                <w:szCs w:val="16"/>
                <w:color w:val="auto"/>
              </w:rPr>
              <w:t>Current portion of operating lease obligations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6,864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6,205</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portion of finance lease obligations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154,902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192,107</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Contract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105,486</w:t>
            </w: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Arial" w:cs="Arial" w:eastAsia="Arial" w:hAnsi="Arial"/>
                <w:sz w:val="16"/>
                <w:szCs w:val="16"/>
                <w:color w:val="auto"/>
              </w:rPr>
              <w:t>Current portion of accrued self-insurance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18,780</w:t>
            </w:r>
          </w:p>
        </w:tc>
        <w:tc>
          <w:tcPr>
            <w:tcW w:w="0" w:type="dxa"/>
            <w:vAlign w:val="bottom"/>
          </w:tcPr>
          <w:p>
            <w:pPr>
              <w:spacing w:after="0"/>
              <w:rPr>
                <w:sz w:val="1"/>
                <w:szCs w:val="1"/>
                <w:color w:val="auto"/>
              </w:rPr>
            </w:pPr>
          </w:p>
        </w:tc>
      </w:tr>
      <w:tr>
        <w:trPr>
          <w:trHeight w:val="202"/>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liabilities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84,982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64,364</w:t>
            </w:r>
          </w:p>
        </w:tc>
        <w:tc>
          <w:tcPr>
            <w:tcW w:w="0" w:type="dxa"/>
            <w:vAlign w:val="bottom"/>
          </w:tcPr>
          <w:p>
            <w:pPr>
              <w:spacing w:after="0"/>
              <w:rPr>
                <w:sz w:val="1"/>
                <w:szCs w:val="1"/>
                <w:color w:val="auto"/>
              </w:rPr>
            </w:pPr>
          </w:p>
        </w:tc>
      </w:tr>
      <w:tr>
        <w:trPr>
          <w:trHeight w:val="196"/>
        </w:trPr>
        <w:tc>
          <w:tcPr>
            <w:tcW w:w="662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403,534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396,814</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20,945</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74,782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157,087</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Accrued self-insurance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40,946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48,024</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Operating lease obligations, net of current maturities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16,884</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Finance lease obligations, net of current maturities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560,636</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643,396</w:t>
            </w:r>
          </w:p>
        </w:tc>
        <w:tc>
          <w:tcPr>
            <w:tcW w:w="0" w:type="dxa"/>
            <w:vAlign w:val="bottom"/>
          </w:tcPr>
          <w:p>
            <w:pPr>
              <w:spacing w:after="0"/>
              <w:rPr>
                <w:sz w:val="1"/>
                <w:szCs w:val="1"/>
                <w:color w:val="auto"/>
              </w:rPr>
            </w:pPr>
          </w:p>
        </w:tc>
      </w:tr>
      <w:tr>
        <w:trPr>
          <w:trHeight w:val="190"/>
        </w:trPr>
        <w:tc>
          <w:tcPr>
            <w:tcW w:w="66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620" w:type="dxa"/>
            <w:vAlign w:val="bottom"/>
          </w:tcPr>
          <w:p>
            <w:pPr>
              <w:ind w:left="100"/>
              <w:spacing w:after="0"/>
              <w:rPr>
                <w:sz w:val="20"/>
                <w:szCs w:val="20"/>
                <w:color w:val="auto"/>
              </w:rPr>
            </w:pPr>
            <w:r>
              <w:rPr>
                <w:rFonts w:ascii="Arial" w:cs="Arial" w:eastAsia="Arial" w:hAnsi="Arial"/>
                <w:sz w:val="16"/>
                <w:szCs w:val="16"/>
                <w:color w:val="auto"/>
              </w:rPr>
              <w:t>Preferred stock—$0.01 par value per share; 4,000,000 authorized shares; none issued and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20" w:type="dxa"/>
            <w:vAlign w:val="bottom"/>
          </w:tcPr>
          <w:p>
            <w:pPr>
              <w:ind w:left="100"/>
              <w:spacing w:after="0"/>
              <w:rPr>
                <w:sz w:val="20"/>
                <w:szCs w:val="20"/>
                <w:color w:val="auto"/>
              </w:rPr>
            </w:pPr>
            <w:r>
              <w:rPr>
                <w:rFonts w:ascii="Arial" w:cs="Arial" w:eastAsia="Arial" w:hAnsi="Arial"/>
                <w:sz w:val="16"/>
                <w:szCs w:val="16"/>
                <w:color w:val="auto"/>
              </w:rPr>
              <w:t>outstanding at June 30, 2020 and December 31, 2019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Common stock—$0.01 par value per share; 100,000,000 authorized shares;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620" w:type="dxa"/>
            <w:vAlign w:val="bottom"/>
          </w:tcPr>
          <w:p>
            <w:pPr>
              <w:ind w:left="100"/>
              <w:spacing w:after="0"/>
              <w:rPr>
                <w:sz w:val="20"/>
                <w:szCs w:val="20"/>
                <w:color w:val="auto"/>
              </w:rPr>
            </w:pPr>
            <w:r>
              <w:rPr>
                <w:rFonts w:ascii="Arial" w:cs="Arial" w:eastAsia="Arial" w:hAnsi="Arial"/>
                <w:sz w:val="16"/>
                <w:szCs w:val="16"/>
                <w:color w:val="auto"/>
                <w:w w:val="90"/>
              </w:rPr>
              <w:t>16,708,559 and 16,648,616 shares issued and outstanding at June 30, 2020 and December 31, 2019,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10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154,594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152,532</w:t>
            </w:r>
          </w:p>
        </w:tc>
        <w:tc>
          <w:tcPr>
            <w:tcW w:w="0" w:type="dxa"/>
            <w:vAlign w:val="bottom"/>
          </w:tcPr>
          <w:p>
            <w:pPr>
              <w:spacing w:after="0"/>
              <w:rPr>
                <w:sz w:val="1"/>
                <w:szCs w:val="1"/>
                <w:color w:val="auto"/>
              </w:rPr>
            </w:pPr>
          </w:p>
        </w:tc>
      </w:tr>
      <w:tr>
        <w:trPr>
          <w:trHeight w:val="203"/>
        </w:trPr>
        <w:tc>
          <w:tcPr>
            <w:tcW w:w="6620" w:type="dxa"/>
            <w:vAlign w:val="bottom"/>
          </w:tcPr>
          <w:p>
            <w:pPr>
              <w:ind w:left="10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235,083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212,219</w:t>
            </w:r>
          </w:p>
        </w:tc>
        <w:tc>
          <w:tcPr>
            <w:tcW w:w="0" w:type="dxa"/>
            <w:vAlign w:val="bottom"/>
          </w:tcPr>
          <w:p>
            <w:pPr>
              <w:spacing w:after="0"/>
              <w:rPr>
                <w:sz w:val="1"/>
                <w:szCs w:val="1"/>
                <w:color w:val="auto"/>
              </w:rPr>
            </w:pPr>
          </w:p>
        </w:tc>
      </w:tr>
      <w:tr>
        <w:trPr>
          <w:trHeight w:val="196"/>
        </w:trPr>
        <w:tc>
          <w:tcPr>
            <w:tcW w:w="6620" w:type="dxa"/>
            <w:vAlign w:val="bottom"/>
          </w:tcPr>
          <w:p>
            <w:pPr>
              <w:ind w:left="220"/>
              <w:spacing w:after="0"/>
              <w:rPr>
                <w:sz w:val="20"/>
                <w:szCs w:val="20"/>
                <w:color w:val="auto"/>
              </w:rPr>
            </w:pPr>
            <w:r>
              <w:rPr>
                <w:rFonts w:ascii="Arial" w:cs="Arial" w:eastAsia="Arial" w:hAnsi="Arial"/>
                <w:sz w:val="16"/>
                <w:szCs w:val="16"/>
                <w:color w:val="auto"/>
              </w:rPr>
              <w:t>Total stockholders’ equity attributable to MYR Group Inc.</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389,446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364,471</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Noncontrolling interest</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389,450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364,475</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950,086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1,007,871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 AND COMPREHENSIVE INCOME</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7"/>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513,051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448,776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1,031,521</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916,870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costs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451,746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405,613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908,584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830,831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41,199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86,245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sale of property and equipment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ind w:left="300"/>
              <w:spacing w:after="0"/>
              <w:rPr>
                <w:sz w:val="20"/>
                <w:szCs w:val="20"/>
                <w:color w:val="auto"/>
              </w:rPr>
            </w:pPr>
            <w:r>
              <w:rPr>
                <w:rFonts w:ascii="Arial" w:cs="Arial" w:eastAsia="Arial" w:hAnsi="Arial"/>
                <w:sz w:val="18"/>
                <w:szCs w:val="18"/>
                <w:color w:val="auto"/>
              </w:rPr>
              <w:t>Income before provision for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50"/>
        </w:trPr>
        <w:tc>
          <w:tcPr>
            <w:tcW w:w="5040" w:type="dxa"/>
            <w:vAlign w:val="bottom"/>
            <w:gridSpan w:val="2"/>
          </w:tcPr>
          <w:p>
            <w:pPr>
              <w:spacing w:after="0"/>
              <w:rPr>
                <w:sz w:val="20"/>
                <w:szCs w:val="20"/>
                <w:color w:val="auto"/>
              </w:rPr>
            </w:pPr>
            <w:r>
              <w:rPr>
                <w:rFonts w:ascii="Arial" w:cs="Arial" w:eastAsia="Arial" w:hAnsi="Arial"/>
                <w:sz w:val="18"/>
                <w:szCs w:val="18"/>
                <w:color w:val="auto"/>
              </w:rPr>
              <w:t>Net income attributable to MYR Group Inc.</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13,385</w:t>
            </w: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7,207</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per common share attributable to MYR Group Inc.:</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w w:val="91"/>
              </w:rPr>
              <w:t>Weighted average number of common shares and potential common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shares outstanding: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13,385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23,317</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8"/>
                <w:szCs w:val="18"/>
                <w:color w:val="auto"/>
              </w:rPr>
              <w:t>Total comprehensive income attributable to MYR Group Inc.</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MYR</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35"/>
        </w:trPr>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Group Inc.</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53"/>
        </w:trPr>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Preferred</w:t>
            </w:r>
          </w:p>
        </w:tc>
        <w:tc>
          <w:tcPr>
            <w:tcW w:w="116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w w:val="94"/>
              </w:rPr>
              <w:t>Common Stock</w:t>
            </w:r>
          </w:p>
        </w:tc>
        <w:tc>
          <w:tcPr>
            <w:tcW w:w="8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Comprehensive</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0"/>
              </w:rPr>
              <w:t>Retained</w:t>
            </w: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Stockholders’</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28"/>
        </w:trPr>
        <w:tc>
          <w:tcPr>
            <w:tcW w:w="210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Stock</w:t>
            </w:r>
          </w:p>
        </w:tc>
        <w:tc>
          <w:tcPr>
            <w:tcW w:w="560" w:type="dxa"/>
            <w:vAlign w:val="bottom"/>
            <w:tcBorders>
              <w:top w:val="single" w:sz="8" w:color="auto"/>
            </w:tcBorders>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w w:val="87"/>
              </w:rPr>
              <w:t>Shares</w:t>
            </w:r>
          </w:p>
        </w:tc>
        <w:tc>
          <w:tcPr>
            <w:tcW w:w="4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Capital</w:t>
            </w:r>
          </w:p>
        </w:tc>
        <w:tc>
          <w:tcPr>
            <w:tcW w:w="1020" w:type="dxa"/>
            <w:vAlign w:val="bottom"/>
            <w:gridSpan w:val="3"/>
          </w:tcPr>
          <w:p>
            <w:pPr>
              <w:jc w:val="center"/>
              <w:ind w:right="140"/>
              <w:spacing w:after="0" w:line="129" w:lineRule="exact"/>
              <w:rPr>
                <w:sz w:val="20"/>
                <w:szCs w:val="20"/>
                <w:color w:val="auto"/>
              </w:rPr>
            </w:pPr>
            <w:r>
              <w:rPr>
                <w:rFonts w:ascii="Arial" w:cs="Arial" w:eastAsia="Arial" w:hAnsi="Arial"/>
                <w:sz w:val="13"/>
                <w:szCs w:val="13"/>
                <w:b w:val="1"/>
                <w:bCs w:val="1"/>
                <w:color w:val="auto"/>
                <w:w w:val="86"/>
              </w:rPr>
              <w:t>Income (Loss)</w:t>
            </w:r>
          </w:p>
        </w:tc>
        <w:tc>
          <w:tcPr>
            <w:tcW w:w="700" w:type="dxa"/>
            <w:vAlign w:val="bottom"/>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w w:val="89"/>
              </w:rPr>
              <w:t>Earnings</w:t>
            </w: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0"/>
              </w:rPr>
              <w:t>Equity</w:t>
            </w:r>
          </w:p>
        </w:tc>
        <w:tc>
          <w:tcPr>
            <w:tcW w:w="140" w:type="dxa"/>
            <w:vAlign w:val="bottom"/>
          </w:tcPr>
          <w:p>
            <w:pPr>
              <w:spacing w:after="0"/>
              <w:rPr>
                <w:sz w:val="11"/>
                <w:szCs w:val="11"/>
                <w:color w:val="auto"/>
              </w:rPr>
            </w:pPr>
          </w:p>
        </w:tc>
        <w:tc>
          <w:tcPr>
            <w:tcW w:w="86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1"/>
                <w:szCs w:val="11"/>
                <w:color w:val="auto"/>
              </w:rPr>
            </w:pPr>
          </w:p>
        </w:tc>
        <w:tc>
          <w:tcPr>
            <w:tcW w:w="50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1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r>
      <w:tr>
        <w:trPr>
          <w:trHeight w:val="135"/>
        </w:trPr>
        <w:tc>
          <w:tcPr>
            <w:tcW w:w="2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Balance at December 31, 2018</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16,565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148,276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(193)</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$ 174,736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322,984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324,464</w:t>
            </w:r>
          </w:p>
        </w:tc>
      </w:tr>
      <w:tr>
        <w:trPr>
          <w:trHeight w:val="135"/>
        </w:trPr>
        <w:tc>
          <w:tcPr>
            <w:tcW w:w="21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7,353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7,353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(733)</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6,620</w:t>
            </w:r>
          </w:p>
        </w:tc>
      </w:tr>
      <w:tr>
        <w:trPr>
          <w:trHeight w:val="121"/>
        </w:trPr>
        <w:tc>
          <w:tcPr>
            <w:tcW w:w="210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Stock issued under compensation</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4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plans, net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r>
      <w:tr>
        <w:trPr>
          <w:trHeight w:val="135"/>
        </w:trPr>
        <w:tc>
          <w:tcPr>
            <w:tcW w:w="210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8"/>
              </w:rPr>
              <w:t>Stock-based compensation expense</w:t>
            </w:r>
          </w:p>
        </w:tc>
        <w:tc>
          <w:tcPr>
            <w:tcW w:w="10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951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951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951</w:t>
            </w:r>
          </w:p>
        </w:tc>
      </w:tr>
      <w:tr>
        <w:trPr>
          <w:trHeight w:val="135"/>
        </w:trPr>
        <w:tc>
          <w:tcPr>
            <w:tcW w:w="2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Shares repurchased</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w:t>
            </w:r>
          </w:p>
        </w:tc>
        <w:tc>
          <w:tcPr>
            <w:tcW w:w="1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(571)</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(778)</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(778)</w:t>
            </w:r>
          </w:p>
        </w:tc>
      </w:tr>
      <w:tr>
        <w:trPr>
          <w:trHeight w:val="135"/>
        </w:trPr>
        <w:tc>
          <w:tcPr>
            <w:tcW w:w="21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Other comprehensive loss</w:t>
            </w:r>
          </w:p>
        </w:tc>
        <w:tc>
          <w:tcPr>
            <w:tcW w:w="10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(77)</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(77)</w:t>
            </w: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(77)</w:t>
            </w:r>
          </w:p>
        </w:tc>
      </w:tr>
      <w:tr>
        <w:trPr>
          <w:trHeight w:val="135"/>
        </w:trPr>
        <w:tc>
          <w:tcPr>
            <w:tcW w:w="2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Stock issued - other</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r>
      <w:tr>
        <w:trPr>
          <w:trHeight w:val="128"/>
        </w:trPr>
        <w:tc>
          <w:tcPr>
            <w:tcW w:w="2100" w:type="dxa"/>
            <w:vAlign w:val="bottom"/>
            <w:tcBorders>
              <w:bottom w:val="single" w:sz="8" w:color="CCEEFF"/>
            </w:tcBorders>
            <w:gridSpan w:val="2"/>
          </w:tcPr>
          <w:p>
            <w:pPr>
              <w:ind w:left="20"/>
              <w:spacing w:after="0" w:line="129" w:lineRule="exact"/>
              <w:rPr>
                <w:sz w:val="20"/>
                <w:szCs w:val="20"/>
                <w:color w:val="auto"/>
              </w:rPr>
            </w:pPr>
            <w:r>
              <w:rPr>
                <w:rFonts w:ascii="Arial" w:cs="Arial" w:eastAsia="Arial" w:hAnsi="Arial"/>
                <w:sz w:val="13"/>
                <w:szCs w:val="13"/>
                <w:b w:val="1"/>
                <w:bCs w:val="1"/>
                <w:color w:val="auto"/>
              </w:rPr>
              <w:t>Balance at March 31, 2019</w:t>
            </w: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ind w:left="2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16,610</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177</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148,938</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(270)</w:t>
            </w:r>
          </w:p>
        </w:tc>
        <w:tc>
          <w:tcPr>
            <w:tcW w:w="14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181,882</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330,727</w:t>
            </w:r>
          </w:p>
        </w:tc>
        <w:tc>
          <w:tcPr>
            <w:tcW w:w="1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747</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331,474</w:t>
            </w:r>
          </w:p>
        </w:tc>
      </w:tr>
      <w:tr>
        <w:trPr>
          <w:trHeight w:val="129"/>
        </w:trPr>
        <w:tc>
          <w:tcPr>
            <w:tcW w:w="21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ind w:left="280"/>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7,207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7,207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(849)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6,358</w:t>
            </w:r>
          </w:p>
        </w:tc>
      </w:tr>
      <w:tr>
        <w:trPr>
          <w:trHeight w:val="121"/>
        </w:trPr>
        <w:tc>
          <w:tcPr>
            <w:tcW w:w="210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Stock issued under compensation</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9"/>
        </w:trPr>
        <w:tc>
          <w:tcPr>
            <w:tcW w:w="2100" w:type="dxa"/>
            <w:vAlign w:val="bottom"/>
            <w:gridSpan w:val="2"/>
          </w:tcPr>
          <w:p>
            <w:pPr>
              <w:ind w:left="20"/>
              <w:spacing w:after="0"/>
              <w:rPr>
                <w:sz w:val="20"/>
                <w:szCs w:val="20"/>
                <w:color w:val="auto"/>
              </w:rPr>
            </w:pPr>
            <w:r>
              <w:rPr>
                <w:rFonts w:ascii="Arial" w:cs="Arial" w:eastAsia="Arial" w:hAnsi="Arial"/>
                <w:sz w:val="13"/>
                <w:szCs w:val="13"/>
                <w:color w:val="auto"/>
              </w:rPr>
              <w:t>plans, net</w:t>
            </w:r>
          </w:p>
        </w:tc>
        <w:tc>
          <w:tcPr>
            <w:tcW w:w="10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35"/>
        </w:trPr>
        <w:tc>
          <w:tcPr>
            <w:tcW w:w="2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w w:val="98"/>
              </w:rPr>
              <w:t>Stock-based compensation expense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1,202</w:t>
            </w:r>
          </w:p>
        </w:tc>
      </w:tr>
      <w:tr>
        <w:trPr>
          <w:trHeight w:val="135"/>
        </w:trPr>
        <w:tc>
          <w:tcPr>
            <w:tcW w:w="21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Other comprehensive income</w:t>
            </w:r>
          </w:p>
        </w:tc>
        <w:tc>
          <w:tcPr>
            <w:tcW w:w="10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(123)</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(123)</w:t>
            </w: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(123)</w:t>
            </w:r>
          </w:p>
        </w:tc>
      </w:tr>
      <w:tr>
        <w:trPr>
          <w:trHeight w:val="135"/>
        </w:trPr>
        <w:tc>
          <w:tcPr>
            <w:tcW w:w="2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Stock issued - other</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r>
      <w:tr>
        <w:trPr>
          <w:trHeight w:val="168"/>
        </w:trPr>
        <w:tc>
          <w:tcPr>
            <w:tcW w:w="2100" w:type="dxa"/>
            <w:vAlign w:val="bottom"/>
            <w:tcBorders>
              <w:bottom w:val="single" w:sz="8" w:color="CCEEFF"/>
            </w:tcBorders>
            <w:gridSpan w:val="2"/>
          </w:tcPr>
          <w:p>
            <w:pPr>
              <w:ind w:left="20"/>
              <w:spacing w:after="0" w:line="129" w:lineRule="exact"/>
              <w:rPr>
                <w:sz w:val="20"/>
                <w:szCs w:val="20"/>
                <w:color w:val="auto"/>
              </w:rPr>
            </w:pPr>
            <w:r>
              <w:rPr>
                <w:rFonts w:ascii="Arial" w:cs="Arial" w:eastAsia="Arial" w:hAnsi="Arial"/>
                <w:sz w:val="13"/>
                <w:szCs w:val="13"/>
                <w:b w:val="1"/>
                <w:bCs w:val="1"/>
                <w:color w:val="auto"/>
              </w:rPr>
              <w:t>Balance at June 30, 2019</w:t>
            </w: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ind w:left="2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16,644</w:t>
            </w:r>
          </w:p>
        </w:tc>
        <w:tc>
          <w:tcPr>
            <w:tcW w:w="1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166</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150,177</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(393)</w:t>
            </w:r>
          </w:p>
        </w:tc>
        <w:tc>
          <w:tcPr>
            <w:tcW w:w="14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$ 189,089</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339,039</w:t>
            </w: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(102)</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338,937</w:t>
            </w:r>
          </w:p>
        </w:tc>
      </w:tr>
      <w:tr>
        <w:trPr>
          <w:trHeight w:val="115"/>
        </w:trPr>
        <w:tc>
          <w:tcPr>
            <w:tcW w:w="1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35"/>
        </w:trPr>
        <w:tc>
          <w:tcPr>
            <w:tcW w:w="2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Balance at December 31, 2019</w:t>
            </w:r>
          </w:p>
        </w:tc>
        <w:tc>
          <w:tcPr>
            <w:tcW w:w="10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w w:val="90"/>
              </w:rPr>
              <w:t>16,649</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166</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w w:val="97"/>
              </w:rPr>
              <w:t>152,532</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(446)</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6"/>
              </w:rPr>
              <w:t>$ 212,219</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364,471</w:t>
            </w:r>
          </w:p>
        </w:tc>
        <w:tc>
          <w:tcPr>
            <w:tcW w:w="140" w:type="dxa"/>
            <w:vAlign w:val="bottom"/>
          </w:tcPr>
          <w:p>
            <w:pPr>
              <w:spacing w:after="0"/>
              <w:rPr>
                <w:sz w:val="11"/>
                <w:szCs w:val="11"/>
                <w:color w:val="auto"/>
              </w:rPr>
            </w:pP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w w:val="93"/>
              </w:rPr>
              <w:t>364,475</w:t>
            </w:r>
          </w:p>
        </w:tc>
      </w:tr>
      <w:tr>
        <w:trPr>
          <w:trHeight w:val="135"/>
        </w:trPr>
        <w:tc>
          <w:tcPr>
            <w:tcW w:w="2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9,932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9,932</w:t>
            </w:r>
          </w:p>
        </w:tc>
      </w:tr>
      <w:tr>
        <w:trPr>
          <w:trHeight w:val="135"/>
        </w:trPr>
        <w:tc>
          <w:tcPr>
            <w:tcW w:w="21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Adjustment to adopt ASC 326</w:t>
            </w:r>
          </w:p>
        </w:tc>
        <w:tc>
          <w:tcPr>
            <w:tcW w:w="10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(268)</w:t>
            </w: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(268)</w:t>
            </w: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(268)</w:t>
            </w:r>
          </w:p>
        </w:tc>
      </w:tr>
      <w:tr>
        <w:trPr>
          <w:trHeight w:val="121"/>
        </w:trPr>
        <w:tc>
          <w:tcPr>
            <w:tcW w:w="210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Stock issued under compensation</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4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plans, net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135"/>
        </w:trPr>
        <w:tc>
          <w:tcPr>
            <w:tcW w:w="210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8"/>
              </w:rPr>
              <w:t>Stock-based compensation expense</w:t>
            </w:r>
          </w:p>
        </w:tc>
        <w:tc>
          <w:tcPr>
            <w:tcW w:w="10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1,080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1,080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1,080</w:t>
            </w:r>
          </w:p>
        </w:tc>
      </w:tr>
      <w:tr>
        <w:trPr>
          <w:trHeight w:val="135"/>
        </w:trPr>
        <w:tc>
          <w:tcPr>
            <w:tcW w:w="2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Shares repurchased</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(20)</w:t>
            </w:r>
          </w:p>
        </w:tc>
        <w:tc>
          <w:tcPr>
            <w:tcW w:w="1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(241)</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(185)</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(426)</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(426)</w:t>
            </w:r>
          </w:p>
        </w:tc>
      </w:tr>
      <w:tr>
        <w:trPr>
          <w:trHeight w:val="135"/>
        </w:trPr>
        <w:tc>
          <w:tcPr>
            <w:tcW w:w="21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Other comprehensive income</w:t>
            </w:r>
          </w:p>
        </w:tc>
        <w:tc>
          <w:tcPr>
            <w:tcW w:w="10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87</w:t>
            </w:r>
          </w:p>
        </w:tc>
        <w:tc>
          <w:tcPr>
            <w:tcW w:w="14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87</w:t>
            </w:r>
          </w:p>
        </w:tc>
      </w:tr>
      <w:tr>
        <w:trPr>
          <w:trHeight w:val="135"/>
        </w:trPr>
        <w:tc>
          <w:tcPr>
            <w:tcW w:w="2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Stock issued - other</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r>
      <w:tr>
        <w:trPr>
          <w:trHeight w:val="129"/>
        </w:trPr>
        <w:tc>
          <w:tcPr>
            <w:tcW w:w="2100" w:type="dxa"/>
            <w:vAlign w:val="bottom"/>
            <w:tcBorders>
              <w:bottom w:val="single" w:sz="8" w:color="CCEEFF"/>
            </w:tcBorders>
            <w:gridSpan w:val="2"/>
          </w:tcPr>
          <w:p>
            <w:pPr>
              <w:ind w:left="20"/>
              <w:spacing w:after="0" w:line="129" w:lineRule="exact"/>
              <w:rPr>
                <w:sz w:val="20"/>
                <w:szCs w:val="20"/>
                <w:color w:val="auto"/>
              </w:rPr>
            </w:pPr>
            <w:r>
              <w:rPr>
                <w:rFonts w:ascii="Arial" w:cs="Arial" w:eastAsia="Arial" w:hAnsi="Arial"/>
                <w:sz w:val="13"/>
                <w:szCs w:val="13"/>
                <w:b w:val="1"/>
                <w:bCs w:val="1"/>
                <w:color w:val="auto"/>
              </w:rPr>
              <w:t>Balance at March 31, 2020</w:t>
            </w: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ind w:left="2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16,685</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166</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153,477</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(359)</w:t>
            </w:r>
          </w:p>
        </w:tc>
        <w:tc>
          <w:tcPr>
            <w:tcW w:w="14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221,698</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374,982</w:t>
            </w:r>
          </w:p>
        </w:tc>
        <w:tc>
          <w:tcPr>
            <w:tcW w:w="1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374,986</w:t>
            </w:r>
          </w:p>
        </w:tc>
      </w:tr>
      <w:tr>
        <w:trPr>
          <w:trHeight w:val="128"/>
        </w:trPr>
        <w:tc>
          <w:tcPr>
            <w:tcW w:w="1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5"/>
        </w:trPr>
        <w:tc>
          <w:tcPr>
            <w:tcW w:w="21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13,385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13,385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13,385</w:t>
            </w:r>
          </w:p>
        </w:tc>
      </w:tr>
      <w:tr>
        <w:trPr>
          <w:trHeight w:val="121"/>
        </w:trPr>
        <w:tc>
          <w:tcPr>
            <w:tcW w:w="210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Stock issued under compensation</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4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plans, net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35"/>
        </w:trPr>
        <w:tc>
          <w:tcPr>
            <w:tcW w:w="210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8"/>
              </w:rPr>
              <w:t>Stock-based compensation expense</w:t>
            </w:r>
          </w:p>
        </w:tc>
        <w:tc>
          <w:tcPr>
            <w:tcW w:w="10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1,093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1,093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1,093</w:t>
            </w:r>
          </w:p>
        </w:tc>
      </w:tr>
      <w:tr>
        <w:trPr>
          <w:trHeight w:val="135"/>
        </w:trPr>
        <w:tc>
          <w:tcPr>
            <w:tcW w:w="2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income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w:t>
            </w:r>
          </w:p>
        </w:tc>
      </w:tr>
      <w:tr>
        <w:trPr>
          <w:trHeight w:val="135"/>
        </w:trPr>
        <w:tc>
          <w:tcPr>
            <w:tcW w:w="21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Stock issued - other</w:t>
            </w:r>
          </w:p>
        </w:tc>
        <w:tc>
          <w:tcPr>
            <w:tcW w:w="100" w:type="dxa"/>
            <w:vAlign w:val="bottom"/>
          </w:tcPr>
          <w:p>
            <w:pPr>
              <w:spacing w:after="0"/>
              <w:rPr>
                <w:sz w:val="11"/>
                <w:szCs w:val="11"/>
                <w:color w:val="auto"/>
              </w:rPr>
            </w:pPr>
          </w:p>
        </w:tc>
        <w:tc>
          <w:tcPr>
            <w:tcW w:w="5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r>
      <w:tr>
        <w:trPr>
          <w:trHeight w:val="128"/>
        </w:trPr>
        <w:tc>
          <w:tcPr>
            <w:tcW w:w="210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June 30, 2020</w:t>
            </w: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shd w:val="clear" w:color="auto" w:fill="CCEEFF"/>
          </w:tcPr>
          <w:p>
            <w:pPr>
              <w:ind w:left="2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16,709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154,594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$ 235,083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389,446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389,450</w:t>
            </w:r>
          </w:p>
        </w:tc>
      </w:tr>
      <w:tr>
        <w:trPr>
          <w:trHeight w:val="20"/>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23,317</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Adjustments to reconcile net income to net cash flows provided by operating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Gain on sale of property and equipment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non-cash items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00"/>
              <w:spacing w:after="0"/>
              <w:rPr>
                <w:sz w:val="20"/>
                <w:szCs w:val="20"/>
                <w:color w:val="auto"/>
              </w:rPr>
            </w:pPr>
            <w:r>
              <w:rPr>
                <w:rFonts w:ascii="Arial" w:cs="Arial" w:eastAsia="Arial" w:hAnsi="Arial"/>
                <w:sz w:val="18"/>
                <w:szCs w:val="18"/>
                <w:color w:val="auto"/>
              </w:rPr>
              <w:t>Contract assets,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Receivable for insurance claims in excess of deductibles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0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0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23,271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self insurance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flows provided by operating activities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sale of property and equipment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flows used in investing activities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repayments under revolving lines of credit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Borrowings under equipment notes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 of principal obligations under equipment notes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Payment of principal obligations under finance leases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Repurchase of common shares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financing activities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cash flows provided by (used in) financing activities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(84,766)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ind w:left="60" w:right="5039" w:hanging="10"/>
        <w:spacing w:after="0" w:line="503" w:lineRule="auto"/>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left="60" w:right="99" w:firstLine="648"/>
        <w:spacing w:after="0" w:line="289" w:lineRule="auto"/>
        <w:rPr>
          <w:sz w:val="20"/>
          <w:szCs w:val="20"/>
          <w:color w:val="auto"/>
        </w:rPr>
      </w:pPr>
      <w:r>
        <w:rPr>
          <w:rFonts w:ascii="Arial" w:cs="Arial" w:eastAsia="Arial" w:hAnsi="Arial"/>
          <w:sz w:val="16"/>
          <w:szCs w:val="16"/>
          <w:color w:val="auto"/>
        </w:rPr>
        <w:t>MYR Group Inc. (the “Company”) is a holding company of specialty electrical construction service providers and is currently conducting operations through wholly owned subsidiaries, including: The L. E. Myers Co., a Delaware corporation; Harlan Electric Company, a Michigan corporation; Great Southwestern Construction, Inc., a Colorado corporation; Sturgeon Electric Company, Inc., a Michigan corporation; MYR Energy Services, Inc., a Delaware corporation; E.S. Boulos Company, a Delaware corporation; High Country Line Construction, Inc., a Nevada corporation; Sturgeon Electric California, LLC, a Delaware limited liability company; GSW Integrated Services, LLC, a Delaware limited liability company; Huen Electric, Inc., a Delaware corporation; CSI Electrical Contractors, Inc., a Delaware corporation; MYR Transmission Services Canada, Ltd., a British Columbia corporation; Northern Transmission Services, Ltd., a British Columbia corporation and Western Pacific Enterprises Ltd., a British Columbia corporation.</w:t>
      </w:r>
    </w:p>
    <w:p>
      <w:pPr>
        <w:spacing w:after="0" w:line="166"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government agencies and developers. C&amp;I provides a broad range of services, which include the design, installation, maintenance and repair of commercial and industrial wiring, the installation of traffic networks and the installation of bridge, roadway and tunnel lighting.</w:t>
      </w:r>
    </w:p>
    <w:p>
      <w:pPr>
        <w:spacing w:after="0" w:line="196"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The current COVID-19 pandemic has had a significant impact on the global economy, including the US and Canadian economies, during the first and second quarters of 2020. As the situation continues to evolve, the Company is closely monitoring the impact of the COVID-19 pandemic on all aspects of our business, including how it will impact our customers, subcontractors, suppliers, vendors and employees. The COVID-19 pandemic caused a slowdown of our projects due to specific state, local, municipal and customer mandated stay-at-home orders and new project requirements that were established to protect construction workers and the general public, most of which impacted our C&amp;I segment in the second quarter of 2020. Although the majority of stay-at-home orders were phased out at the end of the second quarter, we are still experiencing impacts associated with the COVID-19 project specific protocols. We expect the project specific requirements to remain in place which will continue to impact project schedules and workflow going forward.</w:t>
      </w:r>
    </w:p>
    <w:p>
      <w:pPr>
        <w:spacing w:after="0" w:line="16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Company is unable to predict the ultimate impact that COVID-19 will have on our business, employees, liquidity, financial condition, results of operations and cash flows. Most of the Company’s operations are considered critical and essential businesses, making our projects generally exempt from stay-at-home or similar orders in certain parts of the United States and western Canada. However, if this pandemic persists for a prolonged period of time our business could be more significantly impacted as a result of prolonged unfavorable economic conditions. In addition, in response to the pandemic and related mitigation measures, the Company began implementing changes in March 2020 in an effort to protect our employees and customers, and to support appropriate health and safety protocols, including implementing remote, alternative and flexible work arrangements, where possible. The situation surrounding COVID-19 remains fluid, and if disruptions do arise, they could materially adversely impact our business. The key estimates that could potentially be impacted include estimates of costs to complete contracts, the recoverability of goodwill and intangibles and allowance for doubtful accounts.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Interim Consolidated Financial Information</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stockholders’ equity and cash flows with respect to the interim consolidated financial statements, have been included. Certain reclassifications were made to prior year amounts to conform to the current year presentation. The consolidated balance sheet as of December 31, 2019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2019, included in the Company’s Annual Report on Form 10-K, which was filed with the SEC on March 4, 2020 (the "2019 Annual Report").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consolidated statements of operations. Foreign currency gains, recorded in other income, net, for the six months ended June 30, 2020 were not significant. Foreign currency gains, recorded in other income, net, for the six months ended June 30, 2019 were $0.1 million. Effective foreign currency transaction gains and losses, arising primarily from long-term monetary assets and liabilities, are recorded in the foreign currency translation adjustment line on the consolidated statements of comprehensive income.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87"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The most significant estimates are related to estimates of costs to complete contracts, pending change orders and claims, shared savings, insurance reserves, income tax reserves, estimates surrounding stock-based compensation,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78" w:lineRule="exact"/>
        <w:rPr>
          <w:sz w:val="20"/>
          <w:szCs w:val="20"/>
          <w:color w:val="auto"/>
        </w:rPr>
      </w:pPr>
    </w:p>
    <w:p>
      <w:pPr>
        <w:ind w:left="60" w:right="439" w:firstLine="648"/>
        <w:spacing w:after="0" w:line="257" w:lineRule="auto"/>
        <w:rPr>
          <w:sz w:val="20"/>
          <w:szCs w:val="20"/>
          <w:color w:val="auto"/>
        </w:rPr>
      </w:pPr>
      <w:r>
        <w:rPr>
          <w:rFonts w:ascii="Arial" w:cs="Arial" w:eastAsia="Arial" w:hAnsi="Arial"/>
          <w:sz w:val="18"/>
          <w:szCs w:val="18"/>
          <w:color w:val="auto"/>
        </w:rPr>
        <w:t>As of June 30, 2020 and 2019, the Company had recognized revenues of $40.1 million and $21.4 million, respectively, related to significant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cost-to-cost method of accounting requires the Company to make estimates about the expected revenue and gross profit on each of its contracts in process. During the three months ended June 30, 2020, changes in estimates pertaining to certain projects increased consolidated gross margin by 0.2%, which resulted in increases in operating income of $1.2 million, net income attributable to MYR Group Inc. of $0.9 million and diluted earnings per common share attributable to MYR Group Inc. of $0.05. During the six months ended June 30, 2020, changes in estimates pertaining to certain projects decreased consolidated gross margin by 0.1%, which resulted in decreases in operating income of $0.7 million, net income attributable to MYR Group Inc. of $0.5 million and diluted earnings per common share attributable to MYR Group Inc. of $0.03.</w:t>
      </w:r>
    </w:p>
    <w:p>
      <w:pPr>
        <w:spacing w:after="0" w:line="192"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During the three months ended June 30, 2019, changes in estimates pertaining to certain projects decreased consolidated gross margin by 0.9%, which resulted in decreases in operating income of $4.2 million, net income attributable to MYR Group Inc. of $1.9 million and diluted earnings per common share attributable to MYR Group Inc. of $0.11. During the six months ended June 30, 2019, changes in estimates pertaining to certain projects decreased consolidated gross margin by 1.0%, which resulted in decreases in operating income of $9.1 million, net income attributable to MYR Group Inc. of $4.2 million and diluted earnings per common share attributable to MYR Group Inc. of $0.25.</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its consolidated 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Test for Goodwill Impairment</w:t>
      </w:r>
      <w:r>
        <w:rPr>
          <w:rFonts w:ascii="Arial" w:cs="Arial" w:eastAsia="Arial" w:hAnsi="Arial"/>
          <w:sz w:val="16"/>
          <w:szCs w:val="16"/>
          <w:color w:val="auto"/>
        </w:rPr>
        <w:t>, which simplifies the subsequent measurement of goodwill, through the elimination of Step 2</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goodwill impairment test. Instead, an entity should perform its annual, or interim, goodwill impairment test by comparing the fair value of a reporting unit with its carrying amount. The Company adopted this ASU on a prospective basis in January 2020 and there was no effect on the Company’s consolidated financial statements.</w:t>
      </w:r>
    </w:p>
    <w:p>
      <w:pPr>
        <w:spacing w:after="0" w:line="161"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 which introduced an expected credit loss methodology for the measurement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of credit losses on most financial instruments, including trade receivables and off-balance sheet credit exposures. Under this guidance, an entity is required to consider a broader range of information to estimate expected credit losses, which may result in earlier recognition of losses. This ASU also requires disclosure of information regarding how a company developed its allowance, including changes in the factors that influenced management’s estimate of expected credit losses and the reasons for those changes. On January 1, 2020, the Company adopted this ASU resulting in a $0.3 million cumulative-effect adjustment to retained earnings associated with the increase in the Company’s allowance for doubtful accounts. Additionally, in connection with the adoption of this ASU the Company adjusted its presentation for allowance for doubtful accounts associated with unbilled revenue, which represents a portion of the Company’s contract assets, and were previously classified as accounts receivable net of allowances. Total allowance for doubtful accounts associated with contract assets as of June 30, 2020 and at the time of adopting this ASU were $0.4 million. The Company’s consolidated balance sheet as of December 31, 2019 and consolidated statements of cash flows for the year ended December 31, 2019 have not been adjusted for this change in treatment of allowance for doubtful accounts associated with unbilled revenue. See Note 3–Contract Assets and Liabilities for further information related to the Company’s contract assets.</w:t>
      </w:r>
    </w:p>
    <w:p>
      <w:pPr>
        <w:spacing w:after="0" w:line="180"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 Disclosure Requirements for Fair Value Measurement</w:t>
      </w:r>
      <w:r>
        <w:rPr>
          <w:rFonts w:ascii="Arial" w:cs="Arial" w:eastAsia="Arial" w:hAnsi="Arial"/>
          <w:sz w:val="17"/>
          <w:szCs w:val="17"/>
          <w:color w:val="auto"/>
        </w:rPr>
        <w:t>, which modifies the disclosure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Level 1, Level 2 and Level 3 instruments in the fair value hierarchy. The Company adopted this ASU in January 2020 and there was no effect on the consolidated financial statements or disclosures.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simplifies the accounting for income taxes, eliminates certain exceptions within ASC 740, Income Taxes, and clarifies certain aspects of the current guidance to promote consistent application among reporting entities. The guidance is effective for fiscal years beginning after December 15, 2020, and interim periods within those fiscal years, with early adoption permitted. Upon adoption, the Company must apply certain aspects of this standard retrospectively for all periods presented while other aspects are applied on a modified retrospective basis through a cumulative-effect adjustment to retained earnings as of the beginning of the fiscal year of adoption. The Company is evaluating the impact this update will have on its 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CSI Electrical Contractors, Inc.</w:t>
      </w:r>
    </w:p>
    <w:p>
      <w:pPr>
        <w:spacing w:after="0" w:line="225"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On July 15, 2019, the Company completed the acquisition of substantially all the assets of CSI Electrical Contractors, Inc. (“CSI”), an electrical contracting firm based in California. CSI provides services to a broad array of end markets under the Company’s C&amp;I segment. The total consideration, after net asset adjustments of approximately $1.0 million, was $80.7 million, which was funded through borrowings under the Company’s credit facility. The Company finalized the purchase price accounting relating to the acquisition of CSI in 2019.</w:t>
      </w:r>
    </w:p>
    <w:p>
      <w:pPr>
        <w:spacing w:after="0" w:line="176"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purchase agreement also includes contingent consideration provisions for margin guarantee adjustments based upon contract performance subsequent to the acquisition. The contracts were valued at fair value at the acquisition date, causing no margin guarantee estimate or adjustments for fair value. Changes in contract estimates, such as modified costs to complete or change order recognition, will result in changes to these margin guarantee estimates. Changes in contingent consideration, subsequent to the acquisition, related to the margin guarantee adjustments on contracts of approximately $0.4 million were recorded in other income for the three months ended June 30, 2020 and $0.6 million were recorded in other expense for six months ended June 30, 2020. Future margin guarantee adjustments, if any, are expected to be recognized through 2020. The Company could also be required to make compensation payments contingent on the successful achievement of certain performance targets and continued employment of certain key executives of CSI. These payments are recognized as compensation expense on the Company’s consolidated statements of operations as incurred. For the three and six months ended June 30, 2020, the Company recognized $0.7 million and $1.1 million, respectively, of compensation expense associated with these contingent payments.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Contract Assets and Liabilities</w:t>
      </w:r>
    </w:p>
    <w:p>
      <w:pPr>
        <w:spacing w:after="0" w:line="229"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187"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$0.4 million as of June 30, 2020 and $0.1 million as of December 31, 2019.</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Contract assets consisted of the following:</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9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 net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$ 135,289</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126,087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Contract retainages, net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88,986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 net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$ 224,275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217,109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Company’s consolidated balance sheets present contract liabilities which contain deferred revenue and an accrual for contracts in a loss provision.</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Contract liabilities consisted of the following:</w:t>
      </w:r>
    </w:p>
    <w:p>
      <w:pPr>
        <w:spacing w:after="0" w:line="218"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780" w:type="dxa"/>
            <w:vAlign w:val="bottom"/>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$ 126,446</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102,673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Accrued loss provision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$ 128,702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105,486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19" w:firstLine="648"/>
        <w:spacing w:after="0" w:line="277" w:lineRule="auto"/>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4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 net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224,275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(128,702)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(105,486)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95,573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111,623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19" w:firstLine="648"/>
        <w:spacing w:after="0" w:line="293" w:lineRule="auto"/>
        <w:rPr>
          <w:sz w:val="20"/>
          <w:szCs w:val="20"/>
          <w:color w:val="auto"/>
        </w:rPr>
      </w:pPr>
      <w:r>
        <w:rPr>
          <w:rFonts w:ascii="Arial" w:cs="Arial" w:eastAsia="Arial" w:hAnsi="Arial"/>
          <w:sz w:val="16"/>
          <w:szCs w:val="16"/>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$16.9 million and $43.0 million for the three and six months ended June 30, 2020, respectively. The amounts of revenue recognized in the period that were included in the opening contract liability balances were $4.4 million and $32.0 million for the three and six months ended June 30, 2019, respectively. This revenue consists primarily of work performed on previous billings to customers.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net asset position for contracts in process consisted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on uncompleted contracts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3,547,242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3,532,886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billings to date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3,538,399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3,509,472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125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The net asset position for contracts in process is included within the contract asset and contract liability in the accompanying consolidated balance sheets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June 30,</w:t>
            </w: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(126,446)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(102,673)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Lease Obligations</w:t>
      </w:r>
    </w:p>
    <w:p>
      <w:pPr>
        <w:spacing w:after="0" w:line="229"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six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Company's month-to-month leases are cancelable, by the Company or the lessor, at any time and are not included in our right-of-use asset or liability. At June 30, 2020, the Company had several leases with residual value guarantees, due to the acquisition of CSI.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the lease-related assets and liabilities recorded:</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30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1"/>
              </w:rPr>
              <w:t>Classification on the Consolidated Balance Sheet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3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tcBorders>
              <w:top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9"/>
              </w:rPr>
              <w:t>Operating lease right-of-</w:t>
            </w:r>
          </w:p>
        </w:tc>
        <w:tc>
          <w:tcPr>
            <w:tcW w:w="14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use assets</w:t>
            </w:r>
          </w:p>
        </w:tc>
        <w:tc>
          <w:tcPr>
            <w:tcW w:w="3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24,555</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ind w:left="100"/>
              <w:spacing w:after="0" w:line="201" w:lineRule="exact"/>
              <w:rPr>
                <w:sz w:val="20"/>
                <w:szCs w:val="20"/>
                <w:color w:val="auto"/>
              </w:rPr>
            </w:pPr>
            <w:r>
              <w:rPr>
                <w:rFonts w:ascii="Arial" w:cs="Arial" w:eastAsia="Arial" w:hAnsi="Arial"/>
                <w:sz w:val="18"/>
                <w:szCs w:val="18"/>
                <w:color w:val="auto"/>
                <w:w w:val="93"/>
              </w:rPr>
              <w:t>Finance lease right-of-use</w:t>
            </w:r>
          </w:p>
        </w:tc>
        <w:tc>
          <w:tcPr>
            <w:tcW w:w="320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Property and equipment, net of</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assets</w:t>
            </w:r>
          </w:p>
        </w:tc>
        <w:tc>
          <w:tcPr>
            <w:tcW w:w="3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rPr>
              <w:t>Total right-of-use lease</w:t>
            </w:r>
          </w:p>
        </w:tc>
        <w:tc>
          <w:tcPr>
            <w:tcW w:w="14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25,489</w:t>
            </w:r>
          </w:p>
        </w:tc>
        <w:tc>
          <w:tcPr>
            <w:tcW w:w="6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Operating lease</w:t>
            </w:r>
          </w:p>
        </w:tc>
        <w:tc>
          <w:tcPr>
            <w:tcW w:w="320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Current portion of operating lease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obligations</w:t>
            </w:r>
          </w:p>
        </w:tc>
        <w:tc>
          <w:tcPr>
            <w:tcW w:w="3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obligations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Current portion of finance lease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5"/>
              </w:rPr>
              <w:t>Finance lease obligations</w:t>
            </w:r>
          </w:p>
        </w:tc>
        <w:tc>
          <w:tcPr>
            <w:tcW w:w="3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obligations</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obligations</w:t>
            </w:r>
          </w:p>
        </w:tc>
        <w:tc>
          <w:tcPr>
            <w:tcW w:w="1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Non-current</w:t>
            </w:r>
          </w:p>
        </w:tc>
        <w:tc>
          <w:tcPr>
            <w:tcW w:w="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Operating lease</w:t>
            </w:r>
          </w:p>
        </w:tc>
        <w:tc>
          <w:tcPr>
            <w:tcW w:w="320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Operating lease obligations, net of current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obligations</w:t>
            </w:r>
          </w:p>
        </w:tc>
        <w:tc>
          <w:tcPr>
            <w:tcW w:w="3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maturities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17,788</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5"/>
              </w:rPr>
              <w:t>Finance lease obligations, net of current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w w:val="95"/>
              </w:rPr>
              <w:t>Finance lease obligations</w:t>
            </w:r>
          </w:p>
        </w:tc>
        <w:tc>
          <w:tcPr>
            <w:tcW w:w="3200" w:type="dxa"/>
            <w:vAlign w:val="bottom"/>
            <w:gridSpan w:val="2"/>
          </w:tcPr>
          <w:p>
            <w:pPr>
              <w:ind w:left="140"/>
              <w:spacing w:after="0"/>
              <w:rPr>
                <w:sz w:val="20"/>
                <w:szCs w:val="20"/>
                <w:color w:val="auto"/>
              </w:rPr>
            </w:pPr>
            <w:r>
              <w:rPr>
                <w:rFonts w:ascii="Arial" w:cs="Arial" w:eastAsia="Arial" w:hAnsi="Arial"/>
                <w:sz w:val="18"/>
                <w:szCs w:val="18"/>
                <w:color w:val="auto"/>
              </w:rPr>
              <w:t>maturities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tcBorders>
              <w:top w:val="single" w:sz="8" w:color="CCEEFF"/>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Total non-current</w:t>
            </w:r>
          </w:p>
        </w:tc>
        <w:tc>
          <w:tcPr>
            <w:tcW w:w="140" w:type="dxa"/>
            <w:vAlign w:val="bottom"/>
            <w:tcBorders>
              <w:top w:val="single" w:sz="8" w:color="CCEEFF"/>
            </w:tcBorders>
            <w:shd w:val="clear" w:color="auto" w:fill="CCEEFF"/>
          </w:tcPr>
          <w:p>
            <w:pPr>
              <w:spacing w:after="0"/>
              <w:rPr>
                <w:sz w:val="15"/>
                <w:szCs w:val="15"/>
                <w:color w:val="auto"/>
              </w:rPr>
            </w:pPr>
          </w:p>
        </w:tc>
        <w:tc>
          <w:tcPr>
            <w:tcW w:w="30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obligations</w:t>
            </w:r>
          </w:p>
        </w:tc>
        <w:tc>
          <w:tcPr>
            <w:tcW w:w="14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17,788</w:t>
            </w:r>
          </w:p>
        </w:tc>
        <w:tc>
          <w:tcPr>
            <w:tcW w:w="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Total lease obligations</w:t>
            </w:r>
          </w:p>
        </w:tc>
        <w:tc>
          <w:tcPr>
            <w:tcW w:w="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25,545</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the lease terms and discount rates: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0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9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 finance leases</w:t>
            </w:r>
          </w:p>
        </w:tc>
        <w:tc>
          <w:tcPr>
            <w:tcW w:w="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0.9 years</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years</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3.73 years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 years</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finance leases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w:t>
            </w: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summary of certain information related to the lease costs for finance and operating leases:</w:t>
      </w:r>
    </w:p>
    <w:p>
      <w:pPr>
        <w:spacing w:after="0" w:line="22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Finance lease cost: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2,929</w:t>
            </w: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Short-term lease cost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Variable lease costs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9"/>
        </w:trPr>
        <w:tc>
          <w:tcPr>
            <w:tcW w:w="4240" w:type="dxa"/>
            <w:vAlign w:val="bottom"/>
          </w:tcPr>
          <w:p>
            <w:pPr>
              <w:ind w:left="100"/>
              <w:spacing w:after="0"/>
              <w:rPr>
                <w:sz w:val="20"/>
                <w:szCs w:val="20"/>
                <w:color w:val="auto"/>
              </w:rPr>
            </w:pPr>
            <w:r>
              <w:rPr>
                <w:rFonts w:ascii="Arial" w:cs="Arial" w:eastAsia="Arial" w:hAnsi="Arial"/>
                <w:sz w:val="18"/>
                <w:szCs w:val="18"/>
                <w:color w:val="auto"/>
              </w:rPr>
              <w:t>Total lease cost</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2,628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1,830</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3,660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is a summary of other information and supplemental cash flow information related to finance and operating leases: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201"/>
        </w:trPr>
        <w:tc>
          <w:tcPr>
            <w:tcW w:w="5820" w:type="dxa"/>
            <w:vAlign w:val="bottom"/>
            <w:gridSpan w:val="2"/>
          </w:tcPr>
          <w:p>
            <w:pPr>
              <w:ind w:left="9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880" w:type="dxa"/>
            <w:vAlign w:val="bottom"/>
          </w:tcPr>
          <w:p>
            <w:pPr>
              <w:spacing w:after="0"/>
              <w:rPr>
                <w:sz w:val="17"/>
                <w:szCs w:val="17"/>
                <w:color w:val="auto"/>
              </w:rPr>
            </w:pPr>
          </w:p>
        </w:tc>
      </w:tr>
      <w:tr>
        <w:trPr>
          <w:trHeight w:val="210"/>
        </w:trPr>
        <w:tc>
          <w:tcPr>
            <w:tcW w:w="90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80" w:type="dxa"/>
            <w:vAlign w:val="bottom"/>
          </w:tcPr>
          <w:p>
            <w:pPr>
              <w:spacing w:after="0"/>
              <w:rPr>
                <w:sz w:val="18"/>
                <w:szCs w:val="18"/>
                <w:color w:val="auto"/>
              </w:rPr>
            </w:pPr>
          </w:p>
        </w:tc>
      </w:tr>
      <w:tr>
        <w:trPr>
          <w:trHeight w:val="202"/>
        </w:trPr>
        <w:tc>
          <w:tcPr>
            <w:tcW w:w="900" w:type="dxa"/>
            <w:vAlign w:val="bottom"/>
          </w:tcPr>
          <w:p>
            <w:pPr>
              <w:spacing w:after="0"/>
              <w:rPr>
                <w:sz w:val="17"/>
                <w:szCs w:val="17"/>
                <w:color w:val="auto"/>
              </w:rPr>
            </w:pPr>
          </w:p>
        </w:tc>
        <w:tc>
          <w:tcPr>
            <w:tcW w:w="4920" w:type="dxa"/>
            <w:vAlign w:val="bottom"/>
          </w:tcPr>
          <w:p>
            <w:pPr>
              <w:ind w:left="100"/>
              <w:spacing w:after="0" w:line="201" w:lineRule="exact"/>
              <w:rPr>
                <w:sz w:val="20"/>
                <w:szCs w:val="20"/>
                <w:color w:val="auto"/>
              </w:rPr>
            </w:pPr>
            <w:r>
              <w:rPr>
                <w:rFonts w:ascii="Arial" w:cs="Arial" w:eastAsia="Arial" w:hAnsi="Arial"/>
                <w:sz w:val="18"/>
                <w:szCs w:val="18"/>
                <w:color w:val="auto"/>
                <w:w w:val="98"/>
              </w:rPr>
              <w:t>Cash paid for amounts included in the measurement of lease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cash flows from operating leases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880" w:type="dxa"/>
            <w:vAlign w:val="bottom"/>
          </w:tcPr>
          <w:p>
            <w:pPr>
              <w:spacing w:after="0"/>
              <w:rPr>
                <w:sz w:val="18"/>
                <w:szCs w:val="18"/>
                <w:color w:val="auto"/>
              </w:rPr>
            </w:pPr>
          </w:p>
        </w:tc>
      </w:tr>
      <w:tr>
        <w:trPr>
          <w:trHeight w:val="202"/>
        </w:trPr>
        <w:tc>
          <w:tcPr>
            <w:tcW w:w="900" w:type="dxa"/>
            <w:vAlign w:val="bottom"/>
          </w:tcPr>
          <w:p>
            <w:pPr>
              <w:spacing w:after="0"/>
              <w:rPr>
                <w:sz w:val="17"/>
                <w:szCs w:val="17"/>
                <w:color w:val="auto"/>
              </w:rPr>
            </w:pPr>
          </w:p>
        </w:tc>
        <w:tc>
          <w:tcPr>
            <w:tcW w:w="4920" w:type="dxa"/>
            <w:vAlign w:val="bottom"/>
          </w:tcPr>
          <w:p>
            <w:pPr>
              <w:ind w:left="100"/>
              <w:spacing w:after="0" w:line="201" w:lineRule="exact"/>
              <w:rPr>
                <w:sz w:val="20"/>
                <w:szCs w:val="20"/>
                <w:color w:val="auto"/>
              </w:rPr>
            </w:pPr>
            <w:r>
              <w:rPr>
                <w:rFonts w:ascii="Arial" w:cs="Arial" w:eastAsia="Arial" w:hAnsi="Arial"/>
                <w:sz w:val="18"/>
                <w:szCs w:val="18"/>
                <w:color w:val="auto"/>
                <w:w w:val="93"/>
              </w:rPr>
              <w:t>Right-of-use asset obtained in exchange for new operating lease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obligations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5,111</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1,234</w:t>
            </w:r>
          </w:p>
        </w:tc>
        <w:tc>
          <w:tcPr>
            <w:tcW w:w="880" w:type="dxa"/>
            <w:vAlign w:val="bottom"/>
          </w:tcPr>
          <w:p>
            <w:pPr>
              <w:spacing w:after="0"/>
              <w:rPr>
                <w:sz w:val="20"/>
                <w:szCs w:val="20"/>
                <w:color w:val="auto"/>
              </w:rPr>
            </w:pPr>
          </w:p>
        </w:tc>
      </w:tr>
      <w:tr>
        <w:trPr>
          <w:trHeight w:val="864"/>
        </w:trPr>
        <w:tc>
          <w:tcPr>
            <w:tcW w:w="5820" w:type="dxa"/>
            <w:vAlign w:val="bottom"/>
            <w:gridSpan w:val="2"/>
          </w:tcPr>
          <w:p>
            <w:pPr>
              <w:jc w:val="right"/>
              <w:ind w:right="117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The future undiscounted minimum lease payments, as reconciled to the discounted minimum lease obligation indicated on the Company’s consolidated balance sheets, under financial leases, less interest, and under operating leases, less imputed interest, as of June 30, 2020 were as follows:</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Finance</w:t>
            </w:r>
          </w:p>
        </w:tc>
        <w:tc>
          <w:tcPr>
            <w:tcW w:w="14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rPr>
              <w:t>Lease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Lease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860" w:type="dxa"/>
            <w:vAlign w:val="bottom"/>
            <w:gridSpan w:val="3"/>
          </w:tcPr>
          <w:p>
            <w:pPr>
              <w:ind w:left="140"/>
              <w:spacing w:after="0"/>
              <w:rPr>
                <w:sz w:val="20"/>
                <w:szCs w:val="20"/>
                <w:color w:val="auto"/>
              </w:rPr>
            </w:pPr>
            <w:r>
              <w:rPr>
                <w:rFonts w:ascii="Arial" w:cs="Arial" w:eastAsia="Arial" w:hAnsi="Arial"/>
                <w:sz w:val="14"/>
                <w:szCs w:val="14"/>
                <w:b w:val="1"/>
                <w:bCs w:val="1"/>
                <w:color w:val="auto"/>
                <w:w w:val="90"/>
              </w:rPr>
              <w:t>Obligations</w:t>
            </w:r>
          </w:p>
        </w:tc>
        <w:tc>
          <w:tcPr>
            <w:tcW w:w="1000" w:type="dxa"/>
            <w:vAlign w:val="bottom"/>
            <w:gridSpan w:val="4"/>
          </w:tcPr>
          <w:p>
            <w:pPr>
              <w:ind w:left="140"/>
              <w:spacing w:after="0"/>
              <w:rPr>
                <w:sz w:val="20"/>
                <w:szCs w:val="20"/>
                <w:color w:val="auto"/>
              </w:rPr>
            </w:pPr>
            <w:r>
              <w:rPr>
                <w:rFonts w:ascii="Arial" w:cs="Arial" w:eastAsia="Arial" w:hAnsi="Arial"/>
                <w:sz w:val="14"/>
                <w:szCs w:val="14"/>
                <w:b w:val="1"/>
                <w:bCs w:val="1"/>
                <w:color w:val="auto"/>
              </w:rPr>
              <w:t>Obligations</w:t>
            </w: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Obligations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29,068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Financing component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present value of minimum lease payments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24,652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2"/>
              </w:rPr>
              <w:t>Less: current portion of finance and operating lease obligations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Long-term finance and operating lease obligations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17,788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spacing w:after="0" w:line="184"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Certain subsidiaries of the Company have operating leases for facilities from third party companies that are owned, in whole or part, by employees of the subsidiaries. The terms and rental rates of these leases are at market rental rates. As of June 30, 2020, the minimum lease payments required under these leases totaled $3.9 million, which are due over the next 4.0 years.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0" w:right="379" w:firstLine="648"/>
        <w:spacing w:after="0" w:line="255" w:lineRule="auto"/>
        <w:rPr>
          <w:sz w:val="20"/>
          <w:szCs w:val="20"/>
          <w:color w:val="auto"/>
        </w:rPr>
      </w:pPr>
      <w:r>
        <w:rPr>
          <w:rFonts w:ascii="Arial" w:cs="Arial" w:eastAsia="Arial" w:hAnsi="Arial"/>
          <w:sz w:val="18"/>
          <w:szCs w:val="18"/>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92"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As of June 30, 2020 and December 31, 2019, the Company determined that the carrying value of cash and cash equivalents approximated fair value based on Level 1 inputs. As of June 30, 2020, the fair values of the Company’s long-term debt and finance lease obligations were based on Level 2 inputs. As of December 31, 2019, the fair values of the Company's long-term debt and finance lease obligations were based on Level 2 inputs. The Company’s long-term debt was based on variable and fixed interest rates at June 30, 2020 and December 31, 2019, for new issues with similar remaining maturities, and approximated carrying value. In addition, based on borrowing rates currently available to the Company for borrowings with similar terms, the carrying values of the Company’s finance lease obligations also approximated fair value.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The table below reflects the Company’s total debt, including borrowings under its credit agreement and master loan agreements for equipment notes: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Stated Interest</w:t>
            </w:r>
          </w:p>
        </w:tc>
        <w:tc>
          <w:tcPr>
            <w:tcW w:w="16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4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Balance as of</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w:t>
            </w:r>
          </w:p>
        </w:tc>
        <w:tc>
          <w:tcPr>
            <w:tcW w:w="12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Inception Date</w:t>
            </w: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9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Rate (per annum)</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Frequency</w:t>
            </w:r>
          </w:p>
        </w:tc>
        <w:tc>
          <w:tcPr>
            <w:tcW w:w="58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1"/>
              </w:rPr>
              <w:t>(years)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91"/>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Credit Agreement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Revolving loans</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2"/>
              </w:rPr>
              <w:t>9/13/2019</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33,397</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103,820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i w:val="1"/>
                <w:iCs w:val="1"/>
                <w:color w:val="auto"/>
              </w:rPr>
              <w:t>Equipment Notes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Equipment Note 1</w:t>
            </w:r>
          </w:p>
        </w:tc>
        <w:tc>
          <w:tcPr>
            <w:tcW w:w="10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2"/>
              </w:rPr>
              <w:t>9/28/2018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Semi-annual</w:t>
            </w:r>
          </w:p>
        </w:tc>
        <w:tc>
          <w:tcPr>
            <w:tcW w:w="5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Equipment Note 2</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2"/>
              </w:rPr>
              <w:t>9/28/2018</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4.23%</w:t>
            </w:r>
          </w:p>
        </w:tc>
        <w:tc>
          <w:tcPr>
            <w:tcW w:w="10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Semi-annual</w:t>
            </w:r>
          </w:p>
        </w:tc>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Equipment Note 3</w:t>
            </w:r>
          </w:p>
        </w:tc>
        <w:tc>
          <w:tcPr>
            <w:tcW w:w="10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12/31/2018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3.97%</w:t>
            </w:r>
          </w:p>
        </w:tc>
        <w:tc>
          <w:tcPr>
            <w:tcW w:w="10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Semi-annual</w:t>
            </w:r>
          </w:p>
        </w:tc>
        <w:tc>
          <w:tcPr>
            <w:tcW w:w="5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Equipment Note 4</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12/31/2018</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4.02%</w:t>
            </w:r>
          </w:p>
        </w:tc>
        <w:tc>
          <w:tcPr>
            <w:tcW w:w="10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Semi-annual</w:t>
            </w:r>
          </w:p>
        </w:tc>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Equipment Note 5</w:t>
            </w:r>
          </w:p>
        </w:tc>
        <w:tc>
          <w:tcPr>
            <w:tcW w:w="10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12/31/2018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4.01%</w:t>
            </w:r>
          </w:p>
        </w:tc>
        <w:tc>
          <w:tcPr>
            <w:tcW w:w="10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Semi-annual</w:t>
            </w:r>
          </w:p>
        </w:tc>
        <w:tc>
          <w:tcPr>
            <w:tcW w:w="5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Equipment Note 6</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2"/>
              </w:rPr>
              <w:t>6/25/2019</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2.89%</w:t>
            </w:r>
          </w:p>
        </w:tc>
        <w:tc>
          <w:tcPr>
            <w:tcW w:w="10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Semi-annual</w:t>
            </w:r>
          </w:p>
        </w:tc>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Equipment Note 7</w:t>
            </w:r>
          </w:p>
        </w:tc>
        <w:tc>
          <w:tcPr>
            <w:tcW w:w="10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2"/>
              </w:rPr>
              <w:t>6/24/2019</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3.09%</w:t>
            </w:r>
          </w:p>
        </w:tc>
        <w:tc>
          <w:tcPr>
            <w:tcW w:w="10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Semi-annual</w:t>
            </w:r>
          </w:p>
        </w:tc>
        <w:tc>
          <w:tcPr>
            <w:tcW w:w="5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Equipment Note 8</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12/27/2019</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10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Semi-annual</w:t>
            </w:r>
          </w:p>
        </w:tc>
        <w:tc>
          <w:tcPr>
            <w:tcW w:w="58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Equipment Note 9</w:t>
            </w:r>
          </w:p>
        </w:tc>
        <w:tc>
          <w:tcPr>
            <w:tcW w:w="10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12/24/2019</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3.01%</w:t>
            </w:r>
          </w:p>
        </w:tc>
        <w:tc>
          <w:tcPr>
            <w:tcW w:w="10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Semi-annual</w:t>
            </w:r>
          </w:p>
        </w:tc>
        <w:tc>
          <w:tcPr>
            <w:tcW w:w="5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81,968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Less: current portion of long-term debt</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On September 13, 2019, the Company entered into a five-year amended and restated credit agreement (the “Credit Agreement”) with a syndicate of banks led by JPMorgan Chase Bank, N.A. and Bank of America, N.A, that provides for a $375 million facility (the “Facility”), not to exceed three times Consolidated EBITDA (as defined in the Credit Agreement) less Consolidated Total Indebtedness (as defined in the Credit Agreement), which can be used for revolving loans and up to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and other general corporate purposes.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Amounts borrowed under the Credit Agreement bear interest, at the Company’s option, at a rate equal to either</w:t>
      </w:r>
    </w:p>
    <w:p>
      <w:pPr>
        <w:spacing w:after="0" w:line="46" w:lineRule="exact"/>
        <w:rPr>
          <w:sz w:val="20"/>
          <w:szCs w:val="20"/>
          <w:color w:val="auto"/>
        </w:rPr>
      </w:pPr>
    </w:p>
    <w:p>
      <w:pPr>
        <w:ind w:left="60" w:right="139" w:hanging="10"/>
        <w:spacing w:after="0" w:line="290" w:lineRule="auto"/>
        <w:tabs>
          <w:tab w:leader="none" w:pos="31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Alternate Base Rate (as defined in the Credit Agreement), plus an applicable margin ranging from 0.00% to 0.75%; or (2) Adjusted LIBO Rate (as defined in the Credit Agreement) plus an applicable margin ranging from 1.00% to 1.75%.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5" w:lineRule="auto"/>
        <w:rPr>
          <w:sz w:val="20"/>
          <w:szCs w:val="20"/>
          <w:color w:val="auto"/>
        </w:rPr>
      </w:pPr>
      <w:r>
        <w:rPr>
          <w:rFonts w:ascii="Arial" w:cs="Arial" w:eastAsia="Arial" w:hAnsi="Arial"/>
          <w:sz w:val="18"/>
          <w:szCs w:val="18"/>
          <w:color w:val="auto"/>
        </w:rPr>
        <w:t>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 The weighted average interest rate on borrowings outstanding on the Facility for the six months ended June 30, 2020 was 2.44% per annum.</w:t>
      </w:r>
    </w:p>
    <w:p>
      <w:pPr>
        <w:spacing w:after="0" w:line="192"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June 30, 2020.</w:t>
      </w:r>
    </w:p>
    <w:p>
      <w:pPr>
        <w:spacing w:after="0" w:line="192"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As of June 30, 2020, the Company had letters of credit outstanding under the Facility of approximately $10.5 million, including $10.0 million related to the Company's payment obligation under its insurance programs and approximately $0.5 million related to contract performance obligations.</w:t>
      </w:r>
    </w:p>
    <w:p>
      <w:pPr>
        <w:spacing w:after="0" w:line="184" w:lineRule="exact"/>
        <w:rPr>
          <w:sz w:val="20"/>
          <w:szCs w:val="20"/>
          <w:color w:val="auto"/>
        </w:rPr>
      </w:pPr>
    </w:p>
    <w:p>
      <w:pPr>
        <w:jc w:val="both"/>
        <w:ind w:left="60" w:right="499" w:firstLine="648"/>
        <w:spacing w:after="0" w:line="263" w:lineRule="auto"/>
        <w:rPr>
          <w:sz w:val="20"/>
          <w:szCs w:val="20"/>
          <w:color w:val="auto"/>
        </w:rPr>
      </w:pPr>
      <w:r>
        <w:rPr>
          <w:rFonts w:ascii="Arial" w:cs="Arial" w:eastAsia="Arial" w:hAnsi="Arial"/>
          <w:sz w:val="18"/>
          <w:szCs w:val="18"/>
          <w:color w:val="auto"/>
        </w:rPr>
        <w:t>As of December 31, 2019, the Company had letters of credit outstanding under the Facility of approximately $10.6 million, including $10.0 million related to the Company's payment obligation under its insurance programs and approximately $0.6 million related to contract performance obligations.</w:t>
      </w:r>
    </w:p>
    <w:p>
      <w:pPr>
        <w:spacing w:after="0" w:line="184" w:lineRule="exact"/>
        <w:rPr>
          <w:sz w:val="20"/>
          <w:szCs w:val="20"/>
          <w:color w:val="auto"/>
        </w:rPr>
      </w:pPr>
    </w:p>
    <w:p>
      <w:pPr>
        <w:jc w:val="both"/>
        <w:ind w:left="60" w:right="179" w:firstLine="648"/>
        <w:spacing w:after="0" w:line="286" w:lineRule="auto"/>
        <w:rPr>
          <w:sz w:val="20"/>
          <w:szCs w:val="20"/>
          <w:color w:val="auto"/>
        </w:rPr>
      </w:pPr>
      <w:r>
        <w:rPr>
          <w:rFonts w:ascii="Arial" w:cs="Arial" w:eastAsia="Arial" w:hAnsi="Arial"/>
          <w:sz w:val="17"/>
          <w:szCs w:val="17"/>
          <w:color w:val="auto"/>
        </w:rPr>
        <w:t>The Company had remaining deferred debt issuance costs totaling $1.3 million as of June 30, 2020, related to the line of credit. As permitted under ASU No. 2015-15, debt issuance costs have been deferred and are presented as an asset within other assets, which is amortized as interest expense over the term of the line of credit.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left="60" w:right="139" w:firstLine="693"/>
        <w:spacing w:after="0" w:line="287" w:lineRule="auto"/>
        <w:rPr>
          <w:sz w:val="20"/>
          <w:szCs w:val="20"/>
          <w:color w:val="auto"/>
        </w:rPr>
      </w:pPr>
      <w:r>
        <w:rPr>
          <w:rFonts w:ascii="Arial" w:cs="Arial" w:eastAsia="Arial" w:hAnsi="Arial"/>
          <w:sz w:val="16"/>
          <w:szCs w:val="16"/>
          <w:color w:val="auto"/>
        </w:rPr>
        <w:t>The Company has entered into Master Equipment Loan and Security Agreements (the “Master Loan Agreements”) with multiple banks. The Master Loan Agreements may be used for the financing of equipment between the Company and the lending banks pursuant to one or more equipment notes ("Equipment Note"). Each Equipment</w:t>
      </w:r>
    </w:p>
    <w:p>
      <w:pPr>
        <w:spacing w:after="0" w:line="2" w:lineRule="exact"/>
        <w:rPr>
          <w:sz w:val="20"/>
          <w:szCs w:val="20"/>
          <w:color w:val="auto"/>
        </w:rPr>
      </w:pPr>
    </w:p>
    <w:p>
      <w:pPr>
        <w:ind w:left="60" w:right="199"/>
        <w:spacing w:after="0" w:line="260" w:lineRule="auto"/>
        <w:rPr>
          <w:sz w:val="20"/>
          <w:szCs w:val="20"/>
          <w:color w:val="auto"/>
        </w:rPr>
      </w:pPr>
      <w:r>
        <w:rPr>
          <w:rFonts w:ascii="Arial" w:cs="Arial" w:eastAsia="Arial" w:hAnsi="Arial"/>
          <w:sz w:val="18"/>
          <w:szCs w:val="18"/>
          <w:color w:val="auto"/>
        </w:rPr>
        <w:t>Note executed under the Master Loan Agreements constitutes a separate, distinct and independent financing of equipment and a contractual obligation of the Company, which may contain prepayment clauses.</w:t>
      </w:r>
    </w:p>
    <w:p>
      <w:pPr>
        <w:spacing w:after="0" w:line="185" w:lineRule="exact"/>
        <w:rPr>
          <w:sz w:val="20"/>
          <w:szCs w:val="20"/>
          <w:color w:val="auto"/>
        </w:rPr>
      </w:pPr>
    </w:p>
    <w:p>
      <w:pPr>
        <w:ind w:left="60" w:right="339" w:firstLine="648"/>
        <w:spacing w:after="0" w:line="286" w:lineRule="auto"/>
        <w:rPr>
          <w:sz w:val="20"/>
          <w:szCs w:val="20"/>
          <w:color w:val="auto"/>
        </w:rPr>
      </w:pPr>
      <w:r>
        <w:rPr>
          <w:rFonts w:ascii="Arial" w:cs="Arial" w:eastAsia="Arial" w:hAnsi="Arial"/>
          <w:sz w:val="17"/>
          <w:szCs w:val="17"/>
          <w:color w:val="auto"/>
        </w:rPr>
        <w:t>As of June 30, 2020, the Company had eight Equipment Notes outstanding under the Master Loan Agreements that are collateralized by equipment and vehicles owned by the Company. The following table sets forth our remaining principal payments for the Company’s outstanding Equipment Notes as of June 30, 2020:</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center"/>
              <w:ind w:right="212"/>
              <w:spacing w:after="0"/>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8"/>
        </w:trPr>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Equipment Notes</w:t>
            </w:r>
          </w:p>
        </w:tc>
        <w:tc>
          <w:tcPr>
            <w:tcW w:w="0" w:type="dxa"/>
            <w:vAlign w:val="bottom"/>
          </w:tcPr>
          <w:p>
            <w:pPr>
              <w:spacing w:after="0"/>
              <w:rPr>
                <w:sz w:val="1"/>
                <w:szCs w:val="1"/>
                <w:color w:val="auto"/>
              </w:rPr>
            </w:pPr>
          </w:p>
        </w:tc>
      </w:tr>
      <w:tr>
        <w:trPr>
          <w:trHeight w:val="171"/>
        </w:trPr>
        <w:tc>
          <w:tcPr>
            <w:tcW w:w="5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Principal Payments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future principal payments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equipment notes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09"/>
        </w:trPr>
        <w:tc>
          <w:tcPr>
            <w:tcW w:w="5860" w:type="dxa"/>
            <w:vAlign w:val="bottom"/>
            <w:gridSpan w:val="3"/>
          </w:tcPr>
          <w:p>
            <w:pPr>
              <w:spacing w:after="0"/>
              <w:rPr>
                <w:sz w:val="20"/>
                <w:szCs w:val="20"/>
                <w:color w:val="auto"/>
              </w:rPr>
            </w:pPr>
            <w:r>
              <w:rPr>
                <w:rFonts w:ascii="Arial" w:cs="Arial" w:eastAsia="Arial" w:hAnsi="Arial"/>
                <w:sz w:val="18"/>
                <w:szCs w:val="18"/>
                <w:color w:val="auto"/>
              </w:rPr>
              <w:t>Long-term principal obligations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Revenue Recognition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include a guaranteed not-to-exceed maximum price.</w:t>
      </w:r>
    </w:p>
    <w:p>
      <w:pPr>
        <w:spacing w:after="0" w:line="166"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11– Segment Information.</w:t>
      </w:r>
    </w:p>
    <w:p>
      <w:pPr>
        <w:spacing w:after="0" w:line="186"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The components of the Company’s revenue by contract type for the three and six months ended June 30, 2020 and 2019 were as follows: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center"/>
              <w:ind w:left="296"/>
              <w:spacing w:after="0"/>
              <w:rPr>
                <w:sz w:val="20"/>
                <w:szCs w:val="20"/>
                <w:color w:val="auto"/>
              </w:rPr>
            </w:pPr>
            <w:r>
              <w:rPr>
                <w:rFonts w:ascii="Arial" w:cs="Arial" w:eastAsia="Arial" w:hAnsi="Arial"/>
                <w:sz w:val="14"/>
                <w:szCs w:val="14"/>
                <w:b w:val="1"/>
                <w:bCs w:val="1"/>
                <w:color w:val="auto"/>
                <w:w w:val="91"/>
              </w:rPr>
              <w:t>Three months ended June 30, 2020</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940" w:type="dxa"/>
            <w:vAlign w:val="bottom"/>
            <w:tcBorders>
              <w:bottom w:val="single" w:sz="8" w:color="auto"/>
            </w:tcBorders>
            <w:gridSpan w:val="2"/>
          </w:tcPr>
          <w:p>
            <w:pPr>
              <w:ind w:left="560"/>
              <w:spacing w:after="0" w:line="142" w:lineRule="exact"/>
              <w:rPr>
                <w:sz w:val="20"/>
                <w:szCs w:val="20"/>
                <w:color w:val="auto"/>
              </w:rPr>
            </w:pPr>
            <w:r>
              <w:rPr>
                <w:rFonts w:ascii="Arial" w:cs="Arial" w:eastAsia="Arial" w:hAnsi="Arial"/>
                <w:sz w:val="14"/>
                <w:szCs w:val="14"/>
                <w:b w:val="1"/>
                <w:bCs w:val="1"/>
                <w:color w:val="auto"/>
              </w:rPr>
              <w:t>T&amp;D</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gridSpan w:val="2"/>
          </w:tcPr>
          <w:p>
            <w:pPr>
              <w:jc w:val="center"/>
              <w:ind w:left="376"/>
              <w:spacing w:after="0" w:line="142" w:lineRule="exact"/>
              <w:rPr>
                <w:sz w:val="20"/>
                <w:szCs w:val="20"/>
                <w:color w:val="auto"/>
              </w:rPr>
            </w:pPr>
            <w:r>
              <w:rPr>
                <w:rFonts w:ascii="Arial" w:cs="Arial" w:eastAsia="Arial" w:hAnsi="Arial"/>
                <w:sz w:val="14"/>
                <w:szCs w:val="14"/>
                <w:b w:val="1"/>
                <w:bCs w:val="1"/>
                <w:color w:val="auto"/>
              </w:rPr>
              <w:t>C&amp;I</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440"/>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40" w:type="dxa"/>
            <w:vAlign w:val="bottom"/>
          </w:tcPr>
          <w:p>
            <w:pPr>
              <w:spacing w:after="0"/>
              <w:rPr>
                <w:sz w:val="12"/>
                <w:szCs w:val="12"/>
                <w:color w:val="auto"/>
              </w:rPr>
            </w:pPr>
          </w:p>
        </w:tc>
        <w:tc>
          <w:tcPr>
            <w:tcW w:w="9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price</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$ 126,350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$ 187,662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$ 314,012</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Unit price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84,629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19,047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103,676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61,632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4,148</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7,831</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11,979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920" w:type="dxa"/>
            <w:vAlign w:val="bottom"/>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4560" w:type="dxa"/>
            <w:vAlign w:val="bottom"/>
            <w:gridSpan w:val="17"/>
            <w:shd w:val="clear" w:color="auto" w:fill="CCEEFF"/>
          </w:tcPr>
          <w:p>
            <w:pPr>
              <w:jc w:val="right"/>
              <w:spacing w:after="0" w:line="189" w:lineRule="exact"/>
              <w:rPr>
                <w:sz w:val="20"/>
                <w:szCs w:val="20"/>
                <w:color w:val="auto"/>
              </w:rPr>
            </w:pPr>
            <w:r>
              <w:rPr>
                <w:rFonts w:ascii="Arial" w:cs="Arial" w:eastAsia="Arial" w:hAnsi="Arial"/>
                <w:sz w:val="18"/>
                <w:szCs w:val="18"/>
                <w:color w:val="auto"/>
              </w:rPr>
              <w:t>$ 276,759   100.</w:t>
            </w:r>
            <w:r>
              <w:rPr>
                <w:rFonts w:ascii="Arial" w:cs="Arial" w:eastAsia="Arial" w:hAnsi="Arial"/>
                <w:sz w:val="18"/>
                <w:szCs w:val="18"/>
                <w:u w:val="single" w:color="auto"/>
                <w:color w:val="auto"/>
              </w:rPr>
              <w:t>0</w:t>
            </w:r>
            <w:r>
              <w:rPr>
                <w:rFonts w:ascii="Arial" w:cs="Arial" w:eastAsia="Arial" w:hAnsi="Arial"/>
                <w:sz w:val="18"/>
                <w:szCs w:val="18"/>
                <w:color w:val="auto"/>
              </w:rPr>
              <w:t xml:space="preserve"> % $ 236,292   100.</w:t>
            </w:r>
            <w:r>
              <w:rPr>
                <w:rFonts w:ascii="Arial" w:cs="Arial" w:eastAsia="Arial" w:hAnsi="Arial"/>
                <w:sz w:val="18"/>
                <w:szCs w:val="18"/>
                <w:u w:val="single" w:color="auto"/>
                <w:color w:val="auto"/>
              </w:rPr>
              <w:t>0</w:t>
            </w:r>
            <w:r>
              <w:rPr>
                <w:rFonts w:ascii="Arial" w:cs="Arial" w:eastAsia="Arial" w:hAnsi="Arial"/>
                <w:sz w:val="18"/>
                <w:szCs w:val="18"/>
                <w:color w:val="auto"/>
              </w:rPr>
              <w:t xml:space="preserve"> % $ 513,051</w:t>
            </w:r>
          </w:p>
        </w:tc>
        <w:tc>
          <w:tcPr>
            <w:tcW w:w="160" w:type="dxa"/>
            <w:vAlign w:val="bottom"/>
            <w:tcBorders>
              <w:right w:val="single" w:sz="8" w:color="CCEEFF"/>
            </w:tcBorders>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100.0 %</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jc w:val="right"/>
              <w:ind w:right="700"/>
              <w:spacing w:after="0"/>
              <w:rPr>
                <w:sz w:val="20"/>
                <w:szCs w:val="20"/>
                <w:color w:val="auto"/>
              </w:rPr>
            </w:pPr>
            <w:r>
              <w:rPr>
                <w:rFonts w:ascii="Arial" w:cs="Arial" w:eastAsia="Arial" w:hAnsi="Arial"/>
                <w:sz w:val="14"/>
                <w:szCs w:val="14"/>
                <w:b w:val="1"/>
                <w:bCs w:val="1"/>
                <w:color w:val="auto"/>
                <w:w w:val="92"/>
              </w:rPr>
              <w:t>Three months ended June 30, 2019</w:t>
            </w: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T&amp;D</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C&amp;I</w:t>
            </w: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Total</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tcPr>
          <w:p>
            <w:pPr>
              <w:ind w:left="140"/>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Percent</w:t>
            </w:r>
          </w:p>
        </w:tc>
        <w:tc>
          <w:tcPr>
            <w:tcW w:w="200" w:type="dxa"/>
            <w:vAlign w:val="bottom"/>
          </w:tcPr>
          <w:p>
            <w:pPr>
              <w:spacing w:after="0"/>
              <w:rPr>
                <w:sz w:val="12"/>
                <w:szCs w:val="12"/>
                <w:color w:val="auto"/>
              </w:rPr>
            </w:pPr>
          </w:p>
        </w:tc>
        <w:tc>
          <w:tcPr>
            <w:tcW w:w="8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3"/>
              </w:rPr>
              <w:t>Percent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10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tcBorders>
              <w:right w:val="single" w:sz="8" w:color="CCEEFF"/>
            </w:tcBorders>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price</w:t>
            </w:r>
          </w:p>
        </w:tc>
        <w:tc>
          <w:tcPr>
            <w:tcW w:w="54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$ 119,572</w:t>
            </w: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46.7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84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$ 115,117</w:t>
            </w: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2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$ 234,689</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Unit price</w:t>
            </w:r>
          </w:p>
        </w:tc>
        <w:tc>
          <w:tcPr>
            <w:tcW w:w="1480" w:type="dxa"/>
            <w:vAlign w:val="bottom"/>
            <w:gridSpan w:val="6"/>
          </w:tcPr>
          <w:p>
            <w:pPr>
              <w:jc w:val="right"/>
              <w:ind w:right="60"/>
              <w:spacing w:after="0"/>
              <w:rPr>
                <w:sz w:val="20"/>
                <w:szCs w:val="20"/>
                <w:color w:val="auto"/>
              </w:rPr>
            </w:pPr>
            <w:r>
              <w:rPr>
                <w:rFonts w:ascii="Arial" w:cs="Arial" w:eastAsia="Arial" w:hAnsi="Arial"/>
                <w:sz w:val="18"/>
                <w:szCs w:val="18"/>
                <w:color w:val="auto"/>
              </w:rPr>
              <w:t>52,162</w:t>
            </w:r>
          </w:p>
        </w:tc>
        <w:tc>
          <w:tcPr>
            <w:tcW w:w="40" w:type="dxa"/>
            <w:vAlign w:val="bottom"/>
          </w:tcPr>
          <w:p>
            <w:pPr>
              <w:spacing w:after="0"/>
              <w:rPr>
                <w:sz w:val="18"/>
                <w:szCs w:val="18"/>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20.4</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12,855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65,017</w:t>
            </w: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CCEEFF"/>
            </w:tcBorders>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14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76,841</w:t>
            </w: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30.0</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37,193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114,034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Other</w:t>
            </w:r>
          </w:p>
        </w:tc>
        <w:tc>
          <w:tcPr>
            <w:tcW w:w="1480" w:type="dxa"/>
            <w:vAlign w:val="bottom"/>
            <w:gridSpan w:val="6"/>
          </w:tcPr>
          <w:p>
            <w:pPr>
              <w:jc w:val="right"/>
              <w:ind w:right="60"/>
              <w:spacing w:after="0"/>
              <w:rPr>
                <w:sz w:val="20"/>
                <w:szCs w:val="20"/>
                <w:color w:val="auto"/>
              </w:rPr>
            </w:pPr>
            <w:r>
              <w:rPr>
                <w:rFonts w:ascii="Arial" w:cs="Arial" w:eastAsia="Arial" w:hAnsi="Arial"/>
                <w:sz w:val="18"/>
                <w:szCs w:val="18"/>
                <w:color w:val="auto"/>
              </w:rPr>
              <w:t>7,335</w:t>
            </w:r>
          </w:p>
        </w:tc>
        <w:tc>
          <w:tcPr>
            <w:tcW w:w="40" w:type="dxa"/>
            <w:vAlign w:val="bottom"/>
          </w:tcPr>
          <w:p>
            <w:pPr>
              <w:spacing w:after="0"/>
              <w:rPr>
                <w:sz w:val="18"/>
                <w:szCs w:val="18"/>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2.9</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27,701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35,036</w:t>
            </w: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right w:val="single" w:sz="8" w:color="CCEEFF"/>
            </w:tcBorders>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$ 255,910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840" w:type="dxa"/>
            <w:vAlign w:val="bottom"/>
            <w:tcBorders>
              <w:top w:val="single" w:sz="8" w:color="auto"/>
              <w:bottom w:val="single" w:sz="8" w:color="auto"/>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$ 192,866</w:t>
            </w:r>
          </w:p>
        </w:tc>
        <w:tc>
          <w:tcPr>
            <w:tcW w:w="5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100.0</w:t>
            </w:r>
          </w:p>
        </w:tc>
        <w:tc>
          <w:tcPr>
            <w:tcW w:w="24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$ 448,776</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components of the Company’s revenue by contract type for the six months ended June 30, 2020 and 2019 were as follows: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Six months ended June 30, 2020</w:t>
            </w: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9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rPr>
              <w:t>T&amp;D</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gridSpan w:val="2"/>
          </w:tcPr>
          <w:p>
            <w:pPr>
              <w:ind w:left="580"/>
              <w:spacing w:after="0" w:line="142" w:lineRule="exact"/>
              <w:rPr>
                <w:sz w:val="20"/>
                <w:szCs w:val="20"/>
                <w:color w:val="auto"/>
              </w:rPr>
            </w:pPr>
            <w:r>
              <w:rPr>
                <w:rFonts w:ascii="Arial" w:cs="Arial" w:eastAsia="Arial" w:hAnsi="Arial"/>
                <w:sz w:val="14"/>
                <w:szCs w:val="14"/>
                <w:b w:val="1"/>
                <w:bCs w:val="1"/>
                <w:color w:val="auto"/>
              </w:rPr>
              <w:t>C&amp;I</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460"/>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40" w:type="dxa"/>
            <w:vAlign w:val="bottom"/>
          </w:tcPr>
          <w:p>
            <w:pPr>
              <w:spacing w:after="0"/>
              <w:rPr>
                <w:sz w:val="12"/>
                <w:szCs w:val="12"/>
                <w:color w:val="auto"/>
              </w:rPr>
            </w:pPr>
          </w:p>
        </w:tc>
        <w:tc>
          <w:tcPr>
            <w:tcW w:w="9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price</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$ 247,352</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Borders>
              <w:top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$ 406,201</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653,553</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Unit price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147,939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37,123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185,062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129,683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37,554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11,055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14,614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25,669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9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0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Borders>
              <w:right w:val="single" w:sz="8" w:color="CCEEFF"/>
            </w:tcBorders>
            <w:shd w:val="clear" w:color="auto" w:fill="CCEEFF"/>
          </w:tcPr>
          <w:p>
            <w:pPr>
              <w:spacing w:after="0"/>
              <w:rPr>
                <w:sz w:val="16"/>
                <w:szCs w:val="16"/>
                <w:color w:val="auto"/>
              </w:rPr>
            </w:pPr>
          </w:p>
        </w:tc>
        <w:tc>
          <w:tcPr>
            <w:tcW w:w="4280" w:type="dxa"/>
            <w:vAlign w:val="bottom"/>
            <w:gridSpan w:val="17"/>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$ 536,029   100.</w:t>
            </w:r>
            <w:r>
              <w:rPr>
                <w:rFonts w:ascii="Arial" w:cs="Arial" w:eastAsia="Arial" w:hAnsi="Arial"/>
                <w:sz w:val="18"/>
                <w:szCs w:val="18"/>
                <w:u w:val="single" w:color="auto"/>
                <w:color w:val="auto"/>
                <w:w w:val="98"/>
              </w:rPr>
              <w:t>0</w:t>
            </w:r>
            <w:r>
              <w:rPr>
                <w:rFonts w:ascii="Arial" w:cs="Arial" w:eastAsia="Arial" w:hAnsi="Arial"/>
                <w:sz w:val="18"/>
                <w:szCs w:val="18"/>
                <w:color w:val="auto"/>
                <w:w w:val="98"/>
              </w:rPr>
              <w:t xml:space="preserve"> % $ 495,492   100.</w:t>
            </w:r>
            <w:r>
              <w:rPr>
                <w:rFonts w:ascii="Arial" w:cs="Arial" w:eastAsia="Arial" w:hAnsi="Arial"/>
                <w:sz w:val="18"/>
                <w:szCs w:val="18"/>
                <w:u w:val="single" w:color="auto"/>
                <w:color w:val="auto"/>
                <w:w w:val="98"/>
              </w:rPr>
              <w:t>0</w:t>
            </w:r>
            <w:r>
              <w:rPr>
                <w:rFonts w:ascii="Arial" w:cs="Arial" w:eastAsia="Arial" w:hAnsi="Arial"/>
                <w:sz w:val="18"/>
                <w:szCs w:val="18"/>
                <w:color w:val="auto"/>
                <w:w w:val="98"/>
              </w:rPr>
              <w:t xml:space="preserve"> % $ 1,031,521</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2"/>
              </w:rPr>
              <w:t>Six months ended June 30, 2019</w:t>
            </w: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94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rPr>
              <w:t>T&amp;D</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gridSpan w:val="3"/>
          </w:tcPr>
          <w:p>
            <w:pPr>
              <w:jc w:val="center"/>
              <w:ind w:left="379"/>
              <w:spacing w:after="0" w:line="142" w:lineRule="exact"/>
              <w:rPr>
                <w:sz w:val="20"/>
                <w:szCs w:val="20"/>
                <w:color w:val="auto"/>
              </w:rPr>
            </w:pPr>
            <w:r>
              <w:rPr>
                <w:rFonts w:ascii="Arial" w:cs="Arial" w:eastAsia="Arial" w:hAnsi="Arial"/>
                <w:sz w:val="14"/>
                <w:szCs w:val="14"/>
                <w:b w:val="1"/>
                <w:bCs w:val="1"/>
                <w:color w:val="auto"/>
              </w:rPr>
              <w:t>C&amp;I</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460"/>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5"/>
              </w:rPr>
              <w:t>Percent</w:t>
            </w:r>
          </w:p>
        </w:tc>
        <w:tc>
          <w:tcPr>
            <w:tcW w:w="2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price</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$ 252,896</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$ 248,828</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2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$ 501,724</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Unit price</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103,356</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22,843</w:t>
            </w: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126,199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T&amp;E</w:t>
            </w:r>
          </w:p>
        </w:tc>
        <w:tc>
          <w:tcPr>
            <w:tcW w:w="9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153,149</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49,724</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202,873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19,057</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67,017</w:t>
            </w: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86,074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$ 528,458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100.</w:t>
            </w:r>
            <w:r>
              <w:rPr>
                <w:rFonts w:ascii="Arial" w:cs="Arial" w:eastAsia="Arial" w:hAnsi="Arial"/>
                <w:sz w:val="18"/>
                <w:szCs w:val="18"/>
                <w:u w:val="single" w:color="auto"/>
                <w:color w:val="auto"/>
                <w:w w:val="93"/>
              </w:rPr>
              <w:t>0</w:t>
            </w:r>
          </w:p>
        </w:tc>
        <w:tc>
          <w:tcPr>
            <w:tcW w:w="24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$ 388,412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w:t>
            </w:r>
            <w:r>
              <w:rPr>
                <w:rFonts w:ascii="Arial" w:cs="Arial" w:eastAsia="Arial" w:hAnsi="Arial"/>
                <w:sz w:val="18"/>
                <w:szCs w:val="18"/>
                <w:u w:val="single" w:color="auto"/>
                <w:color w:val="auto"/>
                <w:w w:val="93"/>
              </w:rPr>
              <w:t>0</w:t>
            </w:r>
          </w:p>
        </w:tc>
        <w:tc>
          <w:tcPr>
            <w:tcW w:w="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$ 916,870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The components of the Company’s revenue by market type for the three months ended June 30, 2020 and 2019 were as follows: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23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5"/>
              </w:rPr>
              <w:t>Three months ended June 30, 2020</w:t>
            </w:r>
          </w:p>
        </w:tc>
        <w:tc>
          <w:tcPr>
            <w:tcW w:w="140" w:type="dxa"/>
            <w:vAlign w:val="bottom"/>
          </w:tcPr>
          <w:p>
            <w:pPr>
              <w:spacing w:after="0"/>
              <w:rPr>
                <w:sz w:val="14"/>
                <w:szCs w:val="14"/>
                <w:color w:val="auto"/>
              </w:rPr>
            </w:pPr>
          </w:p>
        </w:tc>
        <w:tc>
          <w:tcPr>
            <w:tcW w:w="23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Three months ended June 30, 2019</w:t>
            </w:r>
          </w:p>
        </w:tc>
        <w:tc>
          <w:tcPr>
            <w:tcW w:w="0" w:type="dxa"/>
            <w:vAlign w:val="bottom"/>
          </w:tcPr>
          <w:p>
            <w:pPr>
              <w:spacing w:after="0"/>
              <w:rPr>
                <w:sz w:val="1"/>
                <w:szCs w:val="1"/>
                <w:color w:val="auto"/>
              </w:rPr>
            </w:pPr>
          </w:p>
        </w:tc>
      </w:tr>
      <w:tr>
        <w:trPr>
          <w:trHeight w:val="142"/>
        </w:trPr>
        <w:tc>
          <w:tcPr>
            <w:tcW w:w="2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900" w:type="dxa"/>
            <w:vAlign w:val="bottom"/>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Percent</w:t>
            </w:r>
          </w:p>
        </w:tc>
        <w:tc>
          <w:tcPr>
            <w:tcW w:w="6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Segment</w:t>
            </w:r>
          </w:p>
        </w:tc>
        <w:tc>
          <w:tcPr>
            <w:tcW w:w="140" w:type="dxa"/>
            <w:vAlign w:val="bottom"/>
          </w:tcPr>
          <w:p>
            <w:pPr>
              <w:spacing w:after="0"/>
              <w:rPr>
                <w:sz w:val="12"/>
                <w:szCs w:val="12"/>
                <w:color w:val="auto"/>
              </w:rPr>
            </w:pPr>
          </w:p>
        </w:tc>
        <w:tc>
          <w:tcPr>
            <w:tcW w:w="78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Amount</w:t>
            </w:r>
          </w:p>
        </w:tc>
        <w:tc>
          <w:tcPr>
            <w:tcW w:w="940" w:type="dxa"/>
            <w:vAlign w:val="bottom"/>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Percent</w:t>
            </w: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Segment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Transmission</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$ 181,189</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$ 169,466</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Distribution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95,570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T&amp;D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86,444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Electrical construction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236,292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C&amp;I</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192,866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C&amp;I</w:t>
            </w:r>
          </w:p>
        </w:tc>
        <w:tc>
          <w:tcPr>
            <w:tcW w:w="0" w:type="dxa"/>
            <w:vAlign w:val="bottom"/>
          </w:tcPr>
          <w:p>
            <w:pPr>
              <w:spacing w:after="0"/>
              <w:rPr>
                <w:sz w:val="1"/>
                <w:szCs w:val="1"/>
                <w:color w:val="auto"/>
              </w:rPr>
            </w:pPr>
          </w:p>
        </w:tc>
      </w:tr>
      <w:tr>
        <w:trPr>
          <w:trHeight w:val="209"/>
        </w:trPr>
        <w:tc>
          <w:tcPr>
            <w:tcW w:w="21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$ 513,051</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$ 448,776</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components of the Company’s revenue by market type for the six months ended June 30, 2020 and 2019 were as follows:</w:t>
      </w:r>
    </w:p>
    <w:p>
      <w:pPr>
        <w:spacing w:after="0" w:line="39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Six months ended June 30, 2020</w:t>
            </w:r>
          </w:p>
        </w:tc>
        <w:tc>
          <w:tcPr>
            <w:tcW w:w="140" w:type="dxa"/>
            <w:vAlign w:val="bottom"/>
          </w:tcPr>
          <w:p>
            <w:pPr>
              <w:spacing w:after="0"/>
              <w:rPr>
                <w:sz w:val="14"/>
                <w:szCs w:val="14"/>
                <w:color w:val="auto"/>
              </w:rPr>
            </w:pPr>
          </w:p>
        </w:tc>
        <w:tc>
          <w:tcPr>
            <w:tcW w:w="22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6"/>
              </w:rPr>
              <w:t>Six months ended June 30, 2019</w:t>
            </w: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w w:val="89"/>
              </w:rPr>
              <w:t>Percent</w:t>
            </w:r>
          </w:p>
        </w:tc>
        <w:tc>
          <w:tcPr>
            <w:tcW w:w="6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2"/>
                <w:szCs w:val="12"/>
                <w:color w:val="auto"/>
              </w:rPr>
            </w:pPr>
          </w:p>
        </w:tc>
        <w:tc>
          <w:tcPr>
            <w:tcW w:w="9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Amount</w:t>
            </w:r>
          </w:p>
        </w:tc>
        <w:tc>
          <w:tcPr>
            <w:tcW w:w="760" w:type="dxa"/>
            <w:vAlign w:val="bottom"/>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w w:val="89"/>
              </w:rPr>
              <w:t>Percent</w:t>
            </w: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Segment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Transmission</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352,755</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$ 357,231</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Arial" w:cs="Arial" w:eastAsia="Arial" w:hAnsi="Arial"/>
                <w:sz w:val="18"/>
                <w:szCs w:val="18"/>
                <w:color w:val="auto"/>
              </w:rPr>
              <w:t>Distribution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183,274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rPr>
              <w:t>T&amp;D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171,227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Electrical construction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495,492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C&amp;I</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388,412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C&amp;I</w:t>
            </w: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1,031,521</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w:t>
            </w:r>
            <w:r>
              <w:rPr>
                <w:rFonts w:ascii="Arial" w:cs="Arial" w:eastAsia="Arial" w:hAnsi="Arial"/>
                <w:sz w:val="18"/>
                <w:szCs w:val="18"/>
                <w:u w:val="single" w:color="auto"/>
                <w:color w:val="auto"/>
                <w:w w:val="93"/>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$ 916,870</w:t>
            </w:r>
          </w:p>
        </w:tc>
        <w:tc>
          <w:tcPr>
            <w:tcW w:w="160" w:type="dxa"/>
            <w:vAlign w:val="bottom"/>
          </w:tcPr>
          <w:p>
            <w:pPr>
              <w:spacing w:after="0"/>
              <w:rPr>
                <w:sz w:val="18"/>
                <w:szCs w:val="18"/>
                <w:color w:val="auto"/>
              </w:rPr>
            </w:pPr>
          </w:p>
        </w:tc>
        <w:tc>
          <w:tcPr>
            <w:tcW w:w="5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7"/>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As of June 30, 2020, the Company had $1.45 billion of remaining performance obligations. The Company’s remaining performance obligations include projects that have a written award, a letter of intent, a notice to proceed or an agreed upon work order to perform work on mutually accepted terms and conditions.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firstLine="648"/>
        <w:spacing w:after="0" w:line="263" w:lineRule="auto"/>
        <w:rPr>
          <w:sz w:val="20"/>
          <w:szCs w:val="20"/>
          <w:color w:val="auto"/>
        </w:rPr>
      </w:pPr>
      <w:r>
        <w:rPr>
          <w:rFonts w:ascii="Arial" w:cs="Arial" w:eastAsia="Arial" w:hAnsi="Arial"/>
          <w:sz w:val="18"/>
          <w:szCs w:val="18"/>
          <w:color w:val="auto"/>
        </w:rPr>
        <w:t>The following table summarizes the amount of remaining performance obligations as of June 30, 2020 that the Company expects to be realized and the amount of the remaining performance obligations that the Company reasonably estimates will not be recognized within the next twelve months.</w:t>
      </w:r>
    </w:p>
    <w:p>
      <w:pPr>
        <w:spacing w:after="0" w:line="189"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Remaining Performance Obligations at June 30, 2020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Total at</w:t>
            </w:r>
          </w:p>
        </w:tc>
        <w:tc>
          <w:tcPr>
            <w:tcW w:w="0" w:type="dxa"/>
            <w:vAlign w:val="bottom"/>
          </w:tcPr>
          <w:p>
            <w:pPr>
              <w:spacing w:after="0"/>
              <w:rPr>
                <w:sz w:val="1"/>
                <w:szCs w:val="1"/>
                <w:color w:val="auto"/>
              </w:rPr>
            </w:pPr>
          </w:p>
        </w:tc>
      </w:tr>
      <w:tr>
        <w:trPr>
          <w:trHeight w:val="119"/>
        </w:trPr>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w w:val="97"/>
              </w:rPr>
              <w:t>Amount estimated to not be</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4"/>
              </w:rPr>
              <w:t>recognized within 12 months</w:t>
            </w:r>
          </w:p>
        </w:tc>
        <w:tc>
          <w:tcPr>
            <w:tcW w:w="180" w:type="dxa"/>
            <w:vAlign w:val="bottom"/>
          </w:tcPr>
          <w:p>
            <w:pPr>
              <w:spacing w:after="0"/>
              <w:rPr>
                <w:sz w:val="14"/>
                <w:szCs w:val="14"/>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4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40,418</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381,850</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C&amp;I</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1,025,097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191,528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1,027,193</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1,446,569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231,946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1,409,043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7"/>
          <w:szCs w:val="17"/>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The U.S. federal statutory tax rate was 21% for each of the three and six months ended June 30, 2020 and 2019. The Company’s effective tax rate for the three and six months ended June 30, 2020 was 27.1% and 27.9%, respectively, of pretax income compared to the effective tax rate for the three and six months ended June 30, 2019 of 27.9%.</w:t>
      </w:r>
    </w:p>
    <w:p>
      <w:pPr>
        <w:spacing w:after="0" w:line="14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and six months ended June 30, 2020 was primarily due to state income taxes and foreign earnings and the associated impact of the global intangible low tax income (“GILTI”).</w:t>
      </w:r>
    </w:p>
    <w:p>
      <w:pPr>
        <w:spacing w:after="0" w:line="184"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and six months ended June 30, 2019, was primarily due to state income taxes offset by the impact of the Company’s noncontrolling interest.</w:t>
      </w:r>
    </w:p>
    <w:p>
      <w:pPr>
        <w:spacing w:after="0" w:line="184"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The Company had unrecognized tax benefits of approximately $0.2 million as of June 30, 2020 and December 31, 2019, which were included in other liabilities in the accompanying consolidated balance sheets.</w:t>
      </w:r>
    </w:p>
    <w:p>
      <w:pPr>
        <w:spacing w:after="0" w:line="170"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six months ended June 30, 2020 and 2019.</w:t>
      </w:r>
    </w:p>
    <w:p>
      <w:pPr>
        <w:spacing w:after="0" w:line="187"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Company is subject to taxation in various jurisdictions. The Company’s 2017 and 2018 tax returns are subject to examination by U.S. federal authorities. The Company’s tax returns are subject to examination by various state authorities for the years 2015 through 2018.</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As of June 30, 2020, the Company had approximately $5.5 million in outstanding purchase orders for certain construction equipment, with cash payments scheduled to occur over the next five months.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Company carries insurance policies, which are subject to certain deductibles, for workers’ compensation, general liability, automobile liability and other insurance coverage. The deductible per occurrence for each line of coverage is up to $1.0 million, except for wildfire coverage, which has a deductible of $2.0 million. The Company’s health benefit plans are subject to deductibles of up to $0.2 million for qualified individuals. Losses up to the deductible amounts are accrued based upon the Company’s estimates of the ultimate liability for claims reported and an estimate of claims incurred but not yet reported.</w:t>
      </w:r>
    </w:p>
    <w:p>
      <w:pPr>
        <w:spacing w:after="0" w:line="192"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consolidated balance sheets.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225"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June 30, 2020, an aggregate of approximately $1.079 billion in original face amount of bonds issued by the Company’s sureties were outstanding. The Company estimated the remaining cost to complete these bonded projects was approximately $452.0 million as of June 30, 2020.</w:t>
      </w:r>
    </w:p>
    <w:p>
      <w:pPr>
        <w:spacing w:after="0" w:line="176"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Indemnities</w:t>
      </w:r>
    </w:p>
    <w:p>
      <w:pPr>
        <w:spacing w:after="0" w:line="225"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22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Many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225" w:lineRule="exact"/>
        <w:rPr>
          <w:sz w:val="20"/>
          <w:szCs w:val="20"/>
          <w:color w:val="auto"/>
        </w:rPr>
      </w:pPr>
    </w:p>
    <w:p>
      <w:pPr>
        <w:jc w:val="both"/>
        <w:ind w:left="60" w:right="239" w:firstLine="648"/>
        <w:spacing w:after="0" w:line="311" w:lineRule="auto"/>
        <w:rPr>
          <w:sz w:val="20"/>
          <w:szCs w:val="20"/>
          <w:color w:val="auto"/>
        </w:rPr>
      </w:pPr>
      <w:r>
        <w:rPr>
          <w:rFonts w:ascii="Arial" w:cs="Arial" w:eastAsia="Arial" w:hAnsi="Arial"/>
          <w:sz w:val="16"/>
          <w:szCs w:val="16"/>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49"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The Company maintains two equity compensation plans under which stock-based compensation has been granted: the 2017 Long-Term Incentive Plan (which was amended and restated as of April 23, 2020) (the “LTIP”) and the 2007 Long-Term Incentive Plan (the “2007 Plan”). Upon the adoption of the original LTIP in 2017, awards were no longer granted under the 2007 Plan. The LTIP provides for grants of (a) incentive stock options qualified as such under U.S. federal income tax laws, (b) stock options that do not qualify as incentive stock options, (c) stock appreciation rights,</w:t>
      </w:r>
    </w:p>
    <w:p>
      <w:pPr>
        <w:spacing w:after="0" w:line="2" w:lineRule="exact"/>
        <w:rPr>
          <w:sz w:val="20"/>
          <w:szCs w:val="20"/>
          <w:color w:val="auto"/>
        </w:rPr>
      </w:pPr>
    </w:p>
    <w:p>
      <w:pPr>
        <w:ind w:left="60" w:right="519" w:hanging="10"/>
        <w:spacing w:after="0" w:line="260"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restricted stock awards, (e) restricted stock units, (f) performance share awards, (g) phantom stock units, (h) stock bonuses, (i) dividend equivalents, and (j) any combination of such grants.</w:t>
      </w:r>
    </w:p>
    <w:p>
      <w:pPr>
        <w:spacing w:after="0" w:line="18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Ordinarily the number of restricted stock awards and ROIC-based performance share awards are determined by dividing the amount of the equity compensation award allocated to each award type, by the closing price of the Company’s common stock on the date of the grant. However, as a result of the negative impact of the COVID-19 pandemic on the Company’s stock price during late March and early April of 2020, the Company’s compensation committee elected to utilize the Company's average closing stock price during the last 30 trading days of 2019 to determine the number of restricted stock and ROIC-based performance shares granted in 2020. The use of this 30-trading day average resulted in the utilization of an average stock price of $33.57, instead of the grant date closing stock price of $26.75.</w:t>
      </w:r>
    </w:p>
    <w:p>
      <w:pPr>
        <w:spacing w:after="0" w:line="166"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Company has outstanding grants of time-vested stock awards in the form of restricted stock awards and restricted stock units. During the six months ended June 30, 2020, the Company granted 104,857 shares of time-vested stock awards under the LTIP to employees and to our non-employee directors at a weighted average grant date fair value of $26.75. These time-vested stock awards granted to non-employee directors vest over one year, time-vested stock awards granted to employees vest ratably on April 27, 2021, March 23, 2022 and March 23, 2023. During the six months ended June 30, 2020, 77,397 shares of time-vested stock awards vested at a weighted average grant date fair value of $34.31.</w:t>
      </w:r>
    </w:p>
    <w:p>
      <w:pPr>
        <w:spacing w:after="0" w:line="164" w:lineRule="exact"/>
        <w:rPr>
          <w:sz w:val="20"/>
          <w:szCs w:val="20"/>
          <w:color w:val="auto"/>
        </w:rPr>
      </w:pPr>
    </w:p>
    <w:p>
      <w:pPr>
        <w:ind w:left="60" w:right="239" w:firstLine="648"/>
        <w:spacing w:after="0" w:line="290" w:lineRule="auto"/>
        <w:rPr>
          <w:sz w:val="20"/>
          <w:szCs w:val="20"/>
          <w:color w:val="auto"/>
        </w:rPr>
      </w:pPr>
      <w:r>
        <w:rPr>
          <w:rFonts w:ascii="Arial" w:cs="Arial" w:eastAsia="Arial" w:hAnsi="Arial"/>
          <w:sz w:val="16"/>
          <w:szCs w:val="16"/>
          <w:color w:val="auto"/>
        </w:rPr>
        <w:t>During the six months ended June 30, 2020, the Company granted 79,788 performance share awards under the LTIP at target, which cliff vest on December 31, 2022, at a weighted average grant date fair value of $34.10. The number of shares ultimately earned under a performance award may vary from zero to 200% of the target shares awarded,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 or on a market-based metric, such as the Company’s stock performance compared to a peer group. Performance awards granted cliff vest upon attainment of the stated performance targets and minimum service requirements and are paid in shares of the Company’s common stock.</w:t>
      </w:r>
    </w:p>
    <w:p>
      <w:pPr>
        <w:spacing w:after="0" w:line="165"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During the six months ended June 30, 2020, plan participants exercised options to purchase 4,575 shares of the Company’s common stock with a weighted average exercise price of $17.85.</w:t>
      </w:r>
    </w:p>
    <w:p>
      <w:pPr>
        <w:spacing w:after="0" w:line="170"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Company recognizes stock-based compensation expense related to restricted stock awards and restricted stock units based on the grant date fair value, which was the closing price of the Company’s stock on the date of grant. The fair value is expensed over the service period, which is generally three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 Organization, Business and Significant Accounting Policies to the 2019 Annual Report.</w:t>
      </w:r>
    </w:p>
    <w:p>
      <w:pPr>
        <w:spacing w:after="0" w:line="165"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78"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renewable energy projects, manufacturing plants, processing facilities, 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information in the following table is derived from the segment’s internal financial reports used for corporate management purposes: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w w:val="94"/>
              </w:rPr>
              <w:t>Three months ended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34"/>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revenues: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T&amp;D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276,759</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255,910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536,029</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528,458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C&amp;I</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236,292</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192,866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495,492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388,412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513,051</w:t>
            </w: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448,776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1,031,521</w:t>
            </w: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916,870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T&amp;D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23,838</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16,050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41,802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C&amp;I</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General Corporate</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(13,454)</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(11,152)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(21,514)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19,342</w:t>
            </w: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35,750</w:t>
            </w: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For the three and six months ended June 30, 2020, contract revenues attributable to the Company’s Canadian operations were $20.9 million and $39.0 million, respectively, predominantly in the C&amp;I segment. For the three and six months ended June 30, 2019, contract revenues attributable to the Company’s Canadian operations were $20.8 million and $33.5 million, respectively, predominantly in the C&amp;I segment.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Noncontrolling Interest</w:t>
      </w:r>
    </w:p>
    <w:p>
      <w:pPr>
        <w:spacing w:after="0" w:line="22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On July 2, 2018, through the acquisition of certain assets of the Huen Electric, Inc., Huen Electric New Jersey Inc., and Huen New York, Inc. (collectively, the “Huen Companies”), the Company became the majority controlling interest in a joint venture. As a result, the Company has consolidated the carrying value of the joint ventures’ assets and liabilities and results of operations in the Company’s consolidated financial statements. The equity owned by the other joint venture partners has been recorded as noncontrolling interest in the Company’s consolidated balance sheets, consolidated statements of stockholders’ equity, and their portions, if material, of net income (loss) and other comprehensive income shown as net income or other comprehensive income attributable to noncontrolling interest in the Company’s consolidated statements of operations and other comprehensive income. Additionally, the joint venture associated with the Company’s noncontrolling interest is a partnership, and consequently, the tax effect of only the Company’s share of the joint venture income is recognized by the Company.</w:t>
      </w:r>
    </w:p>
    <w:p>
      <w:pPr>
        <w:spacing w:after="0" w:line="18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The acquired joint venture made no distributions to its partners, and the Company made no capital contributions to the joint venture, during the three and six months ended June 30, 2020. Additionally, there have been no changes in ownership during the three and six months ended June 30, 2020. The project associated with this joint venture was substantially completed in 2019.</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The Company computes earnings per share attributable to MYR Group Inc. using the treasury stock method. Under the treasury stock method, basic earnings per share attributable to MYR Group Inc. are computed by dividing net income available to stockholders by the weighted average number of common shares outstanding during the period, and diluted earnings per share are computed by dividing net income available to stockholders by the weighted average number of common shares outstanding during the period plus all potentially dilutive common stock equivalents, except in cases where the effect of the common stock equivalent would be anti-dilutive.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Net income attributable to MYR Group Inc. and the weighted average number of common shares used to compute basic and diluted earnings per share were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income attributable to MYR Group Inc.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13,385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7,207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23,317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14,560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Weighted average common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16,685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16,600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16,656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Weighted average dilutive securities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4"/>
              </w:rPr>
              <w:t>Weighted average common shares outstanding,</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16,765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16,704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16,751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16,682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per common share attributable to MYR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Group Inc.:</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For the three and six months ended June 30, 2020 and 2019,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unvested time-vested stock awards were included in the computation of weighted average dilutive securities.</w:t>
      </w:r>
    </w:p>
    <w:p>
      <w:pPr>
        <w:spacing w:after="0" w:line="188"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The following table summarizes the shares of common stock underlying the Company’s unexercised stock options, unvested time-vested stock awards and unvested performance awards that were excluded from the calculation of dilutive securities: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Three months ended</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Time-vested stock awards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Performance awards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0"/>
                <w:szCs w:val="20"/>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3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i w:val="1"/>
          <w:iCs w:val="1"/>
          <w:color w:val="auto"/>
        </w:rPr>
        <w:t>The following discussion should be read in conjunction with the accompanying unaudited consolidated financial statements and with our Annual Report on Form 10-K for the year ended December 31, 2019 (the “2019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2019 Annual Report. We assume no obligation to update any of these forward-looking statements.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and Outlook</w:t>
      </w:r>
    </w:p>
    <w:p>
      <w:pPr>
        <w:spacing w:after="0" w:line="229"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We are a holding company of specialty electrical construction service providers that was established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57"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We have operated in the transmission and distribution industry since 1891. We are one of the largest contractors servicing the T&amp;D sector of the electric utility industry in the United States and provide T&amp;D services in western Canada. Our T&amp;D customers include many of the leading companies in the industry. We have operated in the commercial and industrial industry since 1912. We are one of the largest electrical contractors servicing the C&amp;I industry in the United States and in western Canada. Our C&amp;I customers include facility owners and general contractors.</w:t>
      </w:r>
    </w:p>
    <w:p>
      <w:pPr>
        <w:spacing w:after="0" w:line="161"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We believe that we have a number of competitive advantages in both of our segments, including our project management team,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88"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The current COVID-19 pandemic has had a significant impact on the global economy, including the US and Canadian economies, during the first and second quarters of 2020. As the situation continues to evolve, the Company is closely monitoring the impact of the COVID-19 pandemic on all aspects of our business, including how it will impact our customers, subcontractors, suppliers, vendors and employees. The COVID-19 pandemic caused a slowdown of our projects due to specific state, local, municipal and customer mandated stay-at-home orders and new project requirements that were established to protect construction workers and the general public, most of which impacted our C&amp;I segment in the second quarter of 2020. Although the majority of stay-at-home orders were phased-out at the end of the second quarter, we are still experiencing impacts associated with the COVID-19 project specific protocols. We expect the project specific requirements to remain in place which will continue to impact project schedules and workflow going forward.</w:t>
      </w:r>
    </w:p>
    <w:p>
      <w:pPr>
        <w:spacing w:after="0" w:line="16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Company is unable to predict the ultimate impact that COVID-19 will have on our business, employees, liquidity, financial condition, results of operations and cash flows. Most of the Company’s operations are considered critical and essential businesses, making our projects generally exempt from stay-at-home or similar orders in certain parts of the United States and western Canada. However, if this pandemic persists for a prolonged period of time our business could be more significantly impacted as a result of prolonged unfavorable economic conditions. In addition, in response to the pandemic and related mitigation measures, the Company began implementing changes in March 2020 in an effort to protect our employees and customers, and to support appropriate health and safety protocols, including implementing remote, alternative and flexible work arrangements, where possible. The situation surrounding COVID-19 remains fluid, and if disruptions do arise, they could materially adversely impact our business. The key estimates that could potentially be impacted include estimates of costs to complete contracts, the recoverability of goodwill and intangibles and allowance for doubtful accounts.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47" w:lineRule="auto"/>
        <w:rPr>
          <w:sz w:val="20"/>
          <w:szCs w:val="20"/>
          <w:color w:val="auto"/>
        </w:rPr>
      </w:pPr>
      <w:r>
        <w:rPr>
          <w:rFonts w:ascii="Arial" w:cs="Arial" w:eastAsia="Arial" w:hAnsi="Arial"/>
          <w:sz w:val="17"/>
          <w:szCs w:val="17"/>
          <w:color w:val="auto"/>
        </w:rPr>
        <w:t>We had consolidated revenues for the six months ended June 30, 2020 of $1.0 billion, of which 52.0% was attributable to our T&amp;D customers and 48.0% was attributable to our C&amp;I customers. Our consolidated revenues for the six months ended June 30, 2019 were $916.9 million. For the six months ended June 30, 2020, our net income attributable to MYR Group Inc. and EBITDA</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were $23.3 million and $58.9 million, respectively, compared to $14.6 million and $41.5 million, respectively, for the six months ended June 30, 2019.</w:t>
      </w:r>
    </w:p>
    <w:p>
      <w:pPr>
        <w:spacing w:after="0" w:line="19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We believe there is an ongoing need for utilities to sustain investment in their transmission systems to improve reliability, reduce congestion and connect to new sources of renewable generation. Consequently, we believe we will continue to see significant bidding activity on large transmission projects over the next two years. The timing of multi-year transmission project awards and substantial construction activity is difficult to predict due to regulatory requirements and the permitting needed to commence construction. Significant construction on any large, multi-year projects awarded in 2020 will not likely occur before 2021. Bidding and construction activity for small to medium-size transmission projects and upgrades remains steady, and we expect this trend to continue, primarily due to reliability and economic drivers. However, in light of the current COVID-19 environment, we believe there may be a slowdown of construction activity in the transmission market in 2020, the recovery of which will be dependent upon the pace and timing of the United States recovery from the COVID-19 pandemic.</w:t>
      </w:r>
    </w:p>
    <w:p>
      <w:pPr>
        <w:spacing w:after="0" w:line="185"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Because of reduced spending by United States utilities on their distribution systems for several years, we believe there is a need for sustained investment by utilities on their distribution systems to properly maintain or meet reliability requirements. We believe the increased hurricane activity over the past several years and recent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United States in 2021, however, in light of the current COVID-19 environment we believe there may be a slowdown of construction activity in distribution systems in 2020, the recovery of which will be dependent upon the pace and timing of the United States recovery from the COVID-19 pandemic.</w:t>
      </w:r>
    </w:p>
    <w:p>
      <w:pPr>
        <w:spacing w:after="0" w:line="172"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Amid the current COVID-19 pandemic, we expect C&amp;I bidding opportunities to be impacted and market uncertainty could contribute to an overall deceleration in projects coming out to bid. Recovery through the balance of the year will be heavily dependent on overall economic recovery. We are hopeful that the various approved stimulus packages provide greater opportunity and are encouraged by the possible approval of a long-awaited infrastructure bill. We believe that the primary markets we serve may be somewhat less vulnerable to economic slowing, such as health care, transportation, data centers, warehousing, renewable energy and water projects. In addition, many analysts are predicting increased spending in these markets as the US and Canadian societies change their post pandemic behavior. The small project market could experience a greater slow-down while owners focus their efforts on dealing with the pandemic. Many signs indicate that the service industry and small project market could quickly rebound later in the year as pent-up demand will need to be addressed.</w:t>
      </w:r>
    </w:p>
    <w:p>
      <w:pPr>
        <w:spacing w:after="0" w:line="18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In addition, the United States has experienced a decade of privately funded economic expansion which has challenged the capacity of public water and transportation infrastructure forcing states and municipalities to seek creative means to fund needed expansion. We believe the need for expanding public infrastructure will offer opportunity in our C&amp;I segment for several years.</w:t>
      </w:r>
    </w:p>
    <w:p>
      <w:pPr>
        <w:spacing w:after="0" w:line="187"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We expect the long-term growth in our C&amp;I segment to generally track the economic growth of the regions we serve. We also expect to see increased bidding opportunities in the new C&amp;I markets we recently entered through strategic acquisitions and organic expansions.</w:t>
      </w:r>
    </w:p>
    <w:p>
      <w:pPr>
        <w:spacing w:after="0" w:line="184"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We strive to maintain our status as a preferred provider to our T&amp;D and C&amp;I customers. In an effort to support our growth strategy and maximize stockholder returns, we seek to efficiently manage our capital. We continue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170815</wp:posOffset>
            </wp:positionV>
            <wp:extent cx="1414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(1)  EBITDA is a non-GAAP measure. Refer to “Non-GAAP Measure—EBITDA” for a discussion of this measure.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implement strategies that further expand our capabilities and allow opportunities to provide prudent capital returns. On July 15, 2019, we completed the acquisition of substantially all the assets of CSI Electrical Contractors, Inc. (“CSI”), which expanded our C&amp;I operations in California. The total consideration was approximately $80.7 million, funded through borrowings under our credit facility. We ended the second quarter of 2020 with $280.2 million available under our credit facility. We believe that our financial position, positive cash flows and other operational strengths will enable us to manage the current challenges and uncertainties in the markets we serve, including new challenges and uncertainties associated with the COVID-19 pandemic, and give us the flexibility to successfully execute our strategies. In light of the uncertainties around the economic impacts from the COVID-19 pandemic, we are focused on controlling our costs and capital expenditures to preserve our ability to continue to fund our operations; however, we continue to invest in developing key management and craft personnel in both our T&amp;D and C&amp;I markets and in procuring the specific specialty equipment and tooling needed to win and execute projects of all sizes and complexity.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74"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7–Revenue Recognition in the accompanying notes to our Consolidated Financial Statements.</w:t>
      </w:r>
    </w:p>
    <w:p>
      <w:pPr>
        <w:spacing w:after="0" w:line="178"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Our backlog was $1.55 billion at June 30, 2020, compared to $1.50 billion at December 31, 2019 and $1.16 billion at June 30, 2019. Our backlog at June 30, 2020 increased 0.5% from March 31, 2020. Backlog in the T&amp;D segment increased $64.0 million and C&amp;I backlog decreased $55.6 million compared to March 31, 2020. Our backlog as of June 30, 2020 included our proportionate share of joint venture backlog totaling $28.7 million, compared to $42.1 million at March 31, 2020.</w:t>
      </w:r>
    </w:p>
    <w:p>
      <w:pPr>
        <w:spacing w:after="0" w:line="188"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Backlog at June 30, 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3"/>
              </w:rPr>
              <w:t>Total backlog at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Amount estimated to not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be recognized within 12 months</w:t>
            </w:r>
          </w:p>
        </w:tc>
        <w:tc>
          <w:tcPr>
            <w:tcW w:w="16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C&amp;I</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1,027,855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191,528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1,029,305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1,548,658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231,946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w w:val="79"/>
              </w:rPr>
              <w:t>26</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229"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June 30, 2020, we had approximately $1.079 billion in original face amount of surety bonds outstanding. Our estimated remaining cost to complete these bonded projects was approximately $452.0 million as of June 30, 2020.</w:t>
      </w:r>
    </w:p>
    <w:p>
      <w:pPr>
        <w:spacing w:after="0" w:line="166"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table sets forth selected consolidated statements of operations data and such data as a percentage of revenues for the periods indicated:</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ind w:left="40"/>
              <w:spacing w:after="0"/>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3"/>
              </w:rPr>
              <w:t>Six months ended</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June 30,</w:t>
            </w: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3"/>
                <w:szCs w:val="13"/>
                <w:b w:val="1"/>
                <w:bCs w:val="1"/>
                <w:color w:val="auto"/>
                <w:w w:val="88"/>
              </w:rPr>
              <w:t>June 30,</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w w:val="93"/>
              </w:rPr>
              <w:t>Amount</w:t>
            </w:r>
          </w:p>
        </w:tc>
        <w:tc>
          <w:tcPr>
            <w:tcW w:w="4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7"/>
              </w:rPr>
              <w:t>Percent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Amount</w:t>
            </w:r>
          </w:p>
        </w:tc>
        <w:tc>
          <w:tcPr>
            <w:tcW w:w="4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7"/>
              </w:rPr>
              <w:t>Percent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w w:val="89"/>
              </w:rPr>
              <w:t>Amount</w:t>
            </w:r>
          </w:p>
        </w:tc>
        <w:tc>
          <w:tcPr>
            <w:tcW w:w="4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3"/>
              </w:rPr>
              <w:t>Percent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w w:val="89"/>
              </w:rPr>
              <w:t>Amount</w:t>
            </w:r>
          </w:p>
        </w:tc>
        <w:tc>
          <w:tcPr>
            <w:tcW w:w="4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3"/>
              </w:rPr>
              <w:t>Percent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Contract revenues</w:t>
            </w:r>
          </w:p>
        </w:tc>
        <w:tc>
          <w:tcPr>
            <w:tcW w:w="26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513,051</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100.0 %</w:t>
            </w:r>
          </w:p>
        </w:tc>
        <w:tc>
          <w:tcPr>
            <w:tcW w:w="22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448,776</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
              <w:spacing w:after="0" w:line="135" w:lineRule="exact"/>
              <w:rPr>
                <w:sz w:val="20"/>
                <w:szCs w:val="20"/>
                <w:color w:val="auto"/>
              </w:rPr>
            </w:pPr>
            <w:r>
              <w:rPr>
                <w:rFonts w:ascii="Arial" w:cs="Arial" w:eastAsia="Arial" w:hAnsi="Arial"/>
                <w:sz w:val="13"/>
                <w:szCs w:val="13"/>
                <w:color w:val="auto"/>
              </w:rPr>
              <w:t>100.0 %</w:t>
            </w:r>
          </w:p>
        </w:tc>
        <w:tc>
          <w:tcPr>
            <w:tcW w:w="160" w:type="dxa"/>
            <w:vAlign w:val="bottom"/>
            <w:gridSpan w:val="2"/>
            <w:shd w:val="clear" w:color="auto" w:fill="CCEEFF"/>
          </w:tcPr>
          <w:p>
            <w:pPr>
              <w:jc w:val="right"/>
              <w:ind w:right="14"/>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1,031,521</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100.0 %</w:t>
            </w:r>
          </w:p>
        </w:tc>
        <w:tc>
          <w:tcPr>
            <w:tcW w:w="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916,870</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Contract costs</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451,746</w:t>
            </w: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88.1</w:t>
            </w: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405,613</w:t>
            </w:r>
          </w:p>
        </w:tc>
        <w:tc>
          <w:tcPr>
            <w:tcW w:w="1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90.4</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908,584</w:t>
            </w:r>
          </w:p>
        </w:tc>
        <w:tc>
          <w:tcPr>
            <w:tcW w:w="1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jc w:val="right"/>
              <w:spacing w:after="0" w:line="135" w:lineRule="exact"/>
              <w:rPr>
                <w:sz w:val="20"/>
                <w:szCs w:val="20"/>
                <w:color w:val="auto"/>
              </w:rPr>
            </w:pPr>
            <w:r>
              <w:rPr>
                <w:rFonts w:ascii="Arial" w:cs="Arial" w:eastAsia="Arial" w:hAnsi="Arial"/>
                <w:sz w:val="13"/>
                <w:szCs w:val="13"/>
                <w:color w:val="auto"/>
              </w:rPr>
              <w:t>88.1</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7"/>
              </w:rPr>
              <w:t>830,831</w:t>
            </w:r>
          </w:p>
        </w:tc>
        <w:tc>
          <w:tcPr>
            <w:tcW w:w="1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jc w:val="right"/>
              <w:spacing w:after="0" w:line="135" w:lineRule="exact"/>
              <w:rPr>
                <w:sz w:val="20"/>
                <w:szCs w:val="20"/>
                <w:color w:val="auto"/>
              </w:rPr>
            </w:pPr>
            <w:r>
              <w:rPr>
                <w:rFonts w:ascii="Arial" w:cs="Arial" w:eastAsia="Arial" w:hAnsi="Arial"/>
                <w:sz w:val="13"/>
                <w:szCs w:val="13"/>
                <w:color w:val="auto"/>
              </w:rPr>
              <w:t>90.6</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8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Gross profit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61,305</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11.9</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43,163</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122,937</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86,039</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tcPr>
          <w:p>
            <w:pPr>
              <w:spacing w:after="0" w:line="135" w:lineRule="exact"/>
              <w:rPr>
                <w:sz w:val="20"/>
                <w:szCs w:val="20"/>
                <w:color w:val="auto"/>
              </w:rPr>
            </w:pPr>
            <w:r>
              <w:rPr>
                <w:rFonts w:ascii="Arial" w:cs="Arial" w:eastAsia="Arial" w:hAnsi="Arial"/>
                <w:sz w:val="13"/>
                <w:szCs w:val="13"/>
                <w:color w:val="auto"/>
              </w:rPr>
              <w:t>Selling, general and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administrative expenses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41,199</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33,944</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86,245</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66,931</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tcPr>
          <w:p>
            <w:pPr>
              <w:spacing w:after="0" w:line="135" w:lineRule="exact"/>
              <w:rPr>
                <w:sz w:val="20"/>
                <w:szCs w:val="20"/>
                <w:color w:val="auto"/>
              </w:rPr>
            </w:pPr>
            <w:r>
              <w:rPr>
                <w:rFonts w:ascii="Arial" w:cs="Arial" w:eastAsia="Arial" w:hAnsi="Arial"/>
                <w:sz w:val="13"/>
                <w:szCs w:val="13"/>
                <w:color w:val="auto"/>
              </w:rPr>
              <w:t>Amortization of intangible assets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1,203</w:t>
            </w: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735</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2,431</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1,469</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Gain on sale of property and</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tcBorders>
              <w:bottom w:val="single" w:sz="8" w:color="CCEEFF"/>
            </w:tcBorders>
          </w:tcPr>
          <w:p>
            <w:pPr>
              <w:ind w:left="80"/>
              <w:spacing w:after="0" w:line="135" w:lineRule="exact"/>
              <w:rPr>
                <w:sz w:val="20"/>
                <w:szCs w:val="20"/>
                <w:color w:val="auto"/>
              </w:rPr>
            </w:pPr>
            <w:r>
              <w:rPr>
                <w:rFonts w:ascii="Arial" w:cs="Arial" w:eastAsia="Arial" w:hAnsi="Arial"/>
                <w:sz w:val="13"/>
                <w:szCs w:val="13"/>
                <w:color w:val="auto"/>
              </w:rPr>
              <w:t>equipment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(439)</w:t>
            </w: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(0.1)</w:t>
            </w: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(926)</w:t>
            </w:r>
          </w:p>
        </w:tc>
        <w:tc>
          <w:tcPr>
            <w:tcW w:w="1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(0.2)</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(1,489)</w:t>
            </w:r>
          </w:p>
        </w:tc>
        <w:tc>
          <w:tcPr>
            <w:tcW w:w="1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(0.2)</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(1,397)</w:t>
            </w:r>
          </w:p>
        </w:tc>
        <w:tc>
          <w:tcPr>
            <w:tcW w:w="1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(0.2)</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8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Income from operations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19,342</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9,410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35,750</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19,036</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tcPr>
          <w:p>
            <w:pPr>
              <w:spacing w:after="0" w:line="135" w:lineRule="exact"/>
              <w:rPr>
                <w:sz w:val="20"/>
                <w:szCs w:val="20"/>
                <w:color w:val="auto"/>
              </w:rPr>
            </w:pPr>
            <w:r>
              <w:rPr>
                <w:rFonts w:ascii="Arial" w:cs="Arial" w:eastAsia="Arial" w:hAnsi="Arial"/>
                <w:sz w:val="13"/>
                <w:szCs w:val="13"/>
                <w:color w:val="auto"/>
              </w:rPr>
              <w:t>Other income (expense)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Interest income</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2"/>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tcPr>
          <w:p>
            <w:pPr>
              <w:ind w:left="80"/>
              <w:spacing w:after="0" w:line="135" w:lineRule="exact"/>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(1,315)</w:t>
            </w: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(1,168)</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(2,828)</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(2,373)</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Other income (expense), net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321</w:t>
            </w:r>
          </w:p>
        </w:tc>
        <w:tc>
          <w:tcPr>
            <w:tcW w:w="12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582</w:t>
            </w:r>
          </w:p>
        </w:tc>
        <w:tc>
          <w:tcPr>
            <w:tcW w:w="14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(574)</w:t>
            </w:r>
          </w:p>
        </w:tc>
        <w:tc>
          <w:tcPr>
            <w:tcW w:w="14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1,328</w:t>
            </w:r>
          </w:p>
        </w:tc>
        <w:tc>
          <w:tcPr>
            <w:tcW w:w="14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ind w:left="200"/>
              <w:spacing w:after="0" w:line="129" w:lineRule="exact"/>
              <w:rPr>
                <w:sz w:val="20"/>
                <w:szCs w:val="20"/>
                <w:color w:val="auto"/>
              </w:rPr>
            </w:pPr>
            <w:r>
              <w:rPr>
                <w:rFonts w:ascii="Arial" w:cs="Arial" w:eastAsia="Arial" w:hAnsi="Arial"/>
                <w:sz w:val="13"/>
                <w:szCs w:val="13"/>
                <w:color w:val="auto"/>
              </w:rPr>
              <w:t>Income before provision for income taxes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18,352</w:t>
            </w:r>
          </w:p>
        </w:tc>
        <w:tc>
          <w:tcPr>
            <w:tcW w:w="1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3.6</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8,824</w:t>
            </w:r>
          </w:p>
        </w:tc>
        <w:tc>
          <w:tcPr>
            <w:tcW w:w="14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1.8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32,354</w:t>
            </w:r>
          </w:p>
        </w:tc>
        <w:tc>
          <w:tcPr>
            <w:tcW w:w="14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17,991</w:t>
            </w:r>
          </w:p>
        </w:tc>
        <w:tc>
          <w:tcPr>
            <w:tcW w:w="14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1.9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tax expense</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4,967</w:t>
            </w:r>
          </w:p>
        </w:tc>
        <w:tc>
          <w:tcPr>
            <w:tcW w:w="12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2,466</w:t>
            </w:r>
          </w:p>
        </w:tc>
        <w:tc>
          <w:tcPr>
            <w:tcW w:w="14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9,037</w:t>
            </w:r>
          </w:p>
        </w:tc>
        <w:tc>
          <w:tcPr>
            <w:tcW w:w="14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5,013</w:t>
            </w:r>
          </w:p>
        </w:tc>
        <w:tc>
          <w:tcPr>
            <w:tcW w:w="14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0.5</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80" w:type="dxa"/>
            <w:vAlign w:val="bottom"/>
          </w:tcPr>
          <w:p>
            <w:pPr>
              <w:spacing w:after="0" w:line="129" w:lineRule="exact"/>
              <w:rPr>
                <w:sz w:val="20"/>
                <w:szCs w:val="20"/>
                <w:color w:val="auto"/>
              </w:rPr>
            </w:pPr>
            <w:r>
              <w:rPr>
                <w:rFonts w:ascii="Arial" w:cs="Arial" w:eastAsia="Arial" w:hAnsi="Arial"/>
                <w:sz w:val="13"/>
                <w:szCs w:val="13"/>
                <w:color w:val="auto"/>
              </w:rPr>
              <w:t>Net income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13,385</w:t>
            </w:r>
          </w:p>
        </w:tc>
        <w:tc>
          <w:tcPr>
            <w:tcW w:w="1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2.6</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6,358</w:t>
            </w:r>
          </w:p>
        </w:tc>
        <w:tc>
          <w:tcPr>
            <w:tcW w:w="14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1.4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23,317</w:t>
            </w:r>
          </w:p>
        </w:tc>
        <w:tc>
          <w:tcPr>
            <w:tcW w:w="14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2.3</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12,978</w:t>
            </w:r>
          </w:p>
        </w:tc>
        <w:tc>
          <w:tcPr>
            <w:tcW w:w="14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1.4</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Less: net loss attributable to noncontrolling interest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(849)</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(1,582)</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tcPr>
          <w:p>
            <w:pPr>
              <w:spacing w:after="0" w:line="129" w:lineRule="exact"/>
              <w:rPr>
                <w:sz w:val="20"/>
                <w:szCs w:val="20"/>
                <w:color w:val="auto"/>
              </w:rPr>
            </w:pPr>
            <w:r>
              <w:rPr>
                <w:rFonts w:ascii="Arial" w:cs="Arial" w:eastAsia="Arial" w:hAnsi="Arial"/>
                <w:sz w:val="13"/>
                <w:szCs w:val="13"/>
                <w:color w:val="auto"/>
              </w:rPr>
              <w:t>Net income attributable to MYR Group Inc.</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13,385</w:t>
            </w:r>
          </w:p>
        </w:tc>
        <w:tc>
          <w:tcPr>
            <w:tcW w:w="1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w:t>
            </w:r>
          </w:p>
        </w:tc>
        <w:tc>
          <w:tcPr>
            <w:tcW w:w="140" w:type="dxa"/>
            <w:vAlign w:val="bottom"/>
          </w:tcPr>
          <w:p>
            <w:pPr>
              <w:jc w:val="right"/>
              <w:spacing w:after="0" w:line="129" w:lineRule="exact"/>
              <w:rPr>
                <w:sz w:val="20"/>
                <w:szCs w:val="20"/>
                <w:color w:val="auto"/>
              </w:rPr>
            </w:pPr>
            <w:r>
              <w:rPr>
                <w:rFonts w:ascii="Arial" w:cs="Arial" w:eastAsia="Arial" w:hAnsi="Arial"/>
                <w:sz w:val="12"/>
                <w:szCs w:val="12"/>
                <w:color w:val="auto"/>
                <w:w w:val="74"/>
              </w:rPr>
              <w:t>%</w:t>
            </w:r>
          </w:p>
        </w:tc>
        <w:tc>
          <w:tcPr>
            <w:tcW w:w="4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7,207</w:t>
            </w:r>
          </w:p>
        </w:tc>
        <w:tc>
          <w:tcPr>
            <w:tcW w:w="14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w:t>
            </w:r>
          </w:p>
        </w:tc>
        <w:tc>
          <w:tcPr>
            <w:tcW w:w="180" w:type="dxa"/>
            <w:vAlign w:val="bottom"/>
          </w:tcPr>
          <w:p>
            <w:pPr>
              <w:jc w:val="right"/>
              <w:ind w:right="22"/>
              <w:spacing w:after="0" w:line="129" w:lineRule="exact"/>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23,317</w:t>
            </w:r>
          </w:p>
        </w:tc>
        <w:tc>
          <w:tcPr>
            <w:tcW w:w="14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w:t>
            </w:r>
          </w:p>
        </w:tc>
        <w:tc>
          <w:tcPr>
            <w:tcW w:w="120" w:type="dxa"/>
            <w:vAlign w:val="bottom"/>
          </w:tcPr>
          <w:p>
            <w:pPr>
              <w:jc w:val="right"/>
              <w:spacing w:after="0" w:line="129" w:lineRule="exact"/>
              <w:rPr>
                <w:sz w:val="20"/>
                <w:szCs w:val="20"/>
                <w:color w:val="auto"/>
              </w:rPr>
            </w:pPr>
            <w:r>
              <w:rPr>
                <w:rFonts w:ascii="Arial" w:cs="Arial" w:eastAsia="Arial" w:hAnsi="Arial"/>
                <w:sz w:val="12"/>
                <w:szCs w:val="12"/>
                <w:color w:val="auto"/>
                <w:w w:val="74"/>
              </w:rPr>
              <w:t>%</w:t>
            </w:r>
          </w:p>
        </w:tc>
        <w:tc>
          <w:tcPr>
            <w:tcW w:w="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14,560</w:t>
            </w:r>
          </w:p>
        </w:tc>
        <w:tc>
          <w:tcPr>
            <w:tcW w:w="14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w:t>
            </w:r>
          </w:p>
        </w:tc>
        <w:tc>
          <w:tcPr>
            <w:tcW w:w="200" w:type="dxa"/>
            <w:vAlign w:val="bottom"/>
          </w:tcPr>
          <w:p>
            <w:pPr>
              <w:jc w:val="right"/>
              <w:ind w:right="42"/>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pacing w:after="0" w:line="229"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were $513.1 million for the three months ended June 30, 2020 compared to $448.8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June 30, 2019. The increase of $64.3 million, or 14.3%, was primarily due to incremental revenues from the CSI acquisition, which was acquired in the third quarter of 2019, along with an increase in revenue on transmission and distribution projects. These increases were partially offset by a decrease in revenue on various-sized C&amp;I projects, along with impacts related to the COVID-19 pandemic primarily associated with our C&amp;I segment.</w:t>
      </w:r>
    </w:p>
    <w:p>
      <w:pPr>
        <w:spacing w:after="0" w:line="161"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11.9% for the three months ended June 30, 2020 compared to 9.6%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2019. The increase in gross margin was primarily due to better-than-anticipated productivity, an increase in higher margin work and favorable job close-outs on certain projects. These improvements were partially offset by decreases in revenue recognized on pending claims and change orders for which the Company is seeking reimbursement, and labor inefficiencies on certain projects. Additionally, gross margin during the three months ended June 30, 2019 was negatively impacted by inefficiencies associated with a joint venture project, that has since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been completed. Changes in estimates of gross profit on certain projects resulted in a gross margin increase of 0.2% and a decrease of 0.9% for the three months ended June 30, 2020 and 2019, respectively.</w:t>
      </w:r>
    </w:p>
    <w:p>
      <w:pPr>
        <w:spacing w:after="0" w:line="170"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$61.3 million for the three months ended June 30, 2020 compared to $43.2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2019. The increase of $18.1 million, or 42.0% was due to higher revenues and margins.</w:t>
      </w:r>
    </w:p>
    <w:p>
      <w:pPr>
        <w:spacing w:after="0" w:line="18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was $41.2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2020 compared to $33.9 million for the three months ended June 30, 2019. The period-over-period increase of $7.3 million was primarily due to the acquisition of CSI along with higher employee-related expenses to support the growth in our operations partially offset by a reversal of contingent compensation expense related to a prior acquisition.</w:t>
      </w:r>
    </w:p>
    <w:p>
      <w:pPr>
        <w:spacing w:after="0" w:line="188"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i w:val="1"/>
          <w:iCs w:val="1"/>
          <w:color w:val="auto"/>
        </w:rPr>
        <w:t>Gain on sale of property and equipment</w:t>
      </w:r>
      <w:r>
        <w:rPr>
          <w:rFonts w:ascii="Arial" w:cs="Arial" w:eastAsia="Arial" w:hAnsi="Arial"/>
          <w:sz w:val="18"/>
          <w:szCs w:val="18"/>
          <w:color w:val="auto"/>
        </w:rPr>
        <w:t>. Gains from the sale of property and equipment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were $0.4 million compared to $0.9 million for the three months ended June 30, 2019. Gains from the sale of property and equipment are attributable to routine sales of property and equipment no longer useful or valuable to our ongoing operations.</w:t>
      </w:r>
    </w:p>
    <w:p>
      <w:pPr>
        <w:spacing w:after="0" w:line="187"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$1.3 million for the three months ended June 30, 2020 compared to $1.2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2019.</w:t>
      </w:r>
    </w:p>
    <w:p>
      <w:pPr>
        <w:spacing w:after="0" w:line="170"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was $0.3 million for the three months ended June 30, 2020,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a contingent consideration related to margin guarantees on certain contracts associated with the acquisition of CSI recognized in the three months ended June 30, 2020.</w:t>
      </w:r>
    </w:p>
    <w:p>
      <w:pPr>
        <w:spacing w:after="0" w:line="184"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$5.0 million for the three months ended June 30, 2020,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 of 27.1%, compared to the expense of $2.5 million for the three months ended June 30, 2019, with an effective tax rate of 27.9%. The decrease in the tax rate for the three months ended June 30, 2020 was primarily due to a decrease in our foreign taxes.</w:t>
      </w:r>
    </w:p>
    <w:p>
      <w:pPr>
        <w:spacing w:after="0" w:line="187"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i w:val="1"/>
          <w:iCs w:val="1"/>
          <w:color w:val="auto"/>
        </w:rPr>
        <w:t xml:space="preserve">Net income attributable to MYR Group Inc. </w:t>
      </w:r>
      <w:r>
        <w:rPr>
          <w:rFonts w:ascii="Arial" w:cs="Arial" w:eastAsia="Arial" w:hAnsi="Arial"/>
          <w:sz w:val="18"/>
          <w:szCs w:val="18"/>
          <w:color w:val="auto"/>
        </w:rPr>
        <w:t>Net income attributable to MYR Group Inc. was $13.4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2020 compared to $7.2 million for the three months ended June 30, 2019. The increase was primarily due to the reasons stated earlier.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The following table sets forth, for the periods indicated, statements of operations data by segment, segment net sales as percentage of total net sales and segment operating income as a percentage of segment net sales: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6"/>
              </w:rPr>
              <w:t>Three months ended June 30,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8"/>
              <w:spacing w:after="0" w:line="142" w:lineRule="exact"/>
              <w:rPr>
                <w:sz w:val="20"/>
                <w:szCs w:val="20"/>
                <w:color w:val="auto"/>
              </w:rPr>
            </w:pPr>
            <w:r>
              <w:rPr>
                <w:rFonts w:ascii="Arial" w:cs="Arial" w:eastAsia="Arial" w:hAnsi="Arial"/>
                <w:sz w:val="14"/>
                <w:szCs w:val="14"/>
                <w:b w:val="1"/>
                <w:bCs w:val="1"/>
                <w:color w:val="auto"/>
                <w:w w:val="98"/>
              </w:rPr>
              <w:t>Amount</w:t>
            </w:r>
          </w:p>
        </w:tc>
        <w:tc>
          <w:tcPr>
            <w:tcW w:w="7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8"/>
              </w:rPr>
              <w:t>Amount</w:t>
            </w:r>
          </w:p>
        </w:tc>
        <w:tc>
          <w:tcPr>
            <w:tcW w:w="7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Contract revenues: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Transmission &amp; Distribution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276,759</w:t>
            </w:r>
          </w:p>
        </w:tc>
        <w:tc>
          <w:tcPr>
            <w:tcW w:w="1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53.9 %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255,910</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57.0 %</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&amp; Industrial</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236,292</w:t>
            </w: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192,866</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513,051</w:t>
            </w: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448,776</w:t>
            </w:r>
          </w:p>
        </w:tc>
        <w:tc>
          <w:tcPr>
            <w:tcW w:w="16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8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Transmission &amp; Distribution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23,838</w:t>
            </w:r>
          </w:p>
        </w:tc>
        <w:tc>
          <w:tcPr>
            <w:tcW w:w="1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8.6 %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16,050</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&amp; Industrial</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32,796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20,562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Corporate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(13,454)</w:t>
            </w:r>
          </w:p>
        </w:tc>
        <w:tc>
          <w:tcPr>
            <w:tcW w:w="9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(11,152)</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Consolidated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19,342</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left="60" w:right="319" w:firstLine="648"/>
        <w:spacing w:after="0" w:line="286" w:lineRule="auto"/>
        <w:rPr>
          <w:sz w:val="20"/>
          <w:szCs w:val="20"/>
          <w:color w:val="auto"/>
        </w:rPr>
      </w:pPr>
      <w:r>
        <w:rPr>
          <w:rFonts w:ascii="Arial" w:cs="Arial" w:eastAsia="Arial" w:hAnsi="Arial"/>
          <w:sz w:val="17"/>
          <w:szCs w:val="17"/>
          <w:color w:val="auto"/>
        </w:rPr>
        <w:t>Revenues for our T&amp;D segment for the three months ended June 30, 2020 were $276.8 million compared to $255.9 million for the three months ended June 30, 2019, an increase of $20.9 million, or 8.1%. The increase in revenue was primarily related to an increase in volume on both transmission and distribution projects.</w:t>
      </w:r>
    </w:p>
    <w:p>
      <w:pPr>
        <w:spacing w:after="0" w:line="16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Revenues from transmission projects represented 65.5% and 66.2% of T&amp;D segment revenue for the three months ended June 30, 2020 and 2019, respectively. Additionally, for the three months ended June 30, 2020, measured by revenue in our T&amp;D segment, we provided 45.7% of our T&amp;D services under fixed-price contracts, as compared to 46.7% for the three months ended June 30, 2019.</w:t>
      </w:r>
    </w:p>
    <w:p>
      <w:pPr>
        <w:spacing w:after="0" w:line="187"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Operating income for our T&amp;D segment for the three months ended June 30, 2020 was $23.8 million, an increase of $7.7 million, or 48.5%, from the three months ended June 30, 2019. The increase in T&amp;D operating income from the prior year was primarily due to higher revenues, better-than-anticipated productivity and an increase in higher margin work on certain projects. These increases were partially offset by decreases in revenue recognized on pending claims and change orders for which the Company is seeking reimbursement. As a percentage of revenues, operating income for our T&amp;D segment was 8.6% for the three months ended June 30, 2020 compared to 6.3% for the three months ended June 30, 2019.</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Revenues for our C&amp;I segment for the three months ended June 30, 2020 were $236.3 million compared to $192.9 million for the three months ended June 30, 2019, an increase of $43.4 million, or 22.5%, primarily due to incremental revenues from the CSI acquisition, partially offset by a decrease due to the timing of activity on various-sized projects along with impacts related to the COVID-19 pandemic. Measured by revenue in our C&amp;I segment, we provided 79.4% of our services under fixed-price contracts for the three months ended June 30, 2020, compared to 59.7% for the three months ended June 30, 2019.</w:t>
      </w:r>
    </w:p>
    <w:p>
      <w:pPr>
        <w:spacing w:after="0" w:line="192"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Operating income for our C&amp;I segment for the three months ended June 30, 2020 was $9.0 million, an increase of $4.5 million, over the three months ended June 30, 2019. The period-over-period increase in operating income was due to higher revenues, better-than-anticipated productivity and favorable job close-outs on certain projects. Operating income was also positively impacted by a reversal of contingent compensation expense related to a prior acquisition. These increases were partially offset by labor inefficiencies on certain projects and decreases in revenue recognized on pending claims and change orders for which the Company is seeking reimbursement. As a percentage of revenues, operating income for our C&amp;I segment was 3.8% for the three months ended June 30, 2020 compared to 2.3% for the three months ended June 30,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229" w:lineRule="exact"/>
        <w:rPr>
          <w:sz w:val="20"/>
          <w:szCs w:val="20"/>
          <w:color w:val="auto"/>
        </w:rPr>
      </w:pPr>
    </w:p>
    <w:p>
      <w:pPr>
        <w:ind w:left="60" w:right="59" w:firstLine="648"/>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were $1.0 billion for the six months ended June 30, 2020 compared to $916.9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2019. The increase of $114.6 million, or 12.5%, was primarily due to incremental revenues from the CSI acquisition, partially offset by a decrease due to the timing of activity on various-sized C&amp;I projects, along with impacts related to the COVID-19 pandemic primarily associated with our C&amp;I segment.</w:t>
      </w:r>
    </w:p>
    <w:p>
      <w:pPr>
        <w:spacing w:after="0" w:line="171"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11.9% for the six months ended June 30, 2020 compared to 9.4%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2019. The increase in gross margin was primarily due to better-than-anticipated productivity and an increase in higher margin work on certain projects. These increases were partially offset by decreases in revenue recognized on pending claims and change orders for which the Company is seeking reimbursement, labor inefficiencies on certain projects, and inclement weather experienced on certain projects. Additionally, gross margin during the six months ended June 30, 2019 was negatively impacted by inefficiencies associated with a joint venture project, that has since been completed. Changes in estimates of gross profit on certain projects resulted in gross margin decreases of 0.1% and 1.0% for the six months ended June 30, 2020 and 2019,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firstLine="648"/>
        <w:spacing w:after="0" w:line="34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was $122.9 million for the six months ended June 30, 2020 compared to $86.0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2019, the increase of $36.9 million, or 42.9% was due to higher revenues and margins.</w:t>
      </w:r>
    </w:p>
    <w:p>
      <w:pPr>
        <w:spacing w:after="0" w:line="124"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was $86.2 million for the six months ended June 30, 2020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$66.9 million for the six months ended June 30, 2019. The period-over-period increase of $19.3 million was primarily due to the acquisition of CSI along with higher employee-related expenses to support the growth in our operations partially offset by a reversal of contingent compensation expense related to a prior acquisition.</w:t>
      </w:r>
    </w:p>
    <w:p>
      <w:pPr>
        <w:spacing w:after="0" w:line="157"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were $1.5 million compared to $1.4 million for the six months ended June 30, 2019. Gains from the sale of property and equipment are attributable to routine sales of property and equipment no longer useful or valuable to our ongoing operations.</w:t>
      </w:r>
    </w:p>
    <w:p>
      <w:pPr>
        <w:spacing w:after="0" w:line="187"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$2.8 million for the six months ended June 30, 2020 compared to $2.4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2019. This increase was primarily attributable to increased borrowing related to the acquisition of CSI and an increase in our working capital needs to support higher volume, partially offset by a decrease in our weighted average interest rate during the six months ended June 30, 2020 as compared to the six months ended June 30, 2019.</w:t>
      </w:r>
    </w:p>
    <w:p>
      <w:pPr>
        <w:spacing w:after="0" w:line="188"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was $0.6 million for the six months ended June 30, 2020,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a contingent consideration related to margin guarantees on certain contracts associated with the acquisition of CSI recognized in the three months ended June 30, 2020. Other income was $1.3 million for the six months ended June 30, 2019.</w:t>
      </w:r>
    </w:p>
    <w:p>
      <w:pPr>
        <w:spacing w:after="0" w:line="187" w:lineRule="exact"/>
        <w:rPr>
          <w:sz w:val="20"/>
          <w:szCs w:val="20"/>
          <w:color w:val="auto"/>
        </w:rPr>
      </w:pPr>
    </w:p>
    <w:p>
      <w:pPr>
        <w:jc w:val="both"/>
        <w:ind w:left="60" w:right="559" w:firstLine="648"/>
        <w:spacing w:after="0" w:line="263"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$9.0 million for the six months ended June 30, 2020,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 of 27.9%, compared to the expense of $5.0 million for the six months ended June 30, 2019, with an effective tax rate of 27.9%.</w:t>
      </w:r>
    </w:p>
    <w:p>
      <w:pPr>
        <w:spacing w:after="0" w:line="184"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i w:val="1"/>
          <w:iCs w:val="1"/>
          <w:color w:val="auto"/>
        </w:rPr>
        <w:t>Net income attributable to MYR Group Inc</w:t>
      </w:r>
      <w:r>
        <w:rPr>
          <w:rFonts w:ascii="Arial" w:cs="Arial" w:eastAsia="Arial" w:hAnsi="Arial"/>
          <w:sz w:val="18"/>
          <w:szCs w:val="18"/>
          <w:color w:val="auto"/>
        </w:rPr>
        <w:t>. Net income attributable to MYR Group Inc. was $23.3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2020 compared to $14.6 million for the six months ended June 30, 2020. The increase was primarily due to the reasons stated earlier.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The following table sets forth, for the periods indicated, statements of operations data by segment, segment net sales as percentage of total net sales and segment operating income as a percentage of segment net sales: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4"/>
                <w:szCs w:val="14"/>
                <w:b w:val="1"/>
                <w:bCs w:val="1"/>
                <w:color w:val="auto"/>
                <w:w w:val="90"/>
              </w:rPr>
              <w:t>Six months ended June 30,</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8"/>
              <w:spacing w:after="0" w:line="142" w:lineRule="exact"/>
              <w:rPr>
                <w:sz w:val="20"/>
                <w:szCs w:val="20"/>
                <w:color w:val="auto"/>
              </w:rPr>
            </w:pPr>
            <w:r>
              <w:rPr>
                <w:rFonts w:ascii="Arial" w:cs="Arial" w:eastAsia="Arial" w:hAnsi="Arial"/>
                <w:sz w:val="14"/>
                <w:szCs w:val="14"/>
                <w:b w:val="1"/>
                <w:bCs w:val="1"/>
                <w:color w:val="auto"/>
              </w:rPr>
              <w:t>Amount</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Contract revenues: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Transmission &amp; Distribution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536,029</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52.0 %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528,458</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57.6 %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495,492</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388,412</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1,031,521</w:t>
            </w:r>
          </w:p>
        </w:tc>
        <w:tc>
          <w:tcPr>
            <w:tcW w:w="16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916,870</w:t>
            </w:r>
          </w:p>
        </w:tc>
        <w:tc>
          <w:tcPr>
            <w:tcW w:w="16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Transmission &amp; Distribution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41,802</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7.8 %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30,980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9"/>
        </w:trPr>
        <w:tc>
          <w:tcPr>
            <w:tcW w:w="492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60,072</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40,550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Corporate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(24,322)</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(21,514)</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100"/>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35,750</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19,036</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Revenues for our T&amp;D segment for the six months ended June 30, 2020 were $536.0 million compared to $528.5 million for the six months ended June 30, 2019, an increase of $7.5 million, or 1.4%. The increase in revenue was primarily related to an increase in revenue on distribution projects, partially offset by a decrease in revenue on transmission projects.</w:t>
      </w:r>
    </w:p>
    <w:p>
      <w:pPr>
        <w:spacing w:after="0" w:line="187"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Revenues from transmission projects represented 65.8% and 67.6% of T&amp;D segment revenue for the six months ended June 30, 2020 and 2019, respectively. Additionally, for the six months ended June 30, 2020, measured by revenue in our T&amp;D segment, we provided 46.1% of our T&amp;D services under fixed-price contracts, as compared to 47.9% for the six months ended June 30, 2019.</w:t>
      </w:r>
    </w:p>
    <w:p>
      <w:pPr>
        <w:spacing w:after="0" w:line="187"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Operating income for our T&amp;D segment for the six months ended June 30, 2020 was $41.8 million, an increase of $10.8 million, or 34.9%, from the six months ended June 30, 2019. The increase in T&amp;D operating income from the prior year was primarily due to better-than-anticipated productivity, cost improvements and an increase in higher margin work on certain projects, partially offset by inclement weather experienced on certain projects, a decrease in revenue recognized on pending claims and change orders for which the Company is seeking reimbursement, and labor and material inefficiencies. As a percentage of revenues, operating income for our T&amp;D segment was 7.8% for the six months ended June 30, 2020 compared to 5.9% for the six months ended June 30,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Revenues for our C&amp;I segment for the six months ended June 30, 2020 were $495.5 million compared to $388.4 million for the six months ended June 30, 2019, an increase of $107.1 million, or 27.6%, primarily due to incremental revenues from the CSI acquisition, partially offset by a decrease due to the timing of activity on various-sized projects along with impacts related to the COVID-19 pandemic. Measured by revenue in our C&amp;I segment, we provided 82.0% of our services under fixed-price contracts for the six months ended June 30, 2020, compared to 64.1% for the six months ended June 30, 2019.</w:t>
      </w:r>
    </w:p>
    <w:p>
      <w:pPr>
        <w:spacing w:after="0" w:line="192"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Operating income for our C&amp;I segment for the six months ended June 30, 2020 was $18.3 million, an increase of $8.7 million over the six months ended June 30, 2019. The period-over-period increase in operating income was primarily due to higher revenues and better-than-anticipated productivity on certain projects, partially offset by labor inefficiencies on certain projects, a decrease in revenue recognized on pending claims and change orders for which the Company is seeking reimbursement, along with amortization related to certain intangibles acquired with CSI. As a percentage of revenues, operating income for our C&amp;I segment was 3.7% for the six months ended June 30, 2020 compared to 2.5% for the six months ended June 30, 2019.</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Measure—EBITDA</w:t>
      </w:r>
    </w:p>
    <w:p>
      <w:pPr>
        <w:spacing w:after="0" w:line="229"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We define EBITDA, a performance measure used by management, as net income attributable to MYR Group Inc. plus net income from noncontrolling interest, interest expense net of interest income, provision for income taxes and depreciation and amortization. EBITDA, a non-GAAP financial measure, does not purport to be an alternative to net income attributable to MYR Group Inc.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a reconciliation of net income to EBITDA:</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5"/>
          </w:tcPr>
          <w:p>
            <w:pPr>
              <w:jc w:val="right"/>
              <w:ind w:right="3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415"/>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attributable to MYR Group Inc.</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23,317</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14,560</w:t>
            </w: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Net loss attributable to noncontrolling interests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12,978</w:t>
            </w: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i w:val="1"/>
                <w:iCs w:val="1"/>
                <w:color w:val="auto"/>
              </w:rPr>
              <w:t>Add: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&amp; amortization</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10,634</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21,183</w:t>
            </w:r>
          </w:p>
        </w:tc>
        <w:tc>
          <w:tcPr>
            <w:tcW w:w="0" w:type="dxa"/>
            <w:vAlign w:val="bottom"/>
          </w:tcPr>
          <w:p>
            <w:pPr>
              <w:spacing w:after="0"/>
              <w:rPr>
                <w:sz w:val="1"/>
                <w:szCs w:val="1"/>
                <w:color w:val="auto"/>
              </w:rPr>
            </w:pPr>
          </w:p>
        </w:tc>
      </w:tr>
      <w:tr>
        <w:trPr>
          <w:trHeight w:val="209"/>
        </w:trPr>
        <w:tc>
          <w:tcPr>
            <w:tcW w:w="4720" w:type="dxa"/>
            <w:vAlign w:val="bottom"/>
          </w:tcPr>
          <w:p>
            <w:pPr>
              <w:ind w:left="100"/>
              <w:spacing w:after="0"/>
              <w:rPr>
                <w:sz w:val="20"/>
                <w:szCs w:val="20"/>
                <w:color w:val="auto"/>
              </w:rPr>
            </w:pPr>
            <w:r>
              <w:rPr>
                <w:rFonts w:ascii="Arial" w:cs="Arial" w:eastAsia="Arial" w:hAnsi="Arial"/>
                <w:sz w:val="18"/>
                <w:szCs w:val="18"/>
                <w:color w:val="auto"/>
              </w:rPr>
              <w:t>EBITDA</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20,626</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41,547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provides a reconciliation of net cash flows provided by operating activities to EBITDA:</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7"/>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Provided By Operating Activities: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Arial" w:cs="Arial" w:eastAsia="Arial" w:hAnsi="Arial"/>
                <w:sz w:val="18"/>
                <w:szCs w:val="18"/>
                <w:color w:val="auto"/>
              </w:rPr>
              <w:t>Net cash flows provided by operating activities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62,680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15,604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97,923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7,399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Add/(subtract):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(35,882)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(49,363)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28,324</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Adjustments to reconcile net income to net cash flows provided by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(13,413)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(12,087)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(25,243)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(22,745)</w:t>
            </w: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Depreciation &amp; amortization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23,755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21,183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EBITDA</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58,931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41,547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As of June 30, 2020, we had working capital of $191.4 million. We define working capital as current assets less current liabilities. During the six months ended June 30, 2020, operating activities of our business provided net cash of $97.9 million, compared to $7.4 million of cash provided for the six months ended June 30, 2019. Cash flow from operations is primarily influenced by demand for our services, operating margins, timing of contract performance and the type of services we provide to our customers. The $90.5 million year-over-year increase in cash provided by operating activities was primarily due to favorable net changes in operating assets and liabilities of $77.7 million and increases in net income of $10.3 million and depreciation and amortization of $2.6 million. The favorable change in operating assets and liabilities was primarily due to the net favorable year-over-year increases in various working capital accounts that relate primarily to construction activities (accounts receivable, contract assets, accounts payable and contract liabilities) of $40.1 million and a favorable change of $27.6 million in other liabilities, of which $9.1 million is due to the timing of payroll and the related tax payments, which we have elected to defer under the Coronavirus Aid, Relief, and Economic Security Act ("CARES Act"). The increase in cash provided by working capital accounts, primarily related to construction activities, was primarily due to higher collections of accounts receivable, partially offset by net increases in other working capital requirements needed to support our increased revenue.</w:t>
      </w:r>
    </w:p>
    <w:p>
      <w:pPr>
        <w:spacing w:after="0" w:line="184" w:lineRule="exact"/>
        <w:rPr>
          <w:sz w:val="20"/>
          <w:szCs w:val="20"/>
          <w:color w:val="auto"/>
        </w:rPr>
      </w:pPr>
    </w:p>
    <w:p>
      <w:pPr>
        <w:ind w:left="60" w:right="439" w:firstLine="648"/>
        <w:spacing w:after="0" w:line="342" w:lineRule="auto"/>
        <w:rPr>
          <w:sz w:val="20"/>
          <w:szCs w:val="20"/>
          <w:color w:val="auto"/>
        </w:rPr>
      </w:pPr>
      <w:r>
        <w:rPr>
          <w:rFonts w:ascii="Arial" w:cs="Arial" w:eastAsia="Arial" w:hAnsi="Arial"/>
          <w:sz w:val="16"/>
          <w:szCs w:val="16"/>
          <w:color w:val="auto"/>
        </w:rPr>
        <w:t>In the six months ended June 30, 2020, we used net cash in investing activities of $15.3 million, consisting of $16.9 million for capital expenditures, partially offset by $1.6 million of proceeds from the sale of equipment.</w:t>
      </w:r>
    </w:p>
    <w:p>
      <w:pPr>
        <w:spacing w:after="0" w:line="124"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In the six months ended June 30, 2020, financing activities used net cash of $84.8 million, consisting primarily of $70.4 million of repayments under our revolving line of credit, $13.4 million of repayments of principal obligations under equipment notes, $0.6 million of repayments of finance lease obligations and share repurchases of $0.4 million, all of which represented shares surrendered to satisfy tax obligations under our stock compensation programs during the six months ended June 30, 2020.</w:t>
      </w:r>
    </w:p>
    <w:p>
      <w:pPr>
        <w:spacing w:after="0" w:line="188"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We anticipate that our borrowing availability of $280.2 million at June 30, 2020 under our revolving line of credit and future cash flow from operations will provide sufficient cash to enable us to meet our future operating needs, debt service requirements, capital expenditures, acquisition and joint venture opportunities, and any new challenges and uncertainties associated with the COVID-19 pandemic. Although we believe that we have adequate cash and borrowing capacity to meet our liquidity needs, any large projects or acquisitions may require additional capital. Additionally, in light of the uncertainties around the economic impacts from the COVID-19 pandemic, we are focused on controlling our costs and capital expenditures to preserve our ability to continue to fund our operations; however, we continue to invest in developing key management and craft personnel in both our T&amp;D and C&amp;I markets and in procuring the specific specialty equipment and tooling needed to win and execute projects of all sizes and complexity.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On September 13, 2019, we entered into a five-year amended and restated credit agreement (the “Credit Agreement”) with a syndicate of banks led by JPMorgan Chase Bank, N.A. and Bank of America, N.A. The Credit Agreement provides for a facility of $375 million (the “Facility”), not to exceed three times Consolidated EBITDA (as defined in the Credit Agreement) less Consolidated Total Indebtedness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and other general corporate purposes.</w:t>
      </w:r>
    </w:p>
    <w:p>
      <w:pPr>
        <w:spacing w:after="0" w:line="167"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our consolidated Leverage Ratio. We are subject to a commitment fee of 0.15% to 0.25%, based on our consolidated Leverage Ratio, on any unused portion of the Facility. The Credit Agreement restricts certain types of payments when our consolidated Leverage Ratio exceeds 2.50 or our consolidated Liquidity (as defined in the Credit Agreement) is less than $50 million.</w:t>
      </w:r>
    </w:p>
    <w:p>
      <w:pPr>
        <w:spacing w:after="0" w:line="192"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Under the Credit Agreement, we are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June 30, 2020.</w:t>
      </w:r>
    </w:p>
    <w:p>
      <w:pPr>
        <w:spacing w:after="0" w:line="192"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As of June 30, 2020, we had $33.4 million of debt outstanding under the Facility and letters of credit outstanding of approximately $10.5 million. As of December 31, 2019, we had $103.8 million of debt outstanding under the Facility and letters of credit outstanding of approximately $10.6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We have entered into multiple Master Loan Agreements with multiple banks. The Master Loan Agreements may be used for financing of equipment between us and the lending banks pursuant to one or more equipment notes ("Equipment Notes"). Each Equipment Note constitutes a separate, distinct and independent financing of equipment and contractual obligation.</w:t>
      </w:r>
    </w:p>
    <w:p>
      <w:pPr>
        <w:spacing w:after="0" w:line="187" w:lineRule="exact"/>
        <w:rPr>
          <w:sz w:val="20"/>
          <w:szCs w:val="20"/>
          <w:color w:val="auto"/>
        </w:rPr>
      </w:pPr>
    </w:p>
    <w:p>
      <w:pPr>
        <w:ind w:left="60" w:right="319" w:firstLine="648"/>
        <w:spacing w:after="0" w:line="308" w:lineRule="auto"/>
        <w:rPr>
          <w:sz w:val="20"/>
          <w:szCs w:val="20"/>
          <w:color w:val="auto"/>
        </w:rPr>
      </w:pPr>
      <w:r>
        <w:rPr>
          <w:rFonts w:ascii="Arial" w:cs="Arial" w:eastAsia="Arial" w:hAnsi="Arial"/>
          <w:sz w:val="17"/>
          <w:szCs w:val="17"/>
          <w:color w:val="auto"/>
        </w:rPr>
        <w:t>As of June 30, 2020, we had executed eight Equipment Notes that are collateralized by equipment and vehicles owned by us. The outstanding balance of these Equipment Notes was $48.6 million as of June 30, 2020.</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letter of credit obligations and surety guarantees related to performance bonds, could be entered into in the normal course of business. We have not engaged in any off-balance sheet financing arrangements through special purpose entities.</w:t>
      </w:r>
    </w:p>
    <w:p>
      <w:pPr>
        <w:spacing w:after="0" w:line="188"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For a discussion regarding off-balance sheet transactions, please refer to Note 9–Commitments and Contingencies in the accompanying notes to our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June 30, 2020 and 2019, none of our customers individually exceeded 10.0% of consolidated accounts receivable. Management believes the terms and conditions in its contracts, billing and collection policies are adequate to minimize the potential credit risk.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2019 Annual Report.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Statement Concerning Forward-Looking Statements and Information</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84"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“may,” “objective,” “outlook,” “plan,”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“project,” “likely,” “unlikely,” “possible,” “potential,” “should”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we consider these expectations and assumptions to be reasonable, they are inherently subject to significant business, economic, competitive, regulatory and other risks, contingencies and uncertainties, most of which are difficult to predict, and many of which are beyond our control. In addition, many of these risks, contingencies and uncertainties are currently amplified by, and may continue to be amplified by, the COVID-19 pandemic. These and other important factors, including those discussed under the caption “Forward-Looking Statements” and in Item 1A. “Risk Factors” in our 2019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risks, contingencies and uncertainties include, but are not limited to, the following:</w:t>
      </w:r>
    </w:p>
    <w:p>
      <w:pPr>
        <w:spacing w:after="0" w:line="225" w:lineRule="exact"/>
        <w:rPr>
          <w:sz w:val="20"/>
          <w:szCs w:val="20"/>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period to period.</w:t>
      </w:r>
    </w:p>
    <w:p>
      <w:pPr>
        <w:spacing w:after="0" w:line="117"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industry is highly competitive. Increased competition can place downward pressure on contract prices and profit margins and may limit the number of projects that we are awarded.</w:t>
      </w:r>
    </w:p>
    <w:p>
      <w:pPr>
        <w:spacing w:after="0" w:line="62"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unsuccessful in generating internal growth, which could impact the projects available to the Company.</w:t>
      </w:r>
    </w:p>
    <w:p>
      <w:pPr>
        <w:spacing w:after="0" w:line="62" w:lineRule="exact"/>
        <w:rPr>
          <w:rFonts w:ascii="Arial" w:cs="Arial" w:eastAsia="Arial" w:hAnsi="Arial"/>
          <w:sz w:val="18"/>
          <w:szCs w:val="18"/>
          <w:color w:val="auto"/>
        </w:rPr>
      </w:pPr>
    </w:p>
    <w:p>
      <w:pPr>
        <w:ind w:left="1040" w:right="579" w:hanging="315"/>
        <w:spacing w:after="0" w:line="308"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Negative economic and market conditions, as well as regulatory and environmental requirements, may adversely impact our customers’ future spending and, as a result, our operations and growth.</w:t>
      </w:r>
    </w:p>
    <w:p>
      <w:pPr>
        <w:spacing w:after="0" w:line="38" w:lineRule="exact"/>
        <w:rPr>
          <w:rFonts w:ascii="Arial" w:cs="Arial" w:eastAsia="Arial" w:hAnsi="Arial"/>
          <w:sz w:val="17"/>
          <w:szCs w:val="17"/>
          <w:color w:val="auto"/>
        </w:rPr>
      </w:pPr>
    </w:p>
    <w:p>
      <w:pPr>
        <w:ind w:left="1040" w:right="359" w:hanging="315"/>
        <w:spacing w:after="0" w:line="26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75"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revenues may be exposed to potential risk if a project is terminated or canceled, if our customers encounter financial difficulties or if we encounter disputes with our customers.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labor intensive and we may be unable to attract and retain qualified personnel.</w:t>
      </w:r>
    </w:p>
    <w:p>
      <w:pPr>
        <w:spacing w:after="0" w:line="117"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new contracts and termination of existing contracts may result in unpredictable fluctuations in our cash flows and financial results.</w:t>
      </w:r>
    </w:p>
    <w:p>
      <w:pPr>
        <w:spacing w:after="0" w:line="62"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ordinary course of our business, we may become subject to lawsuits or indemnity claims, which could materially and adversely affect our business and results of operations.</w:t>
      </w:r>
    </w:p>
    <w:p>
      <w:pPr>
        <w:spacing w:after="0" w:line="62"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incur liabilities and suffer negative financial or reputational impacts relating to occupational health and safety matters.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Backlog may not be realized or may not result in profits and may not accurately represent future revenue.</w:t>
      </w:r>
    </w:p>
    <w:p>
      <w:pPr>
        <w:spacing w:after="0" w:line="128" w:lineRule="exact"/>
        <w:rPr>
          <w:rFonts w:ascii="Arial" w:cs="Arial" w:eastAsia="Arial" w:hAnsi="Arial"/>
          <w:sz w:val="17"/>
          <w:szCs w:val="17"/>
          <w:color w:val="auto"/>
        </w:rPr>
      </w:pPr>
    </w:p>
    <w:p>
      <w:pPr>
        <w:ind w:left="1040" w:right="35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growth could outpace the capability of our internal resources and limit our ability to support growth.</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suppliers, subcontractors and equipment manufacturers could expose us to the risk of loss in our operations.</w:t>
      </w:r>
    </w:p>
    <w:p>
      <w:pPr>
        <w:spacing w:after="0" w:line="62"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participation in joint ventures and other projects with third parties may expose us to liability for failures of our partners.</w:t>
      </w:r>
    </w:p>
    <w:p>
      <w:pPr>
        <w:spacing w:after="0" w:line="62"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successfully execute or integrate acquisitions or joint ventures may have an adverse impact on our growth strategy and business.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61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Legislative or regulatory actions relating to electricity transmission and renewable energy may impact demand for our services.</w:t>
      </w:r>
    </w:p>
    <w:p>
      <w:pPr>
        <w:spacing w:after="0" w:line="62" w:lineRule="exact"/>
        <w:rPr>
          <w:rFonts w:ascii="Arial" w:cs="Arial" w:eastAsia="Arial" w:hAnsi="Arial"/>
          <w:sz w:val="18"/>
          <w:szCs w:val="18"/>
          <w:color w:val="auto"/>
        </w:rPr>
      </w:pPr>
    </w:p>
    <w:p>
      <w:pPr>
        <w:ind w:left="1040" w:right="73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use of percentage-of-completion accounting could result in a reduction or reversal of previously recognized profits.</w:t>
      </w:r>
    </w:p>
    <w:p>
      <w:pPr>
        <w:spacing w:after="0" w:line="62" w:lineRule="exact"/>
        <w:rPr>
          <w:rFonts w:ascii="Arial" w:cs="Arial" w:eastAsia="Arial" w:hAnsi="Arial"/>
          <w:sz w:val="18"/>
          <w:szCs w:val="18"/>
          <w:color w:val="auto"/>
        </w:rPr>
      </w:pPr>
    </w:p>
    <w:p>
      <w:pPr>
        <w:jc w:val="both"/>
        <w:ind w:left="1040" w:right="139" w:hanging="315"/>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insurance has limits and exclusions that may not fully indemnify us against certain claims or losses, and the unavailability or cancellation of third party insurance coverages would increase our overall risk exposure and could disrupt our operations.</w:t>
      </w:r>
    </w:p>
    <w:p>
      <w:pPr>
        <w:spacing w:after="0" w:line="7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actual costs may be greater than expected in performing our fixed-price and unit-price contracts.</w:t>
      </w:r>
    </w:p>
    <w:p>
      <w:pPr>
        <w:spacing w:after="0" w:line="128" w:lineRule="exact"/>
        <w:rPr>
          <w:rFonts w:ascii="Arial" w:cs="Arial" w:eastAsia="Arial" w:hAnsi="Arial"/>
          <w:sz w:val="17"/>
          <w:szCs w:val="17"/>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results are based upon estimates and assumptions that may differ from actual results.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a major customer may have an adverse effect on us.</w:t>
      </w:r>
    </w:p>
    <w:p>
      <w:pPr>
        <w:spacing w:after="0" w:line="117"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extend trade credit to customers for purchases of our services, and may have difficulty collecting receivables from them.</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failure to comply with environmental and other laws and regulations could result in significant liabilities.</w:t>
      </w:r>
    </w:p>
    <w:p>
      <w:pPr>
        <w:spacing w:after="0" w:line="140" w:lineRule="exact"/>
        <w:rPr>
          <w:rFonts w:ascii="Arial" w:cs="Arial" w:eastAsia="Arial" w:hAnsi="Arial"/>
          <w:sz w:val="16"/>
          <w:szCs w:val="16"/>
          <w:color w:val="auto"/>
        </w:rPr>
      </w:pPr>
    </w:p>
    <w:p>
      <w:pPr>
        <w:ind w:left="1040" w:right="13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compete for, or work on, certain projects if we are not able to obtain necessary bonds, letters of credit, bank guarantees or other financial assurances.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hire or retain key personnel could disrupt our business.</w:t>
      </w:r>
    </w:p>
    <w:p>
      <w:pPr>
        <w:spacing w:after="0" w:line="117"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may have an adverse impact on our business, employees, liquidity, financial condition, results of operations and cash flows.</w:t>
      </w:r>
    </w:p>
    <w:p>
      <w:pPr>
        <w:spacing w:after="0" w:line="62"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may be affected by seasonal and other variations, including severe weather conditions and the nature of our work environment.</w:t>
      </w:r>
    </w:p>
    <w:p>
      <w:pPr>
        <w:spacing w:after="0" w:line="62"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 stoppages or other labor issues with our unionized workforce could adversely affect our business, and we may be subject to unionization attempts.</w:t>
      </w:r>
    </w:p>
    <w:p>
      <w:pPr>
        <w:spacing w:after="0" w:line="62" w:lineRule="exact"/>
        <w:rPr>
          <w:rFonts w:ascii="Arial" w:cs="Arial" w:eastAsia="Arial" w:hAnsi="Arial"/>
          <w:sz w:val="18"/>
          <w:szCs w:val="18"/>
          <w:color w:val="auto"/>
        </w:rPr>
      </w:pPr>
    </w:p>
    <w:p>
      <w:pPr>
        <w:ind w:left="1040" w:right="79" w:hanging="315"/>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obtain permitting, right-of-way access and other tactical considerations prior to the commencement of work could delay the commencement of work on projects or cause modifications of work plans, potentially resulting in lower margins.</w:t>
      </w:r>
    </w:p>
    <w:p>
      <w:pPr>
        <w:spacing w:after="0" w:line="75" w:lineRule="exact"/>
        <w:rPr>
          <w:rFonts w:ascii="Arial" w:cs="Arial" w:eastAsia="Arial" w:hAnsi="Arial"/>
          <w:sz w:val="18"/>
          <w:szCs w:val="18"/>
          <w:color w:val="auto"/>
        </w:rPr>
      </w:pPr>
    </w:p>
    <w:p>
      <w:pPr>
        <w:ind w:left="1040" w:right="4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Multi-employer pension plan obligations related to our unionized workforce could adversely impact our earnings.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results of operations could be adversely affected as a result of asset impairments.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not have access in the future to sufficient funding to finance desired growth and operations.</w:t>
      </w:r>
    </w:p>
    <w:p>
      <w:pPr>
        <w:spacing w:after="0" w:line="128" w:lineRule="exact"/>
        <w:rPr>
          <w:rFonts w:ascii="Arial" w:cs="Arial" w:eastAsia="Arial" w:hAnsi="Arial"/>
          <w:sz w:val="17"/>
          <w:szCs w:val="17"/>
          <w:color w:val="auto"/>
        </w:rPr>
      </w:pPr>
    </w:p>
    <w:p>
      <w:pPr>
        <w:ind w:left="1040" w:right="79" w:hanging="315"/>
        <w:spacing w:after="0" w:line="286"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57" w:lineRule="exact"/>
        <w:rPr>
          <w:rFonts w:ascii="Arial" w:cs="Arial" w:eastAsia="Arial" w:hAnsi="Arial"/>
          <w:sz w:val="17"/>
          <w:szCs w:val="17"/>
          <w:color w:val="auto"/>
        </w:rPr>
      </w:pPr>
    </w:p>
    <w:p>
      <w:pPr>
        <w:ind w:left="1040" w:right="79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operations are subject to a number of operational risks which may result in unexpected costs or liabilities.</w:t>
      </w:r>
    </w:p>
    <w:p>
      <w:pPr>
        <w:spacing w:after="0" w:line="62"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Opportunities associated with government contracts could lead to increased governmental regulation applicable to us.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our interpretation of tax laws could impact the determination of our income tax liabilities.</w:t>
      </w:r>
    </w:p>
    <w:p>
      <w:pPr>
        <w:spacing w:after="0" w:line="128" w:lineRule="exact"/>
        <w:rPr>
          <w:rFonts w:ascii="Arial" w:cs="Arial" w:eastAsia="Arial" w:hAnsi="Arial"/>
          <w:sz w:val="17"/>
          <w:szCs w:val="17"/>
          <w:color w:val="auto"/>
        </w:rPr>
      </w:pPr>
    </w:p>
    <w:p>
      <w:pPr>
        <w:ind w:left="1040" w:right="13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nature of our business exposes us to potential liability for warranty claims and faulty engineering, which may reduce our profitability.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3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stock may experience significant price and volume fluctuations and future issuances of our common stock could lead to dilution of our issued and outstanding common stock.</w:t>
      </w:r>
    </w:p>
    <w:p>
      <w:pPr>
        <w:spacing w:after="0" w:line="62" w:lineRule="exact"/>
        <w:rPr>
          <w:rFonts w:ascii="Arial" w:cs="Arial" w:eastAsia="Arial" w:hAnsi="Arial"/>
          <w:sz w:val="18"/>
          <w:szCs w:val="18"/>
          <w:color w:val="auto"/>
        </w:rPr>
      </w:pPr>
    </w:p>
    <w:p>
      <w:pPr>
        <w:ind w:left="1040" w:right="43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operating in the Canadian market could restrict our ability to expand and harm our business and prospects.</w:t>
      </w:r>
    </w:p>
    <w:p>
      <w:pPr>
        <w:spacing w:after="0" w:line="62"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comply with the laws applicable to our Canadian activities, including the U.S. Foreign Corrupt Practices Act and similar anti-bribery laws, could have an adverse effect on us.</w:t>
      </w:r>
    </w:p>
    <w:p>
      <w:pPr>
        <w:spacing w:after="0" w:line="62" w:lineRule="exact"/>
        <w:rPr>
          <w:rFonts w:ascii="Arial" w:cs="Arial" w:eastAsia="Arial" w:hAnsi="Arial"/>
          <w:sz w:val="18"/>
          <w:szCs w:val="18"/>
          <w:color w:val="auto"/>
        </w:rPr>
      </w:pPr>
    </w:p>
    <w:p>
      <w:pPr>
        <w:jc w:val="both"/>
        <w:ind w:left="1040" w:right="99" w:hanging="315"/>
        <w:spacing w:after="0" w:line="2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maintain effective internal controls, we may not be able to report our financial results accurately or timely or prevent or detect fraud, which could have a material adverse effect on our business or the market price of our common stock.</w:t>
      </w:r>
    </w:p>
    <w:p>
      <w:pPr>
        <w:spacing w:after="0" w:line="75" w:lineRule="exact"/>
        <w:rPr>
          <w:rFonts w:ascii="Arial" w:cs="Arial" w:eastAsia="Arial" w:hAnsi="Arial"/>
          <w:sz w:val="18"/>
          <w:szCs w:val="18"/>
          <w:color w:val="auto"/>
        </w:rPr>
      </w:pPr>
    </w:p>
    <w:p>
      <w:pPr>
        <w:ind w:left="1040" w:right="33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prices of certain materials and commodities used in our business could adversely affect our business.</w:t>
      </w:r>
    </w:p>
    <w:p>
      <w:pPr>
        <w:spacing w:after="0" w:line="62"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variable rate indebtedness subjects us to interest rate risk, which could cause our debt service obligations to increase significantly.</w:t>
      </w:r>
    </w:p>
    <w:p>
      <w:pPr>
        <w:spacing w:after="0" w:line="62"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provisions in our organizational documents and Delaware law could delay or prevent a change in control of our company.</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risks associated with climate change.</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0" w:right="279" w:firstLine="648"/>
        <w:spacing w:after="0" w:line="286" w:lineRule="auto"/>
        <w:rPr>
          <w:sz w:val="20"/>
          <w:szCs w:val="20"/>
          <w:color w:val="auto"/>
        </w:rPr>
      </w:pPr>
      <w:r>
        <w:rPr>
          <w:rFonts w:ascii="Arial" w:cs="Arial" w:eastAsia="Arial" w:hAnsi="Arial"/>
          <w:sz w:val="17"/>
          <w:szCs w:val="17"/>
          <w:color w:val="auto"/>
        </w:rPr>
        <w:t>As of June 30, 2020, we were not party to any derivative instruments. We did not use any material derivative financial instruments during the six months ended June 30, 2020 and 2019, including instruments for trading, hedging or speculating on changes in interest rates or commodity prices of materials used in our business.</w:t>
      </w:r>
    </w:p>
    <w:p>
      <w:pPr>
        <w:spacing w:after="0" w:line="165"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As of June 30, 2020, we had $33.4 million of debt outstanding under the Facility. Borrowings under the Facility are based upon an interest rate that will vary depending upon the prime rate, federal funds rate and Adjusted LIBOR. If the prime rate, federal funds rate or Adjusted LIBOR increased, our interest payment obligations on outstanding borrowings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June 30, 2020, which is subject to variable rates, permanently increased by 1%, the increase in interest expense on all revolving debt would decrease future income before provision for income taxes and cash flows by approximately $0.3 million annually. If market rates of interest on all our revolving debt, which is subject to variable rates as of June 30, 2020, permanently decreased by 1%, the decrease in interest expense on all debt would increase future income before provision for income taxes and cash flows by the same amount.</w:t>
      </w:r>
    </w:p>
    <w:p>
      <w:pPr>
        <w:spacing w:after="0" w:line="168"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Borrowings under our Equipment Notes are at fixed rates established on the date the respective Equipment Note was executed.</w:t>
      </w:r>
    </w:p>
    <w:p>
      <w:pPr>
        <w:spacing w:after="0" w:line="166"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June 30, 2020.</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During the period covered by this report, there were no changes in our internal control over financial reporting that have materially affected, or that are reasonably likely to materially affect, our internal control over financial reporting.</w:t>
      </w:r>
    </w:p>
    <w:p>
      <w:pPr>
        <w:spacing w:after="0" w:line="124"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For the year ended December 31, 2019, management’s assessment of our internal control over financial reporting excluded the internal control over financial reporting of CSI Electrical Contractors, Inc., which was acquired on July 15, 2019. Pursuant to the SEC’s general guidance that a recently acquired business may be omitted from the scope of an assessment in the year of the acquisition, the scope of our assessment does not include CSI Electrical Contractors, Inc. Our assessment of the effectiveness of internal control over financial reporting as of December 31, 2020 will include CSI Electrical Contractors, Inc. As of June 30, 2020, CSI Electrical Contractors, Inc. represented a total of approximately</w:t>
      </w:r>
    </w:p>
    <w:p>
      <w:pPr>
        <w:spacing w:after="0" w:line="4" w:lineRule="exact"/>
        <w:rPr>
          <w:sz w:val="20"/>
          <w:szCs w:val="20"/>
          <w:color w:val="auto"/>
        </w:rPr>
      </w:pPr>
    </w:p>
    <w:p>
      <w:pPr>
        <w:ind w:left="60" w:right="219"/>
        <w:spacing w:after="0" w:line="260" w:lineRule="auto"/>
        <w:rPr>
          <w:sz w:val="20"/>
          <w:szCs w:val="20"/>
          <w:color w:val="auto"/>
        </w:rPr>
      </w:pPr>
      <w:r>
        <w:rPr>
          <w:rFonts w:ascii="Arial" w:cs="Arial" w:eastAsia="Arial" w:hAnsi="Arial"/>
          <w:sz w:val="18"/>
          <w:szCs w:val="18"/>
          <w:color w:val="auto"/>
        </w:rPr>
        <w:t>15.5% and 19.8% of total assets and net assets, respectively, and 14.2% and 2.9% of contract revenues and income before income taxes, respectively, for the quarter then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0" w:right="219" w:firstLine="648"/>
        <w:spacing w:after="0" w:line="308" w:lineRule="auto"/>
        <w:rPr>
          <w:sz w:val="20"/>
          <w:szCs w:val="20"/>
          <w:color w:val="auto"/>
        </w:rPr>
      </w:pPr>
      <w:r>
        <w:rPr>
          <w:rFonts w:ascii="Arial" w:cs="Arial" w:eastAsia="Arial" w:hAnsi="Arial"/>
          <w:sz w:val="17"/>
          <w:szCs w:val="17"/>
          <w:color w:val="auto"/>
        </w:rPr>
        <w:t>For discussion regarding legal proceedings, please refer to Note 9–Commitments and Contingencies—Litigation and Other Legal Matters in the accompanying notes to our Consolidated Financial Statements.</w:t>
      </w:r>
    </w:p>
    <w:p>
      <w:pPr>
        <w:spacing w:after="0" w:line="14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We face a number of risks that could materially and adversely affect our business, employees, liquidity, financial condition, results of operations and cash flows. A discussion of our risk factors can be found in Item 1A. “Risk Factors” in our 2019 Annual Report. The information below includes additional risks relating to the COVID-19 pandemic. The impact of COVID-19 may also exacerbate other risks discussed in Item 1A. “Risk Factors” in our 2019 Annual Report, any of which could have a material effect on us.</w:t>
      </w:r>
    </w:p>
    <w:p>
      <w:pPr>
        <w:spacing w:after="0" w:line="188"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The COVID-19 pandemic may have an adverse impact on our business, employees, liquidity, financial condition, results of operations and cash flows.</w:t>
      </w:r>
    </w:p>
    <w:p>
      <w:pPr>
        <w:spacing w:after="0" w:line="170"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In December 2019, there was an outbreak of a novel strain of coronavirus (COVID-19) in China that has since spread to nearly all regions of the world. The outbreak was subsequently declared a pandemic by the World Health Organization in March 2020. To date, the COVID-19 outbreak and preventative measures taken to contain or mitigate the outbreak have caused, and are continuing to cause, business slowdowns or shutdowns in affected areas and significant disruption in the financial markets both globally and in the United States and Canada.</w:t>
      </w:r>
    </w:p>
    <w:p>
      <w:pPr>
        <w:spacing w:after="0" w:line="176" w:lineRule="exact"/>
        <w:rPr>
          <w:sz w:val="20"/>
          <w:szCs w:val="20"/>
          <w:color w:val="auto"/>
        </w:rPr>
      </w:pPr>
    </w:p>
    <w:p>
      <w:pPr>
        <w:ind w:left="60" w:right="219" w:firstLine="648"/>
        <w:spacing w:after="0" w:line="271" w:lineRule="auto"/>
        <w:rPr>
          <w:sz w:val="20"/>
          <w:szCs w:val="20"/>
          <w:color w:val="auto"/>
        </w:rPr>
      </w:pPr>
      <w:r>
        <w:rPr>
          <w:rFonts w:ascii="Arial" w:cs="Arial" w:eastAsia="Arial" w:hAnsi="Arial"/>
          <w:sz w:val="17"/>
          <w:szCs w:val="17"/>
          <w:color w:val="auto"/>
        </w:rPr>
        <w:t>In response to the pandemic and related mitigation measures, we began implementing changes in our business in March 2020 in an effort to protect our employees and customers, and to support appropriate health and safety protocols, including implementing remote, alternative and flexible work arrangements, where possible. While these measures have been necessary and appropriate, they could result in higher operating costs and could adversely impact our business, including certain operational, reporting, accounting or other processes. In addition, an extended period of remote work arrangements could impair our ability to effectively manage our business, and introduce additional operational risks, including but not limited to cybersecurity risks and increased vulnerability to security breaches, cyber-attacks, computer viruses, ransomware, or other similar events and intrusions.</w:t>
      </w:r>
    </w:p>
    <w:p>
      <w:pPr>
        <w:spacing w:after="0" w:line="178"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As our response to the pandemic evolves, we may incur additional costs and could experience adverse impacts to our business, each of which may be significant. We have focused on controlling our costs and capital expenditures to preserve our ability to continue to fund our operations and may need to take additional actions to reduce spending in the future. Although we are unable to predict the ultimate impact of the COVID-19 outbreak at this time, the pandemic could adversely affect, our business, employees, liquidity, financial condition, results of operations and cash flows. Such effects may be material and the potential impacts include, but are not limited to:</w:t>
      </w:r>
    </w:p>
    <w:p>
      <w:pPr>
        <w:spacing w:after="0" w:line="178" w:lineRule="exact"/>
        <w:rPr>
          <w:sz w:val="20"/>
          <w:szCs w:val="20"/>
          <w:color w:val="auto"/>
        </w:rPr>
      </w:pPr>
    </w:p>
    <w:p>
      <w:pPr>
        <w:ind w:left="1040" w:right="31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in our supply chain due to transportation delays, travel restrictions, raw material cost increases and shortages, and closures of businesses or facilities;</w:t>
      </w:r>
    </w:p>
    <w:p>
      <w:pPr>
        <w:spacing w:after="0" w:line="170" w:lineRule="exact"/>
        <w:rPr>
          <w:rFonts w:ascii="Arial" w:cs="Arial" w:eastAsia="Arial" w:hAnsi="Arial"/>
          <w:sz w:val="18"/>
          <w:szCs w:val="18"/>
          <w:color w:val="auto"/>
        </w:rPr>
      </w:pPr>
    </w:p>
    <w:p>
      <w:pPr>
        <w:jc w:val="both"/>
        <w:ind w:left="1040" w:right="239" w:hanging="315"/>
        <w:spacing w:after="0" w:line="26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reductions in our operating effectiveness due to workforce disruptions resulting from “shelter-in-place” and “stay-at-home” orders, and the unavailability of key personnel necessary to conduct our business activities; and</w:t>
      </w:r>
    </w:p>
    <w:p>
      <w:pPr>
        <w:spacing w:after="0" w:line="183"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in the global financial markets, which could have a negative impact on our ability to access capital and additional sources of financing in the future.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situation surrounding COVID-19 remains fluid, and given its inherent uncertainty, the pandemic may have an adverse impact on our business in the near term. Should these conditions persist for a prolonged period, the COVID-19 pandemic, including any of the above factors and others that are currently unknown, may have a material adverse effect on our business, employees, liquidity, financial condition, results of operations and cash flows. In addition, we cannot predict the impact that COVID-19 will have on our customers and suppliers, and any adverse impacts on these parties may have a material adverse impact on our business.</w:t>
      </w:r>
    </w:p>
    <w:p>
      <w:pPr>
        <w:spacing w:after="0" w:line="188"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b w:val="1"/>
          <w:bCs w:val="1"/>
          <w:i w:val="1"/>
          <w:iCs w:val="1"/>
          <w:color w:val="auto"/>
        </w:rPr>
        <w:t xml:space="preserve">Issuances of Common Stock. </w:t>
      </w:r>
      <w:r>
        <w:rPr>
          <w:rFonts w:ascii="Arial" w:cs="Arial" w:eastAsia="Arial" w:hAnsi="Arial"/>
          <w:sz w:val="17"/>
          <w:szCs w:val="17"/>
          <w:color w:val="auto"/>
        </w:rPr>
        <w:t>On April 23, 2020, 884 unregistered shares of our common stock, valued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 at $23,974 were issued to directors of the Company who elected to receive a portion of their director retainer fee in stock in lieu of cash. The shares were issued pursuant to the exemption from registration provided by Section 4(a)(2) of the Securities Act of 1933 for an issuance not involving a public offering.</w:t>
      </w:r>
    </w:p>
    <w:p>
      <w:pPr>
        <w:spacing w:after="0" w:line="171"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b w:val="1"/>
          <w:bCs w:val="1"/>
          <w:i w:val="1"/>
          <w:iCs w:val="1"/>
          <w:color w:val="auto"/>
        </w:rPr>
        <w:t xml:space="preserve">Purchases of Common Stock. </w:t>
      </w:r>
      <w:r>
        <w:rPr>
          <w:rFonts w:ascii="Arial" w:cs="Arial" w:eastAsia="Arial" w:hAnsi="Arial"/>
          <w:sz w:val="18"/>
          <w:szCs w:val="18"/>
          <w:color w:val="auto"/>
        </w:rPr>
        <w:t>The Company did not repurchase any shares of its common stock during the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April 1, 2020 through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40" w:type="dxa"/>
            <w:vAlign w:val="bottom"/>
          </w:tcPr>
          <w:p>
            <w:pPr>
              <w:spacing w:after="0"/>
              <w:rPr>
                <w:sz w:val="20"/>
                <w:szCs w:val="20"/>
                <w:color w:val="auto"/>
              </w:rPr>
            </w:pPr>
          </w:p>
        </w:tc>
        <w:tc>
          <w:tcPr>
            <w:tcW w:w="776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6"/>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400" w:type="dxa"/>
            <w:vAlign w:val="bottom"/>
            <w:gridSpan w:val="3"/>
          </w:tcPr>
          <w:p>
            <w:pPr>
              <w:ind w:left="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240" w:type="dxa"/>
            <w:vAlign w:val="bottom"/>
            <w:tcBorders>
              <w:bottom w:val="single" w:sz="8" w:color="CCEEFF"/>
            </w:tcBorders>
            <w:shd w:val="clear" w:color="auto" w:fill="CCEEFF"/>
          </w:tcPr>
          <w:p>
            <w:pPr>
              <w:spacing w:after="0"/>
              <w:rPr>
                <w:sz w:val="15"/>
                <w:szCs w:val="15"/>
                <w:color w:val="auto"/>
              </w:rPr>
            </w:pPr>
          </w:p>
        </w:tc>
        <w:tc>
          <w:tcPr>
            <w:tcW w:w="69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MYR Group Inc. 2017 Long-Term Incentive Plan (Amended and Restated as of April 23, 2020),</w:t>
              </w:r>
            </w:hyperlink>
          </w:p>
        </w:tc>
        <w:tc>
          <w:tcPr>
            <w:tcW w:w="80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incorporated by reference to exhibit 10.1 of the Company's Current Report on Form 8-K (File No. 001-</w:t>
              </w:r>
            </w:hyperlink>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760" w:type="dxa"/>
            <w:vAlign w:val="bottom"/>
            <w:gridSpan w:val="4"/>
            <w:shd w:val="clear" w:color="auto" w:fill="CCEEFF"/>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08325)</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 on April 27, 2020+</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0000EE"/>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7760" w:type="dxa"/>
            <w:vAlign w:val="bottom"/>
            <w:gridSpan w:val="4"/>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Certification of Chief Executive Officer pursuant to SEC Rule 13a-14(a)/15d-14(a)†</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CEEFF"/>
          </w:tcPr>
          <w:p>
            <w:pPr>
              <w:spacing w:after="0"/>
              <w:rPr>
                <w:sz w:val="18"/>
                <w:szCs w:val="18"/>
                <w:color w:val="auto"/>
              </w:rPr>
            </w:pPr>
          </w:p>
        </w:tc>
        <w:tc>
          <w:tcPr>
            <w:tcW w:w="7760" w:type="dxa"/>
            <w:vAlign w:val="bottom"/>
            <w:gridSpan w:val="4"/>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Certification of Chief Financial Officer pursuant to SEC Rule 13a-14(a)/15d-14(a)†</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7760" w:type="dxa"/>
            <w:vAlign w:val="bottom"/>
            <w:gridSpan w:val="4"/>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Certification of Chief Executive Officer pursuant to 18 U.S.C. §1350†</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CEEFF"/>
          </w:tcPr>
          <w:p>
            <w:pPr>
              <w:spacing w:after="0"/>
              <w:rPr>
                <w:sz w:val="18"/>
                <w:szCs w:val="18"/>
                <w:color w:val="auto"/>
              </w:rPr>
            </w:pPr>
          </w:p>
        </w:tc>
        <w:tc>
          <w:tcPr>
            <w:tcW w:w="7760" w:type="dxa"/>
            <w:vAlign w:val="bottom"/>
            <w:gridSpan w:val="4"/>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Certification of Chief Financial Officer pursuant to 18 U.S.C. §1350†</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101.INS</w:t>
            </w:r>
          </w:p>
        </w:tc>
        <w:tc>
          <w:tcPr>
            <w:tcW w:w="240" w:type="dxa"/>
            <w:vAlign w:val="bottom"/>
            <w:shd w:val="clear" w:color="auto" w:fill="CCEEFF"/>
          </w:tcPr>
          <w:p>
            <w:pPr>
              <w:spacing w:after="0"/>
              <w:rPr>
                <w:sz w:val="18"/>
                <w:szCs w:val="18"/>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101.CAL</w:t>
            </w:r>
          </w:p>
        </w:tc>
        <w:tc>
          <w:tcPr>
            <w:tcW w:w="240" w:type="dxa"/>
            <w:vAlign w:val="bottom"/>
            <w:shd w:val="clear" w:color="auto" w:fill="CCEEFF"/>
          </w:tcPr>
          <w:p>
            <w:pPr>
              <w:spacing w:after="0"/>
              <w:rPr>
                <w:sz w:val="18"/>
                <w:szCs w:val="18"/>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101.LAB</w:t>
            </w:r>
          </w:p>
        </w:tc>
        <w:tc>
          <w:tcPr>
            <w:tcW w:w="240" w:type="dxa"/>
            <w:vAlign w:val="bottom"/>
            <w:shd w:val="clear" w:color="auto" w:fill="CCEEFF"/>
          </w:tcPr>
          <w:p>
            <w:pPr>
              <w:spacing w:after="0"/>
              <w:rPr>
                <w:sz w:val="18"/>
                <w:szCs w:val="18"/>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wp:posOffset>
            </wp:positionV>
            <wp:extent cx="56489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200" w:hanging="510"/>
        <w:spacing w:after="0"/>
        <w:tabs>
          <w:tab w:leader="none" w:pos="12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5" w:lineRule="exact"/>
        <w:rPr>
          <w:rFonts w:ascii="Arial" w:cs="Arial" w:eastAsia="Arial" w:hAnsi="Arial"/>
          <w:sz w:val="18"/>
          <w:szCs w:val="18"/>
          <w:color w:val="auto"/>
        </w:rPr>
      </w:pPr>
    </w:p>
    <w:p>
      <w:pPr>
        <w:ind w:left="380" w:hanging="330"/>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-181610</wp:posOffset>
            </wp:positionV>
            <wp:extent cx="141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 w:lineRule="exact"/>
        <w:rPr>
          <w:sz w:val="20"/>
          <w:szCs w:val="20"/>
          <w:color w:val="auto"/>
        </w:rPr>
      </w:pPr>
    </w:p>
    <w:p>
      <w:pPr>
        <w:ind w:left="60" w:right="3619" w:hanging="10"/>
        <w:spacing w:after="0" w:line="260" w:lineRule="auto"/>
        <w:tabs>
          <w:tab w:leader="none" w:pos="3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 Electronically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MYR GROUP INC.</w:t>
            </w:r>
          </w:p>
        </w:tc>
      </w:tr>
      <w:tr>
        <w:trPr>
          <w:trHeight w:val="230"/>
        </w:trPr>
        <w:tc>
          <w:tcPr>
            <w:tcW w:w="450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July 29, 2020</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BETTY R. JOHNSON</w:t>
            </w:r>
          </w:p>
        </w:tc>
      </w:tr>
      <w:tr>
        <w:trPr>
          <w:trHeight w:val="195"/>
        </w:trPr>
        <w:tc>
          <w:tcPr>
            <w:tcW w:w="4500" w:type="dxa"/>
            <w:vAlign w:val="bottom"/>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Betty R. Johnson</w:t>
            </w:r>
          </w:p>
        </w:tc>
      </w:tr>
      <w:tr>
        <w:trPr>
          <w:trHeight w:val="216"/>
        </w:trPr>
        <w:tc>
          <w:tcPr>
            <w:tcW w:w="45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r>
      <w:tr>
        <w:trPr>
          <w:trHeight w:val="230"/>
        </w:trPr>
        <w:tc>
          <w:tcPr>
            <w:tcW w:w="450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 Swartz, Jr., certify that:</w:t>
      </w:r>
    </w:p>
    <w:p>
      <w:pPr>
        <w:spacing w:after="0" w:line="225"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180" w:hanging="652"/>
        <w:spacing w:after="0" w:line="263"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652"/>
        <w:spacing w:after="0" w:line="263" w:lineRule="auto"/>
        <w:tabs>
          <w:tab w:leader="none" w:pos="6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3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3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644"/>
        <w:spacing w:after="0" w:line="259" w:lineRule="auto"/>
        <w:tabs>
          <w:tab w:leader="none" w:pos="129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540" w:hanging="652"/>
        <w:spacing w:after="0" w:line="263" w:lineRule="auto"/>
        <w:tabs>
          <w:tab w:leader="none" w:pos="6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40" w:hanging="644"/>
        <w:spacing w:after="0" w:line="263" w:lineRule="auto"/>
        <w:tabs>
          <w:tab w:leader="none" w:pos="132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July 29, 2020</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14605</wp:posOffset>
            </wp:positionV>
            <wp:extent cx="30861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Betty R. Johnson, certify that:</w:t>
      </w:r>
    </w:p>
    <w:p>
      <w:pPr>
        <w:spacing w:after="0" w:line="225"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180" w:hanging="652"/>
        <w:spacing w:after="0" w:line="263"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652"/>
        <w:spacing w:after="0" w:line="263" w:lineRule="auto"/>
        <w:tabs>
          <w:tab w:leader="none" w:pos="6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33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33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644"/>
        <w:spacing w:after="0" w:line="259" w:lineRule="auto"/>
        <w:tabs>
          <w:tab w:leader="none" w:pos="12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540" w:hanging="652"/>
        <w:spacing w:after="0" w:line="263" w:lineRule="auto"/>
        <w:tabs>
          <w:tab w:leader="none" w:pos="6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40" w:hanging="644"/>
        <w:spacing w:after="0" w:line="263" w:lineRule="auto"/>
        <w:tabs>
          <w:tab w:leader="none" w:pos="13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color w:val="auto"/>
        </w:rPr>
        <w:t>July 29, 2020</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14605</wp:posOffset>
            </wp:positionV>
            <wp:extent cx="30600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1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Richard S. Swartz, Jr., Chief Executive Officer and President of MYR Group Inc. (the “Company”), certify, pursuant to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211" w:lineRule="exact"/>
        <w:rPr>
          <w:sz w:val="20"/>
          <w:szCs w:val="20"/>
          <w:color w:val="auto"/>
        </w:rPr>
      </w:pPr>
    </w:p>
    <w:p>
      <w:pPr>
        <w:ind w:left="660" w:hanging="652"/>
        <w:spacing w:after="0" w:line="277" w:lineRule="auto"/>
        <w:tabs>
          <w:tab w:leader="none" w:pos="6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for the quarter and six months ended June 30, 2020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such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July 29, 2020</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14605</wp:posOffset>
            </wp:positionV>
            <wp:extent cx="30518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19"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Betty R. Johnson, Senior Vice President, Chief Financial Officer and Treasurer of MYR Group, Inc. (the “Company”), certify, pursuant to 18 U.S.C. § 1350, as adopted pursuant to § 906 of the Sarbanes-Oxley Act of 2002, that:</w:t>
      </w:r>
    </w:p>
    <w:p>
      <w:pPr>
        <w:spacing w:after="0" w:line="170" w:lineRule="exact"/>
        <w:rPr>
          <w:sz w:val="20"/>
          <w:szCs w:val="20"/>
          <w:color w:val="auto"/>
        </w:rPr>
      </w:pPr>
    </w:p>
    <w:p>
      <w:pPr>
        <w:ind w:left="660" w:hanging="652"/>
        <w:spacing w:after="0" w:line="277" w:lineRule="auto"/>
        <w:tabs>
          <w:tab w:leader="none" w:pos="6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for the quarter and six months ended June 30, 2020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such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July 29, 2020</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14605</wp:posOffset>
            </wp:positionV>
            <wp:extent cx="31032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1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Letter"/>
      <w:start w:val="4"/>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lvl w:ilvl="1">
      <w:lvlJc w:val="left"/>
      <w:lvlText w:val="%2"/>
      <w:numFmt w:val="decimal"/>
      <w:start w:val="104"/>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53" Type="http://schemas.openxmlformats.org/officeDocument/2006/relationships/hyperlink" Target="https://www.sec.gov/Archives/edgar/data/700923/000110465920051587/tm2016902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2020-07-29T15:07:23Z</dcterms:created>
  <dcterms:modified xsi:type="dcterms:W3CDTF">2020-07-29T15:07:23Z</dcterms:modified>
</cp:coreProperties>
</file>