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3360" w:right="1600" w:hanging="3028"/>
        <w:spacing w:after="0" w:line="477" w:lineRule="auto"/>
        <w:tabs>
          <w:tab w:leader="none" w:pos="65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w:t>
      </w:r>
      <w:r>
        <w:rPr>
          <w:rFonts w:ascii="Arial" w:cs="Arial" w:eastAsia="Arial" w:hAnsi="Arial"/>
          <w:sz w:val="21"/>
          <w:szCs w:val="21"/>
          <w:b w:val="1"/>
          <w:bCs w:val="1"/>
          <w:color w:val="auto"/>
        </w:rPr>
        <w:t>or the quarterly period ended September 30,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0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MYR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5240" w:type="dxa"/>
            <w:vAlign w:val="bottom"/>
          </w:tcPr>
          <w:p>
            <w:pPr>
              <w:jc w:val="center"/>
              <w:ind w:left="25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5240" w:type="dxa"/>
            <w:vAlign w:val="bottom"/>
          </w:tcPr>
          <w:p>
            <w:pPr>
              <w:spacing w:after="0"/>
              <w:rPr>
                <w:sz w:val="20"/>
                <w:szCs w:val="20"/>
                <w:color w:val="auto"/>
              </w:rPr>
            </w:pPr>
          </w:p>
        </w:tc>
      </w:tr>
      <w:tr>
        <w:trPr>
          <w:trHeight w:val="41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1701 Golf Road, Suite 3-1012</w:t>
            </w:r>
          </w:p>
        </w:tc>
        <w:tc>
          <w:tcPr>
            <w:tcW w:w="5240" w:type="dxa"/>
            <w:vAlign w:val="bottom"/>
          </w:tcPr>
          <w:p>
            <w:pPr>
              <w:spacing w:after="0"/>
              <w:rPr>
                <w:sz w:val="24"/>
                <w:szCs w:val="24"/>
                <w:color w:val="auto"/>
              </w:rPr>
            </w:pPr>
          </w:p>
        </w:tc>
      </w:t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Rolling Meadows, IL</w:t>
            </w:r>
          </w:p>
        </w:tc>
        <w:tc>
          <w:tcPr>
            <w:tcW w:w="524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60008</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5240" w:type="dxa"/>
            <w:vAlign w:val="bottom"/>
          </w:tcPr>
          <w:p>
            <w:pPr>
              <w:jc w:val="center"/>
              <w:ind w:left="2510"/>
              <w:spacing w:after="0"/>
              <w:rPr>
                <w:sz w:val="20"/>
                <w:szCs w:val="20"/>
                <w:color w:val="auto"/>
              </w:rPr>
            </w:pPr>
            <w:r>
              <w:rPr>
                <w:rFonts w:ascii="Arial" w:cs="Arial" w:eastAsia="Arial" w:hAnsi="Arial"/>
                <w:sz w:val="18"/>
                <w:szCs w:val="18"/>
                <w:color w:val="auto"/>
                <w:w w:val="94"/>
              </w:rPr>
              <w:t>(Zip Code)</w:t>
            </w:r>
          </w:p>
        </w:tc>
      </w:tr>
      <w:tr>
        <w:trPr>
          <w:trHeight w:val="432"/>
        </w:trPr>
        <w:tc>
          <w:tcPr>
            <w:tcW w:w="3320" w:type="dxa"/>
            <w:vAlign w:val="bottom"/>
          </w:tcPr>
          <w:p>
            <w:pPr>
              <w:spacing w:after="0"/>
              <w:rPr>
                <w:sz w:val="24"/>
                <w:szCs w:val="24"/>
                <w:color w:val="auto"/>
              </w:rPr>
            </w:pPr>
          </w:p>
        </w:tc>
        <w:tc>
          <w:tcPr>
            <w:tcW w:w="5240" w:type="dxa"/>
            <w:vAlign w:val="bottom"/>
          </w:tcPr>
          <w:p>
            <w:pPr>
              <w:jc w:val="right"/>
              <w:ind w:right="3570"/>
              <w:spacing w:after="0"/>
              <w:rPr>
                <w:sz w:val="20"/>
                <w:szCs w:val="20"/>
                <w:color w:val="auto"/>
              </w:rPr>
            </w:pPr>
            <w:r>
              <w:rPr>
                <w:rFonts w:ascii="Arial" w:cs="Arial" w:eastAsia="Arial" w:hAnsi="Arial"/>
                <w:sz w:val="18"/>
                <w:szCs w:val="18"/>
                <w:b w:val="1"/>
                <w:bCs w:val="1"/>
                <w:color w:val="auto"/>
              </w:rPr>
              <w:t>(847) 290-1891</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702" w:right="259" w:bottom="1440" w:gutter="0" w:footer="0" w:header="0"/>
        </w:sectPr>
      </w:pPr>
    </w:p>
    <w:p>
      <w:pPr>
        <w:spacing w:after="0" w:line="18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7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60" w:space="720"/>
            <w:col w:w="3820"/>
          </w:cols>
          <w:pgMar w:left="240" w:top="702" w:right="259" w:bottom="1440" w:gutter="0" w:footer="0" w:header="0"/>
          <w:type w:val="continuous"/>
        </w:sectPr>
      </w:pPr>
    </w:p>
    <w:p>
      <w:pPr>
        <w:spacing w:after="0" w:line="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26, 2018, there were 16,564,744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8"/>
          </w:tcPr>
          <w:p>
            <w:pPr>
              <w:ind w:left="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gridSpan w:val="10"/>
            <w:shd w:val="clear" w:color="auto" w:fill="CCEEFF"/>
          </w:tcPr>
          <w:p>
            <w:pPr>
              <w:jc w:val="right"/>
              <w:ind w:right="3500"/>
              <w:spacing w:after="0"/>
              <w:rPr>
                <w:sz w:val="20"/>
                <w:szCs w:val="20"/>
                <w:color w:val="auto"/>
              </w:rPr>
            </w:pPr>
            <w:r>
              <w:rPr>
                <w:rFonts w:ascii="Arial" w:cs="Arial" w:eastAsia="Arial" w:hAnsi="Arial"/>
                <w:sz w:val="18"/>
                <w:szCs w:val="18"/>
                <w:b w:val="1"/>
                <w:bCs w:val="1"/>
                <w:color w:val="auto"/>
              </w:rPr>
              <w:t>Part I—Financial Information</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2018 (unaudited) and December 31,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6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Operations and Comprehensive Income for the Three and Nine Months Ended</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2018 and 2017</w:t>
              </w:r>
            </w:hyperlink>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80" w:type="dxa"/>
            <w:vAlign w:val="bottom"/>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Cash Flows for the Nine Months Ended September 30, 2018 and 2017</w:t>
              </w:r>
            </w:hyperlink>
          </w:p>
        </w:tc>
        <w:tc>
          <w:tcPr>
            <w:tcW w:w="1240" w:type="dxa"/>
            <w:vAlign w:val="bottom"/>
            <w:gridSpan w:val="2"/>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80" w:type="dxa"/>
            <w:vAlign w:val="bottom"/>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240" w:type="dxa"/>
            <w:vAlign w:val="bottom"/>
            <w:gridSpan w:val="2"/>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2.</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tcBorders>
              <w:bottom w:val="single" w:sz="8" w:color="CCEEFF"/>
            </w:tcBorders>
            <w:gridSpan w:val="4"/>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120" w:type="dxa"/>
            <w:vAlign w:val="bottom"/>
            <w:gridSpan w:val="1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800" w:type="dxa"/>
            <w:vAlign w:val="bottom"/>
            <w:tcBorders>
              <w:top w:val="single" w:sz="8" w:color="CCEEFF"/>
            </w:tcBorders>
            <w:gridSpan w:val="10"/>
          </w:tcPr>
          <w:p>
            <w:pPr>
              <w:jc w:val="right"/>
              <w:ind w:right="3500"/>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II—Other Information</w:t>
              </w:r>
            </w:hyperlink>
          </w:p>
        </w:tc>
        <w:tc>
          <w:tcPr>
            <w:tcW w:w="96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1.</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120" w:type="dxa"/>
            <w:vAlign w:val="bottom"/>
            <w:gridSpan w:val="1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2.</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3.</w:t>
              </w:r>
            </w:hyperlink>
          </w:p>
        </w:tc>
        <w:tc>
          <w:tcPr>
            <w:tcW w:w="640" w:type="dxa"/>
            <w:vAlign w:val="bottom"/>
            <w:tcBorders>
              <w:top w:val="single" w:sz="8" w:color="CCEEFF"/>
            </w:tcBorders>
            <w:gridSpan w:val="2"/>
          </w:tcPr>
          <w:p>
            <w:pPr>
              <w:spacing w:after="0"/>
              <w:rPr>
                <w:sz w:val="15"/>
                <w:szCs w:val="15"/>
                <w:color w:val="auto"/>
              </w:rPr>
            </w:pPr>
          </w:p>
        </w:tc>
        <w:tc>
          <w:tcPr>
            <w:tcW w:w="43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4780" w:type="dxa"/>
            <w:vAlign w:val="bottom"/>
            <w:tcBorders>
              <w:top w:val="single" w:sz="8" w:color="CCEEFF"/>
            </w:tcBorders>
            <w:gridSpan w:val="7"/>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5.</w:t>
              </w:r>
            </w:hyperlink>
          </w:p>
        </w:tc>
        <w:tc>
          <w:tcPr>
            <w:tcW w:w="640" w:type="dxa"/>
            <w:vAlign w:val="bottom"/>
            <w:tcBorders>
              <w:top w:val="single" w:sz="8" w:color="CCEEFF"/>
            </w:tcBorders>
            <w:gridSpan w:val="2"/>
          </w:tcPr>
          <w:p>
            <w:pPr>
              <w:spacing w:after="0"/>
              <w:rPr>
                <w:sz w:val="15"/>
                <w:szCs w:val="15"/>
                <w:color w:val="auto"/>
              </w:rPr>
            </w:pPr>
          </w:p>
        </w:tc>
        <w:tc>
          <w:tcPr>
            <w:tcW w:w="17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360" w:type="dxa"/>
            <w:vAlign w:val="bottom"/>
            <w:tcBorders>
              <w:top w:val="single" w:sz="8" w:color="CCEEFF"/>
            </w:tcBorders>
            <w:gridSpan w:val="12"/>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$564 and $605,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291,583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283,008</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78,260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4,221</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Refundable income taxes,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8,513</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$248,339 and $231,391,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161,925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148,084</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46,994</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$6,166 and $5,183,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19,659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10,852</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14,295</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w:t>
            </w:r>
          </w:p>
        </w:tc>
        <w:tc>
          <w:tcPr>
            <w:tcW w:w="80" w:type="dxa"/>
            <w:vAlign w:val="bottom"/>
            <w:shd w:val="clear" w:color="auto" w:fill="CCEEFF"/>
          </w:tcPr>
          <w:p>
            <w:pPr>
              <w:spacing w:after="0"/>
              <w:rPr>
                <w:sz w:val="19"/>
                <w:szCs w:val="19"/>
                <w:color w:val="auto"/>
              </w:rPr>
            </w:pPr>
          </w:p>
        </w:tc>
      </w:tr>
      <w:tr>
        <w:trPr>
          <w:trHeight w:val="263"/>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701,701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603,788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60" w:type="dxa"/>
            <w:vAlign w:val="bottom"/>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2,941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123,980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110,383</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28,919</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14,816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13,138</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35,038</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13,817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13,452</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Accrued self-insurance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34,203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32,225</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46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stock—$0.01 par value per share; 4,000,000 authorized shares; none issued and outstanding at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September 30, 2018 and December 31, 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stock—$0.01 par value per share; 100,000,000 authorized shares; 16,564,057 and 16,464,757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2018 and December 31, 2017,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147,543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143,934</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164,085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143,241</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MYR Group Inc. share of equity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9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MYR GROUP INC.</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14"/>
          </w:tcPr>
          <w:p>
            <w:pPr>
              <w:ind w:left="158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7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373,502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1,084,824</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1,029,816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 costs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354,251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338,649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965,155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941,706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31,210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23,814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88,658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74,617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(2,869)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—Basic</w:t>
            </w:r>
          </w:p>
        </w:tc>
        <w:tc>
          <w:tcPr>
            <w:tcW w:w="17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4"/>
          </w:tcPr>
          <w:p>
            <w:pPr>
              <w:spacing w:after="0" w:line="201" w:lineRule="exact"/>
              <w:rPr>
                <w:sz w:val="20"/>
                <w:szCs w:val="20"/>
                <w:color w:val="auto"/>
              </w:rPr>
            </w:pPr>
            <w:r>
              <w:rPr>
                <w:rFonts w:ascii="Arial" w:cs="Arial" w:eastAsia="Arial" w:hAnsi="Arial"/>
                <w:sz w:val="18"/>
                <w:szCs w:val="18"/>
                <w:color w:val="auto"/>
                <w:w w:val="96"/>
              </w:rPr>
              <w:t>Weighted average number of common shares and potential common shares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16,630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16,580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7,957</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5,145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20,436</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302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20,436</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28,151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2,480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(35,466)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2,929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10,918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19,432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provided by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paid for acquired business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borrowings (repayments) under revolving lines of credit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(14,580)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under equipment notes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24,934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capital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flows provided by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5"/>
          <w:szCs w:val="15"/>
          <w:color w:val="auto"/>
        </w:rPr>
        <w:t>Net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(5,043)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(22,164)</w:t>
            </w:r>
          </w:p>
        </w:tc>
      </w:tr>
      <w:tr>
        <w:trPr>
          <w:trHeight w:val="43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5,343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23,846</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MYR Transmission Services Canada, Ltd., a British Columbia corporation; Northern Transmission Services, Ltd., a British Columbia corporation and Western Pacific Enterprises Ltd., a British Columbia corporation.</w:t>
      </w:r>
    </w:p>
    <w:p>
      <w:pPr>
        <w:spacing w:after="0" w:line="17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The C&amp;I customers include general contractors, commercial and industrial facility owners, local governments and developers in the west, midwest and northeast United States and western Canada. The C&amp;I segment provides services such as the design, installation, maintenance and repair of commercial and industrial wiring, installation of traffic networks and the installation of bridge, roadway and tunnel lighting.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and cash flows with respect to the interim consolidated financial statements, have been included. The consolidated balance sheet as of December 31, 2017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2017, included in the Company’s Annual Report on Form 10-K, which was filed with the SEC on March 7,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and Noncontrolling Interests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The Company includes only its percentage ownership of each joint venture in its backlog.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See Note 12– Noncontrolling Interests to the Financial Statements for further information related to joint ventures in which the Company has a majority controlling interest.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for the nine months ended September 30, 2018 and losses for the nine months ended September 30, 2017, were not significant. Effective foreign currency transaction gains and losses, arising primarily from long-term monetary assets and liabilities, are recorded in the foreign currency translation adjustment line on the consolidated statements of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September 30, 2018 and December 31, 2017,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in the Consolidated Balance Sheets and are reflected as other financing activities in the Consolidated Statements of Cash Flows. As of September 30, 2018 the Company had checks issued and outstanding in excess of our bank balance of $9.2 million. The Company had no checks issued and outstanding in excess of our bank balance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September 30, 2018 to be collected within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 The Company estimates a cost accrual every quarter that represents costs incurred but not invoiced for services performed or goods delivered during the period, and estimates revenue from the contract cost portion of this accrual based on current gross margin rates to be consistent with its cost method of revenue recognition.</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the nine months ended September 30, 2018 and September 30, 3017, the Company recognized revenues of $8.8 million and $6.5 million, respectively, related to significant change orders and/or claims that had been included as contract price adjustments on certain contracts which were in the process of being negotiated in the normal course of business.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percentage of completion method of accounting requires the Company to make estimates about the expected revenue and gross profit on each of its contracts in process. During the three months ended September 30, 2018, changes in estimates pertaining to certain projects decreased consolidated gross margin by 0.6%, which resulted in decreases in operating income of $2.1 million, net income of $1.6 million and diluted earnings per common share of $0.09. During the nine months ended September 30, 2018, changes in estimates pertaining to certain projects decreased consolidated gross margin by 0.4%, which resulted in decreases in operating income of $3.9 million, net income of $2.8 million and diluted earnings per common share of $0.17.</w:t>
      </w:r>
    </w:p>
    <w:p>
      <w:pPr>
        <w:spacing w:after="0" w:line="15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three months ended September 30, 2017, changes in estimates pertaining to certain projects decreased consolidated gross margin by 0.9%, which resulted in decreases in operating income of $3.2 million, net income of $1.9 million and diluted earnings per common share of $0.12. During the nine months ended September 30, 2017, changes in estimates pertaining to certain projects decreased consolidated gross margin by 0.7%, which resulted in decreases in operating income of $7.7 million, net income of $4.6 million and diluted earnings per common share of $0.28.</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under this pronouncement changed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In addition, the amendments require expanded disclosure to enable the users of the financial statements to understand the nature, timing and uncertainty of revenue and cash flow arising from contracts with customers. On January 1, 2018, the Company adopted this ASU on a modified retrospective basis. Results for reporting periods beginning after January 1, 2018 are presented under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while prior period amounts were not adjusted and continue to be reported in accordance with the Company’s historical accounting under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605</w:t>
      </w:r>
      <w:r>
        <w:rPr>
          <w:rFonts w:ascii="Arial" w:cs="Arial" w:eastAsia="Arial" w:hAnsi="Arial"/>
          <w:sz w:val="17"/>
          <w:szCs w:val="17"/>
          <w:color w:val="auto"/>
        </w:rPr>
        <w:t>. See Note 3–Revenue Recognition to the Financial Statements for further information related to the Company’s accounting policy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associated with the adoption of this pronouncement.</w:t>
      </w:r>
    </w:p>
    <w:p>
      <w:pPr>
        <w:spacing w:after="0" w:line="18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January 2017, the FASB issued ASU No. 2017-01</w:t>
      </w:r>
      <w:r>
        <w:rPr>
          <w:rFonts w:ascii="Arial" w:cs="Arial" w:eastAsia="Arial" w:hAnsi="Arial"/>
          <w:sz w:val="18"/>
          <w:szCs w:val="18"/>
          <w:i w:val="1"/>
          <w:iCs w:val="1"/>
          <w:color w:val="auto"/>
        </w:rPr>
        <w:t>, Business Combinations (Topic 805): Clarifying the Definition of a Business</w:t>
      </w:r>
      <w:r>
        <w:rPr>
          <w:rFonts w:ascii="Arial" w:cs="Arial" w:eastAsia="Arial" w:hAnsi="Arial"/>
          <w:sz w:val="18"/>
          <w:szCs w:val="18"/>
          <w:color w:val="auto"/>
        </w:rPr>
        <w:t>, which clarified the definition of a business with the objective of adding guidance to assist entities with evaluating whether transactions should be accounted for as acquisitions (or disposals) of assets or businesses. The Company adopted this ASU on a prospective basis in January 2018 and there was no effect on the Company’s financial position, results of operations or cash flows.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modified existing guidance and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eliminated the recognition exception within previous guidance. The Company adopted this ASU using a modified retrospective approach in January 2018 and there was no effect on the Company’s financial position, results of operations or cash flows.</w:t>
      </w:r>
    </w:p>
    <w:p>
      <w:pPr>
        <w:spacing w:after="0" w:line="17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intended to reduce diversity in practice in how eight specific transactions are classified in the statement of cash flows.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ASU on a retrospective basis in January 2018 and there was no effect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under this pronouncement will change the way all leases with durations in excess of one year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right="20" w:firstLine="648"/>
        <w:spacing w:after="0" w:line="290" w:lineRule="auto"/>
        <w:rPr>
          <w:sz w:val="20"/>
          <w:szCs w:val="20"/>
          <w:color w:val="auto"/>
        </w:rPr>
      </w:pPr>
      <w:r>
        <w:rPr>
          <w:rFonts w:ascii="Arial" w:cs="Arial" w:eastAsia="Arial" w:hAnsi="Arial"/>
          <w:sz w:val="16"/>
          <w:szCs w:val="16"/>
          <w:color w:val="auto"/>
        </w:rPr>
        <w:t>The Company continues to evaluate the impact that this pronouncement, and all amendments relating to this pronouncement, will have on its policies and procedures pertaining to its existing and future lease arrangements, disclosure requirements and on the Company’s financial statements. The Company has appointed a committee to transition its policies and procedures based on the requirements of this pronouncement and has purchased lease software to support the additional requirements relating to this pronouncement. The Company expects that most existing operating lease commitments that extend beyond twelve months at the time of adoption will be recognized as lease liabilities and right-of-use assets upon adoption. While the Company is still evaluating the requirements of this update, it currently does not expect the adoption to have a material impact on the recognition, measurement or presentation of lease expenses within the Consolidated Statements of Operations and Comprehensive Income or Consolidated Statements of Cash Flows. See Note 9–Lease Obligations to the Financial Statements for further information related to the Company’s future minimum lease payments and the timing of those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 2018, the Company completed the acquisition of substantially all of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will provide a wide range of commercial and industrial electrical construction capabilities under the Company’s C&amp;I segment in Illinois, New Jersey and New York. The total consideration paid was approximately $47.1 million, subject to working capital and net asset adjustments, which was funded through borrowings on the line of credit. Total consideration paid may include a portion subject to potential net asset adjustments which are expected to be finalized by the end of 2018. The Company’s preliminary estimate of these net asset adjustments was approximately $10.7 million as of the July 2, 2018 closing date and as of September 30, 2018, which will increase the total consideration to be paid, and is recorded in accounts payable on the consolidated balance sheets.</w:t>
      </w:r>
    </w:p>
    <w:p>
      <w:pPr>
        <w:spacing w:after="0" w:line="17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purchase agreement also includes contingent consideration provisions for margin guarantee adjustments based upon performance subsequent to the acquisition on certain contracts. The contracts are valued at fair value at the acquisition date, causing no margin guarantee estimate. Changes in contract estimates, such as modified costs to complete or change order recognition, will result in changes to these margin guarantee estimates. Changes in contingent consideration, subsequent to the acquisition, related to the margin guarantee adjustments on certain contracts of approximately $2.3 million were recorded in other expense for the three and nine months ended September 30, 2018. Future margin guarantee adjustments, if any, are expected to be recognized through 2019. The Company could also be required to make compensation payments contingent on the successful achievement of certain performance targets and continued employment of certain key executives of the Huen Companies. These payments are recognized as compensation expense in the consolidated statements of operations as incurred. For the three months ended September 30, 2018 the Company recognized $0.2 million of compensation expense associated with these contingent payments.</w:t>
      </w:r>
    </w:p>
    <w:p>
      <w:pPr>
        <w:spacing w:after="0" w:line="18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results of operations for Huen Companies are included in the Company’s consolidated statement of operations and the C&amp;I segment from the date of acquisition. Costs of approximately $0.4 million related to the acquisition were included in selling, general and administrative expenses in the consolidated statement of operations for the nine months ended September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preliminary allocation of the opening balance sheet from the date of acquisition through September 30, 2018: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acquisition date)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July 2, 2018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Preliminary estimated net asset adjustments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 net of net asset adjustments</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57,831</w:t>
            </w:r>
          </w:p>
        </w:tc>
        <w:tc>
          <w:tcPr>
            <w:tcW w:w="6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8"/>
              </w:rPr>
              <w:t>Costs and estimated earnings in excess of billings on uncompleted contracts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 term 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9"/>
              </w:rPr>
              <w:t>Billings in excess of costs and estimated earnings on uncompleted contracts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identifiable assets and liabilities</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25,192</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intangible assets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acquired assets and liabilities</w:t>
            </w:r>
          </w:p>
        </w:tc>
        <w:tc>
          <w:tcPr>
            <w:tcW w:w="5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34,992</w:t>
            </w:r>
          </w:p>
        </w:tc>
        <w:tc>
          <w:tcPr>
            <w:tcW w:w="60" w:type="dxa"/>
            <w:vAlign w:val="bottom"/>
            <w:tcBorders>
              <w:bottom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acquired noncontrolling interests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24,111</w:t>
            </w: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191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tcBorders>
              <w:bottom w:val="single" w:sz="8" w:color="auto"/>
            </w:tcBorders>
            <w:gridSpan w:val="2"/>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ind w:firstLine="648"/>
        <w:spacing w:after="0" w:line="270" w:lineRule="auto"/>
        <w:rPr>
          <w:sz w:val="20"/>
          <w:szCs w:val="20"/>
          <w:color w:val="auto"/>
        </w:rPr>
      </w:pPr>
      <w:r>
        <w:rPr>
          <w:rFonts w:ascii="Arial" w:cs="Arial" w:eastAsia="Arial" w:hAnsi="Arial"/>
          <w:sz w:val="17"/>
          <w:szCs w:val="17"/>
          <w:color w:val="auto"/>
        </w:rPr>
        <w:t>The Company has developed preliminary estimates of fair value of the assets acquired and liabilities assumed for the purposes of allocating the purchase price. In conjunction with the acquisition of the Huen Companies, the Company acquired a majority-ownership of an ongoing joint venture. The assets acquired within the joint venture are recorded at their fair value at the time of the acquisition, relate to a specific contract, and no assets or liabilities outside of the operations of the contract existed at the acquisition date.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three companies will function as individual districts within the Company’s operating structure. Further adjustments are expected to the allocation as third party valuations of identifiable intangible assets, including backlog, customer relationships, trade name and off-market component, are determined, and as net asset adjustments are finalized. Additionally, the Company will perform an analysis of the purchase price allocation and make appropriate adjustments based on the analysis. All of the goodwill and identifiable intangible assets are expected to be tax deductible per applicable Internal Revenue Service regulations.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unaudited supplemental pro forma results of operations have been provided for illustrative purposes only and do not purport to be indicative of the actual results that would have been achieved by the combined companies for the periods presented or that may be achieved by the combined companies in the future. Future results may vary significantly from the results reflected in the following pro forma financial information because of future events and transactions, as well as other factors: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(unaudited)</w:t>
            </w:r>
          </w:p>
        </w:tc>
        <w:tc>
          <w:tcPr>
            <w:tcW w:w="20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(unaudited)</w:t>
            </w:r>
          </w:p>
        </w:tc>
        <w:tc>
          <w:tcPr>
            <w:tcW w:w="16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399,537</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1,166,273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1,119,375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8,373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24,986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MYR Group, Inc.</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common shares and potential</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pro forma combined results of operations for the three and nine months ended September 30, 2018 and 2017 were prepared by adjusting the historical results of the Company to include the historical results of the Huen Companies, as if the acquisition occurred on January 1, 2017. These pro forma results were adjusted for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additional depreciation associated with the estimated step-up in fair value of the property and equipment acquired.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record the net reduction in lease expense associated with the revised real estate lease contracts that were completed at the time of the acquisition.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transaction costs associated with the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estimated amortization related to the acquired intangible assets discussed above.</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record the additional interest expense related to the incremental borrowings of $47.1 million on the Company’s credit facility with an interest rate of 2.90% for the three and nine months ended September 30, 2018 and 2.00% for the three and nine months ended September 30, 2017.</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income tax effect of pro forma adjustments at the statutory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estimated compensation payments contingent on the successful achievement of certain performance targets.</w:t>
      </w:r>
    </w:p>
    <w:p>
      <w:pPr>
        <w:spacing w:after="0" w:line="225"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Revenues of approximately $37.8 million and income before income taxes of approximately $0.2 million, were included in the Company’s consolidated results of operations for the three and nine months ended September 30, 2018 related to the acquisition of the Huen Companies.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and Accounting Policy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using the modified retrospective method for contracts that were not completed as of January 1, 2018. Results for reporting periods beginning after January 1, 2018 are presented under this new pronouncement, while prior period amounts are not adjusted and continue to be reported under the accounting standard </w:t>
      </w:r>
      <w:r>
        <w:rPr>
          <w:rFonts w:ascii="Arial" w:cs="Arial" w:eastAsia="Arial" w:hAnsi="Arial"/>
          <w:sz w:val="17"/>
          <w:szCs w:val="17"/>
          <w:i w:val="1"/>
          <w:iCs w:val="1"/>
          <w:color w:val="auto"/>
        </w:rPr>
        <w:t>Revenue Recognition Topic 605,</w:t>
      </w:r>
      <w:r>
        <w:rPr>
          <w:rFonts w:ascii="Arial" w:cs="Arial" w:eastAsia="Arial" w:hAnsi="Arial"/>
          <w:sz w:val="17"/>
          <w:szCs w:val="17"/>
          <w:color w:val="auto"/>
        </w:rPr>
        <w:t xml:space="preserve"> which was in effect for prior periods. The Company recorded an increase to opening retained earnings of $0.7 million, net of tax, as of January 1, 2018 due to the cumulative impact of adopting Topic 606, representing revenues which would have been recognized in prior periods under Topic 606. The impact of adopting Topic 606 to revenue for the three months ended September 30, 2018 was not significant. The impact of adopting Topic 606 for the nine months ended September 30, 2018 was an increase of $0.3 million to revenue. The cumulative adjustment and the impact experienced during the nine months ended September 30, 2018 were due to accelerated recognition of contract provisions related to variable consideration previously not permitted to be recognized under Topic 605 until no remaining contingency existed related to this consideration.</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Topic 606, 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 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The Company utilized the cost-to-cost method as we believe cost incurred best represent the amount of work completed and remaining on our projects, and is the most common basis for computing percentage of completion in our industry. For purposes of recognizing revenue, the Company follows the five-step approach outlined in ASC 606-10-25.</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Revenue recognition also includes an amount related to a contract asset or contract liability. If the recognized revenue is greater than the amount billed to the customer, a contract asset is recorded in costs and estimated earnings in excess of billings on uncompleted contracts. Conversely, if the amount billed to the customer is greater than the recognized revenue, a contract liability is recorded in billings in excess of costs and estimated earnings on uncompleted contracts.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w:t>
      </w:r>
    </w:p>
    <w:p>
      <w:pPr>
        <w:spacing w:after="0" w:line="17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result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right="160" w:firstLine="648"/>
        <w:spacing w:after="0" w:line="264" w:lineRule="auto"/>
        <w:rPr>
          <w:sz w:val="20"/>
          <w:szCs w:val="20"/>
          <w:color w:val="auto"/>
        </w:rPr>
      </w:pPr>
      <w:r>
        <w:rPr>
          <w:rFonts w:ascii="Arial" w:cs="Arial" w:eastAsia="Arial" w:hAnsi="Arial"/>
          <w:sz w:val="18"/>
          <w:szCs w:val="18"/>
          <w:color w:val="auto"/>
        </w:rPr>
        <w:t>A portion of the work the Company performs requires financial assurances in the form of performance and payment bonds or letters of credit at the time of execution of the contract. Most contracts include retention provisions of up to 10%, which are generally withheld from each progress payment as retainage until the contract work has been completed and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 to the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contract type for the three and nine months ended September 30, 2018 were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12"/>
          </w:tcPr>
          <w:p>
            <w:pPr>
              <w:jc w:val="center"/>
              <w:ind w:right="520"/>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T&amp;D</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rPr>
              <w:t>C&amp;I</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222,531</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177,006</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399,537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center"/>
              <w:ind w:left="510"/>
              <w:spacing w:after="0"/>
              <w:rPr>
                <w:sz w:val="20"/>
                <w:szCs w:val="20"/>
                <w:color w:val="auto"/>
              </w:rPr>
            </w:pPr>
            <w:r>
              <w:rPr>
                <w:rFonts w:ascii="Arial" w:cs="Arial" w:eastAsia="Arial" w:hAnsi="Arial"/>
                <w:sz w:val="18"/>
                <w:szCs w:val="18"/>
                <w:b w:val="1"/>
                <w:bCs w:val="1"/>
                <w:color w:val="auto"/>
                <w:w w:val="90"/>
              </w:rPr>
              <w:t>Nine months ended September 30, 2018</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T&amp;D</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rPr>
              <w:t>C&amp;I</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Percent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169,372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635,842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448,982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1,084,824</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and nine months ended September 30,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 2018</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5"/>
              </w:rPr>
              <w:t>Nine months ended September 30, 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Percent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0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T&amp;D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258,062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T&amp;D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448,982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1,084,824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vMerge w:val="restart"/>
          </w:tcPr>
          <w:p>
            <w:pPr>
              <w:jc w:val="right"/>
              <w:ind w:right="8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 The following table provides information about receivables, contract assets and contract liabilities from contracts with customers: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900" w:type="dxa"/>
            <w:vAlign w:val="bottom"/>
            <w:gridSpan w:val="4"/>
          </w:tcPr>
          <w:p>
            <w:pPr>
              <w:ind w:left="1700"/>
              <w:spacing w:after="0"/>
              <w:rPr>
                <w:sz w:val="20"/>
                <w:szCs w:val="20"/>
                <w:color w:val="auto"/>
              </w:rPr>
            </w:pPr>
            <w:r>
              <w:rPr>
                <w:rFonts w:ascii="Arial" w:cs="Arial" w:eastAsia="Arial" w:hAnsi="Arial"/>
                <w:sz w:val="18"/>
                <w:szCs w:val="18"/>
                <w:b w:val="1"/>
                <w:bCs w:val="1"/>
                <w:color w:val="auto"/>
                <w:w w:val="95"/>
              </w:rPr>
              <w:t>September 30,</w:t>
            </w: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9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Contract liabilities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(46,186)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(28,919)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of the Company’s performance and customer payment. The amounts of revenue recognized in the period that was included in the opening contract liability balances was $35.3 million and $37.3 million for the three and nine months ended September 30, 2018, respectively. This revenue consists primarily of work performed on previous billings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September 30, 2018, the Company had $1.02 billion of remaining performance obligations. The Company’s remaining performance obligations includes projects that have a written award, a letter of intent, a notice to proceed or an agreed upon work order to perform work on mutually accepted terms and conditions. The following table summarizes that amount of remaining performance obligations that the Company expects to be realized as of September 30, 2018 and the amount of the remaining performance obligations that the Company reasonably estimates will not be recognized within the next twelve months. 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Remaining Performance Obligations as of September 30, 2018</w:t>
            </w:r>
          </w:p>
        </w:tc>
      </w:tr>
      <w:tr>
        <w:trPr>
          <w:trHeight w:val="414"/>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w w:val="94"/>
              </w:rPr>
              <w:t>Amount estimated to not be</w:t>
            </w: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2"/>
          </w:tcPr>
          <w:p>
            <w:pPr>
              <w:jc w:val="right"/>
              <w:ind w:right="1460"/>
              <w:spacing w:after="0"/>
              <w:rPr>
                <w:sz w:val="20"/>
                <w:szCs w:val="20"/>
                <w:color w:val="auto"/>
              </w:rPr>
            </w:pPr>
            <w:r>
              <w:rPr>
                <w:rFonts w:ascii="Arial" w:cs="Arial" w:eastAsia="Arial" w:hAnsi="Arial"/>
                <w:sz w:val="18"/>
                <w:szCs w:val="18"/>
                <w:b w:val="1"/>
                <w:bCs w:val="1"/>
                <w:color w:val="auto"/>
              </w:rPr>
              <w:t>Total</w:t>
            </w: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w w:val="90"/>
              </w:rPr>
              <w:t>recognized within 12 months</w:t>
            </w:r>
          </w:p>
        </w:tc>
      </w:tr>
      <w:tr>
        <w:trPr>
          <w:trHeight w:val="210"/>
        </w:trPr>
        <w:tc>
          <w:tcPr>
            <w:tcW w:w="2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403,046</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63,683</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rPr>
              <w:t>C&amp;I</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615,575</w:t>
            </w:r>
          </w:p>
        </w:tc>
        <w:tc>
          <w:tcPr>
            <w:tcW w:w="8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132,551</w:t>
            </w:r>
          </w:p>
        </w:tc>
      </w:tr>
      <w:tr>
        <w:trPr>
          <w:trHeight w:val="223"/>
        </w:trPr>
        <w:tc>
          <w:tcPr>
            <w:tcW w:w="24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September 30, 2018 and December 31, 2017, the Company determined that the carrying value of cash and cash equivalents approximated fair value based on Level 1 inputs. As of September 30, 2018 and December 31, 2017, the fair values of the Company’s long-term debt and capital lease obligations were based on Level 2 inputs. The Company’s long-term debt was based on variable and fixed interest rates at September 30, 2018 and December 31, 2017,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5. Contracts in Process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gridSpan w:val="2"/>
          </w:tcPr>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September 30,</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2,437,192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Billings to date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2,359,321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1,929,640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included in the accompanying consolidated balance sheets was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September 30,</w:t>
            </w: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(46,186)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 for equipment notes: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Balance as of</w:t>
            </w: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Stated Interest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80" w:type="dxa"/>
            <w:vAlign w:val="bottom"/>
          </w:tcPr>
          <w:p>
            <w:pPr>
              <w:spacing w:after="0"/>
              <w:rPr>
                <w:sz w:val="19"/>
                <w:szCs w:val="19"/>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w w:val="92"/>
              </w:rPr>
              <w:t>(dollar amounts in thousands)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Inception Date</w:t>
            </w:r>
          </w:p>
        </w:tc>
        <w:tc>
          <w:tcPr>
            <w:tcW w:w="15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Rate (per annum)</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Frequency</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Credit Agreement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color w:val="auto"/>
              </w:rPr>
              <w:t>Revolving loans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6/30/2016</w:t>
            </w:r>
          </w:p>
        </w:tc>
        <w:tc>
          <w:tcPr>
            <w:tcW w:w="8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Variable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1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64,380</w:t>
            </w:r>
          </w:p>
        </w:tc>
        <w:tc>
          <w:tcPr>
            <w:tcW w:w="2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Equipment Notes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9/28/2018</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Semi-annual</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color w:val="auto"/>
              </w:rPr>
              <w:t>Equipment Note 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9/28/2018</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4.23%</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Semi-annual</w:t>
            </w:r>
          </w:p>
        </w:tc>
        <w:tc>
          <w:tcPr>
            <w:tcW w:w="11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30, 2016, the Company entered into a five-year amended and restated credit agreement as amended from time to time, (the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a syndicate of banks led by JPMorgan Chase Bank, N.A. and Bank of America, N.A, that provided for a $250 million facility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which could be used for revolving loans and letters of credit. On September 28, 2018, the Company amended the Credit Agreement.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among other things, reduces the amount of the Facility available to be used for letters of credit to a maximum of $150 million. The Facility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allows for revolving loans and letters of credit in Canadian dollars and other currencies, up to the U.S. dollar equivalent of $50 million. The Company has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expansion option to increase the commitments under the Facility or enter into incremental term loans, subject to certain conditions, by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upon receipt of additional commitments from new or existing lenders. Subject to certain exceptions, the Facility is secured by substantially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assets of the Company and its domestic subsidiaries and by a pledge of substantially all of the capital stock of the Company’s domestic subsidiaries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of the capital stock of the direct foreign subsidiaries of the Company. Additionally, subject to certain exceptions, the Company’s domestic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guarantee the repayment of all amounts due under the Credit Agreement. If an event of default occurs and is continuing, on the terms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set forth in the Credit Agreement, amounts outstanding under the Facility may be accelerated and may become or be declared immediately due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Borrowings under the Credit Agreement are used for working capital, capital expenditures, acquisitions, stock repurchases and other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ind w:right="16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0.625% to 1.125% for performance letters of credit, based on the Company’s consolidated Leverage Ratio. The Company is subject to a commitment fee of</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0.20% to 0.375%, based on the Company’s consolidated Leverage Ratio, on any unused portion of the Facility. The Credit Agreement restricts certain types of payments when the Company’s consolidated Leverage Ratio exceeds 2.25. The weighted average interest rate on borrowings outstanding on the Facility for the nine months ended September 30, 2018 was 2.90% per annum.</w:t>
      </w:r>
    </w:p>
    <w:p>
      <w:pPr>
        <w:spacing w:after="0" w:line="1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financial covenants under the Credit Agreement as of September 30, 2018.</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September 30, 2018, the Company had irrevocable standby letters of credit outstanding under the Facility of approximately $21.2 million, including $17.6 million related to the Company’s payment obligation under its insurance programs and approximately $3.6 million related to contract performance obligations. As of December 31, 2017, the Company had irrevocable standby letters of credit outstanding under the Facility of approximately $20.9 million, including $17.6 million related to the Company’s payment obligation under its insurance programs and approximately $3.3 million related to contract performance obligations.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remaining deferred debt issuance costs totaling $0.6 million as of September 30, 2018, related to the line of credit. As permitted under ASU No. 2015-15, debt issuance costs have been deferred and are presented as an asset within other assets, which is amortized as interest expense over the term of the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September 28, 2018, the Company entered into a Master Equipment Loan and Security Agreement (the “Master Loan Agreement”) with Banc of America Leasing &amp; Capital, LLC (“BofA”). The Master Loan Agreement may be used for the financing of equipment between the Company and BofA pursuant to one or more "Equipment Notes". Each Equipment Note executed under the Master Loan Agreement constitutes a separate, distinct and independent financing of equipment and a contractual obligation of the Company, which may contain prepayment clauses.</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September 28, 2018, the Company executed two Equipment Notes under the Master Loan Agreement that are collateralized by equipment and vehicles owned by the Company. The following table sets forth our remaining principal payments for the Company’s outstanding Equipment Notes as of September 30,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Future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Equipment Notes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thousands)</w:t>
            </w: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Principal Payments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2019</w:t>
            </w: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2021</w:t>
            </w: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2023</w:t>
            </w: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future principal payments</w:t>
            </w:r>
          </w:p>
        </w:tc>
        <w:tc>
          <w:tcPr>
            <w:tcW w:w="1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24,934</w:t>
            </w:r>
          </w:p>
        </w:tc>
        <w:tc>
          <w:tcPr>
            <w:tcW w:w="60" w:type="dxa"/>
            <w:vAlign w:val="bottom"/>
            <w:tcBorders>
              <w:bottom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Current portion of equipment notes</w:t>
            </w:r>
          </w:p>
        </w:tc>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Long-term principal obligations</w:t>
            </w: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60" w:type="dxa"/>
            <w:vAlign w:val="bottom"/>
            <w:vMerge w:val="restart"/>
          </w:tcPr>
          <w:p>
            <w:pPr>
              <w:jc w:val="right"/>
              <w:ind w:right="149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U.S. federal statutory tax rate was 21% for the three and nine months ended September 30, 2018 and 35% for the three and nine months ended September 30, 2017. The Company’s effective tax rate for the three and nine months ended September 30, 2018 was 26.6% and 28.0%, respectively, of pretax income compared to the effective tax rate for the three and nine months ended September 30, 2017 of 44.8% and 45.6%, respectively.</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September 30, 2018, was primarily due to state income taxes and, for the nine months ended September 30, 2018, the difference was primarily due to state income taxes and the inability to utilize losses experienced in certain Canadian operations.</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difference between the U.S. federal statutory tax rate and the Company’s effective tax rate for the three months ended September 30, 2017 was primarily caused by the inability to utilize losses experienced in certain Canadian operations. The difference between the U.S. federal statutory tax rate and the Company’s effective tax rate for the nine months ended September 30, 2017 was caused by the inability to utilize losses experienced in certain Canadian operations, partially offset by excess tax benefits of approximately $1.0 million pertaining to the vesting of stock awards and the exercise of stock options.</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$0.4 million as of September 30, 2018 and $0.8 million as of December 31, 2017, which were included in other liabilities in the accompanying consolidated balance sheets.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because of the unrecognized tax benefits was not significant for the three and nine months ended September 30, 2018 and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subject to taxation in various jurisdictions. The Company’s tax returns for 2015, 2016 and 2017 are subject to examination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The Company’s tax returns are subject to examination by various state authorities for the years 2013 through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September 30, 2018, the Company had approximately $16.8 million in outstanding purchase orders for certain construction equipment, with cash outlay scheduled to occur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2018, an aggregate of approximately $591.2 million in original face amount of bonds issued by the Company’s sureties were outstanding. The Company estimated the remaining cost to complete these bonded projects was approximately $333.7 million as of September 30, 2018.</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 Obligations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including master leasing arrangements for vehicles and construction equipment. Some of the leases entered into under these agreements met the requirements for capitalization and were recorded as capital leases, while others were treated as operating leases. As of September 30, 2018, the Company had no outstanding commitments to enter into future leases under its master lease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leases some vehicles and certain equipment under capital leases. The economic substance of the leases is a financing transaction for acquisition of the vehicles and equipment. Accordingly, these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over the life of the lease or, if shorter, the life of the leased asset, on a straight-line basis and included in depreciation expense in the statements of operations. The interest associated with capital lease obligations is included in interest expense in the statements of operations.</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September 30, 2018, the Company had approximately $2.9 million of capital lease obligations outstanding, $1.1 million of which was classified as a current liability. As of December 31, 2017, the Company had approximately $3.7 million of capital lease obligations outstanding, $1.1 million of which was classified as a current liability.</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September 30, 2018 and December 31, 2017, $2.9 million and $3.7 million, respectively, of leased assets were capitalized in construction equipment, net of accumulated depreciation.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from time to time, leases real estate, construction equipment and office equipment under operating leases with remaining terms ranging from one to six years.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The future minimum lease payments required under capital leases and operating leases, together with the present value of capital leases, as of September 30, 2018 were as follows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Lease</w:t>
            </w: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Obligations</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minimum lease payments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Current portion of capital lease obligations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capital lease obligations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(the “LTIP”) and the 2007 Long-Term Incentive Plan (the “2007 Plan”). Upon the adoption of the LTIP during the second quarter of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grants time-vested stock awards in the form of restricted stock awards, restricted stock units or equity-settled phantom stock. During the nine months ended September 30, 2018, the Company granted 93,280 shares of time-vested stock awards under the LTIP, which primarily vest ratably over three years, at a weighted average grant date fair value of $30.22. Additionally, 96,840 shares of time-vested stock awards vested during the nine months ended September 30, 2018, at a weighted average grant date fair value of $28.91.</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During the nine months ended September 30, 2018, the Company granted 66,764 performance share awards under the LTIP at target, which cliff vest on December 31, 2020, at a weighted average grant date fair value of $34.52. The number of shares actually earned under a performance award may vary from zero to 200% of the target shares awarded, based upon the Company’s performance compared to certain metrics. The metrics used were determined at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common shares of the Company’s stock. In the first quarter of 2018, management concluded that it was probable that the minimum performance criteria would not be met for certain performance shares that were granted during 2016. As a result, the Company reversed $0.4 million in stock compensation from previous accruals.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nine months ended September 30, 2018, plan participants exercised 87,557 stock options with a weighted average exercise price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$21.55.</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 The fair value of restricted stock units that were granted to directors during the second quarter of 2018 will be expensed over an amortization period of 1.0 year. The fair value of restricted stock units granted to directors in 2017 was expensed on the date of the grant because the award agreements contain provisions which call for the vesting of all shares awarded upon change in control or resignation from the board for any reason except breach of fiduciary duty.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11. Segment Information</w:t>
      </w:r>
    </w:p>
    <w:p>
      <w:pPr>
        <w:spacing w:after="0" w:line="2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management fees, and intangible amortization. The accounting policies of the segments are the same as those described in the Summary of Significant Accounting Policies in the Company’s Annual Report on Form 10-K for the year ended December 31, 2017.</w:t>
      </w:r>
    </w:p>
    <w:p>
      <w:pPr>
        <w:spacing w:after="0" w:line="18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 midwest and northeast United States and in western Canada.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Three months 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T&amp;D</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222,531</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215,970</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635,842</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651,498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448,982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373,502</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1,084,824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1,029,816</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T&amp;D</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General Corporate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(30,791)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For the three and nine months ended September 30, 2018, contract revenues attributable to the Company’s Canadian operations were $12.8 million and $42.0 million, respectively, predominantly in the C&amp;I segment. For the three and nine months ended September 30, 2017, contract revenues attributable to the Company’s Canadian operations were $25.4 million and $61.8 million, respectively, predominantly in the C&amp;I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interests in the Company’s consolidated balance sheets, and their portions, if material, of net income and other comprehensive income shown as net income or other comprehensive income attributable to noncontrolling interests in the Company’s consolidated statements of operations and other comprehensive income. Additionally the joint venture associated with the Company’s noncontrolling interests is a partnership, and consequently, the tax effect of only the Company’s share of the joint venture income is recognized by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9" w:name="page20"/>
    <w:bookmarkEnd w:id="19"/>
    <w:p>
      <w:pPr>
        <w:ind w:right="100" w:firstLine="648"/>
        <w:spacing w:after="0" w:line="257"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three and nine months ended September 30, 2018. Additionally, there have been no changes in ownership during the three and nine months ended September 30, 2018. The project is expected to be completed in 2019. The balance of the Company’s noncontrolling interest consists of the preliminary fair value of noncontrolling interest acquired on July 2, 2018 with the Huen Companies. Net income attributable to the noncontrolling interest, subsequent to the acquisition through September 30, 2018,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computes earnings per share attributable to its shareholders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income available to common shareholders and the weighted average number of common shares used to compute basic and diluted earnings per share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dilutive securities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Weighted average common shares outstanding, diluted</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and nine months ended September 30, 2018 and 2017,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Three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Nine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Performance awards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1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2017 (the “2017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2017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and the commercial and industrial construction markets. We manage and report our operations through two industry segments: T&amp;D and C&amp;I. We have operated in the T&amp;D industry since 1891. We are one of the largest contractors servicing the T&amp;D sector of the electric utility industry in the United States and also provide electrical construction services in western Canada. Our customers include many of the leading companies in the industry. We have provided C&amp;I electrical contracting services to facility owners and general contractors since 1912. We generally provide our C&amp;I services as a subcontractor to general contractors, but also contract directly with facility owners.</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had consolidated revenues for the nine months ended September 30, 2018 of $1.08 billion, of which 58.6% was attributable to our T&amp;D customers and 41.4% was attributable to our C&amp;I customers. Our consolidated revenues for the nine months ended September 30, 2017 were $1.03 billion. For the nine months ended September 30, 2018, our net income and EBITDA (1) were $20.4 million and $60.0 million, respectively, compared to $7.6 million and $45.2 million, respectively, for the nine months ended September 30, 2017.</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generation. Consequently, we believe we will continue to see significant bidding activity on large transmission projects through the remainder of this year as well as in 2019. The timing of multi-year transmission project awards and substantial construction activity is difficult to predict due to regulatory requirements and right-of-way permits needed to commence construction. Significant construction on any large, multi-year projects awarded later this year will not likely occur until the second half of 2019 or later. Bidding and construction activity for small to medium-size transmission projects and upgrades remains strong, and we expect this trend to continue, primarily due to reliability and economic drivers. Competition and the unpredictability of awards in the transmission market may impact our ability to maintain high utilization of equipment and manpower resources, which is essential to maintaining contract margins. We also believe the need for distribution services will continue to grow.</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to see continued improvement in bidding opportunities in our C&amp;I segment throughout the remainder of this year. 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strive to maintain our status as a preferred provider to our T&amp;D and C&amp;I customers. We continue to implement a three-pronged strategy of organic growth and strategic acquisitions that further expand our capabilities and prudent capital returns. On July 2, 2018, we completed the acquisition of substantially all of the assets of the Huen Companies, which expanded our C&amp;I operations in Illinois, New York and New Jersey. The total consideration paid was approximately $47.1 million, subject to working capital and net asset adjustments, which was funded through borrowings on our credit facility. We continue to invest in developing key management and craft personnel in both our T&amp;D and C&amp;I markets and in procuring the specialty equipment and tooling needed to win and execute projects of all sizes and complexity. We ended the third quarter of 2018 with $164.4 million available under our credit facility. Additionally, on September 28, 2018 we executed two new equipment notes totaling $24.9 million, enabling us to move a portion of our variable-rate debt to fixed rates and to increase our liquidity. We believe that our financial position and operational strengths will enable us to manage the current challenges and uncertainties in the markets we serve and give us the flexibility to successfully execute our three-pronged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2" w:lineRule="exact"/>
        <w:rPr>
          <w:sz w:val="20"/>
          <w:szCs w:val="20"/>
          <w:color w:val="auto"/>
        </w:rPr>
      </w:pPr>
    </w:p>
    <w:p>
      <w:pPr>
        <w:ind w:left="5640" w:right="2680" w:hanging="5632"/>
        <w:spacing w:after="0" w:line="778" w:lineRule="auto"/>
        <w:tabs>
          <w:tab w:leader="none" w:pos="666"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 Additionally, 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3–Revenue Recognition in the accompanying notes to our Consolidated Financial Statements.</w:t>
      </w:r>
    </w:p>
    <w:p>
      <w:pPr>
        <w:spacing w:after="0" w:line="1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backlog was $1.10 billion at September 30, 2018, compared to $1.01 billion at June 30, 2018 and $701.7 million at September 30, 2017. Our backlog at September 30, 2018 increased $84.2 million, or 8.3%, from June 30, 2018. Backlog in the T&amp;D segment decreased $9.1 million and C&amp;I backlog increased $93.3 million compared to June 30, 2018. Our backlog as of September 30, 2018 included our proportionate share of joint venture backlog totaling $54.9 million, compared to $44.4 million at June 30, 2018.</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Backlog at September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Amount estimated</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to not be recognized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Total backlog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9"/>
              </w:rPr>
              <w:t>within 12 months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T&amp;D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473,794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C&amp;I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623,772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132,551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345,992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-1045845</wp:posOffset>
            </wp:positionV>
            <wp:extent cx="5068570"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57467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September 30, 2018, we had approximately $591.2 million in original face amount of surety bonds outstanding. Our estimated remaining cost to complete these bonded projects was approximately $333.7 million as of September 30, 2018.</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8"/>
          </w:tcPr>
          <w:p>
            <w:pPr>
              <w:ind w:left="2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8"/>
          </w:tcPr>
          <w:p>
            <w:pPr>
              <w:ind w:left="26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ind w:left="30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1"/>
              </w:rPr>
              <w:t>Amount</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1"/>
              </w:rPr>
              <w:t>Amount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Amount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399,537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373,502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1,084,824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1,029,816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Contract costs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354,251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338,649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965,155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941,706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88,658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74,617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3"/>
              </w:rPr>
              <w:t>Gain on sale of property and equipment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ind w:left="320"/>
              <w:spacing w:after="0" w:line="182" w:lineRule="exact"/>
              <w:rPr>
                <w:sz w:val="20"/>
                <w:szCs w:val="20"/>
                <w:color w:val="auto"/>
              </w:rPr>
            </w:pPr>
            <w:r>
              <w:rPr>
                <w:rFonts w:ascii="Arial" w:cs="Arial" w:eastAsia="Arial" w:hAnsi="Arial"/>
                <w:sz w:val="18"/>
                <w:szCs w:val="18"/>
                <w:color w:val="auto"/>
                <w:w w:val="93"/>
              </w:rPr>
              <w:t>Income before provision for income</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4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28,376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13,925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$26.0 million, or 7.0%, to $399.5 million for the three months ended September 30, 2018 from $373.5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2017. The increase was primarily due to C&amp;I revenues from our recent acquisition, which were partially offset by lower revenue from large transmission projects.</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increased to 11.3% for the three months ended September 30, 2018 from 9.3%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2017. The increase in gross margin was partly due to $2.3 million in estimate changes on certain contracts associated with the acquisition of the Huen Companies. These changes of estimates are subject to margin guarantees and represent potential contingent consideration for which an offset is recognized in other expense. Additionally, gross margin during the three months ended September 30, 2017 was negatively impacted by inclement weather, lower productivity, project delays and schedule extensions on certain projects that did not recur during the three months ended September 30, 2018. Changes in estimates of gross profit on certain projects, excluding estimate changes on our recent acquisition noted above, resulted in a gross margin decrease of 0.6% and 0.9% for the three months ended September 30, 2018 and 2017, respectively.</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$10.4 million, or 29.9%, to $45.3 million for the three months ended September 30, 2018 from $34.9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2017, primarily due to increased margins and higher revenues.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of $31.2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increased $7.4 million from $23.8 million for the three months ended September 30, 2017. The period-over-period increase was primarily due to the acquisition of the Huen Companies, higher employee related expenses to support operations and higher bonus and profit sharing costs. As a percentage of revenues, SG&amp;A increased to 7.8% for the three months ended September 30, 2018 from 6.4% for the three months ended September 30, 2017.</w:t>
      </w:r>
    </w:p>
    <w:p>
      <w:pPr>
        <w:spacing w:after="0" w:line="18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September 30, 2018 were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$0.6 million for the three months ended September 30, 2017.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$1.0 million for the three months ended September 30, 2018 compared to $0.7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This increase was primarily attributable to increased borrowing related to the acquisition of the Huen Companies and an increase in our weighted average interest rate during the three months ended September 30, 2018 as compared to the three months ended September 30, 2017.</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Other expense. </w:t>
      </w:r>
      <w:r>
        <w:rPr>
          <w:rFonts w:ascii="Arial" w:cs="Arial" w:eastAsia="Arial" w:hAnsi="Arial"/>
          <w:sz w:val="17"/>
          <w:szCs w:val="17"/>
          <w:color w:val="auto"/>
        </w:rPr>
        <w:t>Other expense was $2.3 million for the three months ended September 30, 2018, primarily attributable to contingent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margin guarantees on certain contracts associated with the acquisition of the Huen Companies recognized in the three months ended September 30, 2018. Other expense for the three months ended September 30, 2017 of $1.4 million was primarily attributable to $1.5 million of contingent consideration related to margin guarantees recognized on certain contracts associated with the acquisition of WPE.</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The income tax provision was $2.9 million for the three months ended September 30, 2018, with an effective tax rate of 26.6%,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provision of $4.2 million for the three months ended September 30, 2017, with an effective tax rate of 44.8%. The decrease in the tax rate in the three months ended September 30, 2018 was primarily due to the enactment of the United States Tax Cuts and Jobs Act in 2017. Our inability to utilize losses experienced in certain Canadian operations negatively impacted the effective tax rate in the three months ended September 30, 2017.</w:t>
      </w:r>
    </w:p>
    <w:p>
      <w:pPr>
        <w:spacing w:after="0" w:line="15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to $8.0 million for the three months ended September 30, 2018 from $5.1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The increase was primarily for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0"/>
          </w:tcPr>
          <w:p>
            <w:pPr>
              <w:ind w:left="760"/>
              <w:spacing w:after="0"/>
              <w:rPr>
                <w:sz w:val="20"/>
                <w:szCs w:val="20"/>
                <w:color w:val="auto"/>
              </w:rPr>
            </w:pPr>
            <w:r>
              <w:rPr>
                <w:rFonts w:ascii="Arial" w:cs="Arial" w:eastAsia="Arial" w:hAnsi="Arial"/>
                <w:sz w:val="18"/>
                <w:szCs w:val="18"/>
                <w:b w:val="1"/>
                <w:bCs w:val="1"/>
                <w:color w:val="auto"/>
                <w:w w:val="91"/>
              </w:rPr>
              <w:t>Three months ended September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4"/>
              </w:rPr>
              <w:t>2018</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215,970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399,537</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373,502</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Revenues for our T&amp;D segment for the three months ended September 30, 2018 were $222.5 million compared to $216.0 million for the three months ended September 30, 2017, an increase of $6.5 million, or 3.0%. The increase in revenue was primarily due to an increase in distribution revenues offset by lower revenue from large transmission projects.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Revenues from transmission projects represented 54.7% and 66.6% of T&amp;D segment revenue for the three months ended September 30, 2018 and 2017, respectively. Additionally, for the three months ended September 30, 2018, measured by revenue in our T&amp;D segment, we provided 36.9% of our T&amp;D services under fixed-price contracts, as compared to 30.5% for the three months ended September 30, 2017.</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Operating income for our T&amp;D segment for the three months ended September 30, 2018 was $13.9 million, an increase of $4.7 million from the three months ended September 30, 2017. The increase in T&amp;D operating income was primarily due to the the prior year margins being negatively impacted by inclement weather, lower productivity, project delays and schedule extensions on certain projects that did not recur during the three months ended September 30, 2018. As a percentage of revenues, operating income for our T&amp;D segment was 6.3% for the three months ended September 30, 2018 compared to 4.3% for the three months ended September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for our C&amp;I segment for the three months ended September 30, 2018 were $177.0 million compared to $157.5 million for the three months ended September 30, 2017, an increase of $19.5 million, or 12.4%, primarily due the acquisition of the Huen Companies, partially offset by a decrease in projects that had accelerated schedules that completed in 2017.</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Measured by revenue in our C&amp;I segment, we provided 74.8% of our services under fixed-price contracts for the three months ended September 30, 2018, compared to 55.8% for the three months ended September 30,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Operating income for our C&amp;I segment for the three months ended September 30, 2018 was $10.2 million, a decrease of $0.3 million over the three months ended September 30, 2017. The year-over-year decrease in operating income was primarily attributable to a change in estimate on one project nearing completion. As a percentage of revenues, operating income for our C&amp;I segment was 5.8% for the three months ended September 30, 2018 compared to 6.7% for the three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$55.0 million, or 5.3%, to $1.08 billion for the nine months ended September 30, 2018 from $1.03 billion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The increase was primarily due to C&amp;I revenues from our recent acquisition, which were partially offset by lower revenue from large transmission projects.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increased to 11.0% for the nine months ended September 30, 2018 from 8.6%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increase in gross margin was primarily due to improvements in efficiency compared to the prior year, which was significantly impacted by write-downs on three projects. Gross margin also benefited from $2.3 million in estimate changes on certain contracts associated with the acquisition of the Huen Companies. These changes of estimates are subject to margin guarantees and represent potential contingent consideration for which an offset is recognized in other expense. These margin improvements were partially offset by a write-down on a project due to inclement weather, lower productivity and ongoing negotiations relating to a contract termination. Changes in estimates of gross profit on certain projects, including certain of those discussed above and excluding estimate changes on our recent acquisition noted above, resulted in a gross margin decrease of 0.4% for the nine months ended September 30, 2018. Gross margin decreased 0.7% due to changes in estimates of gross profit on certain projects for the nine months ended September 30, 2017.</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$31.6 million, or 35.8%, to $119.7 million for the nine months ended September 30, 2018 from $88.1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2017, due to higher revenues and increased margins.</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of $88.7 million for the nine months ended September 30, 2018 increased $14.1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$74.6 million for the nine months ended September 30, 2017. The year-over-year increase was primarily due to higher bonus and profit sharing costs, the acquisition of the Huen Companies and higher employee related expenses to support operations. As a percentage of revenues, SG&amp;A increased to 8.2% for the nine months ended September 30, 2018 from 7.2% for the nine months ended September 30, 2017.</w:t>
      </w:r>
    </w:p>
    <w:p>
      <w:pPr>
        <w:spacing w:after="0" w:line="17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nine months ended September 30, 2018 were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$2.6 million in the nine months ended September 30, 2017.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$2.5 million for the nine months ended September 30, 2018 compared to $1.8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This increase was primarily attributable to increased borrowing related to the acquisition of the Huen Companies and an increase in our weighted average interest rate during the nine months ended September 30, 2018 as compared to the nine months ended September 30, 2017.</w:t>
      </w:r>
    </w:p>
    <w:p>
      <w:pPr>
        <w:spacing w:after="0" w:line="14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Other (expense) income. </w:t>
      </w:r>
      <w:r>
        <w:rPr>
          <w:rFonts w:ascii="Arial" w:cs="Arial" w:eastAsia="Arial" w:hAnsi="Arial"/>
          <w:sz w:val="17"/>
          <w:szCs w:val="17"/>
          <w:color w:val="auto"/>
        </w:rPr>
        <w:t>Other expense was $2.0 million for the nine months ended September 30, 2018 compared to other income of $0.2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30, 2017. The change was primarily attributable to contingent consideration related to margin guarantees on certain contracts associated with the acquisition of the Huen Companies recognized in the nine months ended September 30, 2018.</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income tax provision was $7.9 million for the nine months ended September 30, 2018 with an effective tax rate of 28.0%,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provision of $6.4 million for the nine months ended September 30, 2017 with an effective tax rate of 45.6%. The decrease in the tax rate in the nine months ended September 30, 2018 was primarily caused by the enactment of the United States Tax Cuts and Jobs Act in 2017. Our inability to utilize losses experienced in certain Canadian operations negatively impacted the effective tax rate in the nine months ended September 30, 2018 and 2017. The tax rate in the nine months ended September 30, 2017 benefited from excess tax benefits pertaining to the vesting of stock awards and the exercise of stock options.</w:t>
      </w:r>
    </w:p>
    <w:p>
      <w:pPr>
        <w:spacing w:after="0" w:line="19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to $20.4 million for the nine months ended September 30, 2018 from $7.6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The increase was primarily for the reasons stated earlier.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rPr>
              <w:t>Nine months ended September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635,842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651,498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448,982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378,318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1,084,824</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1,029,816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(30,791)</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(26,633)</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Revenues for our T&amp;D segment for the nine months ended September 30, 2018 were $635.8 million compared to $651.5 million for the nine months ended September 30, 2017, a decrease of $15.7 million, or 2.4%. The decrease in revenue was primarily due to lower revenue from large transmission projects partially offset by an increase in distribution revenues.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Revenues from transmission projects represented 59.4% and 70.0% of T&amp;D segment revenue for the nine months ended September 30, 2018 and 2017, respectively. Additionally, for the nine months ended September 30, 2018, measured by revenue in our T&amp;D segment, we provided 37.5% of our T&amp;D services under fixed-price contracts, as compared to 30.0% for the nine months ended September 30, 2017.</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Operating income for our T&amp;D segment for the nine months ended September 30, 2018 was $38.5 million, an increase of $16.0 million from the nine months ended September 30, 2017. The increase in T&amp;D operating income was primarily due to improvements in efficiency from the prior year, which was significantly impacted by write-downs on three projects. This margin improvement was partially offset by a write-down on a project due to inclement weather, lower productivity and ongoing negotiations relating to a contract termination. As a percentage of revenues, operating income for our T&amp;D segment was 6.1% for the nine months ended September 30, 2018 compared to 3.4% for the nine months ended September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Revenues for our C&amp;I segment for the nine months ended September 30, 2018 were $449.0 million compared to $378.3 million for the nine months ended September 30, 2017, an increase of $70.7 million, or 18.7%, primarily due to the acquisition of the Huen Companies, increased spending from new and existing customers and increased volume at certain organic expansion locations.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Measured by revenue in our C&amp;I segment, we provided 69.5% of our services under fixed-price contracts for the nine months ended September 30, 2018, compared to 58.1% in the nine months ended September 30, 2017.</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income for our C&amp;I segment for the nine months ended September 30, 2018 was $25.2 million, an increase of $5.5 million over the nine months ended September 30, 2017. The year-over-year increase in operating income was primarily attributable to higher revenue, and improved margins. As a percentage of revenues, operating income for our C&amp;I segment was 5.6% for the nine months ended September 30, 2018 compared to 5.2% for the nine months ended September 30, 2017.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interest income and expense, provision for income taxes and depreciation and amortization, as shown in the table below.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16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U.S. GAAP, as it excludes certain recurring items, which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Add: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Three months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Provided By (Used In) Operating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8"/>
              </w:rPr>
              <w:t>Net cash flows provided by (used in) operating activities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(40,970)</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58,669</w:t>
            </w:r>
          </w:p>
        </w:tc>
        <w:tc>
          <w:tcPr>
            <w:tcW w:w="10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Add/(subtract):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Adjustments to reconcile net income to net cash flows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 by (used in) operating activities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(29,780)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Depreciation &amp;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As of September 30, 2018, we had working capital of $174.7 million. We define working capital as current assets less current liabilities. During the nine months ended September 30, 2018, operating activities of our business provided net cash of $58.7 million, compared to $21.8 million of cash used for the nine months ended September 30, 2017. Cash flow from operations is primarily influenced by demand for our services, operating margins, timing of contract performance and the type of services we provide to our customers. The $80.5 million of incremental cash provided by operating activities compared to last year was primarily due to favorable net changes in operating assets and liabilities of $69.0 million and an increase of $12.9 million in net income. The favorable change in operating assets and liabilities was primarily due to the net favorable year-over-year increases in various working capital accounts that relate primarily to construction activities (accounts receivable, costs and estimated earnings in excess of billings on uncompleted contracts, accounts payable and billings in excess of costs and estimated earnings on uncompleted contracts), of $44.1 million and a favorable change of $24.5 million in other liabilities. The increase in cash provided by other liabilities was due to the timing of wage and employment taxes and higher bonus and profit sharing accruals.</w:t>
      </w:r>
    </w:p>
    <w:p>
      <w:pPr>
        <w:spacing w:after="0" w:line="16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the nine months ended September 30, 2018, we used net cash in investing activities of $83.3 million, consisting of $47.1 million to acquire the Huen Companies and $39.7 million for capital expenditures, partially offset by $3.5 million of proceeds from the sale of equipment.</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nine months ended September 30, 2018, financing activities provided net cash of $19.5 million, consisting primarily of $24.9 million of borrowings on equipment notes, an increase in other financing activities of $9.1 million primarily due to outstanding checks in excess of our bank balance and $1.9 million of proceeds from the exercise of stock options. These favorable cash changes were partially offset by $14.6 million of repayments under our revolving line of credit and $1.0 million of share repurchases, all of which represented shares surrendered to satisfy tax obligations under our stock compensation programs during the nine months ended September 30, 2018.</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anticipate that our borrowing availability of $164.4 million at September 30, 2018 under the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we entered into a five-year amended and restated Credit Agreement, as amended from time to time, with a syndicate of banks led by JPMorgan Chase Bank, N.A. and Bank of America, N.A. On September 28, 2018 we amended the Credit Agreement. This amendment, among other things, reduces the amount available to be used for letters of credit. The Credit Agreement provides for a facility of $250 million (the “Facility”) that may be used for revolving loans of which $150 million may be used for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60" w:firstLine="648"/>
        <w:spacing w:after="0" w:line="291"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September 30, 2018.</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September 30, 2018, we had $64.4 million of debt outstanding under the Facility and irrevocable standby letters of credit outstanding of approximately $21.2 million. As of December 31, 2017, we had $79.0 million of debt outstanding under the Facility and irrevocable standby letters of credit outstanding of approximately $20.9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September 28, 2018, we entered into a Master Equipment Loan and Security Agreement (the “Master Loan Agreement”) with Banc of America Leasing &amp; Capital, LLC (“BofA”). The Master Loan Agreement may be used for financing of equipment between us and BofA pursuant to one or more "Equipment Notes". Each Equipment Note constitutes a separate, distinct and independent financing of equipment and contractual obligation of the Company.</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September 28, 2018, we executed two Equipment Notes that are collateralized by equipment and vehicles owned by us. The outstanding balance of these Equipment Notes was $24.9 million as of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non-cancelable operating leases,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refer to Note 8–Commitments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2018 and 2017, none of our customers individually exceeded 10.0% of consolidated accounts receivable. Management believes the terms and conditions in its contracts, billing and collection policies are adequate to minimize the potential credit risk.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2017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 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2017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new contracts and termination of existing contracts may result in unpredictable fluctuations in our cash flows and financial results.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 key customer could have an adverse effect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right="56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387"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8"/>
          </w:cols>
          <w:pgMar w:left="572" w:top="908" w:right="319" w:bottom="1440" w:gutter="0" w:footer="0" w:header="0"/>
        </w:sectPr>
      </w:pPr>
    </w:p>
    <w:bookmarkStart w:id="31" w:name="page32"/>
    <w:bookmarkEnd w:id="31"/>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we were not party to any derivative instruments. We did not use any material derivative financial instruments during the nine months ended September 30, 2018 and 2017, including instruments for trading, hedging or speculating on changes in interest rates or commodity prices of materials used in our business.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September 30, 2018, we had $64.4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September 30, 2018,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September 30, 2018, permanently decreased by 1%, the decrease in interest expense on all debt would increase future income before provision for income taxes and cash flows by the same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further discussion regarding legal proceedings, please refer to Note 8–Commitments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the date of this filing, there have been no material changes to the risk factors previously discussed in Item 1A of our 2017 Annual Report. An investment in our common stock involves various risks. When considering an investment in our company, you should carefully consider all of the risk factors described in our 2017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Issuances of Common Stock. </w:t>
      </w:r>
      <w:r>
        <w:rPr>
          <w:rFonts w:ascii="Arial" w:cs="Arial" w:eastAsia="Arial" w:hAnsi="Arial"/>
          <w:sz w:val="18"/>
          <w:szCs w:val="18"/>
          <w:color w:val="auto"/>
        </w:rPr>
        <w:t>On July 26, 2018, 271 unregistered shares of our common stock, valued at $9,997, were issued to a director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who elected to receive a portion of his director retainer fee in stock in lieu of cash. The shares were issued pursuant to the exemption from registration provided by Section 4(a)(2) of the Securities Act of 1933.</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following table includes all of the Company’s repurchases of common stock for the periods shown,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76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Part of Publicly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Paid per</w:t>
            </w:r>
          </w:p>
        </w:tc>
        <w:tc>
          <w:tcPr>
            <w:tcW w:w="17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Period</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Repurchased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w:t>
            </w:r>
          </w:p>
        </w:tc>
        <w:tc>
          <w:tcPr>
            <w:tcW w:w="176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2018 - July 31, 2018</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August 1, 2018 - August 31, 2018</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35.93</w:t>
            </w:r>
          </w:p>
        </w:tc>
        <w:tc>
          <w:tcPr>
            <w:tcW w:w="17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2018 - September 30, 2018</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34.77</w:t>
            </w:r>
          </w:p>
        </w:tc>
        <w:tc>
          <w:tcPr>
            <w:tcW w:w="17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1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35.67</w:t>
            </w:r>
          </w:p>
        </w:tc>
        <w:tc>
          <w:tcPr>
            <w:tcW w:w="17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right="1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includes all repurchases of common stock, including stock repurchased under announced repurchase programs and stock repurchased outside such programs. Outside of the repurchase program, the Company repurchased 2,579 shares of its common stock to satisfy tax obligations on the vesting of restricted stock under the 2007 Long-Term Incentive Plan (as amended).</w:t>
      </w:r>
    </w:p>
    <w:p>
      <w:pPr>
        <w:spacing w:after="0" w:line="181"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July 26, 2018, the Company’s Board of Directors approved a new $20.0 million share repurchase program that began when the previous share repurchase program expired. The new share repurchase program will expire on August 15, 2019, or when the authorized funds are exhausted.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84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5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32"/>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gridSpan w:val="2"/>
          </w:tcPr>
          <w:p>
            <w:pPr>
              <w:spacing w:after="0"/>
              <w:rPr>
                <w:sz w:val="24"/>
                <w:szCs w:val="24"/>
                <w:color w:val="auto"/>
              </w:rPr>
            </w:pPr>
          </w:p>
        </w:tc>
        <w:tc>
          <w:tcPr>
            <w:tcW w:w="9580" w:type="dxa"/>
            <w:vAlign w:val="bottom"/>
            <w:tcBorders>
              <w:bottom w:val="single" w:sz="8" w:color="auto"/>
            </w:tcBorders>
            <w:gridSpan w:val="4"/>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520" w:type="dxa"/>
            <w:vAlign w:val="bottom"/>
            <w:gridSpan w:val="3"/>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958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Amendment No. 1 to Amended and Restated Credit Agreement, dated September 28, 2018†</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9580" w:type="dxa"/>
            <w:vAlign w:val="bottom"/>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Certification of Chief Executive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540" w:type="dxa"/>
            <w:vAlign w:val="bottom"/>
            <w:tcBorders>
              <w:left w:val="single" w:sz="8" w:color="0000EE"/>
            </w:tcBorders>
            <w:gridSpan w:val="2"/>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20" w:type="dxa"/>
            <w:vAlign w:val="bottom"/>
          </w:tcPr>
          <w:p>
            <w:pPr>
              <w:spacing w:after="0"/>
              <w:rPr>
                <w:sz w:val="17"/>
                <w:szCs w:val="17"/>
                <w:color w:val="auto"/>
              </w:rPr>
            </w:pPr>
          </w:p>
        </w:tc>
        <w:tc>
          <w:tcPr>
            <w:tcW w:w="9580" w:type="dxa"/>
            <w:vAlign w:val="bottom"/>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Certification of Chief Financial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9580" w:type="dxa"/>
            <w:vAlign w:val="bottom"/>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Certification of Chief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560" w:type="dxa"/>
            <w:vAlign w:val="bottom"/>
            <w:tcBorders>
              <w:left w:val="single" w:sz="8" w:color="0000EE"/>
            </w:tcBorders>
            <w:gridSpan w:val="3"/>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320" w:type="dxa"/>
            <w:vAlign w:val="bottom"/>
          </w:tcPr>
          <w:p>
            <w:pPr>
              <w:spacing w:after="0"/>
              <w:rPr>
                <w:sz w:val="17"/>
                <w:szCs w:val="17"/>
                <w:color w:val="auto"/>
              </w:rPr>
            </w:pPr>
          </w:p>
        </w:tc>
        <w:tc>
          <w:tcPr>
            <w:tcW w:w="958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Certification of Chief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r>
      <w:tr>
        <w:trPr>
          <w:trHeight w:val="438"/>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101.INS</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101.SCH</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101.CAL</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101.DEF</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101.LAB</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101.PRE</w:t>
            </w: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October 31, 2018</w:t>
            </w:r>
          </w:p>
        </w:tc>
        <w:tc>
          <w:tcPr>
            <w:tcW w:w="2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3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75"/>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1 TO AMENDED AND RESTATED CREDIT AGREEMENT</w:t>
      </w:r>
    </w:p>
    <w:p>
      <w:pPr>
        <w:spacing w:after="0" w:line="21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AMENDMENT NO. 1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being executed and delivered as of September 28, 2018 (the “</w:t>
      </w:r>
      <w:r>
        <w:rPr>
          <w:rFonts w:ascii="Arial" w:cs="Arial" w:eastAsia="Arial" w:hAnsi="Arial"/>
          <w:sz w:val="18"/>
          <w:szCs w:val="18"/>
          <w:u w:val="single" w:color="auto"/>
          <w:color w:val="auto"/>
        </w:rPr>
        <w:t>Closing Date</w:t>
      </w:r>
      <w:r>
        <w:rPr>
          <w:rFonts w:ascii="Arial" w:cs="Arial" w:eastAsia="Arial" w:hAnsi="Arial"/>
          <w:sz w:val="18"/>
          <w:szCs w:val="18"/>
          <w:color w:val="auto"/>
        </w:rPr>
        <w:t>”), by and among MYR Group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All capitalized terms used herein without definition shall have the same meanings as set forth in the Credit Agreement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Borrower, the Lenders, and the Administrative Agent are party to that certain Amended and Restated Credit Agreement dated as of June 30, 2016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 has requested that the Lenders and the Administrative Agent agree to make certain modifications to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Borrower, the Lenders and the Administrative Agent have so agreed on the terms and conditions set forth herein.</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premises, the terms and conditions stated herein and other valuable consideration, the receipt and sufficiency of which are hereby acknowledged by the parties hereto, such parties hereby agree as follows:</w:t>
      </w:r>
    </w:p>
    <w:p>
      <w:pPr>
        <w:spacing w:after="0" w:line="170" w:lineRule="exact"/>
        <w:rPr>
          <w:sz w:val="20"/>
          <w:szCs w:val="20"/>
          <w:color w:val="auto"/>
        </w:rPr>
      </w:pPr>
    </w:p>
    <w:p>
      <w:pPr>
        <w:ind w:right="20" w:firstLine="1305"/>
        <w:spacing w:after="0" w:line="277"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xml:space="preserve">. Effective as of the Closing Date, but subject to the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shall be amended as follows:</w:t>
      </w:r>
    </w:p>
    <w:p>
      <w:pPr>
        <w:spacing w:after="0" w:line="170" w:lineRule="exact"/>
        <w:rPr>
          <w:sz w:val="20"/>
          <w:szCs w:val="20"/>
          <w:color w:val="auto"/>
        </w:rPr>
      </w:pPr>
    </w:p>
    <w:p>
      <w:pPr>
        <w:ind w:firstLine="1305"/>
        <w:spacing w:after="0" w:line="277" w:lineRule="auto"/>
        <w:tabs>
          <w:tab w:leader="none" w:pos="17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to amend and restate the definition of each of “</w:t>
      </w:r>
      <w:r>
        <w:rPr>
          <w:rFonts w:ascii="Arial" w:cs="Arial" w:eastAsia="Arial" w:hAnsi="Arial"/>
          <w:sz w:val="18"/>
          <w:szCs w:val="18"/>
          <w:u w:val="single" w:color="auto"/>
          <w:color w:val="auto"/>
        </w:rPr>
        <w:t>Alternate Base Rate</w:t>
      </w:r>
      <w:r>
        <w:rPr>
          <w:rFonts w:ascii="Arial" w:cs="Arial" w:eastAsia="Arial" w:hAnsi="Arial"/>
          <w:sz w:val="18"/>
          <w:szCs w:val="18"/>
          <w:color w:val="auto"/>
        </w:rPr>
        <w:t>”, “</w:t>
      </w:r>
      <w:r>
        <w:rPr>
          <w:rFonts w:ascii="Arial" w:cs="Arial" w:eastAsia="Arial" w:hAnsi="Arial"/>
          <w:sz w:val="18"/>
          <w:szCs w:val="18"/>
          <w:u w:val="single" w:color="auto"/>
          <w:color w:val="auto"/>
        </w:rPr>
        <w:t>LIBO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and “</w:t>
      </w:r>
      <w:r>
        <w:rPr>
          <w:rFonts w:ascii="Arial" w:cs="Arial" w:eastAsia="Arial" w:hAnsi="Arial"/>
          <w:sz w:val="18"/>
          <w:szCs w:val="18"/>
          <w:u w:val="single" w:color="auto"/>
          <w:color w:val="auto"/>
        </w:rPr>
        <w:t>LIBO Screen Rate</w:t>
      </w:r>
      <w:r>
        <w:rPr>
          <w:rFonts w:ascii="Arial" w:cs="Arial" w:eastAsia="Arial" w:hAnsi="Arial"/>
          <w:sz w:val="18"/>
          <w:szCs w:val="18"/>
          <w:color w:val="auto"/>
        </w:rPr>
        <w:t>” as follows:</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(i) if the applicable Loan or Borrowing is denominated in Dollars, the greatest of (a) the Prime Rate in effect on such day, (b) the NYFRB Rate in effect on such day plus ½ of 1% and (c) the Adjusted LIBO Rate for a one month Interest Period in Dollars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and (ii) if the applicable Loan or Borrowing is denominated in Canadian Dollars, the Canadian Prime Rate. Any change in the Alternate Base Rate due to a change in the Prime Rate, the Canadian Prime Rate, the NYFRB Rate or the Adjusted LIBO Rate shall be effective from and including the effective date of such change in the Prime Rate, the Canadian Prime Rate, the NYFRB Rate or the Adjusted LIBO Rate, respectively. If the Alternate Base Rate is being used as an alternate rate of interest for any Eurocurrency Borrowing denominated in any LIBO Quoted Currency pursuant to Section 2.14 hereof, then the Alternate Base Rate shall be the greater of clauses (i)(a) and (i)(b) above and shall be determined without reference to clause (i)(c) above. For the avoidance of doubt, if the Alternate Base Rate as so determined would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6" w:name="page37"/>
    <w:bookmarkEnd w:id="36"/>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 any Eurocurrency Borrowing denominated in any LIBO Quoted Currency and for any applicable Interest Period, the LIBO Screen Rate at approximately 11:00 a.m., London time, on the Quotation Day for such currency and Interest Period and (B) any Eurocurrency Borrowing in Canadian Dollars and for any applicable Interest Period, the CDOR Screen Rate for Canadian Dollars at approximately 11:00 a.m., Toronto time on the Quotation Day for Canadian Dollars and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or the CDOR Screen Rate, as applicable, shall not be available at such time for such Interest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then the LIBO Rate for such currency and such Interest Period shall be the Interpolated Rate. It is understood and agreed that all of the terms and conditions of this definition of “LIBO Rate” shall be subject to Section 2.14.</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Screen Rate</w:t>
      </w:r>
      <w:r>
        <w:rPr>
          <w:rFonts w:ascii="Arial" w:cs="Arial" w:eastAsia="Arial" w:hAnsi="Arial"/>
          <w:sz w:val="16"/>
          <w:szCs w:val="16"/>
          <w:color w:val="auto"/>
        </w:rPr>
        <w:t xml:space="preserve">” means, for any day and time, with respect to any Eurocurrency Borrowing denominated in any LIBO Quoted Currency and for any Interest Period, the London interbank offered rate as administered by ICE Benchmark Administration (or any other Person that takes over the administration of such rate) for such LIBO Quoted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 Screen Rate as so determined would be less than zero, such rate shall be deemed to be zero for the purposes of this Agreement.</w:t>
      </w:r>
    </w:p>
    <w:p>
      <w:pPr>
        <w:spacing w:after="0" w:line="167" w:lineRule="exact"/>
        <w:rPr>
          <w:sz w:val="20"/>
          <w:szCs w:val="20"/>
          <w:color w:val="auto"/>
        </w:rPr>
      </w:pPr>
    </w:p>
    <w:p>
      <w:pPr>
        <w:ind w:left="640" w:right="2580" w:firstLine="5"/>
        <w:spacing w:after="0" w:line="501" w:lineRule="auto"/>
        <w:tabs>
          <w:tab w:leader="none" w:pos="13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Section 2.14 of the Credit Agreement is hereby amended and restated in its entirety as follows: 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jc w:val="both"/>
        <w:ind w:firstLine="1293"/>
        <w:spacing w:after="0" w:line="270" w:lineRule="auto"/>
        <w:tabs>
          <w:tab w:leader="none" w:pos="1892"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If at the time that the Administrative Agent shall seek to determine the LIBO Screen Rate on the Quotation Day for any Interest Period for a Eurocurrency Borrowing, the LIBO Screen Rate shall not be available for such Interest Period and/or for the applicable currency with respect to such Eurocurrency Borrowing for any reason, and the Administrative Agent shall reasonably determine that it is not possible to determine the Interpolated Rate (including, without limitation, because the LIBO Screen Rate is not available or published on a current basis) (which conclusion shall be conclusive and binding absent manifest error), then, (i) if such Borrowing shall be requested in Dollars or Canadian Dollars, then such Borrowing shall be made as an ABR Borrowing at the Alternate Base Rate and (ii) if such Borrowing shall be requested in any Foreign Currency (other than Canadian Dollars), the LIBO Rate shall be equal to the rate determined by the Administrative Agent in its reasonable discretion after consultation with the Borrower and consented to in writing by the Required Lenders (the “</w:t>
      </w:r>
      <w:r>
        <w:rPr>
          <w:rFonts w:ascii="Arial" w:cs="Arial" w:eastAsia="Arial" w:hAnsi="Arial"/>
          <w:sz w:val="17"/>
          <w:szCs w:val="17"/>
          <w:u w:val="single" w:color="auto"/>
          <w:color w:val="auto"/>
        </w:rPr>
        <w:t>Alternative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until such time as the Alternative Rate shall be determined and so consented to by the Required Lenders, Borrowings shall not be available in such Foreign Currency (other than Canadian Dollars).</w:t>
      </w:r>
    </w:p>
    <w:p>
      <w:pPr>
        <w:spacing w:after="0" w:line="177" w:lineRule="exact"/>
        <w:rPr>
          <w:rFonts w:ascii="Arial" w:cs="Arial" w:eastAsia="Arial" w:hAnsi="Arial"/>
          <w:sz w:val="17"/>
          <w:szCs w:val="17"/>
          <w:color w:val="010000"/>
        </w:rPr>
      </w:pPr>
    </w:p>
    <w:p>
      <w:pPr>
        <w:ind w:left="1780" w:hanging="487"/>
        <w:spacing w:after="0"/>
        <w:tabs>
          <w:tab w:leader="none" w:pos="178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If prior to the commencement of any Interest Period for a Eurocurrency Borrowing:</w:t>
      </w:r>
    </w:p>
    <w:p>
      <w:pPr>
        <w:spacing w:after="0" w:line="225" w:lineRule="exact"/>
        <w:rPr>
          <w:sz w:val="20"/>
          <w:szCs w:val="20"/>
          <w:color w:val="auto"/>
        </w:rPr>
      </w:pPr>
    </w:p>
    <w:p>
      <w:pPr>
        <w:jc w:val="both"/>
        <w:ind w:left="640" w:firstLine="653"/>
        <w:spacing w:after="0" w:line="259" w:lineRule="auto"/>
        <w:tabs>
          <w:tab w:leader="none" w:pos="1967"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because the LIBO Screen Rate is not available or published on a current basis), for a Loan in the applicable currency or for the applicable Interest Period; or</w:t>
      </w: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7" w:name="page38"/>
    <w:bookmarkEnd w:id="37"/>
    <w:p>
      <w:pPr>
        <w:jc w:val="both"/>
        <w:ind w:left="644" w:firstLine="653"/>
        <w:spacing w:after="0" w:line="286" w:lineRule="auto"/>
        <w:tabs>
          <w:tab w:leader="none" w:pos="1827"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of making or maintaining their Loans included in such Borrowing for the applicable currency and such Interest Period;</w:t>
      </w:r>
    </w:p>
    <w:p>
      <w:pPr>
        <w:spacing w:after="0" w:line="166" w:lineRule="exact"/>
        <w:rPr>
          <w:sz w:val="20"/>
          <w:szCs w:val="20"/>
          <w:color w:val="auto"/>
        </w:rPr>
      </w:pPr>
    </w:p>
    <w:p>
      <w:pPr>
        <w:jc w:val="both"/>
        <w:ind w:left="4"/>
        <w:spacing w:after="0" w:line="289" w:lineRule="auto"/>
        <w:rPr>
          <w:sz w:val="20"/>
          <w:szCs w:val="20"/>
          <w:color w:val="auto"/>
        </w:rPr>
      </w:pPr>
      <w:r>
        <w:rPr>
          <w:rFonts w:ascii="Arial" w:cs="Arial" w:eastAsia="Arial" w:hAnsi="Arial"/>
          <w:sz w:val="16"/>
          <w:szCs w:val="16"/>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in the applicable currency or for the applicable Interest Period, as the case may be, shall be ineffective and any such Eurocurrency Borrowing shall be repaid or (solely if such Eurocurrency Borrowing is denominated in Dollars) converted into an ABR Borrowing on the last day of the then current Interest Period applicable thereto, (ii) if any Borrowing Request requests a Eurocurrency Borrowing in Dollars or Canadian Dollars, such Borrowing shall be made as an ABR Borrowing and (iii) if any Borrowing Request requests a Eurocurrency Borrowing in a Foreign Currency (other than Canadian Dollars), then the LIBO Rate for such Eurocurrency Borrowing shall be the Alternative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affect only one Type of Borrowings, then the other Type of Borrowings shall be permitted.</w:t>
      </w:r>
    </w:p>
    <w:p>
      <w:pPr>
        <w:spacing w:after="0" w:line="167" w:lineRule="exact"/>
        <w:rPr>
          <w:sz w:val="20"/>
          <w:szCs w:val="20"/>
          <w:color w:val="auto"/>
        </w:rPr>
      </w:pPr>
    </w:p>
    <w:p>
      <w:pPr>
        <w:jc w:val="both"/>
        <w:ind w:left="4" w:firstLine="1293"/>
        <w:spacing w:after="0" w:line="286" w:lineRule="auto"/>
        <w:tabs>
          <w:tab w:leader="none" w:pos="1839"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at any time the Administrative Agent determines (which determination shall be conclusive absent manifest error) that (i) the circumstances set forth in clause (b)(i) have arisen and such circumstances are unlikely to be temporary or (ii) the circumstances set forth in clause (b)(i) have not arisen but either (w) the supervisor for the administrator of the LIBO Screen Rate has made a public statement that the administrator of the LIBO Screen Rate is insolvent (and there is no successor administrator that will continue publication of the LIBO Screen Rate),</w:t>
      </w:r>
    </w:p>
    <w:p>
      <w:pPr>
        <w:spacing w:after="0" w:line="1" w:lineRule="exact"/>
        <w:rPr>
          <w:rFonts w:ascii="Arial" w:cs="Arial" w:eastAsia="Arial" w:hAnsi="Arial"/>
          <w:sz w:val="16"/>
          <w:szCs w:val="16"/>
          <w:color w:val="auto"/>
        </w:rPr>
      </w:pPr>
    </w:p>
    <w:p>
      <w:pPr>
        <w:jc w:val="both"/>
        <w:ind w:left="4" w:hanging="4"/>
        <w:spacing w:after="0" w:line="283" w:lineRule="auto"/>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an applicable LIBO Screen Rate for any Agreed Currency may no longer be used for determining interest rates for loans, then the Administrative Agent and the Borrower shall (A) endeavor to establish an alternate rate of interest to the LIBO Rate for Loans denominated in Dollars, and (B) endeavor to establish an Alternative Rate as described in clause (a) above for Loans denominated in Agreed Currencies other than Dollars or Canadian Dollars, in each case, that gives due consideration to the then prevailing market convention for determining a rate of interest for syndicated loans in the United States in Dollars or such Agreed Currency at such time, as applicable and shall enter into an amendment to this Agreement to reflect such alternate rate or rates of interest and such other related changes to this Agreement as may be applicable (but for the avoidance of doubt, such related changes shall not include a reduction of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Section 9.02, any such amendment establishing an alternate rate of interest for Loans denominated in Dollars shall become effective without any further action or consent of any other party to this Agreement so long as the Administrative Agent shall not have received, within five Business Days of the date of receipt by the Lenders of a draft of such amendment showing such changes and the alternate rate or rates of interest, a written notice from the Required Lenders stating that such Required Lenders object to such amendment. Until an alternate rate of interest or Alternate Rate, as applicable, shall be determined in accordance with this clause (c) (but, in the case of the circumstances described in clause (ii) of the first sentence of this Section 2.14(c), only to the extent the LIBO Screen Rate for the applicable Agreed Currency and such Interest Period is not available or published at such time on a current basis), (x) any Interest Election Request that requests the conversion of any Borrowing to, or continuation of any Borrowing as, a Eurocurrency Borrowing, and any Borrowing Request for a Eurocurrency Borrowing in a Foreign Currency (other than Canadian Dollars) shall, in each case, be ineffective and any such Eurocurrency Borrowing shall be repaid or (solely if such Eurocurrency Borrowing is denominated in Dollars or Canadian Dollars) converted into an ABR Borrowing on the last day of the then current Interest Period applicable thereto, and (y) if any Borrowing Request requests a Eurocurrency Borrowing in Dollars or Canadian Dollars, such Borrowing shall be made as an ABR Borrowing.</w:t>
      </w:r>
    </w:p>
    <w:p>
      <w:pPr>
        <w:spacing w:after="0" w:line="397"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 w:name="page39"/>
    <w:bookmarkEnd w:id="38"/>
    <w:p>
      <w:pPr>
        <w:ind w:left="1800" w:hanging="495"/>
        <w:spacing w:after="0"/>
        <w:tabs>
          <w:tab w:leader="none" w:pos="1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Section 5.11 of the Credit Agreement is hereby amended to insert the following new clauses (e) and (f) in appropriate alphabetical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11" w:lineRule="exact"/>
        <w:rPr>
          <w:sz w:val="20"/>
          <w:szCs w:val="20"/>
          <w:color w:val="auto"/>
        </w:rPr>
      </w:pPr>
    </w:p>
    <w:p>
      <w:pPr>
        <w:jc w:val="both"/>
        <w:ind w:left="660" w:firstLine="645"/>
        <w:spacing w:after="0" w:line="302" w:lineRule="auto"/>
        <w:tabs>
          <w:tab w:leader="none" w:pos="18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Borrower will provide to the Administrative Agent, from time to time or concurrently with the delivery of the certificate of a Financial Officer of the Borrower as required by Section 5.01(c), an updated version of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(provided that if there have been no changes to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since the previous updating thereof required hereby, such updated version shall not be required). For the avoidance of doubt, such updated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shall not be understood to permit any action prohibited hereunder or constitute a waiver of any provision contained herein.</w:t>
      </w:r>
    </w:p>
    <w:p>
      <w:pPr>
        <w:spacing w:after="0" w:line="154" w:lineRule="exact"/>
        <w:rPr>
          <w:rFonts w:ascii="Arial" w:cs="Arial" w:eastAsia="Arial" w:hAnsi="Arial"/>
          <w:sz w:val="16"/>
          <w:szCs w:val="16"/>
          <w:color w:val="auto"/>
        </w:rPr>
      </w:pPr>
    </w:p>
    <w:p>
      <w:pPr>
        <w:jc w:val="both"/>
        <w:ind w:left="660" w:firstLine="645"/>
        <w:spacing w:after="0" w:line="259" w:lineRule="auto"/>
        <w:tabs>
          <w:tab w:leader="none" w:pos="1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Borrower will provide to the Administrative Agent, concurrently with the delivery of an executed supplement to the Security Agreement by any new grantor thereunder, a supplement to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reflecting the financing statement(s) naming such new grantor as debtor prepared for filing in connection therewith. For the avoidance of doubt, such supplement to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shall not be understood to permit any action prohibited hereunder or constitute a waiver of any provision contained herein.</w:t>
      </w:r>
    </w:p>
    <w:p>
      <w:pPr>
        <w:spacing w:after="0" w:line="187" w:lineRule="exact"/>
        <w:rPr>
          <w:sz w:val="20"/>
          <w:szCs w:val="20"/>
          <w:color w:val="auto"/>
        </w:rPr>
      </w:pPr>
    </w:p>
    <w:p>
      <w:pPr>
        <w:ind w:left="1740" w:hanging="435"/>
        <w:spacing w:after="0"/>
        <w:tabs>
          <w:tab w:leader="none" w:pos="1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Section 6.01 of the Credit Agreement is hereby amended to amend and restate clause (e) thereof in its entirety as follows:</w:t>
      </w:r>
    </w:p>
    <w:p>
      <w:pPr>
        <w:spacing w:after="0" w:line="236" w:lineRule="exact"/>
        <w:rPr>
          <w:rFonts w:ascii="Arial" w:cs="Arial" w:eastAsia="Arial" w:hAnsi="Arial"/>
          <w:sz w:val="17"/>
          <w:szCs w:val="17"/>
          <w:color w:val="auto"/>
        </w:rPr>
      </w:pPr>
    </w:p>
    <w:p>
      <w:pPr>
        <w:jc w:val="both"/>
        <w:ind w:left="660" w:firstLine="645"/>
        <w:spacing w:after="0" w:line="255" w:lineRule="auto"/>
        <w:tabs>
          <w:tab w:leader="none" w:pos="17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Subsidiary incurred to finance the acquisition, construction, improvement, alteration or repair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(A) prior to or within 90 days after such acquisition or the completion of such construction, improvement, alteration or repair or (B) between October 1, 2017 and December 31, 2018 and (ii) the aggregate principal amount of Indebtedness permitted by this clause (e) shall not exceed $60,000,000 at any time outstanding;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1720" w:hanging="415"/>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6.02 of the Credit Agreement is hereby amended to amend and restate clause (a) thereof in its entirety as follows:</w:t>
      </w:r>
    </w:p>
    <w:p>
      <w:pPr>
        <w:spacing w:after="0" w:line="225" w:lineRule="exact"/>
        <w:rPr>
          <w:sz w:val="20"/>
          <w:szCs w:val="20"/>
          <w:color w:val="auto"/>
        </w:rPr>
      </w:pPr>
    </w:p>
    <w:p>
      <w:pPr>
        <w:jc w:val="both"/>
        <w:ind w:left="660" w:firstLine="645"/>
        <w:spacing w:after="0" w:line="291" w:lineRule="auto"/>
        <w:tabs>
          <w:tab w:leader="none" w:pos="1739" w:val="left"/>
        </w:tabs>
        <w:numPr>
          <w:ilvl w:val="1"/>
          <w:numId w:val="23"/>
        </w:numPr>
        <w:rPr>
          <w:rFonts w:ascii="Arial" w:cs="Arial" w:eastAsia="Arial" w:hAnsi="Arial"/>
          <w:sz w:val="16"/>
          <w:szCs w:val="16"/>
          <w:color w:val="auto"/>
        </w:rPr>
      </w:pPr>
      <w:r>
        <w:rPr>
          <w:rFonts w:ascii="Arial" w:cs="Arial" w:eastAsia="Arial" w:hAnsi="Arial"/>
          <w:sz w:val="16"/>
          <w:szCs w:val="16"/>
          <w:color w:val="auto"/>
        </w:rPr>
        <w:t>Liens on assets acquired, constructed, improved, altered or repaired by the Borrower or any Subsidiary; provided that (i) such security interests secure Indebtedness permitted by clause (e) of Section 6.01, (ii) such security interests and the Indebtedness secured thereby are incurred</w:t>
      </w:r>
    </w:p>
    <w:p>
      <w:pPr>
        <w:jc w:val="both"/>
        <w:ind w:left="660" w:hanging="4"/>
        <w:spacing w:after="0" w:line="295" w:lineRule="auto"/>
        <w:tabs>
          <w:tab w:leader="none" w:pos="9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or within 90 days after such acquisition or the completion of such construction, improvement, alteration or repair or (B) between October 1, 2017 and December 31, 2018,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same lessor or an Affiliate thereof).</w:t>
      </w:r>
    </w:p>
    <w:p>
      <w:pPr>
        <w:spacing w:after="0" w:line="161" w:lineRule="exact"/>
        <w:rPr>
          <w:rFonts w:ascii="Arial" w:cs="Arial" w:eastAsia="Arial" w:hAnsi="Arial"/>
          <w:sz w:val="16"/>
          <w:szCs w:val="16"/>
          <w:color w:val="auto"/>
        </w:rPr>
      </w:pPr>
    </w:p>
    <w:p>
      <w:pPr>
        <w:jc w:val="both"/>
        <w:ind w:firstLine="1305"/>
        <w:spacing w:after="0" w:line="264" w:lineRule="auto"/>
        <w:tabs>
          <w:tab w:leader="none" w:pos="1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Section 9.02(b) of the Credit Agreement is hereby amended by inserting the phrase “and subject to Section 2.14(c), Section 9.02(c) and Section 9.02(f)” immediately after the phrase “Except as provided in Section 2.04 with respect to an Incremental Term Loan Amendment” in the first sentence thereof.</w:t>
      </w:r>
    </w:p>
    <w:p>
      <w:pPr>
        <w:spacing w:after="0" w:line="181" w:lineRule="exact"/>
        <w:rPr>
          <w:rFonts w:ascii="Arial" w:cs="Arial" w:eastAsia="Arial" w:hAnsi="Arial"/>
          <w:sz w:val="18"/>
          <w:szCs w:val="18"/>
          <w:color w:val="auto"/>
        </w:rPr>
      </w:pPr>
    </w:p>
    <w:p>
      <w:pPr>
        <w:ind w:firstLine="1305"/>
        <w:spacing w:after="0" w:line="277" w:lineRule="auto"/>
        <w:tabs>
          <w:tab w:leader="none" w:pos="17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Letter of Credit Commitment Schedule to the Credit Agreement is hereby amended to amend and restate the grid set forth thereon in its entirety as follows:</w:t>
      </w:r>
    </w:p>
    <w:p>
      <w:pPr>
        <w:spacing w:after="0" w:line="165"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4580" w:type="dxa"/>
            <w:vAlign w:val="bottom"/>
            <w:tcBorders>
              <w:top w:val="single" w:sz="8" w:color="auto"/>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Issuing Bank</w:t>
            </w:r>
          </w:p>
        </w:tc>
        <w:tc>
          <w:tcPr>
            <w:tcW w:w="456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Letter of Credit Commitment</w:t>
            </w:r>
          </w:p>
        </w:tc>
      </w:tr>
      <w:tr>
        <w:trPr>
          <w:trHeight w:val="210"/>
        </w:trPr>
        <w:tc>
          <w:tcPr>
            <w:tcW w:w="4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JPMorgan Chase Bank, N.A.</w:t>
            </w:r>
          </w:p>
        </w:tc>
        <w:tc>
          <w:tcPr>
            <w:tcW w:w="4560" w:type="dxa"/>
            <w:vAlign w:val="bottom"/>
            <w:tcBorders>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w w:val="91"/>
              </w:rPr>
              <w:t>$62,750,000</w:t>
            </w:r>
          </w:p>
        </w:tc>
      </w:tr>
      <w:tr>
        <w:trPr>
          <w:trHeight w:val="210"/>
        </w:trPr>
        <w:tc>
          <w:tcPr>
            <w:tcW w:w="4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America, N.A.</w:t>
            </w:r>
          </w:p>
        </w:tc>
        <w:tc>
          <w:tcPr>
            <w:tcW w:w="4560" w:type="dxa"/>
            <w:vAlign w:val="bottom"/>
            <w:tcBorders>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w w:val="91"/>
              </w:rPr>
              <w:t>$62,750,000</w:t>
            </w:r>
          </w:p>
        </w:tc>
      </w:tr>
      <w:tr>
        <w:trPr>
          <w:trHeight w:val="210"/>
        </w:trPr>
        <w:tc>
          <w:tcPr>
            <w:tcW w:w="4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BMO Harris Bank, N.A.</w:t>
            </w:r>
          </w:p>
        </w:tc>
        <w:tc>
          <w:tcPr>
            <w:tcW w:w="4560" w:type="dxa"/>
            <w:vAlign w:val="bottom"/>
            <w:tcBorders>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w w:val="91"/>
              </w:rPr>
              <w:t>$24,500,000</w:t>
            </w:r>
          </w:p>
        </w:tc>
      </w:tr>
    </w:tbl>
    <w:p>
      <w:pPr>
        <w:spacing w:after="0" w:line="202" w:lineRule="exact"/>
        <w:rPr>
          <w:sz w:val="20"/>
          <w:szCs w:val="20"/>
          <w:color w:val="auto"/>
        </w:rPr>
      </w:pPr>
    </w:p>
    <w:p>
      <w:pPr>
        <w:ind w:left="1740" w:hanging="435"/>
        <w:spacing w:after="0"/>
        <w:tabs>
          <w:tab w:leader="none" w:pos="1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Schedule 3.14 to the Credit Agreement is hereby amended and restated in its entirety in the form attached hereto as Exhibit A.</w:t>
      </w:r>
    </w:p>
    <w:p>
      <w:pPr>
        <w:spacing w:after="0" w:line="237" w:lineRule="exact"/>
        <w:rPr>
          <w:sz w:val="20"/>
          <w:szCs w:val="20"/>
          <w:color w:val="auto"/>
        </w:rPr>
      </w:pPr>
    </w:p>
    <w:p>
      <w:pPr>
        <w:ind w:firstLine="1305"/>
        <w:spacing w:after="0" w:line="277" w:lineRule="auto"/>
        <w:tabs>
          <w:tab w:leader="none" w:pos="170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 deemed to have become effective as of the Closing Date, but such effectiveness shall be subject to the following conditions precedent:</w:t>
      </w:r>
    </w:p>
    <w:p>
      <w:pPr>
        <w:spacing w:after="0" w:line="170" w:lineRule="exact"/>
        <w:rPr>
          <w:sz w:val="20"/>
          <w:szCs w:val="20"/>
          <w:color w:val="auto"/>
        </w:rPr>
      </w:pPr>
    </w:p>
    <w:p>
      <w:pPr>
        <w:jc w:val="both"/>
        <w:ind w:firstLine="1305"/>
        <w:spacing w:after="0" w:line="264" w:lineRule="auto"/>
        <w:tabs>
          <w:tab w:leader="none" w:pos="18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counterparts of (i) this Amendment duly executed and delivered by the Borrower, the Administrative Agent and the Lenders required to give consent thereto and (ii) the Consent and Reaffirmation attached hereto as Annex I duly executed by each Subsidiary Guarantor (the “</w:t>
      </w:r>
      <w:r>
        <w:rPr>
          <w:rFonts w:ascii="Arial" w:cs="Arial" w:eastAsia="Arial" w:hAnsi="Arial"/>
          <w:sz w:val="18"/>
          <w:szCs w:val="18"/>
          <w:u w:val="single" w:color="auto"/>
          <w:color w:val="auto"/>
        </w:rPr>
        <w:t>Reaffirmation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other documents, instruments and agreements as the Administrative Agent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reasonably request; and</w:t>
      </w:r>
    </w:p>
    <w:p>
      <w:pPr>
        <w:spacing w:after="0" w:line="210" w:lineRule="exact"/>
        <w:rPr>
          <w:rFonts w:ascii="Arial" w:cs="Arial" w:eastAsia="Arial" w:hAnsi="Arial"/>
          <w:sz w:val="16"/>
          <w:szCs w:val="16"/>
          <w:color w:val="auto"/>
        </w:rPr>
      </w:pPr>
    </w:p>
    <w:p>
      <w:pPr>
        <w:ind w:left="1760" w:hanging="455"/>
        <w:spacing w:after="0"/>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expenses due and payable on or prior to the date hereof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Amendment.</w:t>
      </w:r>
    </w:p>
    <w:p>
      <w:pPr>
        <w:spacing w:after="0" w:line="211" w:lineRule="exact"/>
        <w:rPr>
          <w:sz w:val="20"/>
          <w:szCs w:val="20"/>
          <w:color w:val="auto"/>
        </w:rPr>
      </w:pPr>
    </w:p>
    <w:p>
      <w:pPr>
        <w:jc w:val="both"/>
        <w:ind w:firstLine="1305"/>
        <w:spacing w:after="0" w:line="254" w:lineRule="auto"/>
        <w:tabs>
          <w:tab w:leader="none" w:pos="178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Warranties</w:t>
      </w:r>
      <w:r>
        <w:rPr>
          <w:rFonts w:ascii="Arial" w:cs="Arial" w:eastAsia="Arial" w:hAnsi="Arial"/>
          <w:sz w:val="18"/>
          <w:szCs w:val="18"/>
          <w:color w:val="auto"/>
        </w:rPr>
        <w:t>. The Borrower hereby represents and warrants that (i) this Amendment and the Credit Agreement, as amended hereby, constitute its legal, valid and binding obligation and are enforceable against it in accordance with their respective terms, subject to applicable bankruptcy, insolvency, reorganization, moratorium or other laws affecting creditors’ rights generally and subject to general principles of equity, regardless of whether considered in a proceeding in equity or at law; (ii) all of the representations and warranties of the Borrower set forth in the Credit Agreement, as amended hereby, and the other Loan Documents are true and correct in all material respects on and as of the date hereof (except to the extent such representations or warranties specifically relate to any earlier date, in which case such representations and warranties shall have been true and correct in all material respects as of such earlier date) and (iii) no Default or Event of Default under the Credit Agreement, as amended hereby, has occurred and is continuing on and as of the date 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1760" w:hanging="455"/>
        <w:spacing w:after="0"/>
        <w:tabs>
          <w:tab w:leader="none" w:pos="17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Effect on the Credit Agreement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342" w:lineRule="auto"/>
        <w:tabs>
          <w:tab w:leader="none" w:pos="17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effectiveness of this Amendment, on and after the date hereof, each reference in the Credit Agreement to “this Agreement,” “hereunder,” “hereof,” “herein” or words of like import shall mean and be a reference to the Credit Agreement, as amended and modified hereby.</w:t>
      </w:r>
    </w:p>
    <w:p>
      <w:pPr>
        <w:spacing w:after="0" w:line="123" w:lineRule="exact"/>
        <w:rPr>
          <w:rFonts w:ascii="Arial" w:cs="Arial" w:eastAsia="Arial" w:hAnsi="Arial"/>
          <w:sz w:val="16"/>
          <w:szCs w:val="16"/>
          <w:color w:val="auto"/>
        </w:rPr>
      </w:pPr>
    </w:p>
    <w:p>
      <w:pPr>
        <w:ind w:firstLine="1305"/>
        <w:spacing w:after="0" w:line="308" w:lineRule="auto"/>
        <w:tabs>
          <w:tab w:leader="none" w:pos="17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Except as specifically amended above, the Credit Agreement, the other Loan Documents and all other documents, instruments and agreements executed and/or delivered in connection therewith, shall remain in full force and effect, and are hereby ratified and confirmed.</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7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neither operate as a waiver of any rights, power or remedy of the Administrative Agent or the Lenders under the Credit Agreement or any other Loan Document, nor constitute a waiver of any provision of the Credit Agreement or any other document executed in connection therewith.</w:t>
      </w:r>
    </w:p>
    <w:p>
      <w:pPr>
        <w:spacing w:after="0" w:line="177" w:lineRule="exact"/>
        <w:rPr>
          <w:sz w:val="20"/>
          <w:szCs w:val="20"/>
          <w:color w:val="auto"/>
        </w:rPr>
      </w:pPr>
    </w:p>
    <w:p>
      <w:pPr>
        <w:jc w:val="both"/>
        <w:ind w:firstLine="1305"/>
        <w:spacing w:after="0" w:line="266" w:lineRule="auto"/>
        <w:tabs>
          <w:tab w:leader="none" w:pos="2179"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SHALL BE GOVERNED BY AND CONSTRUED IN ACCORDANCE WITH THE LAWS OF THE STATE OF NEW YORK, BUT GIVING EFFECT TO FEDERAL LAWS APPLICABLE TO NATIONAL BANKS.</w:t>
      </w:r>
    </w:p>
    <w:p>
      <w:pPr>
        <w:spacing w:after="0" w:line="180" w:lineRule="exact"/>
        <w:rPr>
          <w:rFonts w:ascii="Arial" w:cs="Arial" w:eastAsia="Arial" w:hAnsi="Arial"/>
          <w:sz w:val="18"/>
          <w:szCs w:val="18"/>
          <w:color w:val="auto"/>
        </w:rPr>
      </w:pPr>
    </w:p>
    <w:p>
      <w:pPr>
        <w:jc w:val="both"/>
        <w:ind w:firstLine="1305"/>
        <w:spacing w:after="0" w:line="264" w:lineRule="auto"/>
        <w:tabs>
          <w:tab w:leader="none" w:pos="20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agrees to pay all reasonable and documented out-of-pocket expenses incurred by the Administrative Agent, including the reasonable fees, charges and disbursements of counsel for the Administrative Agent, in connection with the preparation, negotiation and execution of this Amendment.</w:t>
      </w:r>
    </w:p>
    <w:p>
      <w:pPr>
        <w:spacing w:after="0" w:line="181" w:lineRule="exact"/>
        <w:rPr>
          <w:rFonts w:ascii="Arial" w:cs="Arial" w:eastAsia="Arial" w:hAnsi="Arial"/>
          <w:sz w:val="18"/>
          <w:szCs w:val="18"/>
          <w:color w:val="auto"/>
        </w:rPr>
      </w:pPr>
    </w:p>
    <w:p>
      <w:pPr>
        <w:ind w:firstLine="1305"/>
        <w:spacing w:after="0" w:line="277" w:lineRule="auto"/>
        <w:tabs>
          <w:tab w:leader="none" w:pos="17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on any number of separate counterparts and all of said counterparts taken together shall be deemed to constitute one and the same instrument. A facsimile copy or other electronic image (e.g., “PDF” or “TIF” via electronic mail) of any signature hereto shall have the same effect as the original thereof.</w:t>
      </w:r>
    </w:p>
    <w:p>
      <w:pPr>
        <w:spacing w:after="0" w:line="181" w:lineRule="exact"/>
        <w:rPr>
          <w:rFonts w:ascii="Arial" w:cs="Arial" w:eastAsia="Arial" w:hAnsi="Arial"/>
          <w:sz w:val="18"/>
          <w:szCs w:val="18"/>
          <w:color w:val="auto"/>
        </w:rPr>
      </w:pPr>
    </w:p>
    <w:p>
      <w:pPr>
        <w:ind w:firstLine="1305"/>
        <w:spacing w:after="0" w:line="277" w:lineRule="auto"/>
        <w:tabs>
          <w:tab w:leader="none" w:pos="18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The Borrower hereby agrees that this Amendment and the Reaffirmation shall constitute Loan Documents for purposes of the Credit Agreement and the other Loan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 as the Borrower</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Betty R. Johnson</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Title: Senior Vice President, Chief Financial Officer and Treasurer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Amended and Restated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4520"/>
        <w:spacing w:after="0"/>
        <w:rPr>
          <w:sz w:val="20"/>
          <w:szCs w:val="20"/>
          <w:color w:val="auto"/>
        </w:rPr>
      </w:pPr>
      <w:r>
        <w:rPr>
          <w:rFonts w:ascii="Arial" w:cs="Arial" w:eastAsia="Arial" w:hAnsi="Arial"/>
          <w:sz w:val="18"/>
          <w:szCs w:val="18"/>
          <w:color w:val="auto"/>
        </w:rPr>
        <w:t>JPMORGAN CHASE BANK, N.A., individually as 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Lender, as an Issuing Bank and as Administrative Agent</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Christopher L Collins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Officer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 (TORONTO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BRANCH), 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Christopher L Collins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3" w:name="page44"/>
    <w:bookmarkEnd w:id="43"/>
    <w:p>
      <w:pPr>
        <w:ind w:left="4520"/>
        <w:spacing w:after="0"/>
        <w:rPr>
          <w:sz w:val="20"/>
          <w:szCs w:val="20"/>
          <w:color w:val="auto"/>
        </w:rPr>
      </w:pPr>
      <w:r>
        <w:rPr>
          <w:rFonts w:ascii="Arial" w:cs="Arial" w:eastAsia="Arial" w:hAnsi="Arial"/>
          <w:sz w:val="18"/>
          <w:szCs w:val="18"/>
          <w:color w:val="auto"/>
        </w:rPr>
        <w:t>BANK OF AMERICA, N.A., individually as 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Lender, as an Issuing Bank and as Syndication Agent</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K.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Steven K. Kessler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BANK OF AMERICA,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(CANADA BRANCH), 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Medina Sales de Andrade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4" w:name="page45"/>
    <w:bookmarkEnd w:id="44"/>
    <w:p>
      <w:pPr>
        <w:ind w:left="4520"/>
        <w:spacing w:after="0"/>
        <w:rPr>
          <w:sz w:val="20"/>
          <w:szCs w:val="20"/>
          <w:color w:val="auto"/>
        </w:rPr>
      </w:pPr>
      <w:r>
        <w:rPr>
          <w:rFonts w:ascii="Arial" w:cs="Arial" w:eastAsia="Arial" w:hAnsi="Arial"/>
          <w:sz w:val="17"/>
          <w:szCs w:val="17"/>
          <w:color w:val="auto"/>
        </w:rPr>
        <w:t>BMO HARRIS BANK N.A., individually as a Lender</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Gift</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MONTREAL, as a Lender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Helen Alvarez-Hernandez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Helen Alvarez-Hernandez</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5" w:name="page46"/>
    <w:bookmarkEnd w:id="45"/>
    <w:p>
      <w:pPr>
        <w:ind w:left="4520"/>
        <w:spacing w:after="0"/>
        <w:rPr>
          <w:sz w:val="20"/>
          <w:szCs w:val="20"/>
          <w:color w:val="auto"/>
        </w:rPr>
      </w:pPr>
      <w:r>
        <w:rPr>
          <w:rFonts w:ascii="Arial" w:cs="Arial" w:eastAsia="Arial" w:hAnsi="Arial"/>
          <w:sz w:val="17"/>
          <w:szCs w:val="17"/>
          <w:color w:val="auto"/>
        </w:rPr>
        <w:t>PNC BANK, NATIONAL ASSOCIATION, as a Lender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Kristin Lenda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Kristin Lenda</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ASSOCIATION, 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Livermore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Benjamin Livermore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Revised Schedule 3.14</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Schedule 3.14 - Capitalization and Subsidiaries</w:t>
      </w:r>
    </w:p>
    <w:p>
      <w:pPr>
        <w:spacing w:after="0" w:line="221" w:lineRule="exact"/>
        <w:rPr>
          <w:sz w:val="20"/>
          <w:szCs w:val="20"/>
          <w:color w:val="auto"/>
        </w:rPr>
      </w:pPr>
    </w:p>
    <w:p>
      <w:pPr>
        <w:ind w:left="1160" w:right="8400" w:hanging="1152"/>
        <w:spacing w:after="0" w:line="503" w:lineRule="auto"/>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Borrower’s Subsidiaries </w:t>
      </w:r>
      <w:r>
        <w:rPr>
          <w:rFonts w:ascii="Arial" w:cs="Arial" w:eastAsia="Arial" w:hAnsi="Arial"/>
          <w:sz w:val="18"/>
          <w:szCs w:val="18"/>
          <w:b w:val="1"/>
          <w:bCs w:val="1"/>
          <w:u w:val="single" w:color="auto"/>
          <w:color w:val="auto"/>
        </w:rPr>
        <w:t>Name</w:t>
      </w:r>
    </w:p>
    <w:p>
      <w:pPr>
        <w:ind w:left="1160" w:right="79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The L. E. Myers Co. Harlan Electric Company Sturgeon Electric Company, Inc.</w:t>
      </w: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Great Southwestern Construction,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Transmission Services, Inc.</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 S. Boulos Company</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Equipment,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Real Estate Holdings,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High Country Line Construction, Inc.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GSW Integrated Services,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Sturgeon Electric California,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Sturgeon Transmission Services,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Real Estate Holdings Alaska, LLC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Group Construction Canada, Ltd.</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Northern Transmission Services, Ltd.</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MYR Transmission Services Canada, Ltd.</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Huen Electric, Inc.</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(b)</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Borrower’s Equity Interest</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9"/>
        </w:trPr>
        <w:tc>
          <w:tcPr>
            <w:tcW w:w="116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Authorized Shares</w:t>
            </w:r>
          </w:p>
        </w:tc>
        <w:tc>
          <w:tcPr>
            <w:tcW w:w="120" w:type="dxa"/>
            <w:vAlign w:val="bottom"/>
          </w:tcPr>
          <w:p>
            <w:pPr>
              <w:spacing w:after="0"/>
              <w:rPr>
                <w:sz w:val="24"/>
                <w:szCs w:val="24"/>
                <w:color w:val="auto"/>
              </w:rPr>
            </w:pPr>
          </w:p>
        </w:tc>
        <w:tc>
          <w:tcPr>
            <w:tcW w:w="330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Shares Issued</w:t>
            </w:r>
          </w:p>
        </w:tc>
        <w:tc>
          <w:tcPr>
            <w:tcW w:w="120" w:type="dxa"/>
            <w:vAlign w:val="bottom"/>
          </w:tcPr>
          <w:p>
            <w:pPr>
              <w:spacing w:after="0"/>
              <w:rPr>
                <w:sz w:val="24"/>
                <w:szCs w:val="24"/>
                <w:color w:val="auto"/>
              </w:rPr>
            </w:pPr>
          </w:p>
        </w:tc>
        <w:tc>
          <w:tcPr>
            <w:tcW w:w="33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Stock Ownership</w:t>
            </w:r>
          </w:p>
        </w:tc>
      </w:tr>
      <w:tr>
        <w:trPr>
          <w:trHeight w:val="432"/>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8"/>
              </w:rPr>
              <w:t>4,000,000 preferred shares ($0.01 par value)</w:t>
            </w:r>
          </w:p>
        </w:tc>
        <w:tc>
          <w:tcPr>
            <w:tcW w:w="3420" w:type="dxa"/>
            <w:vAlign w:val="bottom"/>
            <w:gridSpan w:val="2"/>
          </w:tcPr>
          <w:p>
            <w:pPr>
              <w:spacing w:after="0"/>
              <w:rPr>
                <w:sz w:val="20"/>
                <w:szCs w:val="20"/>
                <w:color w:val="auto"/>
              </w:rPr>
            </w:pPr>
            <w:r>
              <w:rPr>
                <w:rFonts w:ascii="Arial" w:cs="Arial" w:eastAsia="Arial" w:hAnsi="Arial"/>
                <w:sz w:val="18"/>
                <w:szCs w:val="18"/>
                <w:color w:val="auto"/>
              </w:rPr>
              <w:t>None</w:t>
            </w:r>
          </w:p>
        </w:tc>
        <w:tc>
          <w:tcPr>
            <w:tcW w:w="330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4"/>
              </w:rPr>
              <w:t>100,000,000 common shares ($0.01 par value)</w:t>
            </w:r>
          </w:p>
        </w:tc>
        <w:tc>
          <w:tcPr>
            <w:tcW w:w="3420" w:type="dxa"/>
            <w:vAlign w:val="bottom"/>
            <w:gridSpan w:val="2"/>
          </w:tcPr>
          <w:p>
            <w:pPr>
              <w:spacing w:after="0"/>
              <w:rPr>
                <w:sz w:val="20"/>
                <w:szCs w:val="20"/>
                <w:color w:val="auto"/>
              </w:rPr>
            </w:pPr>
            <w:r>
              <w:rPr>
                <w:rFonts w:ascii="Arial" w:cs="Arial" w:eastAsia="Arial" w:hAnsi="Arial"/>
                <w:sz w:val="18"/>
                <w:szCs w:val="18"/>
                <w:color w:val="auto"/>
              </w:rPr>
              <w:t>18,878,060 issued and 19,969,347</w:t>
            </w:r>
          </w:p>
        </w:tc>
        <w:tc>
          <w:tcPr>
            <w:tcW w:w="3300" w:type="dxa"/>
            <w:vAlign w:val="bottom"/>
          </w:tcPr>
          <w:p>
            <w:pPr>
              <w:spacing w:after="0"/>
              <w:rPr>
                <w:sz w:val="20"/>
                <w:szCs w:val="20"/>
                <w:color w:val="auto"/>
              </w:rPr>
            </w:pPr>
            <w:r>
              <w:rPr>
                <w:rFonts w:ascii="Arial" w:cs="Arial" w:eastAsia="Arial" w:hAnsi="Arial"/>
                <w:sz w:val="18"/>
                <w:szCs w:val="18"/>
                <w:color w:val="auto"/>
              </w:rPr>
              <w:t>418,581 - Management and Director</w:t>
            </w:r>
          </w:p>
        </w:tc>
      </w:tr>
      <w:tr>
        <w:trPr>
          <w:trHeight w:val="230"/>
        </w:trPr>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3300" w:type="dxa"/>
            <w:vAlign w:val="bottom"/>
          </w:tcPr>
          <w:p>
            <w:pPr>
              <w:spacing w:after="0"/>
              <w:rPr>
                <w:sz w:val="20"/>
                <w:szCs w:val="20"/>
                <w:color w:val="auto"/>
              </w:rPr>
            </w:pPr>
            <w:r>
              <w:rPr>
                <w:rFonts w:ascii="Arial" w:cs="Arial" w:eastAsia="Arial" w:hAnsi="Arial"/>
                <w:sz w:val="18"/>
                <w:szCs w:val="18"/>
                <w:color w:val="auto"/>
              </w:rPr>
              <w:t>Ownership</w:t>
            </w:r>
          </w:p>
        </w:tc>
      </w:tr>
      <w:tr>
        <w:trPr>
          <w:trHeight w:val="675"/>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(c)</w:t>
            </w: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Type of Entity</w:t>
            </w:r>
          </w:p>
        </w:tc>
        <w:tc>
          <w:tcPr>
            <w:tcW w:w="5020" w:type="dxa"/>
            <w:vAlign w:val="bottom"/>
          </w:tcPr>
          <w:p>
            <w:pPr>
              <w:spacing w:after="0"/>
              <w:rPr>
                <w:sz w:val="20"/>
                <w:szCs w:val="20"/>
                <w:color w:val="auto"/>
              </w:rPr>
            </w:pPr>
          </w:p>
        </w:tc>
      </w:tr>
      <w:tr>
        <w:trPr>
          <w:trHeight w:val="439"/>
        </w:trPr>
        <w:tc>
          <w:tcPr>
            <w:tcW w:w="116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020" w:type="dxa"/>
            <w:vAlign w:val="bottom"/>
          </w:tcPr>
          <w:p>
            <w:pPr>
              <w:ind w:left="1960"/>
              <w:spacing w:after="0"/>
              <w:rPr>
                <w:sz w:val="20"/>
                <w:szCs w:val="20"/>
                <w:color w:val="auto"/>
              </w:rPr>
            </w:pPr>
            <w:r>
              <w:rPr>
                <w:rFonts w:ascii="Arial" w:cs="Arial" w:eastAsia="Arial" w:hAnsi="Arial"/>
                <w:sz w:val="18"/>
                <w:szCs w:val="18"/>
                <w:b w:val="1"/>
                <w:bCs w:val="1"/>
                <w:color w:val="auto"/>
              </w:rPr>
              <w:t>Type of Entity</w:t>
            </w:r>
          </w:p>
        </w:tc>
      </w:tr>
      <w:tr>
        <w:trPr>
          <w:trHeight w:val="202"/>
        </w:trPr>
        <w:tc>
          <w:tcPr>
            <w:tcW w:w="116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MYR Group Inc.</w:t>
            </w:r>
          </w:p>
        </w:tc>
        <w:tc>
          <w:tcPr>
            <w:tcW w:w="22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The L. E. Myers Co.</w:t>
            </w:r>
          </w:p>
        </w:tc>
        <w:tc>
          <w:tcPr>
            <w:tcW w:w="5020" w:type="dxa"/>
            <w:vAlign w:val="bottom"/>
          </w:tcPr>
          <w:p>
            <w:pPr>
              <w:spacing w:after="0"/>
              <w:rPr>
                <w:sz w:val="20"/>
                <w:szCs w:val="20"/>
                <w:color w:val="auto"/>
              </w:rPr>
            </w:pPr>
            <w:r>
              <w:rPr>
                <w:rFonts w:ascii="Arial" w:cs="Arial" w:eastAsia="Arial" w:hAnsi="Arial"/>
                <w:sz w:val="18"/>
                <w:szCs w:val="18"/>
                <w:color w:val="auto"/>
              </w:rPr>
              <w:t>Delaware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Harlan Electric Company</w:t>
            </w:r>
          </w:p>
        </w:tc>
        <w:tc>
          <w:tcPr>
            <w:tcW w:w="5020" w:type="dxa"/>
            <w:vAlign w:val="bottom"/>
          </w:tcPr>
          <w:p>
            <w:pPr>
              <w:spacing w:after="0"/>
              <w:rPr>
                <w:sz w:val="20"/>
                <w:szCs w:val="20"/>
                <w:color w:val="auto"/>
              </w:rPr>
            </w:pPr>
            <w:r>
              <w:rPr>
                <w:rFonts w:ascii="Arial" w:cs="Arial" w:eastAsia="Arial" w:hAnsi="Arial"/>
                <w:sz w:val="18"/>
                <w:szCs w:val="18"/>
                <w:color w:val="auto"/>
              </w:rPr>
              <w:t>Michigan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Sturgeon Electric Company, Inc.</w:t>
            </w:r>
          </w:p>
        </w:tc>
        <w:tc>
          <w:tcPr>
            <w:tcW w:w="5020" w:type="dxa"/>
            <w:vAlign w:val="bottom"/>
          </w:tcPr>
          <w:p>
            <w:pPr>
              <w:spacing w:after="0"/>
              <w:rPr>
                <w:sz w:val="20"/>
                <w:szCs w:val="20"/>
                <w:color w:val="auto"/>
              </w:rPr>
            </w:pPr>
            <w:r>
              <w:rPr>
                <w:rFonts w:ascii="Arial" w:cs="Arial" w:eastAsia="Arial" w:hAnsi="Arial"/>
                <w:sz w:val="18"/>
                <w:szCs w:val="18"/>
                <w:color w:val="auto"/>
              </w:rPr>
              <w:t>Michigan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Great Southwestern Construction, Inc.</w:t>
            </w:r>
          </w:p>
        </w:tc>
        <w:tc>
          <w:tcPr>
            <w:tcW w:w="5020" w:type="dxa"/>
            <w:vAlign w:val="bottom"/>
          </w:tcPr>
          <w:p>
            <w:pPr>
              <w:spacing w:after="0"/>
              <w:rPr>
                <w:sz w:val="20"/>
                <w:szCs w:val="20"/>
                <w:color w:val="auto"/>
              </w:rPr>
            </w:pPr>
            <w:r>
              <w:rPr>
                <w:rFonts w:ascii="Arial" w:cs="Arial" w:eastAsia="Arial" w:hAnsi="Arial"/>
                <w:sz w:val="18"/>
                <w:szCs w:val="18"/>
                <w:color w:val="auto"/>
              </w:rPr>
              <w:t>Colorado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Transmission Services, Inc.</w:t>
            </w:r>
          </w:p>
        </w:tc>
        <w:tc>
          <w:tcPr>
            <w:tcW w:w="5020" w:type="dxa"/>
            <w:vAlign w:val="bottom"/>
          </w:tcPr>
          <w:p>
            <w:pPr>
              <w:spacing w:after="0"/>
              <w:rPr>
                <w:sz w:val="20"/>
                <w:szCs w:val="20"/>
                <w:color w:val="auto"/>
              </w:rPr>
            </w:pPr>
            <w:r>
              <w:rPr>
                <w:rFonts w:ascii="Arial" w:cs="Arial" w:eastAsia="Arial" w:hAnsi="Arial"/>
                <w:sz w:val="18"/>
                <w:szCs w:val="18"/>
                <w:color w:val="auto"/>
              </w:rPr>
              <w:t>Delaware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E.S. Boulos Company</w:t>
            </w:r>
          </w:p>
        </w:tc>
        <w:tc>
          <w:tcPr>
            <w:tcW w:w="5020" w:type="dxa"/>
            <w:vAlign w:val="bottom"/>
          </w:tcPr>
          <w:p>
            <w:pPr>
              <w:spacing w:after="0"/>
              <w:rPr>
                <w:sz w:val="20"/>
                <w:szCs w:val="20"/>
                <w:color w:val="auto"/>
              </w:rPr>
            </w:pPr>
            <w:r>
              <w:rPr>
                <w:rFonts w:ascii="Arial" w:cs="Arial" w:eastAsia="Arial" w:hAnsi="Arial"/>
                <w:sz w:val="18"/>
                <w:szCs w:val="18"/>
                <w:color w:val="auto"/>
              </w:rPr>
              <w:t>Delaware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Equipment,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Real Estate Holdings,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High Country Line Construction, Inc.</w:t>
            </w:r>
          </w:p>
        </w:tc>
        <w:tc>
          <w:tcPr>
            <w:tcW w:w="5020" w:type="dxa"/>
            <w:vAlign w:val="bottom"/>
          </w:tcPr>
          <w:p>
            <w:pPr>
              <w:spacing w:after="0"/>
              <w:rPr>
                <w:sz w:val="20"/>
                <w:szCs w:val="20"/>
                <w:color w:val="auto"/>
              </w:rPr>
            </w:pPr>
            <w:r>
              <w:rPr>
                <w:rFonts w:ascii="Arial" w:cs="Arial" w:eastAsia="Arial" w:hAnsi="Arial"/>
                <w:sz w:val="18"/>
                <w:szCs w:val="18"/>
                <w:color w:val="auto"/>
              </w:rPr>
              <w:t>Nevada Corporation</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GSW Integrated Services,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Sturgeon Electric California,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Sturgeon Transmission Services,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Real Estate Holdings Alaska, LLC</w:t>
            </w:r>
          </w:p>
        </w:tc>
        <w:tc>
          <w:tcPr>
            <w:tcW w:w="5020" w:type="dxa"/>
            <w:vAlign w:val="bottom"/>
          </w:tcPr>
          <w:p>
            <w:pPr>
              <w:spacing w:after="0"/>
              <w:rPr>
                <w:sz w:val="20"/>
                <w:szCs w:val="20"/>
                <w:color w:val="auto"/>
              </w:rPr>
            </w:pPr>
            <w:r>
              <w:rPr>
                <w:rFonts w:ascii="Arial" w:cs="Arial" w:eastAsia="Arial" w:hAnsi="Arial"/>
                <w:sz w:val="18"/>
                <w:szCs w:val="18"/>
                <w:color w:val="auto"/>
              </w:rPr>
              <w:t>Delaware Limited Liability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Group Construction Canada, Ltd.</w:t>
            </w:r>
          </w:p>
        </w:tc>
        <w:tc>
          <w:tcPr>
            <w:tcW w:w="5020" w:type="dxa"/>
            <w:vAlign w:val="bottom"/>
          </w:tcPr>
          <w:p>
            <w:pPr>
              <w:spacing w:after="0"/>
              <w:rPr>
                <w:sz w:val="20"/>
                <w:szCs w:val="20"/>
                <w:color w:val="auto"/>
              </w:rPr>
            </w:pPr>
            <w:r>
              <w:rPr>
                <w:rFonts w:ascii="Arial" w:cs="Arial" w:eastAsia="Arial" w:hAnsi="Arial"/>
                <w:sz w:val="18"/>
                <w:szCs w:val="18"/>
                <w:color w:val="auto"/>
              </w:rPr>
              <w:t>British Columbia, Canada Limited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Northern Transmission Services, Ltd.</w:t>
            </w:r>
          </w:p>
        </w:tc>
        <w:tc>
          <w:tcPr>
            <w:tcW w:w="5020" w:type="dxa"/>
            <w:vAlign w:val="bottom"/>
          </w:tcPr>
          <w:p>
            <w:pPr>
              <w:spacing w:after="0"/>
              <w:rPr>
                <w:sz w:val="20"/>
                <w:szCs w:val="20"/>
                <w:color w:val="auto"/>
              </w:rPr>
            </w:pPr>
            <w:r>
              <w:rPr>
                <w:rFonts w:ascii="Arial" w:cs="Arial" w:eastAsia="Arial" w:hAnsi="Arial"/>
                <w:sz w:val="18"/>
                <w:szCs w:val="18"/>
                <w:color w:val="auto"/>
              </w:rPr>
              <w:t>British Columbia, Canada Limited Company</w:t>
            </w: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MYR Transmission Services Canada, Ltd.</w:t>
            </w:r>
          </w:p>
        </w:tc>
        <w:tc>
          <w:tcPr>
            <w:tcW w:w="5020" w:type="dxa"/>
            <w:vAlign w:val="bottom"/>
          </w:tcPr>
          <w:p>
            <w:pPr>
              <w:spacing w:after="0"/>
              <w:rPr>
                <w:sz w:val="20"/>
                <w:szCs w:val="20"/>
                <w:color w:val="auto"/>
              </w:rPr>
            </w:pPr>
            <w:r>
              <w:rPr>
                <w:rFonts w:ascii="Arial" w:cs="Arial" w:eastAsia="Arial" w:hAnsi="Arial"/>
                <w:sz w:val="18"/>
                <w:szCs w:val="18"/>
                <w:color w:val="auto"/>
              </w:rPr>
              <w:t>British Columbia, Canada Limited Company</w:t>
            </w:r>
          </w:p>
        </w:tc>
      </w:tr>
      <w:tr>
        <w:trPr>
          <w:trHeight w:val="230"/>
        </w:trPr>
        <w:tc>
          <w:tcPr>
            <w:tcW w:w="11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Huen Electric, Inc.</w:t>
            </w:r>
          </w:p>
        </w:tc>
        <w:tc>
          <w:tcPr>
            <w:tcW w:w="5020" w:type="dxa"/>
            <w:vAlign w:val="bottom"/>
          </w:tcPr>
          <w:p>
            <w:pPr>
              <w:spacing w:after="0"/>
              <w:rPr>
                <w:sz w:val="20"/>
                <w:szCs w:val="20"/>
                <w:color w:val="auto"/>
              </w:rPr>
            </w:pPr>
            <w:r>
              <w:rPr>
                <w:rFonts w:ascii="Arial" w:cs="Arial" w:eastAsia="Arial" w:hAnsi="Arial"/>
                <w:sz w:val="18"/>
                <w:szCs w:val="18"/>
                <w:color w:val="auto"/>
              </w:rPr>
              <w:t>Delaware Corporation</w:t>
            </w:r>
          </w:p>
        </w:tc>
      </w:tr>
      <w:tr>
        <w:trPr>
          <w:trHeight w:val="675"/>
        </w:trPr>
        <w:tc>
          <w:tcPr>
            <w:tcW w:w="11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AND REAFFIRMATION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of the undersigned hereby acknowledges receipt of a copy of the foregoing Amendment No. 1 to the Amended and Restated Credit Agreement dated as of June 30, 2016 (as amended, restated, supplemented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MYR Group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from time to time party thereto (the “Lenders”) and JPMorgan Chase Bank, N.A., as Administrative Agent for the Lenders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which Amendment No. 1 is dated as of September 28, 2018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Lender, the undersigned (i) consents to the Amendment, (ii) reaffirms its obligations under the Subsidiary Guaranty, the Security Agreement and each and every other Loan Document to which it is a party and (iii) reaffirms all Liens on the Collateral which have been granted by it in favor of the Administrative Agent (for itself and the other Holders of the Secured Obligations) pursuant to any of the Loan Documents, and all filings made with a Governmental Authority in connection therewith,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Signature Page Follows</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HUEN ELECTRIC, INC.</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GSW INTEGRATED SERVICES, LLC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Jennifer Harper</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Brandon Lark</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Jennifer Harper</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Brandon Lark</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Treasurer</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President</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THE L.E. MYERS CO.</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STURGEON ELECTRIC CALIFORNIA, LLC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Jennifer Harper</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Mindie McIff</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Jennifer Harper</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Mindie McIff</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Treasurer</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President</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HARLAN ELECTRIC COMPANY</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STURGEON ELECTRIC COMPANY, INC.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Jennifer Harper</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Jennifer Harper</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Jennifer Harper</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Jennifer Harper</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Treasurer</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Treasurer</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w w:val="95"/>
              </w:rPr>
              <w:t>GREAT SOUTHWESTERN CONSTRUCTION, INC.</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MYR TRANSMISSION SERVICES, INC.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Brad Munden</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Brad Munden</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Brad Munden</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Brad Munden</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Secretary &amp; Treasurer</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Vice President, Secretary &amp; Treasurer</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E.S. BOULOS COMPANY</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MYR REAL ESTATE HOLDINGS, LLC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Jennifer Harper</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Michael Orndahl</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Jennifer Harper</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Michael Orndahl</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Treasurer</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Vice President, Secretary &amp; Treasurer</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MYR EQUIPMENT, LLC</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HIGH COUNTRY LINE CONSTRUCTION, INC.</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By:/s/ Mark Enos</w:t>
            </w:r>
          </w:p>
        </w:tc>
        <w:tc>
          <w:tcPr>
            <w:tcW w:w="13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By:/s/ Jennifer Harper</w:t>
            </w:r>
          </w:p>
        </w:tc>
      </w:tr>
      <w:tr>
        <w:trPr>
          <w:trHeight w:val="20"/>
        </w:trPr>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82"/>
        </w:trPr>
        <w:tc>
          <w:tcPr>
            <w:tcW w:w="3980" w:type="dxa"/>
            <w:vAlign w:val="bottom"/>
            <w:gridSpan w:val="2"/>
          </w:tcPr>
          <w:p>
            <w:pPr>
              <w:spacing w:after="0" w:line="182" w:lineRule="exact"/>
              <w:rPr>
                <w:sz w:val="20"/>
                <w:szCs w:val="20"/>
                <w:color w:val="auto"/>
              </w:rPr>
            </w:pPr>
            <w:r>
              <w:rPr>
                <w:rFonts w:ascii="Arial" w:cs="Arial" w:eastAsia="Arial" w:hAnsi="Arial"/>
                <w:sz w:val="18"/>
                <w:szCs w:val="18"/>
                <w:color w:val="auto"/>
              </w:rPr>
              <w:t>Name: Mark Enos</w:t>
            </w:r>
          </w:p>
        </w:tc>
        <w:tc>
          <w:tcPr>
            <w:tcW w:w="1380" w:type="dxa"/>
            <w:vAlign w:val="bottom"/>
          </w:tcPr>
          <w:p>
            <w:pPr>
              <w:spacing w:after="0"/>
              <w:rPr>
                <w:sz w:val="15"/>
                <w:szCs w:val="15"/>
                <w:color w:val="auto"/>
              </w:rPr>
            </w:pPr>
          </w:p>
        </w:tc>
        <w:tc>
          <w:tcPr>
            <w:tcW w:w="6060" w:type="dxa"/>
            <w:vAlign w:val="bottom"/>
            <w:gridSpan w:val="2"/>
          </w:tcPr>
          <w:p>
            <w:pPr>
              <w:ind w:left="680"/>
              <w:spacing w:after="0" w:line="182" w:lineRule="exact"/>
              <w:rPr>
                <w:sz w:val="20"/>
                <w:szCs w:val="20"/>
                <w:color w:val="auto"/>
              </w:rPr>
            </w:pPr>
            <w:r>
              <w:rPr>
                <w:rFonts w:ascii="Arial" w:cs="Arial" w:eastAsia="Arial" w:hAnsi="Arial"/>
                <w:sz w:val="18"/>
                <w:szCs w:val="18"/>
                <w:color w:val="auto"/>
              </w:rPr>
              <w:t>Name: Jennifer Harper</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Title: Chief Executive Officer &amp; President</w:t>
            </w:r>
          </w:p>
        </w:tc>
        <w:tc>
          <w:tcPr>
            <w:tcW w:w="13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Title: Treasurer</w:t>
            </w:r>
          </w:p>
        </w:tc>
      </w:tr>
      <w:tr>
        <w:trPr>
          <w:trHeight w:val="432"/>
        </w:trPr>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40" w:type="dxa"/>
            <w:vAlign w:val="bottom"/>
            <w:gridSpan w:val="3"/>
          </w:tcPr>
          <w:p>
            <w:pPr>
              <w:ind w:left="20"/>
              <w:spacing w:after="0"/>
              <w:rPr>
                <w:sz w:val="20"/>
                <w:szCs w:val="20"/>
                <w:color w:val="auto"/>
              </w:rPr>
            </w:pPr>
            <w:r>
              <w:rPr>
                <w:rFonts w:ascii="Arial" w:cs="Arial" w:eastAsia="Arial" w:hAnsi="Arial"/>
                <w:sz w:val="18"/>
                <w:szCs w:val="18"/>
                <w:color w:val="auto"/>
              </w:rPr>
              <w:t>Signature Page to Consent and Reaffirmation to</w:t>
            </w:r>
          </w:p>
        </w:tc>
      </w:tr>
    </w:tbl>
    <w:p>
      <w:pPr>
        <w:jc w:val="center"/>
        <w:spacing w:after="0"/>
        <w:rPr>
          <w:sz w:val="20"/>
          <w:szCs w:val="20"/>
          <w:color w:val="auto"/>
        </w:rPr>
      </w:pPr>
      <w:r>
        <w:rPr>
          <w:rFonts w:ascii="Arial" w:cs="Arial" w:eastAsia="Arial" w:hAnsi="Arial"/>
          <w:sz w:val="18"/>
          <w:szCs w:val="18"/>
          <w:color w:val="auto"/>
        </w:rPr>
        <w:t>Amendment No. 1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2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2"/>
    </w:lvl>
    <w:lvl w:ilvl="1">
      <w:lvlJc w:val="left"/>
      <w:lvlText w:val="(%2)"/>
      <w:numFmt w:val="lowerLetter"/>
      <w:start w:val="1"/>
    </w:lvl>
  </w:abstractNum>
  <w:abstractNum w:abstractNumId="14">
    <w:nsid w:val="4353D0CD"/>
    <w:multiLevelType w:val="hybridMultilevel"/>
    <w:lvl w:ilvl="0">
      <w:lvlJc w:val="left"/>
      <w:lvlText w:val="(%1)"/>
      <w:numFmt w:val="lowerRoman"/>
      <w:start w:val="1"/>
    </w:lvl>
  </w:abstractNum>
  <w:abstractNum w:abstractNumId="15">
    <w:nsid w:val="B03E0C6"/>
    <w:multiLevelType w:val="hybridMultilevel"/>
    <w:lvl w:ilvl="0">
      <w:lvlJc w:val="left"/>
      <w:lvlText w:val="(%1)"/>
      <w:numFmt w:val="lowerRoman"/>
      <w:start w:val="2"/>
    </w:lvl>
  </w:abstractNum>
  <w:abstractNum w:abstractNumId="16">
    <w:nsid w:val="189A769B"/>
    <w:multiLevelType w:val="hybridMultilevel"/>
    <w:lvl w:ilvl="0">
      <w:lvlJc w:val="left"/>
      <w:lvlText w:val="%1"/>
      <w:numFmt w:val="lowerLetter"/>
      <w:start w:val="1"/>
    </w:lvl>
    <w:lvl w:ilvl="1">
      <w:lvlJc w:val="left"/>
      <w:lvlText w:val="(%2)"/>
      <w:numFmt w:val="lowerLetter"/>
      <w:start w:val="3"/>
    </w:lvl>
  </w:abstractNum>
  <w:abstractNum w:abstractNumId="17">
    <w:nsid w:val="54E49EB4"/>
    <w:multiLevelType w:val="hybridMultilevel"/>
    <w:lvl w:ilvl="0">
      <w:lvlJc w:val="left"/>
      <w:lvlText w:val="(%1)"/>
      <w:numFmt w:val="lowerLetter"/>
      <w:start w:val="24"/>
    </w:lvl>
    <w:lvl w:ilvl="1">
      <w:lvlJc w:val="left"/>
      <w:lvlText w:val="%2"/>
      <w:numFmt w:val="lowerLetter"/>
      <w:start w:val="1"/>
    </w:lvl>
  </w:abstractNum>
  <w:abstractNum w:abstractNumId="18">
    <w:nsid w:val="71F32454"/>
    <w:multiLevelType w:val="hybridMultilevel"/>
    <w:lvl w:ilvl="0">
      <w:lvlJc w:val="left"/>
      <w:lvlText w:val="(%1)"/>
      <w:numFmt w:val="lowerLetter"/>
      <w:start w:val="3"/>
    </w:lvl>
  </w:abstractNum>
  <w:abstractNum w:abstractNumId="19">
    <w:nsid w:val="2CA88611"/>
    <w:multiLevelType w:val="hybridMultilevel"/>
    <w:lvl w:ilvl="0">
      <w:lvlJc w:val="left"/>
      <w:lvlText w:val="(%1)"/>
      <w:numFmt w:val="lowerLetter"/>
      <w:start w:val="5"/>
    </w:lvl>
  </w:abstractNum>
  <w:abstractNum w:abstractNumId="20">
    <w:nsid w:val="836C40E"/>
    <w:multiLevelType w:val="hybridMultilevel"/>
    <w:lvl w:ilvl="0">
      <w:lvlJc w:val="left"/>
      <w:lvlText w:val="(%1)"/>
      <w:numFmt w:val="lowerLetter"/>
      <w:start w:val="4"/>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upperLetter"/>
      <w:start w:val="1"/>
    </w:lvl>
    <w:lvl w:ilvl="1">
      <w:lvlJc w:val="left"/>
      <w:lvlText w:val="(%2)"/>
      <w:numFmt w:val="lowerLetter"/>
      <w:start w:val="1"/>
    </w:lvl>
  </w:abstractNum>
  <w:abstractNum w:abstractNumId="23">
    <w:nsid w:val="8138641"/>
    <w:multiLevelType w:val="hybridMultilevel"/>
    <w:lvl w:ilvl="0">
      <w:lvlJc w:val="left"/>
      <w:lvlText w:val="(%1)"/>
      <w:numFmt w:val="upperLetter"/>
      <w:start w:val="1"/>
    </w:lvl>
    <w:lvl w:ilvl="1">
      <w:lvlJc w:val="left"/>
      <w:lvlText w:val="(%2)"/>
      <w:numFmt w:val="lowerLetter"/>
      <w:start w:val="6"/>
    </w:lvl>
  </w:abstractNum>
  <w:abstractNum w:abstractNumId="24">
    <w:nsid w:val="1E7FF521"/>
    <w:multiLevelType w:val="hybridMultilevel"/>
    <w:lvl w:ilvl="0">
      <w:lvlJc w:val="left"/>
      <w:lvlText w:val="(%1)"/>
      <w:numFmt w:val="lowerLetter"/>
      <w:start w:val="8"/>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3"/>
    </w:lvl>
  </w:abstractNum>
  <w:abstractNum w:abstractNumId="28">
    <w:nsid w:val="22221A70"/>
    <w:multiLevelType w:val="hybridMultilevel"/>
    <w:lvl w:ilvl="0">
      <w:lvlJc w:val="left"/>
      <w:lvlText w:val="%1."/>
      <w:numFmt w:val="decimal"/>
      <w:start w:val="4"/>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5"/>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2019-12-28T18:58:10Z</dcterms:created>
  <dcterms:modified xsi:type="dcterms:W3CDTF">2019-12-28T18:58:10Z</dcterms:modified>
</cp:coreProperties>
</file>