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337" w:lineRule="exact"/>
        <w:rPr>
          <w:sz w:val="24"/>
          <w:szCs w:val="24"/>
          <w:color w:val="auto"/>
        </w:rPr>
      </w:pPr>
    </w:p>
    <w:p>
      <w:pPr>
        <w:ind w:left="3540" w:right="1600" w:hanging="3208"/>
        <w:spacing w:after="0" w:line="477" w:lineRule="auto"/>
        <w:tabs>
          <w:tab w:leader="none" w:pos="64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w:t>
      </w:r>
      <w:r>
        <w:rPr>
          <w:rFonts w:ascii="Arial" w:cs="Arial" w:eastAsia="Arial" w:hAnsi="Arial"/>
          <w:sz w:val="21"/>
          <w:szCs w:val="21"/>
          <w:b w:val="1"/>
          <w:bCs w:val="1"/>
          <w:color w:val="auto"/>
        </w:rPr>
        <w:t>or the quarterly period ended March 31,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MYR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00" w:type="dxa"/>
        <w:tblCellMar>
          <w:top w:w="0" w:type="dxa"/>
          <w:left w:w="0" w:type="dxa"/>
          <w:bottom w:w="0" w:type="dxa"/>
          <w:right w:w="0" w:type="dxa"/>
        </w:tblCellMar>
      </w:tblPr>
      <w:tr>
        <w:trPr>
          <w:trHeight w:val="220"/>
        </w:trPr>
        <w:tc>
          <w:tcPr>
            <w:tcW w:w="392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Delaware</w:t>
            </w:r>
          </w:p>
        </w:tc>
        <w:tc>
          <w:tcPr>
            <w:tcW w:w="4320" w:type="dxa"/>
            <w:vAlign w:val="bottom"/>
          </w:tcPr>
          <w:p>
            <w:pPr>
              <w:jc w:val="right"/>
              <w:ind w:right="790"/>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3920" w:type="dxa"/>
            <w:vAlign w:val="bottom"/>
          </w:tcPr>
          <w:p>
            <w:pPr>
              <w:jc w:val="center"/>
              <w:ind w:right="1610"/>
              <w:spacing w:after="0"/>
              <w:rPr>
                <w:sz w:val="20"/>
                <w:szCs w:val="20"/>
                <w:color w:val="auto"/>
              </w:rPr>
            </w:pPr>
            <w:r>
              <w:rPr>
                <w:rFonts w:ascii="Arial" w:cs="Arial" w:eastAsia="Arial" w:hAnsi="Arial"/>
                <w:sz w:val="18"/>
                <w:szCs w:val="18"/>
                <w:color w:val="auto"/>
                <w:w w:val="93"/>
              </w:rPr>
              <w:t>(State or other jurisdiction of</w:t>
            </w:r>
          </w:p>
        </w:tc>
        <w:tc>
          <w:tcPr>
            <w:tcW w:w="4320" w:type="dxa"/>
            <w:vAlign w:val="bottom"/>
          </w:tcPr>
          <w:p>
            <w:pPr>
              <w:jc w:val="center"/>
              <w:ind w:left="16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920" w:type="dxa"/>
            <w:vAlign w:val="bottom"/>
          </w:tcPr>
          <w:p>
            <w:pPr>
              <w:jc w:val="center"/>
              <w:ind w:right="1610"/>
              <w:spacing w:after="0"/>
              <w:rPr>
                <w:sz w:val="20"/>
                <w:szCs w:val="20"/>
                <w:color w:val="auto"/>
              </w:rPr>
            </w:pPr>
            <w:r>
              <w:rPr>
                <w:rFonts w:ascii="Arial" w:cs="Arial" w:eastAsia="Arial" w:hAnsi="Arial"/>
                <w:sz w:val="18"/>
                <w:szCs w:val="18"/>
                <w:color w:val="auto"/>
                <w:w w:val="93"/>
              </w:rPr>
              <w:t>incorporation or organization)</w:t>
            </w:r>
          </w:p>
        </w:tc>
        <w:tc>
          <w:tcPr>
            <w:tcW w:w="4320" w:type="dxa"/>
            <w:vAlign w:val="bottom"/>
          </w:tcPr>
          <w:p>
            <w:pPr>
              <w:spacing w:after="0"/>
              <w:rPr>
                <w:sz w:val="20"/>
                <w:szCs w:val="20"/>
                <w:color w:val="auto"/>
              </w:rPr>
            </w:pPr>
          </w:p>
        </w:tc>
      </w:tr>
      <w:tr>
        <w:trPr>
          <w:trHeight w:val="414"/>
        </w:trPr>
        <w:tc>
          <w:tcPr>
            <w:tcW w:w="392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1701 Golf Road, Suite 3-1012</w:t>
            </w:r>
          </w:p>
        </w:tc>
        <w:tc>
          <w:tcPr>
            <w:tcW w:w="4320" w:type="dxa"/>
            <w:vAlign w:val="bottom"/>
          </w:tcPr>
          <w:p>
            <w:pPr>
              <w:jc w:val="right"/>
              <w:ind w:right="1010"/>
              <w:spacing w:after="0"/>
              <w:rPr>
                <w:sz w:val="20"/>
                <w:szCs w:val="20"/>
                <w:color w:val="auto"/>
              </w:rPr>
            </w:pPr>
            <w:r>
              <w:rPr>
                <w:rFonts w:ascii="Arial" w:cs="Arial" w:eastAsia="Arial" w:hAnsi="Arial"/>
                <w:sz w:val="18"/>
                <w:szCs w:val="18"/>
                <w:b w:val="1"/>
                <w:bCs w:val="1"/>
                <w:color w:val="auto"/>
              </w:rPr>
              <w:t>60008</w:t>
            </w:r>
          </w:p>
        </w:tc>
      </w:tr>
      <w:tr>
        <w:trPr>
          <w:trHeight w:val="234"/>
        </w:trPr>
        <w:tc>
          <w:tcPr>
            <w:tcW w:w="392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Rolling Meadows, IL</w:t>
            </w:r>
          </w:p>
        </w:tc>
        <w:tc>
          <w:tcPr>
            <w:tcW w:w="4320" w:type="dxa"/>
            <w:vAlign w:val="bottom"/>
          </w:tcPr>
          <w:p>
            <w:pPr>
              <w:jc w:val="center"/>
              <w:ind w:left="1590"/>
              <w:spacing w:after="0"/>
              <w:rPr>
                <w:sz w:val="20"/>
                <w:szCs w:val="20"/>
                <w:color w:val="auto"/>
              </w:rPr>
            </w:pPr>
            <w:r>
              <w:rPr>
                <w:rFonts w:ascii="Arial" w:cs="Arial" w:eastAsia="Arial" w:hAnsi="Arial"/>
                <w:sz w:val="18"/>
                <w:szCs w:val="18"/>
                <w:color w:val="auto"/>
                <w:w w:val="94"/>
              </w:rPr>
              <w:t>(Zip Code)</w:t>
            </w:r>
          </w:p>
        </w:tc>
      </w:tr>
    </w:tbl>
    <w:p>
      <w:pPr>
        <w:ind w:left="13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(847) 290-1891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4860" w:type="dxa"/>
            <w:vAlign w:val="bottom"/>
          </w:tcPr>
          <w:p>
            <w:pPr>
              <w:jc w:val="center"/>
              <w:ind w:right="143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720" w:type="dxa"/>
            <w:vAlign w:val="bottom"/>
          </w:tcPr>
          <w:p>
            <w:pPr>
              <w:jc w:val="center"/>
              <w:ind w:left="1430"/>
              <w:spacing w:after="0" w:line="207" w:lineRule="exact"/>
              <w:rPr>
                <w:sz w:val="20"/>
                <w:szCs w:val="20"/>
                <w:color w:val="auto"/>
              </w:rPr>
            </w:pPr>
            <w:r>
              <w:rPr>
                <w:rFonts w:ascii="Arial" w:cs="Arial" w:eastAsia="Arial" w:hAnsi="Arial"/>
                <w:sz w:val="18"/>
                <w:szCs w:val="18"/>
                <w:color w:val="auto"/>
                <w:w w:val="92"/>
              </w:rPr>
              <w:t xml:space="preserve">Accelerated filer </w:t>
            </w:r>
            <w:r>
              <w:rPr>
                <w:rFonts w:ascii="MS PGothic" w:cs="MS PGothic" w:eastAsia="MS PGothic" w:hAnsi="MS PGothic"/>
                <w:sz w:val="18"/>
                <w:szCs w:val="18"/>
                <w:color w:val="auto"/>
                <w:w w:val="92"/>
              </w:rPr>
              <w:t>☒</w:t>
            </w:r>
          </w:p>
        </w:tc>
      </w:tr>
      <w:tr>
        <w:trPr>
          <w:trHeight w:val="216"/>
        </w:trPr>
        <w:tc>
          <w:tcPr>
            <w:tcW w:w="4860" w:type="dxa"/>
            <w:vAlign w:val="bottom"/>
          </w:tcPr>
          <w:p>
            <w:pPr>
              <w:jc w:val="center"/>
              <w:ind w:right="1430"/>
              <w:spacing w:after="0" w:line="207" w:lineRule="exact"/>
              <w:rPr>
                <w:sz w:val="20"/>
                <w:szCs w:val="20"/>
                <w:color w:val="auto"/>
              </w:rPr>
            </w:pPr>
            <w:r>
              <w:rPr>
                <w:rFonts w:ascii="Arial" w:cs="Arial" w:eastAsia="Arial" w:hAnsi="Arial"/>
                <w:sz w:val="18"/>
                <w:szCs w:val="18"/>
                <w:color w:val="auto"/>
                <w:w w:val="92"/>
              </w:rPr>
              <w:t xml:space="preserve">Non-accelerated filer </w:t>
            </w:r>
            <w:r>
              <w:rPr>
                <w:rFonts w:ascii="MS PGothic" w:cs="MS PGothic" w:eastAsia="MS PGothic" w:hAnsi="MS PGothic"/>
                <w:sz w:val="18"/>
                <w:szCs w:val="18"/>
                <w:color w:val="auto"/>
                <w:w w:val="92"/>
              </w:rPr>
              <w:t>☐</w:t>
            </w:r>
          </w:p>
        </w:tc>
        <w:tc>
          <w:tcPr>
            <w:tcW w:w="3720" w:type="dxa"/>
            <w:vAlign w:val="bottom"/>
          </w:tcPr>
          <w:p>
            <w:pPr>
              <w:jc w:val="center"/>
              <w:ind w:left="14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83"/>
        </w:trPr>
        <w:tc>
          <w:tcPr>
            <w:tcW w:w="4860" w:type="dxa"/>
            <w:vAlign w:val="bottom"/>
          </w:tcPr>
          <w:p>
            <w:pPr>
              <w:jc w:val="center"/>
              <w:ind w:right="1430"/>
              <w:spacing w:after="0"/>
              <w:rPr>
                <w:sz w:val="20"/>
                <w:szCs w:val="20"/>
                <w:color w:val="auto"/>
              </w:rPr>
            </w:pPr>
            <w:r>
              <w:rPr>
                <w:rFonts w:ascii="Arial" w:cs="Arial" w:eastAsia="Arial" w:hAnsi="Arial"/>
                <w:sz w:val="18"/>
                <w:szCs w:val="18"/>
                <w:color w:val="auto"/>
                <w:w w:val="91"/>
              </w:rPr>
              <w:t>(Do not check if a smaller reporting company)</w:t>
            </w:r>
          </w:p>
        </w:tc>
        <w:tc>
          <w:tcPr>
            <w:tcW w:w="3720" w:type="dxa"/>
            <w:vAlign w:val="bottom"/>
          </w:tcPr>
          <w:p>
            <w:pPr>
              <w:jc w:val="center"/>
              <w:ind w:left="14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spacing w:after="0" w:line="18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24, 2018, there were 16,496,984 outstanding shares of the registrant’s $0.01 par value common stock.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MYR Group Inc.’s internet website address is www.myrgroup.com. Our annual reports on Form 10-K, quarterly reports on Form 10-Q, current reports on Form 8-K, and amendments to those reports filed or furnished pursuant to Section 13(a) or 15(d) of the Securities Exchange Act of 1934 (the “Exchange Act”) will be available free of charge through our website as soon as reasonably practicable after they are electronically filed with, or furnished to, the Securities and Exchange Commission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6"/>
          </w:tcPr>
          <w:p>
            <w:pPr>
              <w:ind w:left="6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CCEEFF"/>
            </w:tcBorders>
            <w:gridSpan w:val="10"/>
            <w:shd w:val="clear" w:color="auto" w:fill="CCEEFF"/>
          </w:tcPr>
          <w:p>
            <w:pPr>
              <w:jc w:val="center"/>
              <w:ind w:right="2300"/>
              <w:spacing w:after="0"/>
              <w:rPr>
                <w:sz w:val="20"/>
                <w:szCs w:val="20"/>
                <w:color w:val="auto"/>
              </w:rPr>
            </w:pPr>
            <w:r>
              <w:rPr>
                <w:rFonts w:ascii="Arial" w:cs="Arial" w:eastAsia="Arial" w:hAnsi="Arial"/>
                <w:sz w:val="18"/>
                <w:szCs w:val="18"/>
                <w:b w:val="1"/>
                <w:bCs w:val="1"/>
                <w:color w:val="auto"/>
                <w:w w:val="95"/>
              </w:rPr>
              <w:t>Part I—Financial Information</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2018 (unaudited) and December 31, 2017</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17"/>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Consolidated Statements of Operations and Comprehensive Income for the Three Months Ended March 31, 2018</w:t>
              </w:r>
            </w:hyperlink>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2017</w:t>
              </w:r>
            </w:hyperlink>
          </w:p>
        </w:tc>
        <w:tc>
          <w:tcPr>
            <w:tcW w:w="180" w:type="dxa"/>
            <w:vAlign w:val="bottom"/>
          </w:tcPr>
          <w:p>
            <w:pPr>
              <w:spacing w:after="0"/>
              <w:rPr>
                <w:sz w:val="17"/>
                <w:szCs w:val="17"/>
                <w:color w:val="auto"/>
              </w:rPr>
            </w:pPr>
          </w:p>
        </w:tc>
        <w:tc>
          <w:tcPr>
            <w:tcW w:w="116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380" w:type="dxa"/>
            <w:vAlign w:val="bottom"/>
            <w:gridSpan w:val="15"/>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Cash Flows for Three Months Ended March 31, 2018 and 2017</w:t>
              </w:r>
            </w:hyperlink>
          </w:p>
        </w:tc>
        <w:tc>
          <w:tcPr>
            <w:tcW w:w="1740" w:type="dxa"/>
            <w:vAlign w:val="bottom"/>
            <w:gridSpan w:val="2"/>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1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1740" w:type="dxa"/>
            <w:vAlign w:val="bottom"/>
            <w:gridSpan w:val="2"/>
          </w:tcPr>
          <w:p>
            <w:pPr>
              <w:spacing w:after="0"/>
              <w:rPr>
                <w:sz w:val="15"/>
                <w:szCs w:val="15"/>
                <w:color w:val="auto"/>
              </w:rPr>
            </w:pPr>
          </w:p>
        </w:tc>
        <w:tc>
          <w:tcPr>
            <w:tcW w:w="114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2.</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tcBorders>
              <w:bottom w:val="single" w:sz="8" w:color="CCEEFF"/>
            </w:tcBorders>
            <w:gridSpan w:val="3"/>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120" w:type="dxa"/>
            <w:vAlign w:val="bottom"/>
            <w:gridSpan w:val="17"/>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800" w:type="dxa"/>
            <w:vAlign w:val="bottom"/>
            <w:tcBorders>
              <w:top w:val="single" w:sz="8" w:color="CCEEFF"/>
            </w:tcBorders>
            <w:gridSpan w:val="10"/>
          </w:tcPr>
          <w:p>
            <w:pPr>
              <w:jc w:val="center"/>
              <w:ind w:right="2340"/>
              <w:spacing w:after="0" w:line="176" w:lineRule="exact"/>
              <w:rPr>
                <w:rFonts w:ascii="Arial" w:cs="Arial" w:eastAsia="Arial" w:hAnsi="Arial"/>
                <w:sz w:val="18"/>
                <w:szCs w:val="18"/>
                <w:b w:val="1"/>
                <w:bCs w:val="1"/>
                <w:color w:val="0000EE"/>
                <w:w w:val="97"/>
              </w:rPr>
            </w:pPr>
            <w:hyperlink w:anchor="page27">
              <w:r>
                <w:rPr>
                  <w:rFonts w:ascii="Arial" w:cs="Arial" w:eastAsia="Arial" w:hAnsi="Arial"/>
                  <w:sz w:val="18"/>
                  <w:szCs w:val="18"/>
                  <w:b w:val="1"/>
                  <w:bCs w:val="1"/>
                  <w:color w:val="0000EE"/>
                  <w:w w:val="97"/>
                </w:rPr>
                <w:t>Part II—Other Information</w:t>
              </w:r>
            </w:hyperlink>
          </w:p>
        </w:tc>
        <w:tc>
          <w:tcPr>
            <w:tcW w:w="96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1.</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7780" w:type="dxa"/>
            <w:vAlign w:val="bottom"/>
            <w:tcBorders>
              <w:bottom w:val="single" w:sz="8" w:color="CCEEFF"/>
            </w:tcBorders>
            <w:gridSpan w:val="1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120" w:type="dxa"/>
            <w:vAlign w:val="bottom"/>
            <w:gridSpan w:val="1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2.</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3.</w:t>
              </w:r>
            </w:hyperlink>
          </w:p>
        </w:tc>
        <w:tc>
          <w:tcPr>
            <w:tcW w:w="640" w:type="dxa"/>
            <w:vAlign w:val="bottom"/>
            <w:tcBorders>
              <w:top w:val="single" w:sz="8" w:color="CCEEFF"/>
            </w:tcBorders>
            <w:gridSpan w:val="2"/>
          </w:tcPr>
          <w:p>
            <w:pPr>
              <w:spacing w:after="0"/>
              <w:rPr>
                <w:sz w:val="15"/>
                <w:szCs w:val="15"/>
                <w:color w:val="auto"/>
              </w:rPr>
            </w:pPr>
          </w:p>
        </w:tc>
        <w:tc>
          <w:tcPr>
            <w:tcW w:w="43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780" w:type="dxa"/>
            <w:vAlign w:val="bottom"/>
            <w:tcBorders>
              <w:top w:val="single" w:sz="8" w:color="CCEEFF"/>
            </w:tcBorders>
            <w:gridSpan w:val="7"/>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4.</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5.</w:t>
              </w:r>
            </w:hyperlink>
          </w:p>
        </w:tc>
        <w:tc>
          <w:tcPr>
            <w:tcW w:w="640" w:type="dxa"/>
            <w:vAlign w:val="bottom"/>
            <w:tcBorders>
              <w:top w:val="single" w:sz="8" w:color="CCEEFF"/>
            </w:tcBorders>
            <w:gridSpan w:val="2"/>
          </w:tcPr>
          <w:p>
            <w:pPr>
              <w:spacing w:after="0"/>
              <w:rPr>
                <w:sz w:val="15"/>
                <w:szCs w:val="15"/>
                <w:color w:val="auto"/>
              </w:rPr>
            </w:pPr>
          </w:p>
        </w:tc>
        <w:tc>
          <w:tcPr>
            <w:tcW w:w="17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7360" w:type="dxa"/>
            <w:vAlign w:val="bottom"/>
            <w:tcBorders>
              <w:top w:val="single" w:sz="8" w:color="CCEEFF"/>
            </w:tcBorders>
            <w:gridSpan w:val="11"/>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912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$537 and $605,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256,364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283,008</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78,260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4,221</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Refundable income taxes,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8,513</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363,537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$238,112 and $231,391,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151,570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148,084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$5,305 and $5,183,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10,720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10,852</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Investment in joint ventures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r>
      <w:tr>
        <w:trPr>
          <w:trHeight w:val="263"/>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591,591</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603,788</w:t>
            </w:r>
          </w:p>
        </w:tc>
        <w:tc>
          <w:tcPr>
            <w:tcW w:w="100" w:type="dxa"/>
            <w:vAlign w:val="bottom"/>
            <w:tcBorders>
              <w:bottom w:val="single" w:sz="8" w:color="CCEEFF"/>
            </w:tcBorders>
          </w:tcPr>
          <w:p>
            <w:pPr>
              <w:spacing w:after="0"/>
              <w:rPr>
                <w:sz w:val="22"/>
                <w:szCs w:val="22"/>
                <w:color w:val="auto"/>
              </w:rPr>
            </w:pPr>
          </w:p>
        </w:tc>
      </w:tr>
      <w:tr>
        <w:trPr>
          <w:trHeight w:val="197"/>
        </w:trPr>
        <w:tc>
          <w:tcPr>
            <w:tcW w:w="8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60" w:type="dxa"/>
            <w:vAlign w:val="bottom"/>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110,383</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18,699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28,919</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accrued self-insurance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13,138</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Income taxes payable,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35,038</w:t>
            </w:r>
          </w:p>
        </w:tc>
      </w:tr>
      <w:tr>
        <w:trPr>
          <w:trHeight w:val="210"/>
        </w:trPr>
        <w:tc>
          <w:tcPr>
            <w:tcW w:w="84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188,564</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13,452</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67,381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78,960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Accrued self-insurance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2,629</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r>
      <w:tr>
        <w:trPr>
          <w:trHeight w:val="210"/>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298,163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316,749</w:t>
            </w:r>
          </w:p>
        </w:tc>
        <w:tc>
          <w:tcPr>
            <w:tcW w:w="10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stock—$0.01 par value per share; 4,000,000 authorized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none issued and outstanding at March 31, 2018 and December 31,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stock—$0.01 par value per share; 100,000,000 authorized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460" w:type="dxa"/>
            <w:vAlign w:val="bottom"/>
          </w:tcPr>
          <w:p>
            <w:pPr>
              <w:ind w:left="340"/>
              <w:spacing w:after="0" w:line="201" w:lineRule="exact"/>
              <w:rPr>
                <w:sz w:val="20"/>
                <w:szCs w:val="20"/>
                <w:color w:val="auto"/>
              </w:rPr>
            </w:pPr>
            <w:r>
              <w:rPr>
                <w:rFonts w:ascii="Arial" w:cs="Arial" w:eastAsia="Arial" w:hAnsi="Arial"/>
                <w:sz w:val="18"/>
                <w:szCs w:val="18"/>
                <w:color w:val="auto"/>
                <w:w w:val="98"/>
              </w:rPr>
              <w:t>16,492,060 and 16,464,757 shares issued and outstanding at March 31, 2018 and December 31, 2017,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143,934</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143,241</w:t>
            </w:r>
          </w:p>
        </w:tc>
      </w:tr>
      <w:tr>
        <w:trPr>
          <w:trHeight w:val="210"/>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293,428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287,039</w:t>
            </w:r>
          </w:p>
        </w:tc>
        <w:tc>
          <w:tcPr>
            <w:tcW w:w="100" w:type="dxa"/>
            <w:vAlign w:val="bottom"/>
            <w:tcBorders>
              <w:bottom w:val="single" w:sz="8" w:color="CCEEFF"/>
            </w:tcBorders>
          </w:tcPr>
          <w:p>
            <w:pPr>
              <w:spacing w:after="0"/>
              <w:rPr>
                <w:sz w:val="18"/>
                <w:szCs w:val="18"/>
                <w:color w:val="auto"/>
              </w:rPr>
            </w:pPr>
          </w:p>
        </w:tc>
      </w:tr>
      <w:tr>
        <w:trPr>
          <w:trHeight w:val="22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591,591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92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gridSpan w:val="5"/>
          </w:tcPr>
          <w:p>
            <w:pPr>
              <w:ind w:left="1580"/>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345,611</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Contract costs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309,858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274,389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28,280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63"/>
        </w:trPr>
        <w:tc>
          <w:tcPr>
            <w:tcW w:w="8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per common share:</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5,644</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92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302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5,644</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9,275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26,041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(15,131)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(10,191)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9,666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(14,497)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repayments under revolving lines of credit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 of principal obligations under capital leases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Repurchase of common shares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used in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5,343</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End of period</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right="74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MYR Group Inc. (the “Company”) is a holding company of specialty electrical construction service providers and conducts operations through its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MYR Transmission Services Canada, Ltd., a British Columbia corporation; Northern Transmission Services, Ltd., a British Columbia corporation and Western Pacific Enterprises Ltd., a British Columbia corporation.</w:t>
      </w:r>
    </w:p>
    <w:p>
      <w:pPr>
        <w:spacing w:after="0" w:line="18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local governments and developers in the western and northeastern United States and western Canada. The C&amp;I segment electrical contracting services to general contractors, commercial and industrial facility owners, local governments and developers in the western and northeastern United States and western Canada.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consolidated financial statements of the Company have been prepared in accordance with accounting principles generally accepted in the United States of America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and cash flows with respect to the interim consolidated financial statements, have been included. Certain reclassifications were made to prior year amounts to conform to the current year presentation. The consolidated balance sheet as of December 31, 2017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2017, included in the Company’s Annual Report on Form 10-K, which was filed with the SEC on March 7,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losses were not significant for the three months ended March 31, 2018 and 2017. Effective foreign currency transaction gains and losses, arising primarily from long-term monetary assets and liabilities, are recorded in the foreign currency translation adjustment line on the consolidated statements of comprehensive income.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does not charge interest to its customers and carries its customer receivables at their face amounts, less an allowance for doubtful accounts. Included in accounts receivable are balances billed to customers pursuant to retainage provisions in certain contracts that are due upon completion of the contract and acceptance by the customer, or earlier as provided by the contract. Based on the Company’s experience in recent years, the majority of customer balances at each balance sheet date are collected within twelve months. As is common practice in the industry, the Company classifies all accounts receivable, including retainage, as current assets. The contracting cycle for certain long-term contracts may extend beyond one year, and accordingly, collection of retainage on those contracts may extend beyond one year. The Company expects a majority of the retainage recorded at March 31, 2018 to be collected within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1"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three months ended March 31, 2018, the Company recognized revenues of $16.1 million related to significant change orders and/or claims that had been included as contract price adjustments on certain contracts which are in the process of being negotiated in the normal course of business.</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percentage of completion method of accounting requires the Company to make estimates about the expected revenue and gross profit on each of its contracts in process. During the three months ended March 31, 2018, changes in estimates pertaining to certain projects decreased consolidated gross margin by 0.1%, which resulted in decreases in operating income of $0.3 million, net income of $0.2 million and diluted earnings per common share of $0.01. During the three months ended March 31, 2017, changes in estimates pertaining to certain projects increased consolidated gross margin by 0.4%, which resulted in increases in operating income of $1.1 million, net income of $0.6 million and diluted earnings per common share of $0.04.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amendments under this pronouncement changed how an entity recognizes revenue from contracts it enters to transfer goods, services or nonfinancial assets to its customers. These changes created a comprehensive framework for all entities in all industries to apply in the determination of when to recognize revenue, and, therefore, supersede virtually all existing revenue recognition requirements and guidance. This framework is expected to result in less complex guidance in application while providing a consistent and comparable methodology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Step 1: Identify the contract(s) with the customer; Step 2: Identify the performance obligations in the contract; Step 3: Determine the transaction price; Step 4: Allocate the transaction price to the performance obligations in the contract; Step 5: Recognize revenue when, or as, the entity satisfies the performance obligations. In addition, the amendments require expanded disclosure to enable the users of the financial statements to understand the nature, timing and uncertainty of revenue and cash flow arising from contracts with customers. On January 1, 2018, the Company adopted this ASU on a modified retrospective basis. The adoption of this ASU resulted in the recognition of the cumulative effect of applying the new revenue standard as an adjustment of $0.7 million, net of tax, to the opening balance of retained earnings at the beginning of 2018, representing revenues which would have been recognized in prior periods under Topic 606. Results for reporting periods beginning after January 1, 2018 are presented under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while prior period amounts are not adjusted and continue to be reported in accordance with the Company’s historical accounting under </w:t>
      </w:r>
      <w:r>
        <w:rPr>
          <w:rFonts w:ascii="Arial" w:cs="Arial" w:eastAsia="Arial" w:hAnsi="Arial"/>
          <w:sz w:val="17"/>
          <w:szCs w:val="17"/>
          <w:i w:val="1"/>
          <w:iCs w:val="1"/>
          <w:color w:val="auto"/>
        </w:rPr>
        <w:t>Revenue Recognition Topic 605</w:t>
      </w:r>
      <w:r>
        <w:rPr>
          <w:rFonts w:ascii="Arial" w:cs="Arial" w:eastAsia="Arial" w:hAnsi="Arial"/>
          <w:sz w:val="17"/>
          <w:szCs w:val="17"/>
          <w:color w:val="auto"/>
        </w:rPr>
        <w:t>. See Note 2–Revenue Recognition to the Financial Statements for further information related to the Company’s accounting policy and transition disclosures associated with the adoption of this pronouncement.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right="260" w:firstLine="648"/>
        <w:spacing w:after="0" w:line="259" w:lineRule="auto"/>
        <w:rPr>
          <w:sz w:val="20"/>
          <w:szCs w:val="20"/>
          <w:color w:val="auto"/>
        </w:rPr>
      </w:pPr>
      <w:r>
        <w:rPr>
          <w:rFonts w:ascii="Arial" w:cs="Arial" w:eastAsia="Arial" w:hAnsi="Arial"/>
          <w:sz w:val="18"/>
          <w:szCs w:val="18"/>
          <w:color w:val="auto"/>
        </w:rPr>
        <w:t>In January 2017, the FASB issued ASU No. 2017-01</w:t>
      </w:r>
      <w:r>
        <w:rPr>
          <w:rFonts w:ascii="Arial" w:cs="Arial" w:eastAsia="Arial" w:hAnsi="Arial"/>
          <w:sz w:val="18"/>
          <w:szCs w:val="18"/>
          <w:i w:val="1"/>
          <w:iCs w:val="1"/>
          <w:color w:val="auto"/>
        </w:rPr>
        <w:t>, Business Combinations (Topic 805): Clarifying the Definition of a Business</w:t>
      </w:r>
      <w:r>
        <w:rPr>
          <w:rFonts w:ascii="Arial" w:cs="Arial" w:eastAsia="Arial" w:hAnsi="Arial"/>
          <w:sz w:val="18"/>
          <w:szCs w:val="18"/>
          <w:color w:val="auto"/>
        </w:rPr>
        <w:t>, which clarified the definition of a business with the objective of adding guidance to assist entities with evaluating whether transactions should be accounted for as acquisitions (or disposals) of assets or businesses. The Company adopted this ASU on a prospective basis in January 2018 and there was no effect on the Company’s financial position, results of operations or cash flows.</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modified existing guidance and intended to reduce the diversity in practice with respect to the accounting for income tax consequences of intra-entity transfers of assets. This update requires entities to immediately recognize the tax consequences on intercompany asset transfers (excluding inventory) at the transaction date, and eliminated the recognition exception within previous guidance. The Company adopted this ASU using a modified retrospective approach in January 2018 and there was no effect on the Company’s financial position, results of operations or cash flows.</w:t>
      </w:r>
    </w:p>
    <w:p>
      <w:pPr>
        <w:spacing w:after="0" w:line="17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intended to reduce diversity in practice in how eight specific transactions are classified in the statement of cash flows.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this ASU on a retrospective basis in January 2018 and there was no effect on the Company’s financial position,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under this pronouncement will change the way all leases with durations in excess of one year are treated. Under this guidance, lessees will be required to recognize virtually all leases on the balance sheet as a right-of-use asset and an associated financing lease liability or capital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This update is effective for annual reporting periods, and interim periods within those reporting periods, beginning after December 15, 2018. The Company continues to evaluate the impact that this pronouncement, and all amendments relating to this pronouncement, will have on its policies and procedures pertaining to its existing and future lease arrangements, disclosure requirements and on the Company’s financial statements. The Company expects that most existing operating lease commitments that extend beyond twelve months at the time of adoption will be recognized as lease liabilities and right-of-use assets upon adoption.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and Accounting Policy</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On January 1, 2018, the Company adopted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using the modified retrospective method for contracts that were not completed as of January 1, 2018. Results for reporting periods beginning after January 1, 2018 are presented under this new pronouncement, while prior period amounts are not adjusted and continue to be reported under the accounting standard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which was in effect for prior periods. The Company recorded an increase to opening retained earnings of $0.7 million, net of tax, as of January 1, 2018 due to the cumulative impact of adopting Topic 606, representing revenues which would have been recognized in prior periods under Topic 606. The impact to revenue for the three months ended March 31, 2018 was an increase of $0.1 million as a result of adopting Topic 606. The cumulative adjustment and the impact experienced during the three months ended March 31, 2018 were due to accelerated recognition of contract provisions related to variable consideration previously not permitted to be recognized under Topic 605 until no remaining contingency existed related to this consideration.</w:t>
      </w:r>
    </w:p>
    <w:p>
      <w:pPr>
        <w:spacing w:after="0" w:line="166"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Under Topic 606, 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 controlled assets or creates or enhances an asset with no alternative use, which the Company has an enforceable right to receive compensation as defined under the contract for performance completed. To determine the amount of revenue to recognize over time, the Company estimates profit by determining the difference between total estimated revenue and total estimated cost of a contract. The profit and corresponding revenue is recognized over the contract term based on costs incurred under the cost-to-cost method. For purposes of recognizing revenue, the Company follows the five step approach outlined in ASC 606-10-25.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right="20" w:firstLine="648"/>
        <w:spacing w:after="0" w:line="288" w:lineRule="auto"/>
        <w:rPr>
          <w:sz w:val="20"/>
          <w:szCs w:val="20"/>
          <w:color w:val="auto"/>
        </w:rPr>
      </w:pPr>
      <w:r>
        <w:rPr>
          <w:rFonts w:ascii="Arial" w:cs="Arial" w:eastAsia="Arial" w:hAnsi="Arial"/>
          <w:sz w:val="16"/>
          <w:szCs w:val="16"/>
          <w:color w:val="auto"/>
        </w:rPr>
        <w:t>As the cost-to-cost method is driven by incurred cost, the Company calculates the percentage of completion by dividing costs incurred-to-date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Revenue recognition also includes an amount related to a contract asset or contract liability. If the recognized revenue is greater than the amount billed to the customer, a contract asset is recorded in costs and estimated earnings in excess of billings on uncompleted contracts. Conversely, if the amount billed to the customer is greater than the recognized revenue, a contract liability is recorded in billings in excess of costs and estimated earnings on uncompleted contracts. Contract costs incurred-to-date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spacing w:after="0" w:line="16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result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18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portion of the work the Company performs requires financial assurances in the form of performance and payment bonds or letters of credit at the time of execution of the contract. Most contracts include retention provisions of up to 10%, which are generally withheld from each progress payment as retainage until the contract work has been completed and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Finally, the Company sometimes enters into cost-plus contracts, where the Company is paid for costs plus a negotiated margin. On occasion, time-and-equipment, time-and-materials and cost plus contracts require the Company to include a guaranteed not-to-exceed maximum price.</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required the counterparty to use the Company exclusively, although in some cases the MSA contract gives the Company a right of first refusal for certain work. Additional information related to the Company’s market types is provided in Note 10–Segment Information to the Financial Statements.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components of the Company’s revenue by contract type for the three months ended March 31, 2018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2"/>
              </w:rPr>
              <w:t>Three months ended March 31, 2018</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T&amp;D</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rPr>
              <w:t>C&amp;I</w:t>
            </w: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Percent</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Percent</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Unit Price</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45,676</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9,650</w:t>
            </w:r>
          </w:p>
        </w:tc>
        <w:tc>
          <w:tcPr>
            <w:tcW w:w="20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55,326</w:t>
            </w:r>
          </w:p>
        </w:tc>
        <w:tc>
          <w:tcPr>
            <w:tcW w:w="2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80,345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10,930</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20,963</w:t>
            </w:r>
          </w:p>
        </w:tc>
        <w:tc>
          <w:tcPr>
            <w:tcW w:w="20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31,893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months ended March 31, 2018 were as follows:</w:t>
      </w:r>
    </w:p>
    <w:p>
      <w:pPr>
        <w:spacing w:after="0" w:line="235"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March 31, 2018</w:t>
            </w:r>
          </w:p>
        </w:tc>
        <w:tc>
          <w:tcPr>
            <w:tcW w:w="0" w:type="dxa"/>
            <w:vAlign w:val="bottom"/>
          </w:tcPr>
          <w:p>
            <w:pPr>
              <w:spacing w:after="0"/>
              <w:rPr>
                <w:sz w:val="1"/>
                <w:szCs w:val="1"/>
                <w:color w:val="auto"/>
              </w:rPr>
            </w:pPr>
          </w:p>
        </w:tc>
      </w:tr>
      <w:tr>
        <w:trPr>
          <w:trHeight w:val="223"/>
        </w:trPr>
        <w:tc>
          <w:tcPr>
            <w:tcW w:w="23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Percent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Segment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134,452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81,934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Construction</w:t>
            </w:r>
          </w:p>
        </w:tc>
        <w:tc>
          <w:tcPr>
            <w:tcW w:w="4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129,225</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345,611</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 The following table provides information about receivables, contract assets and contract liabilities from contracts with customers: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December 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7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93,206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14,946</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Contract liabilities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(18,699)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(28,919)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w w:val="98"/>
              </w:rPr>
              <w:t>10,220</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25,166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difference between the opening and closing balances of the Company’s contract assets and contract liabilities primarily results from the timing of the Company’s performance and customer payment. The amounts of revenue recognized in the period that was included in the opening contract liability balances was $25.4 million for the three months ended March 31, 2018. This revenue consists primarily of work performed on previous billings to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March 31, 2018, the Company had $881.8 million of remaining performance obligations. The Company’s remaining performance obligations includes projects that have a written award, a letter of intent, a notice to proceed or an agreed upon work order to perform work on mutually accepted terms and conditions. The following table summarizes that amount of remaining performance obligations that the Company expects to be realized as of March 31, 2018 and the amount of the remaining performance obligations that the Company reasonably estimates will not be recognized within the next twelve months. 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70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2"/>
              </w:rPr>
              <w:t>Remaining Performance Obligations as of March 31, 2018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Amount estimated to not be</w:t>
            </w:r>
          </w:p>
        </w:tc>
        <w:tc>
          <w:tcPr>
            <w:tcW w:w="14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Total</w:t>
            </w:r>
          </w:p>
        </w:tc>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4"/>
              </w:rPr>
              <w:t>recognized within 12 months</w:t>
            </w: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T&amp;D</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359,902</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57,413</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C&amp;I</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521,887</w:t>
            </w:r>
          </w:p>
        </w:tc>
        <w:tc>
          <w:tcPr>
            <w:tcW w:w="8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149,349</w:t>
            </w: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881,789</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206,762</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642"/>
        </w:trPr>
        <w:tc>
          <w:tcPr>
            <w:tcW w:w="14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March 31, 2018 and December 31, 2017, the Company determined that the carrying value of cash and cash equivalents approximated fair value based on Level 1 inputs. As of March 31, 2018 and December 31, 2017, the fair values of the Company’s long-term debt and capital lease obligations were based on Level 2 inputs. The Company’s long-term debt was based on variable and fixed interest rates at March 31, 2018 and December 31, 2017, for new issues with similar remaining maturities, and approximated carrying value. In addition, based on borrowing rates currently available to the Company for borrowings with similar terms, the carrying values of the Company's capital lease obligations also approximated fair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4. Contracts in Process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The net asset position for contracts in process consisted of the following: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14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440" w:type="dxa"/>
            <w:vAlign w:val="bottom"/>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and estimated earnings on uncompleted contracts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1,967,248</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1,978,981</w:t>
            </w:r>
          </w:p>
        </w:tc>
      </w:tr>
      <w:tr>
        <w:trPr>
          <w:trHeight w:val="230"/>
        </w:trPr>
        <w:tc>
          <w:tcPr>
            <w:tcW w:w="144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Less: Billings to date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1,892,741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1,929,640</w:t>
            </w:r>
          </w:p>
        </w:tc>
      </w:tr>
      <w:tr>
        <w:trPr>
          <w:trHeight w:val="223"/>
        </w:trPr>
        <w:tc>
          <w:tcPr>
            <w:tcW w:w="1440" w:type="dxa"/>
            <w:vAlign w:val="bottom"/>
          </w:tcPr>
          <w:p>
            <w:pPr>
              <w:spacing w:after="0"/>
              <w:rPr>
                <w:sz w:val="19"/>
                <w:szCs w:val="19"/>
                <w:color w:val="auto"/>
              </w:rPr>
            </w:pPr>
          </w:p>
        </w:tc>
        <w:tc>
          <w:tcPr>
            <w:tcW w:w="6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asset position for contracts in process included in the accompanying consolidated balance sheets was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Costs and estimated earnings in excess of billings on uncompleted contracts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93,206</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78,260</w:t>
            </w:r>
          </w:p>
        </w:tc>
      </w:tr>
      <w:tr>
        <w:trPr>
          <w:trHeight w:val="230"/>
        </w:trPr>
        <w:tc>
          <w:tcPr>
            <w:tcW w:w="6240" w:type="dxa"/>
            <w:vAlign w:val="bottom"/>
          </w:tcPr>
          <w:p>
            <w:pPr>
              <w:ind w:left="160"/>
              <w:spacing w:after="0"/>
              <w:rPr>
                <w:sz w:val="20"/>
                <w:szCs w:val="20"/>
                <w:color w:val="auto"/>
              </w:rPr>
            </w:pPr>
            <w:r>
              <w:rPr>
                <w:rFonts w:ascii="Arial" w:cs="Arial" w:eastAsia="Arial" w:hAnsi="Arial"/>
                <w:sz w:val="18"/>
                <w:szCs w:val="18"/>
                <w:color w:val="auto"/>
                <w:w w:val="99"/>
              </w:rPr>
              <w:t>Billings in excess of costs and estimated earnings on uncompleted contracts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(18,699)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(28,919)</w:t>
            </w:r>
          </w:p>
        </w:tc>
      </w:tr>
      <w:tr>
        <w:trPr>
          <w:trHeight w:val="223"/>
        </w:trPr>
        <w:tc>
          <w:tcPr>
            <w:tcW w:w="6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30, 2016, the Company entered into a five-year amended and restated credit agreement (the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The Company has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working capital, capital expenditures, acquisitions, stock repurchases and other general corporate purposes.</w:t>
      </w:r>
    </w:p>
    <w:p>
      <w:pPr>
        <w:spacing w:after="0" w:line="173"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the Company’s consolidated leverage ratio (the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0.625% to 1.125% for performance letters of credit, based on the Company’s consolidated Leverage Ratio. The Company is subject to a commitment fee of</w:t>
      </w:r>
    </w:p>
    <w:p>
      <w:pPr>
        <w:spacing w:after="0" w:line="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0.20% to 0.375%, based on the Company’s consolidated Leverage Ratio, on any unused portion of the Facility. The Credit Agreement restricts certain types of payments when the Company’s consolidated Leverage Ratio exceeds 2.25. The weighted average interest rate on borrowings outstanding for the three months ended March 31, 2018, was 2.75% per annum.</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1" w:name="page12"/>
    <w:bookmarkEnd w:id="11"/>
    <w:p>
      <w:pPr>
        <w:ind w:right="40" w:firstLine="648"/>
        <w:spacing w:after="0" w:line="272" w:lineRule="auto"/>
        <w:rPr>
          <w:sz w:val="20"/>
          <w:szCs w:val="20"/>
          <w:color w:val="auto"/>
        </w:rPr>
      </w:pPr>
      <w:r>
        <w:rPr>
          <w:rFonts w:ascii="Arial" w:cs="Arial" w:eastAsia="Arial" w:hAnsi="Arial"/>
          <w:sz w:val="17"/>
          <w:szCs w:val="17"/>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shall begin in the quarter in which such permitted acquisition is consummated and shall continue in effect for four consecutive fiscal quarters. The Company was in compliance with all of its covenants under the Credit Agreement as of March 31,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amount outstanding on the Facility as of March 31, 2018 and December 31, 2017, was $67.4 million and $79.0 million, respectively.</w:t>
      </w:r>
    </w:p>
    <w:p>
      <w:pPr>
        <w:spacing w:after="0" w:line="23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of March 31, 2018, the Company had irrevocable standby letters of credit outstanding under the Facility of approximately $20.6 million, including $17.6 million related to the Company’s payment obligation under its insurance programs and approximately $3.0 million related to contract performance obligations. As of December 31, 2017, the Company had irrevocable standby letters of credit outstanding under the Facility of approximately $20.9 million, including $17.6 million related to the Company’s payment obligation under its insurance programs and approximately $3.3 million related to contract performance obligations.</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has remaining deferred debt issuance costs totaling $0.7 million as of March 31, 2018, related to the line of credit. As permitted under ASU No. 2015-15, debt issuance costs have been deferred and are presented as an asset within other assets, which is amortized as interest expense over the term of the line of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U.S. federal statutory tax rate was 21% for the three months ended March 31, 2018 and 35% for the three months ended March 31, 2017. The Company’s effective tax rates for the three months ended March 31, 2018 was 28.9% of pretax income. The Company had a net tax benefit for the three months ended March 31, 2017 which represented 42.7% of pretax income.</w:t>
      </w:r>
    </w:p>
    <w:p>
      <w:pPr>
        <w:spacing w:after="0" w:line="181" w:lineRule="exact"/>
        <w:rPr>
          <w:sz w:val="20"/>
          <w:szCs w:val="20"/>
          <w:color w:val="auto"/>
        </w:rPr>
      </w:pPr>
    </w:p>
    <w:p>
      <w:pPr>
        <w:jc w:val="both"/>
        <w:ind w:right="380" w:firstLine="648"/>
        <w:spacing w:after="0" w:line="302" w:lineRule="auto"/>
        <w:rPr>
          <w:sz w:val="20"/>
          <w:szCs w:val="20"/>
          <w:color w:val="auto"/>
        </w:rPr>
      </w:pPr>
      <w:r>
        <w:rPr>
          <w:rFonts w:ascii="Arial" w:cs="Arial" w:eastAsia="Arial" w:hAnsi="Arial"/>
          <w:sz w:val="16"/>
          <w:szCs w:val="16"/>
          <w:color w:val="auto"/>
        </w:rPr>
        <w:t>The difference between the U.S. federal statutory tax rate and the Company’s effective tax rate for the three months ended March 31, 2018 was primarily due to state income taxes and the inability to utilize losses experienced in certain Canadian operations. The difference between the U.S. federal statutory tax rate and the Company’s effective tax rates for the three months ended March 31, 2017 was primarily due to inclusion of excess tax benefits relating to the vesting of stock awards and the exercise of stock options related to the Company’s stock compensation program, and state income taxes.</w:t>
      </w:r>
    </w:p>
    <w:p>
      <w:pPr>
        <w:spacing w:after="0" w:line="15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$0.8 million as of March 31, 2018 and December 31, 2017, which were included in other liabilities in the accompanying consolidated balance sheets.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because of the unrecognized tax benefits was not significant for the three months ended March 31, 2018 and 2017.</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is subject to taxation in various jurisdictions. The Company’s tax returns for 2015 and 2016 are subject to examination by U.S. federal authorities. The Company’s tax returns are subject to examination by various state authorities for the years 2013 through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March 31, 2018, the Company had approximately $14.0 million in outstanding purchase orders for certain construction equipment, with cash outlay scheduled to occur over the next nine months.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carries insurance policies, which are subject to certain deductibles, for workers’ compensation, general liability, automobile liability and other coverages.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154"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2018, an aggregate of approximately $540.4 million in original face amount of bonds issued by the Company’s sureties were outstanding. Our estimated remaining cost to complete these bonded projects was approximately $101.7 million as of March 31, 2018.</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Lease Obligations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From time to time, the Company enters into leasing arrangements for real estate, vehicles and construction equipment, including master leasing arrangements for vehicles and construction equipment. Some of the leases entered into under these agreements met the requirements for capitalization and were recorded as capital leases, while others were treated as operating leases. As of March 31, 2018, the Company had no outstanding commitments to enter into future leases under its master lease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leases some vehicles and certain equipment under capital leases. The economic substance of the leases is a financing transaction for acquisition of the vehicles and equipment. Accordingly, these leases are included in the balance sheets in property and equipment, net of accumulated depreciation, with a corresponding amount recorded in current portion of capital lease obligations or capital lease obligations, net of current maturities, as appropriate. The capital lease assets are amortized over the life of the lease or, if shorter, the life of the leased asset, on a straight-line basis and included in depreciation expense in the statements of operations. The interest associated with capital lease obligations is included in interest expense in the statements of operations.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the Company had approximately $3.4 million of capital lease obligations outstanding, $1.1 million of which was classified as a current liability. As of December 31, 2017, the Company had approximately $3.7 million of capital lease obligations outstanding, $1.1 million of which was classified as a current liability.</w:t>
      </w:r>
    </w:p>
    <w:p>
      <w:pPr>
        <w:spacing w:after="0" w:line="18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of March 31, 2018 and December 31, 2017, $3.4 million and $3.7 million, respectively, of leased assets were capitalized in construction equipment, net of accumulated depreciation.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from time to time, leases real estate, construction equipment and office equipment under operating leases with remaining terms ranging from one to six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future minimum lease payments required under capital leases and operating leases, together with the present value of capital leases, as of March 31, 2018 were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Capital</w:t>
            </w:r>
          </w:p>
        </w:tc>
        <w:tc>
          <w:tcPr>
            <w:tcW w:w="4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Lease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Obligations</w:t>
            </w:r>
          </w:p>
        </w:tc>
        <w:tc>
          <w:tcPr>
            <w:tcW w:w="40" w:type="dxa"/>
            <w:vAlign w:val="bottom"/>
          </w:tcPr>
          <w:p>
            <w:pPr>
              <w:spacing w:after="0"/>
              <w:rPr>
                <w:sz w:val="20"/>
                <w:szCs w:val="20"/>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Obligations</w:t>
            </w: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Remainder of 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6340" w:type="dxa"/>
            <w:vAlign w:val="bottom"/>
          </w:tcPr>
          <w:p>
            <w:pPr>
              <w:ind w:left="16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18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present value of minimum lease payments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Less: Current portion of capital lease obligations</w:t>
            </w: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capital lease obligations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(the “LTIP”) and the 2007 Long-Term Incentive Plan (the “2007 Plan”). Upon the adoption of the LTIP during the second quarter of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(h) stock bonuses, (i) dividend equivalents, and (j) any combination of such awards.</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grants time-vested stock awards in the form of restricted stock awards, restricted stock units or equity-settled phantom stock. During the three months ended March 31, 2018, the Company granted 68,665 shares of time-vested stock awards under the LTIP, which primarily vest ratably over three years, at a weighted average grant date fair value of $30.14. Additionally, 62,369 shares of time-vested stock awards vested during the three months ended March 31, 2018, at a weighted average grant date fair value of $29.47.</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126" w:gutter="0" w:footer="0" w:header="0"/>
        </w:sectPr>
      </w:pPr>
    </w:p>
    <w:bookmarkStart w:id="14" w:name="page15"/>
    <w:bookmarkEnd w:id="14"/>
    <w:p>
      <w:pPr>
        <w:ind w:right="20" w:firstLine="648"/>
        <w:spacing w:after="0" w:line="253" w:lineRule="auto"/>
        <w:rPr>
          <w:sz w:val="20"/>
          <w:szCs w:val="20"/>
          <w:color w:val="auto"/>
        </w:rPr>
      </w:pPr>
      <w:r>
        <w:rPr>
          <w:rFonts w:ascii="Arial" w:cs="Arial" w:eastAsia="Arial" w:hAnsi="Arial"/>
          <w:sz w:val="18"/>
          <w:szCs w:val="18"/>
          <w:color w:val="auto"/>
        </w:rPr>
        <w:t>During the three months ended March 31, 2018, the Company granted 66,764 performance share awards under the LTIP at target, which cliff vest on December 31, 2020, at a weighted average grant date fair value of $34.52. The number of shares actually earned under a performance award may vary from zero to 200% of the target shares awarded, based upon the Company’s performance compared to certain metrics. The metrics used were determined at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common shares of the Company’s stock. During the three months ended March 31, 2018, management concluded that it was probable that the minimum performance criteria would not be met for certain performance shares that were granted during 2016. As a result, during the first quarter of 2018, the Company reversed $0.4 million in stock compensation from previous accruals.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2018, plan participants exercised 24,009 stock options with a weighted average exercise price of $24.23.</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The Company recognizes stock-based compensation expense related to market-based performance awards based on the grant date fair value, which is computed using a Monte Carlo simulation. The fair value is expensed over the service period, which is approximately 2.8 years. The Company recognizes stock-based compensation expense related to internal measure-based performance awards based on the grant date fair value, which was the closing price of the Company’s stock on the date of grant. The fair value is expensed over the service period of approximately 2.8 years, and the Company adjusts the stock-based compensation expense related to internal metric-based performance awards according to its determination of the potential achievement of the performance target at each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management fees, and intangible amortization. The accounting policies of the segments are the same as those described in the Summary of Significant Accounting Policies in the Company’s Annual Report on Form 10-K for the year ended December 31, 2017.</w:t>
      </w:r>
    </w:p>
    <w:p>
      <w:pPr>
        <w:spacing w:after="0" w:line="1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C&amp;I segment services are generally performed in the western and northeastern United States and in western Canada.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5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Pr>
          <w:p>
            <w:pPr>
              <w:spacing w:after="0"/>
              <w:rPr>
                <w:sz w:val="19"/>
                <w:szCs w:val="19"/>
                <w:color w:val="auto"/>
              </w:rPr>
            </w:pPr>
          </w:p>
        </w:tc>
      </w:tr>
      <w:tr>
        <w:trPr>
          <w:trHeight w:val="210"/>
        </w:trPr>
        <w:tc>
          <w:tcPr>
            <w:tcW w:w="5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T&amp;D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216,386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195,734</w:t>
            </w:r>
          </w:p>
        </w:tc>
      </w:tr>
      <w:tr>
        <w:trPr>
          <w:trHeight w:val="230"/>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C&amp;I</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129,225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104,395</w:t>
            </w:r>
          </w:p>
        </w:tc>
      </w:tr>
      <w:tr>
        <w:trPr>
          <w:trHeight w:val="263"/>
        </w:trPr>
        <w:tc>
          <w:tcPr>
            <w:tcW w:w="50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345,611</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300,129</w:t>
            </w:r>
          </w:p>
        </w:tc>
        <w:tc>
          <w:tcPr>
            <w:tcW w:w="60" w:type="dxa"/>
            <w:vAlign w:val="bottom"/>
            <w:tcBorders>
              <w:bottom w:val="single" w:sz="8" w:color="CCEEFF"/>
            </w:tcBorders>
          </w:tcPr>
          <w:p>
            <w:pPr>
              <w:spacing w:after="0"/>
              <w:rPr>
                <w:sz w:val="22"/>
                <w:szCs w:val="22"/>
                <w:color w:val="auto"/>
              </w:rPr>
            </w:pPr>
          </w:p>
        </w:tc>
      </w:tr>
      <w:tr>
        <w:trPr>
          <w:trHeight w:val="197"/>
        </w:trPr>
        <w:tc>
          <w:tcPr>
            <w:tcW w:w="51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T&amp;D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13,541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5,142</w:t>
            </w:r>
          </w:p>
        </w:tc>
      </w:tr>
      <w:tr>
        <w:trPr>
          <w:trHeight w:val="21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C&amp;I</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4,414</w:t>
            </w:r>
          </w:p>
        </w:tc>
      </w:tr>
      <w:tr>
        <w:trPr>
          <w:trHeight w:val="230"/>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General Corporate</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(10,470)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(9,076)</w:t>
            </w:r>
          </w:p>
        </w:tc>
      </w:tr>
      <w:tr>
        <w:trPr>
          <w:trHeight w:val="223"/>
        </w:trPr>
        <w:tc>
          <w:tcPr>
            <w:tcW w:w="50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months ended March 31, 2018, contract revenues attributable to the Company’s Canadian operations were $14.7 million, predominantly in the C&amp;I segment. For the three months ended March 31, 2017, contract revenues attributable to the Company’s Canadian operations were $19.2 million, predominantly in the C&amp;I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shareholders by the weighted average number of common shares outstanding during the period, and diluted earnings per share are computed by dividing net income available to shareholders by the weighted average number of common shares outstanding during the period plus all potentially dilutive common stock equivalents, except in cases where the effect of the common stock equivalent would be anti-dilutive.</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income available to common shareholders and the weighted average number of common shares used to compute basic and diluted earnings per share were as follows: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3198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5715</wp:posOffset>
            </wp:positionV>
            <wp:extent cx="434784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19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Weighted average dilutive securities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Weighted average common shares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335"/>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2335"/>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63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1" w:lineRule="exact"/>
        <w:rPr>
          <w:sz w:val="20"/>
          <w:szCs w:val="20"/>
          <w:color w:val="auto"/>
        </w:rPr>
      </w:pPr>
    </w:p>
    <w:p>
      <w:pPr>
        <w:ind w:left="205"/>
        <w:spacing w:after="0"/>
        <w:tabs>
          <w:tab w:leader="none" w:pos="1084"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636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65" w:hanging="365"/>
        <w:spacing w:after="0"/>
        <w:tabs>
          <w:tab w:leader="none" w:pos="365" w:val="left"/>
        </w:tabs>
        <w:numPr>
          <w:ilvl w:val="0"/>
          <w:numId w:val="4"/>
        </w:numPr>
        <w:rPr>
          <w:rFonts w:ascii="Arial" w:cs="Arial" w:eastAsia="Arial" w:hAnsi="Arial"/>
          <w:sz w:val="18"/>
          <w:szCs w:val="18"/>
          <w:color w:val="auto"/>
        </w:rPr>
      </w:pPr>
      <w:r>
        <w:rPr>
          <w:rFonts w:ascii="Arial" w:cs="Arial" w:eastAsia="Arial" w:hAnsi="Arial"/>
          <w:sz w:val="18"/>
          <w:szCs w:val="18"/>
          <w:color w:val="auto"/>
        </w:rPr>
        <w:t>5,644  $   1,200</w:t>
      </w:r>
    </w:p>
    <w:p>
      <w:pPr>
        <w:spacing w:after="0" w:line="200" w:lineRule="exact"/>
        <w:rPr>
          <w:sz w:val="20"/>
          <w:szCs w:val="20"/>
          <w:color w:val="auto"/>
        </w:rPr>
      </w:pPr>
    </w:p>
    <w:p>
      <w:pPr>
        <w:spacing w:after="0" w:line="241" w:lineRule="exact"/>
        <w:rPr>
          <w:sz w:val="20"/>
          <w:szCs w:val="20"/>
          <w:color w:val="auto"/>
        </w:rPr>
      </w:pPr>
    </w:p>
    <w:p>
      <w:pPr>
        <w:jc w:val="both"/>
        <w:ind w:left="285"/>
        <w:spacing w:after="0"/>
        <w:tabs>
          <w:tab w:leader="none" w:pos="1164" w:val="left"/>
        </w:tabs>
        <w:rPr>
          <w:sz w:val="20"/>
          <w:szCs w:val="20"/>
          <w:color w:val="auto"/>
        </w:rPr>
      </w:pPr>
      <w:r>
        <w:rPr>
          <w:rFonts w:ascii="Arial" w:cs="Arial" w:eastAsia="Arial" w:hAnsi="Arial"/>
          <w:sz w:val="18"/>
          <w:szCs w:val="18"/>
          <w:color w:val="auto"/>
        </w:rPr>
        <w:t>16,321</w:t>
      </w:r>
      <w:r>
        <w:rPr>
          <w:sz w:val="20"/>
          <w:szCs w:val="20"/>
          <w:color w:val="auto"/>
        </w:rPr>
        <w:tab/>
      </w:r>
      <w:r>
        <w:rPr>
          <w:rFonts w:ascii="Arial" w:cs="Arial" w:eastAsia="Arial" w:hAnsi="Arial"/>
          <w:sz w:val="18"/>
          <w:szCs w:val="18"/>
          <w:color w:val="auto"/>
        </w:rPr>
        <w:t>16,161</w:t>
      </w:r>
    </w:p>
    <w:p>
      <w:pPr>
        <w:spacing w:after="0" w:line="23" w:lineRule="exact"/>
        <w:rPr>
          <w:sz w:val="20"/>
          <w:szCs w:val="20"/>
          <w:color w:val="auto"/>
        </w:rPr>
      </w:pPr>
    </w:p>
    <w:p>
      <w:pPr>
        <w:ind w:left="1405" w:hanging="905"/>
        <w:spacing w:after="0"/>
        <w:tabs>
          <w:tab w:leader="none" w:pos="1405" w:val="left"/>
        </w:tabs>
        <w:numPr>
          <w:ilvl w:val="0"/>
          <w:numId w:val="5"/>
        </w:numPr>
        <w:rPr>
          <w:rFonts w:ascii="Arial" w:cs="Arial" w:eastAsia="Arial" w:hAnsi="Arial"/>
          <w:sz w:val="16"/>
          <w:szCs w:val="16"/>
          <w:color w:val="auto"/>
        </w:rPr>
      </w:pPr>
      <w:r>
        <w:rPr>
          <w:rFonts w:ascii="Arial" w:cs="Arial" w:eastAsia="Arial" w:hAnsi="Arial"/>
          <w:sz w:val="16"/>
          <w:szCs w:val="16"/>
          <w:color w:val="auto"/>
        </w:rPr>
        <w:t>291</w:t>
      </w:r>
    </w:p>
    <w:p>
      <w:pPr>
        <w:spacing w:after="0" w:line="58" w:lineRule="exact"/>
        <w:rPr>
          <w:rFonts w:ascii="Arial" w:cs="Arial" w:eastAsia="Arial" w:hAnsi="Arial"/>
          <w:sz w:val="16"/>
          <w:szCs w:val="16"/>
          <w:color w:val="auto"/>
        </w:rPr>
      </w:pPr>
    </w:p>
    <w:p>
      <w:pPr>
        <w:ind w:left="285"/>
        <w:spacing w:after="0"/>
        <w:rPr>
          <w:rFonts w:ascii="Arial" w:cs="Arial" w:eastAsia="Arial" w:hAnsi="Arial"/>
          <w:sz w:val="16"/>
          <w:szCs w:val="16"/>
          <w:color w:val="auto"/>
        </w:rPr>
      </w:pPr>
      <w:r>
        <w:rPr>
          <w:rFonts w:ascii="Arial" w:cs="Arial" w:eastAsia="Arial" w:hAnsi="Arial"/>
          <w:sz w:val="18"/>
          <w:szCs w:val="18"/>
          <w:color w:val="auto"/>
        </w:rPr>
        <w:t>16,520</w:t>
      </w:r>
      <w:r>
        <w:rPr>
          <w:rFonts w:ascii="Arial" w:cs="Arial" w:eastAsia="Arial" w:hAnsi="Arial"/>
          <w:sz w:val="16"/>
          <w:szCs w:val="16"/>
          <w:color w:val="auto"/>
        </w:rPr>
        <w:t>16,452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63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75" w:space="720"/>
            <w:col w:w="4025"/>
          </w:cols>
          <w:pgMar w:left="240" w:top="908" w:right="239" w:bottom="1440" w:gutter="0" w:footer="0" w:header="0"/>
          <w:type w:val="continuous"/>
        </w:sectPr>
      </w:pPr>
    </w:p>
    <w:p>
      <w:pPr>
        <w:spacing w:after="0" w:line="8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 basic</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Income per common share, diluted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r>
    </w:tbl>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For the three months ended March 31, 2018 and 2017,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stock options and performance awards that were excluded from the calculation of dilutive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9"/>
              </w:rPr>
              <w:t>Three months ended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230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gridSpan w:val="2"/>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36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Performance awards</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16" w:name="page17"/>
    <w:bookmarkEnd w:id="16"/>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2017 (the “2017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2017 Annual Report.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jc w:val="both"/>
        <w:ind w:right="80" w:firstLine="648"/>
        <w:spacing w:after="0" w:line="285"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industry segments: T&amp;D and C&amp;I. We have operated in the T&amp;D industry since 1891. We are one of the largest contractors servicing the T&amp;D sector of the electric utility industry in the United States and also provide electrical construction services in western Canada. Our customers include many of the leading companies in the industry. We have provided C&amp;I electrical contracting services to facility owners and general contractors since 1912.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generally provide our C&amp;I services as a subcontractor to general contractors, but also contract directly with facility owners.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had consolidated revenues for the three months ended March 31, 2018 of $345.6 million, of which 62.6% was attributable to our T&amp;D customers and 37.4% was attributable to our C&amp;I customers. Our consolidated revenues for the three months ended March 31, 2017 were $300.1 million. For the three months ended March 31, 2018, our net income and EBITDA (1) were $5.6 million and $18.0 million, respectively, compared to $1.2 million and $11.1 million, respectively, for the three months ended March 31, 2017.</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and reduce congestion. Consequently, we believe we will continue to see significant bidding activity on large transmission projects through the remainder of this year as well as in 2019. The timing of multi-year transmission project awards and substantial construction activity is difficult to predict due to regulatory requirements and right-of-way permits needed to commence construction. Significant construction on any large, multi-year projects awarded this year will not likely occur until 2019. Bidding and construction activity for small to medium-size transmission projects and upgrades remains strong, and we expect this trend to continue, primarily due to reliability and economic drivers. Competition and the unpredictability of awards in the transmission market may impact our ability to maintain high utilization of equipment and manpower resources, which is essential to maintaining contract margins.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expect to see continued improvement in bidding opportunities in our C&amp;I segment throughout the remainder of this year. 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strive to maintain our status as a preferred provider to our T&amp;D and C&amp;I customers. We continue to implement a three-pronged strategy of organic growth and strategic acquisitions that further expand our capabilities and prudent capital returns. We continue to invest in developing key management and craft personnel in both our T&amp;D and C&amp;I markets and in procuring the specialty equipment and tooling needed to win and execute projects of all sizes and complexity. We ended the first quarter of 2018 with $162.0 million available under our credit facility. We believe that our financial position and operational strengths will enable us to manage the current challenges and uncertainties in the markets we serve and give us the flexibility to successfully execute our three-pronged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ind w:left="5640" w:right="2760" w:hanging="5632"/>
        <w:spacing w:after="0" w:line="778" w:lineRule="auto"/>
        <w:tabs>
          <w:tab w:leader="none" w:pos="585"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only includes projects that have a written award, a letter of intent, a notice to proceed or an agreed upon work order to perform work on mutually accepted terms and conditions. Backlog should not be relied upon as a stand-alone indicator of future events. Additionally, 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2–Revenue Recognition to the Financial Statements.</w:t>
      </w:r>
    </w:p>
    <w:p>
      <w:pPr>
        <w:spacing w:after="0" w:line="17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backlog was $958.5 million at March 31, 2018, compared to $679.1 million at December 31, 2017 and $660.9 million at March 31, 2017. Our backlog at March 31, 2018 increased $279.4 million, or 41.1%, from December 31, 2017. Backlog in the T&amp;D segment increased $101.2 million and C&amp;I backlog increased $178.2 million compared to December 31, 2017. Our backlog as of March 31, 2018 included our proportionate share of unconsolidated joint venture backlog totaling $50.5 million, compared to $27.6 million at December 31, 2017. The increase in backlog is primarily due to the addition of the previously announced Denver Central 70 Project and various small and mid-sized T&amp;D projects.</w:t>
      </w:r>
    </w:p>
    <w:p>
      <w:pPr>
        <w:spacing w:after="0" w:line="1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Arial" w:cs="Arial" w:eastAsia="Arial" w:hAnsi="Arial"/>
                <w:sz w:val="18"/>
                <w:szCs w:val="18"/>
                <w:b w:val="1"/>
                <w:bCs w:val="1"/>
                <w:color w:val="auto"/>
              </w:rPr>
              <w:t>Backlog at March 31, 2018</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4"/>
              </w:rPr>
              <w:t>Amount estimated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to not be recognized</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Total backlog at</w:t>
            </w: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within 12 months</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8"/>
              </w:rPr>
              <w:t>December 31, 2017</w:t>
            </w:r>
          </w:p>
        </w:tc>
      </w:tr>
      <w:tr>
        <w:trPr>
          <w:trHeight w:val="426"/>
        </w:trPr>
        <w:tc>
          <w:tcPr>
            <w:tcW w:w="3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T&amp;D</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434,299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333,147</w:t>
            </w:r>
          </w:p>
        </w:tc>
      </w:tr>
      <w:tr>
        <w:trPr>
          <w:trHeight w:val="230"/>
        </w:trPr>
        <w:tc>
          <w:tcPr>
            <w:tcW w:w="3260" w:type="dxa"/>
            <w:vAlign w:val="bottom"/>
          </w:tcPr>
          <w:p>
            <w:pPr>
              <w:ind w:left="320"/>
              <w:spacing w:after="0"/>
              <w:rPr>
                <w:sz w:val="20"/>
                <w:szCs w:val="20"/>
                <w:color w:val="auto"/>
              </w:rPr>
            </w:pPr>
            <w:r>
              <w:rPr>
                <w:rFonts w:ascii="Arial" w:cs="Arial" w:eastAsia="Arial" w:hAnsi="Arial"/>
                <w:sz w:val="18"/>
                <w:szCs w:val="18"/>
                <w:color w:val="auto"/>
              </w:rPr>
              <w:t>C&amp;I</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524,207</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149,349</w:t>
            </w:r>
          </w:p>
        </w:tc>
        <w:tc>
          <w:tcPr>
            <w:tcW w:w="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345,992</w:t>
            </w:r>
          </w:p>
        </w:tc>
      </w:tr>
      <w:tr>
        <w:trPr>
          <w:trHeight w:val="223"/>
        </w:trPr>
        <w:tc>
          <w:tcPr>
            <w:tcW w:w="3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958,506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679,139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March 31, 2018, we had approximately $540.4 million in original face amount of surety bonds outstanding. Our estimated remaining cost to complete these bonded projects was approximately $101.7 million as of March 31, 2018.</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consolidated statements of operations data and such data as a percentage of revenues for the periods indicated:</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7"/>
              </w:rPr>
              <w:t>Amount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345,611</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Contract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309,858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28,280</w:t>
            </w:r>
          </w:p>
        </w:tc>
        <w:tc>
          <w:tcPr>
            <w:tcW w:w="12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25,779</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320"/>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$45.5 million, or 15.2%, to $345.6 million for the three months ended March 31, 2018 from $300.1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2017. The increase was primarily due to higher C&amp;I revenues and an increase in distribution revenues.</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increased to 10.3% for the three months ended March 31, 2018 from 8.6% for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gross margin was largely due to improvements in efficiency compared to the prior year, which was significantly impacted by inclement weather and a high mix of smaller, shorter duration work. Changes in estimates of gross profit on certain projects resulted in a gross margin decrease of 0.1% for the three months ended March 31, 2018. Gross margin increased 0.4% due to changes in estimates of gross profit on certain projects for the three months ended March 31, 2017.</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$10.1 million, or 38.9%, to $35.8 million for the three months ended March 31, 2018 from $25.7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2017, primarily due to higher revenues and increased margins.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of $28.3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increased $2.5 million from $25.8 million for the three months ended March 31, 2017. The year-over-year increase was primarily due to higher bonus and profit sharing costs. As a percentage of revenues, SG&amp;A decreased to 8.2% for the three months ended March 31, 2018 from 8.6% for the three months ended March 31, 2017.</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March 31, 2018 were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$0.7 million for the three months ended March 31, 2017.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$0.7 million for the three months ended March 31, 2018 compared to $0.5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This increase was primarily attributable to the amount and length of time borrowings under our line of credit were outstanding during the three months ended March 31, 2018 as compared to the three months ended March 31, 2017.</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$0.2 million for the three months ended March 31, 2018 compared to other income of $0.9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2017. The change was primarily attributable to contingent consideration related to margin guarantees on certain contracts associated with the acquisition of Western Pacific Enterprises Ltd. recognized in the three months ended March 31, 2017.</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jc w:val="both"/>
        <w:ind w:right="140" w:firstLine="648"/>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income tax provision was $2.3 million for the three months ended March 31, 2018, with an effective tax rate of 28.9%.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2017 we had an income tax benefit of $0.4 million, which represented 42.7% of pretax income. The effective tax rate for the three months ended March 31, 2018 benefited from the enactment of the United States Tax Cuts and Jobs Act on December 22, 2017. The tax benefit in the three months ended March 31, 2017 was caused by excess tax benefits pertaining to the vesting of stock awards and the exercise of stock options related to the Company’s stock compensation program.</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to $5.6 million for the three months ended March 31, 2018 from $1.2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The increase was primarily for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8"/>
                <w:szCs w:val="18"/>
                <w:b w:val="1"/>
                <w:bCs w:val="1"/>
                <w:color w:val="auto"/>
                <w:w w:val="89"/>
              </w:rPr>
              <w:t>Three months ended 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7"/>
              </w:rPr>
              <w:t>Amount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Percent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gridSpan w:val="2"/>
          </w:tcPr>
          <w:p>
            <w:pPr>
              <w:spacing w:after="0"/>
              <w:rPr>
                <w:sz w:val="19"/>
                <w:szCs w:val="19"/>
                <w:color w:val="auto"/>
              </w:rPr>
            </w:pPr>
          </w:p>
        </w:tc>
      </w:tr>
      <w:tr>
        <w:trPr>
          <w:trHeight w:val="210"/>
        </w:trPr>
        <w:tc>
          <w:tcPr>
            <w:tcW w:w="3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Transmission &amp; Distribution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r>
      <w:tr>
        <w:trPr>
          <w:trHeight w:val="263"/>
        </w:trPr>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345,611</w:t>
            </w: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300,129</w:t>
            </w: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197"/>
        </w:trPr>
        <w:tc>
          <w:tcPr>
            <w:tcW w:w="3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Transmission &amp; Distribution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13,541</w:t>
            </w:r>
          </w:p>
        </w:tc>
        <w:tc>
          <w:tcPr>
            <w:tcW w:w="12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r>
      <w:tr>
        <w:trPr>
          <w:trHeight w:val="210"/>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(10,470)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w:t>
            </w: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Revenues for our T&amp;D segment for the three months ended March 31, 2018 were $216.4 million compared to $195.7 million for the three months ended March 31, 2017, an increase of $20.7 million, or 10.6%. The increase in revenue was primarily due to an increase in distribution revenue.</w:t>
      </w:r>
    </w:p>
    <w:p>
      <w:pPr>
        <w:spacing w:after="0" w:line="12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Revenues from transmission projects represented 62.1% and 72.2% of T&amp;D segment revenue for the three months ended March 31, 2018 and 2017, respectively. Additionally, for the three months ended March 31, 2018, measured by revenue in our T&amp;D segment, we provided 36.7% of our T&amp;D services under fixed-price contracts, as compared to 35.1% for the three months ended March 31, 2017.</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Operating income for our T&amp;D segment for the three months ended March 31, 2018 was $13.5 million, an increase of $8.4 million from the three months ended March 31, 2017. The increase in T&amp;D operating income was primarily due to improvements in efficiency from the prior year, which was significantly impacted by inclement weather, and a higher mix of smaller, shorter duration work. As a percentage of revenues, operating income for our T&amp;D segment was 6.3% for the three months ended March 31, 2018 compared to 2.6% for the three months ended March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Revenues for our C&amp;I segment for the three months ended March 31, 2018 were $129.2 million compared to $104.4 million for the three months ended March 31, 2017, an increase of $24.8 million, or 23.8%, primarily due to increased spending from new and existing customers and increased volume at certain organic expansion locations.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Measured by revenue in our C&amp;I segment, we provided 69.0% of our services under fixed-price contracts for the three months ended March 31, 2018, compared to 66.8% for the three months ended March 31, 2017.</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Operating income for our C&amp;I segment for the three months ended March 31, 2018 was $5.3 million, an increase of $0.9 million over the three months ended March 31, 2017. The year-over-year increase in operating income was primarily attributable to higher revenue. As a percentage of revenues, operating income for our C&amp;I segment was 4.1% for the three months ended March 31, 2018 compared to 4.2% for the three months ended March 31, 2017.</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define EBITDA, a performance measure used by management, as net income plus: interest income and expense, provision for income taxes and depreciation and amortization, as shown in the table below. EBITDA, a non-GAAP financial measure, does not purport to be an alternative to net income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16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Using EBITDA as a performance measure has material limitations as compared to net income, or other financial measures as defined under U.S. GAAP, as it excludes certain recurring items, which may be meaningful to investors. EBITDA excludes interest expense or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provides a reconciliation of net income to EBITDA: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6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6740" w:type="dxa"/>
            <w:vAlign w:val="bottom"/>
            <w:gridSpan w:val="2"/>
            <w:vMerge w:val="restart"/>
          </w:tcPr>
          <w:p>
            <w:pPr>
              <w:ind w:left="164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i w:val="1"/>
                <w:iCs w:val="1"/>
                <w:color w:val="auto"/>
              </w:rPr>
              <w:t>Add: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&amp; amortization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EBITDA</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Non-compliance with these financial covenants under the Credit Agreement—our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6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w:t>
            </w:r>
          </w:p>
        </w:tc>
      </w:tr>
      <w:tr>
        <w:trPr>
          <w:trHeight w:val="234"/>
        </w:trPr>
        <w:tc>
          <w:tcPr>
            <w:tcW w:w="6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10"/>
        </w:trPr>
        <w:tc>
          <w:tcPr>
            <w:tcW w:w="6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Provided By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ind w:left="160"/>
              <w:spacing w:after="0"/>
              <w:rPr>
                <w:sz w:val="20"/>
                <w:szCs w:val="20"/>
                <w:color w:val="auto"/>
              </w:rPr>
            </w:pPr>
            <w:r>
              <w:rPr>
                <w:rFonts w:ascii="Arial" w:cs="Arial" w:eastAsia="Arial" w:hAnsi="Arial"/>
                <w:sz w:val="18"/>
                <w:szCs w:val="18"/>
                <w:color w:val="auto"/>
              </w:rPr>
              <w:t>Net cash flows provided by operating activities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22,033</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13,060</w:t>
            </w:r>
          </w:p>
        </w:tc>
      </w:tr>
      <w:tr>
        <w:trPr>
          <w:trHeight w:val="216"/>
        </w:trPr>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Add/(subtract):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(2,190)</w:t>
            </w:r>
          </w:p>
        </w:tc>
      </w:tr>
      <w:tr>
        <w:trPr>
          <w:trHeight w:val="202"/>
        </w:trPr>
        <w:tc>
          <w:tcPr>
            <w:tcW w:w="64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Adjustments to reconcile net income to net cash flows provided by operating</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(9,511)</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(9,670)</w:t>
            </w:r>
          </w:p>
        </w:tc>
      </w:tr>
      <w:tr>
        <w:trPr>
          <w:trHeight w:val="216"/>
        </w:trPr>
        <w:tc>
          <w:tcPr>
            <w:tcW w:w="6420" w:type="dxa"/>
            <w:vAlign w:val="bottom"/>
            <w:gridSpan w:val="2"/>
          </w:tcPr>
          <w:p>
            <w:pPr>
              <w:ind w:left="3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9,392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9,746</w:t>
            </w:r>
          </w:p>
        </w:tc>
      </w:tr>
      <w:tr>
        <w:trPr>
          <w:trHeight w:val="216"/>
        </w:trPr>
        <w:tc>
          <w:tcPr>
            <w:tcW w:w="6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r>
      <w:tr>
        <w:trPr>
          <w:trHeight w:val="230"/>
        </w:trPr>
        <w:tc>
          <w:tcPr>
            <w:tcW w:w="6420" w:type="dxa"/>
            <w:vAlign w:val="bottom"/>
            <w:gridSpan w:val="2"/>
          </w:tcPr>
          <w:p>
            <w:pPr>
              <w:ind w:left="3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r>
      <w:tr>
        <w:trPr>
          <w:trHeight w:val="223"/>
        </w:trPr>
        <w:tc>
          <w:tcPr>
            <w:tcW w:w="64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March 31, 2018, we had working capital of $181.6 million. We define working capital as current assets less current liabilities. During the three months ended March 31, 2018, operating activities of our business provided net cash of $22.0 million, compared to $13.1 million of cash provided for the three months ended March 31, 2017. Cash flow from operations is primarily influenced by demand for our services, operating margins, timing of contract performance and the type of services we provide to our customers. The $8.9 million year-over-year increase in net cash provided by operating activities was primarily due to favorable net changes in operating assets and liabilities of $4.7 million and an increase of $4.4 million in net income. The favorable change in operating assets and liabilities was primarily due to the favorable year-over-year increase of $15.3 million in other liabilities, partially offset by unfavorable changes in various working capital accounts that relate primarily to construction activities (accounts receivable, costs and estimated earnings in excess of billings on uncompleted contracts, accounts payable and billings in excess of costs and estimated earnings on uncompleted contracts), of $9.4 million. The increase in cash provided by other liabilities was due to the timing of wage and employment taxes and higher bonus and profit sharing accruals. The decline in cash provided by working capital accounts primarily related to construction activities was due to an increase in working capital requirements needed to support the increase in revenue.</w:t>
      </w:r>
    </w:p>
    <w:p>
      <w:pPr>
        <w:spacing w:after="0" w:line="183"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In the three months ended March 31, 2018, we used net cash in investing activities of $13.4 million, consisting of $14.5 million for capital expenditures, partially offset by $1.1 million of proceeds from the sale of equipment.</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the three months ended March 31, 2018, we used net cash of $12.2 million in financing activities, consisting primarily of $11.6 million of repayments under our revolving line of credit and $0.9 million of share repurchases, all of which represented shares surrendered to satisfy tax obligations under our stock compensation programs.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anticipate that our borrowing availability of $162.0 million at March 31, 2018 under the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borrowing capacity to meet our liquidity needs, any large projects or acquisitions may require additional capital.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Instruments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June 30, 2016, we entered into a five-year amended and restated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right="60" w:firstLine="648"/>
        <w:spacing w:after="0" w:line="291"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our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covenants under the Credit Agreement as of March 31, 2018.</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March 31, 2018, we had $67.4 million of debt outstanding under the Facility and irrevocable standby letters of credit outstanding of approximately $20.6 million. As of December 31, 2017, we had $79.0 million of debt outstanding under the Facility and irrevocable standby letters of credit outstanding of approximately $20.9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non-cancelable operating leases,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refer to Note 7–Commitments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March 31, 2018 and 2017, none of our customers individually exceeded 10.0%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Presentation—Recently Issued Accounting Pronouncements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2017 Annual Report.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 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 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2017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4" w:name="page25"/>
    <w:bookmarkEnd w:id="24"/>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 key customer could have an adverse affect on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Unavailability or cancellation of third party insurance coverage would increase our overall risk exposure and could disrupt our operations.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225"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the necessary bonds, letters of credit, bank guarantees or other financial assurances.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hire or retain key personnel could disrupt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may be affected by seasonal and other variations, including severe weather conditions and the nature of our work environment.</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execute or integrate acquisitions or joint ventures successfully.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have access in the future to sufficient funding to finance desired growth and operations.</w:t>
      </w:r>
    </w:p>
    <w:p>
      <w:pPr>
        <w:spacing w:after="0" w:line="225"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or our business partners, may be subject to failures, interruptions or breaches of information technology systems, which could affect our operations or our competitive position, expose sensitive information, or damage our reputation.</w:t>
      </w:r>
    </w:p>
    <w:p>
      <w:pPr>
        <w:spacing w:after="0" w:line="170" w:lineRule="exact"/>
        <w:rPr>
          <w:rFonts w:ascii="Arial" w:cs="Arial" w:eastAsia="Arial" w:hAnsi="Arial"/>
          <w:sz w:val="18"/>
          <w:szCs w:val="18"/>
          <w:color w:val="auto"/>
        </w:rPr>
      </w:pPr>
    </w:p>
    <w:p>
      <w:pPr>
        <w:ind w:left="328" w:right="26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has experienced significant price and volume fluctuations and future sales of our common stock could lead to dilution of our issued and outstanding common stock.</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interpretation of tax laws could impact the determination of our income tax liabilities for a tax year.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236"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 which could cause our debt service obligations to increase significantly.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we were not party to any derivative instruments. We did not use any material derivative financial instruments during the three months ended March 31, 2018 and 2017, including instruments for trading, hedging or speculating on changes in interest rates or commodity prices of materials used in our business.</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March 31, 2018, we had $67.4 million of debt outstanding under the Facility. Borrowings under the Facility are based upon an interest rate that will vary depending upon the prime rate, federal funds rate and LIBOR. If the prime rate, federal funds rate or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March 31, 2018, which is subject to variable rates, permanently increased by 1%, the increase in interest expense on all revolving debt would decrease future income before provision for income taxes and cash flows by approximately $0.7 million annually. If market rates of interest on all our revolving debt, which is subject to variable rates as of March 31, 2018, permanently decreased by 1%, the decrease in interest expense on all debt would increase future income before provision for income taxes and cash flows by the same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ind w:right="6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further discussion regarding legal proceedings, please refer to Note 7–Commitments and Contingencies—Litigation and Other Legal Matters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the date of this filing, there have been no material changes to the risk factors previously discussed in Item 1A of our 2017 Annual Report. An investment in our common stock involves various risks. When considering an investment in our company, you should carefully consider all of the risk factors described in our 2017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following table includes all of the Company’s repurchases of common stock for the periods shown,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made pursuant to publicly announced plans or programs and those not made pursuant to publicly announced plans or programs. Repurchased shares are retired and returned to authorized but unissued common stock.</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220" w:type="dxa"/>
            <w:vAlign w:val="bottom"/>
          </w:tcPr>
          <w:p>
            <w:pPr>
              <w:spacing w:after="0"/>
              <w:rPr>
                <w:sz w:val="18"/>
                <w:szCs w:val="18"/>
                <w:color w:val="auto"/>
              </w:rPr>
            </w:pPr>
          </w:p>
        </w:tc>
        <w:tc>
          <w:tcPr>
            <w:tcW w:w="18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220" w:type="dxa"/>
            <w:vAlign w:val="bottom"/>
          </w:tcPr>
          <w:p>
            <w:pPr>
              <w:spacing w:after="0"/>
              <w:rPr>
                <w:sz w:val="18"/>
                <w:szCs w:val="18"/>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Paid per</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0"/>
              </w:rPr>
              <w:t>Announced Plans or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Repurchased (1)</w:t>
            </w:r>
          </w:p>
        </w:tc>
        <w:tc>
          <w:tcPr>
            <w:tcW w:w="20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2018 - January 31, 2018</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February 1, 2018 - February 28, 2018</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2018 - March 31, 2018</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29,789</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31.37</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660" w:right="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column includes all repurchases of common stock, including stock repurchased under announced repurchase programs and stock repurchased outside such programs. Outside of the repurchase program, the Company repurchased 29,789 shares of its common stock to satisfy tax obligations on the vesting of restricted stock and performance shares under the 2007 Long-Term Incentive Plan (as amended).</w:t>
      </w:r>
    </w:p>
    <w:p>
      <w:pPr>
        <w:spacing w:after="0" w:line="165"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July 27, 2017, the Company’s Board of Directors approved a $20.0 million share repurchase program, which will expire on August 15, 2018, or when the authorized funds are exhausted.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0"/>
                <w:szCs w:val="20"/>
                <w:color w:val="auto"/>
              </w:rPr>
            </w:pPr>
          </w:p>
        </w:tc>
        <w:tc>
          <w:tcPr>
            <w:tcW w:w="9920" w:type="dxa"/>
            <w:vAlign w:val="bottom"/>
            <w:tcBorders>
              <w:bottom w:val="single" w:sz="8" w:color="auto"/>
            </w:tcBorders>
            <w:gridSpan w:val="5"/>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80" w:type="dxa"/>
            <w:vAlign w:val="bottom"/>
            <w:gridSpan w:val="2"/>
          </w:tcPr>
          <w:p>
            <w:pPr>
              <w:jc w:val="right"/>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10040" w:type="dxa"/>
            <w:vAlign w:val="bottom"/>
            <w:gridSpan w:val="6"/>
          </w:tcPr>
          <w:p>
            <w:pPr>
              <w:ind w:left="120"/>
              <w:spacing w:after="0"/>
              <w:rPr>
                <w:sz w:val="20"/>
                <w:szCs w:val="20"/>
                <w:color w:val="auto"/>
              </w:rPr>
            </w:pPr>
            <w:r>
              <w:rPr>
                <w:rFonts w:ascii="Arial" w:cs="Arial" w:eastAsia="Arial" w:hAnsi="Arial"/>
                <w:sz w:val="18"/>
                <w:szCs w:val="18"/>
                <w:color w:val="0000EE"/>
              </w:rPr>
              <w:t>Form of Restricted Stock Unit Award Agreement (Named Executive Officer).†+</w:t>
            </w: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w:t>
            </w:r>
          </w:p>
        </w:tc>
        <w:tc>
          <w:tcPr>
            <w:tcW w:w="10040" w:type="dxa"/>
            <w:vAlign w:val="bottom"/>
            <w:gridSpan w:val="6"/>
          </w:tcPr>
          <w:p>
            <w:pPr>
              <w:ind w:left="120"/>
              <w:spacing w:after="0" w:line="196" w:lineRule="exact"/>
              <w:rPr>
                <w:sz w:val="20"/>
                <w:szCs w:val="20"/>
                <w:color w:val="auto"/>
              </w:rPr>
            </w:pPr>
            <w:r>
              <w:rPr>
                <w:rFonts w:ascii="Arial" w:cs="Arial" w:eastAsia="Arial" w:hAnsi="Arial"/>
                <w:sz w:val="18"/>
                <w:szCs w:val="18"/>
                <w:color w:val="0000EE"/>
              </w:rPr>
              <w:t>Form of Performance Shares Award Agreement (Named Executive Officer).†+</w:t>
            </w: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040" w:type="dxa"/>
            <w:vAlign w:val="bottom"/>
            <w:gridSpan w:val="6"/>
          </w:tcPr>
          <w:p>
            <w:pPr>
              <w:ind w:left="120"/>
              <w:spacing w:after="0" w:line="196" w:lineRule="exact"/>
              <w:rPr>
                <w:sz w:val="20"/>
                <w:szCs w:val="20"/>
                <w:color w:val="auto"/>
              </w:rPr>
            </w:pPr>
            <w:r>
              <w:rPr>
                <w:rFonts w:ascii="Arial" w:cs="Arial" w:eastAsia="Arial" w:hAnsi="Arial"/>
                <w:sz w:val="18"/>
                <w:szCs w:val="18"/>
                <w:color w:val="0000EE"/>
              </w:rPr>
              <w:t>Certification of Chief Executive Officer pursuant to SEC Rule 13a-14(a)/15d-14(a)†</w:t>
            </w: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39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040" w:type="dxa"/>
            <w:vAlign w:val="bottom"/>
            <w:gridSpan w:val="6"/>
          </w:tcPr>
          <w:p>
            <w:pPr>
              <w:ind w:left="120"/>
              <w:spacing w:after="0" w:line="196" w:lineRule="exact"/>
              <w:rPr>
                <w:sz w:val="20"/>
                <w:szCs w:val="20"/>
                <w:color w:val="auto"/>
              </w:rPr>
            </w:pPr>
            <w:r>
              <w:rPr>
                <w:rFonts w:ascii="Arial" w:cs="Arial" w:eastAsia="Arial" w:hAnsi="Arial"/>
                <w:sz w:val="18"/>
                <w:szCs w:val="18"/>
                <w:color w:val="0000EE"/>
              </w:rPr>
              <w:t>Certification of Chief Financial Officer pursuant to SEC Rule 13a-14(a)/15d-14(a)†</w:t>
            </w: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040" w:type="dxa"/>
            <w:vAlign w:val="bottom"/>
            <w:gridSpan w:val="6"/>
          </w:tcPr>
          <w:p>
            <w:pPr>
              <w:ind w:left="120"/>
              <w:spacing w:after="0" w:line="196" w:lineRule="exact"/>
              <w:rPr>
                <w:sz w:val="20"/>
                <w:szCs w:val="20"/>
                <w:color w:val="auto"/>
              </w:rPr>
            </w:pPr>
            <w:r>
              <w:rPr>
                <w:rFonts w:ascii="Arial" w:cs="Arial" w:eastAsia="Arial" w:hAnsi="Arial"/>
                <w:sz w:val="18"/>
                <w:szCs w:val="18"/>
                <w:color w:val="0000EE"/>
              </w:rPr>
              <w:t>Certification of Chief Executive Officer pursuant to 18 U.S.C. §1350†</w:t>
            </w: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4920" w:type="dxa"/>
            <w:vAlign w:val="bottom"/>
            <w:tcBorders>
              <w:left w:val="single" w:sz="8" w:color="0000EE"/>
            </w:tcBorders>
            <w:gridSpan w:val="4"/>
          </w:tcPr>
          <w:p>
            <w:pPr>
              <w:spacing w:after="0" w:line="20" w:lineRule="exact"/>
              <w:rPr>
                <w:sz w:val="1"/>
                <w:szCs w:val="1"/>
                <w:color w:val="auto"/>
              </w:rPr>
            </w:pPr>
          </w:p>
        </w:tc>
      </w:tr>
      <w:tr>
        <w:trPr>
          <w:trHeight w:val="196"/>
        </w:trPr>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0040" w:type="dxa"/>
            <w:vAlign w:val="bottom"/>
            <w:gridSpan w:val="6"/>
          </w:tcPr>
          <w:p>
            <w:pPr>
              <w:ind w:left="120"/>
              <w:spacing w:after="0" w:line="196" w:lineRule="exact"/>
              <w:rPr>
                <w:sz w:val="20"/>
                <w:szCs w:val="20"/>
                <w:color w:val="auto"/>
              </w:rPr>
            </w:pPr>
            <w:r>
              <w:rPr>
                <w:rFonts w:ascii="Arial" w:cs="Arial" w:eastAsia="Arial" w:hAnsi="Arial"/>
                <w:sz w:val="18"/>
                <w:szCs w:val="18"/>
                <w:color w:val="0000EE"/>
              </w:rPr>
              <w:t>Certification of Chief Financial Officer pursuant to 18 U.S.C. §1350†</w:t>
            </w: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r>
      <w:tr>
        <w:trPr>
          <w:trHeight w:val="438"/>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101.INS</w:t>
            </w:r>
          </w:p>
        </w:tc>
        <w:tc>
          <w:tcPr>
            <w:tcW w:w="10040" w:type="dxa"/>
            <w:vAlign w:val="bottom"/>
            <w:gridSpan w:val="6"/>
          </w:tcPr>
          <w:p>
            <w:pPr>
              <w:ind w:left="120"/>
              <w:spacing w:after="0"/>
              <w:rPr>
                <w:sz w:val="20"/>
                <w:szCs w:val="20"/>
                <w:color w:val="auto"/>
              </w:rPr>
            </w:pPr>
            <w:r>
              <w:rPr>
                <w:rFonts w:ascii="Arial" w:cs="Arial" w:eastAsia="Arial" w:hAnsi="Arial"/>
                <w:sz w:val="18"/>
                <w:szCs w:val="18"/>
                <w:color w:val="auto"/>
              </w:rPr>
              <w:t>XBRL Instance Document *</w:t>
            </w:r>
          </w:p>
        </w:tc>
      </w:tr>
      <w:tr>
        <w:trPr>
          <w:trHeight w:val="216"/>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101.SCH</w:t>
            </w:r>
          </w:p>
        </w:tc>
        <w:tc>
          <w:tcPr>
            <w:tcW w:w="10040" w:type="dxa"/>
            <w:vAlign w:val="bottom"/>
            <w:gridSpan w:val="6"/>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101.CAL</w:t>
            </w:r>
          </w:p>
        </w:tc>
        <w:tc>
          <w:tcPr>
            <w:tcW w:w="10040" w:type="dxa"/>
            <w:vAlign w:val="bottom"/>
            <w:gridSpan w:val="6"/>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101.DEF</w:t>
            </w:r>
          </w:p>
        </w:tc>
        <w:tc>
          <w:tcPr>
            <w:tcW w:w="10040" w:type="dxa"/>
            <w:vAlign w:val="bottom"/>
            <w:gridSpan w:val="6"/>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101.LAB</w:t>
            </w:r>
          </w:p>
        </w:tc>
        <w:tc>
          <w:tcPr>
            <w:tcW w:w="10040" w:type="dxa"/>
            <w:vAlign w:val="bottom"/>
            <w:gridSpan w:val="6"/>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101.PRE</w:t>
            </w:r>
          </w:p>
        </w:tc>
        <w:tc>
          <w:tcPr>
            <w:tcW w:w="10040" w:type="dxa"/>
            <w:vAlign w:val="bottom"/>
            <w:gridSpan w:val="6"/>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9" w:lineRule="exact"/>
        <w:rPr>
          <w:sz w:val="20"/>
          <w:szCs w:val="20"/>
          <w:color w:val="auto"/>
        </w:rPr>
      </w:pPr>
    </w:p>
    <w:p>
      <w:pPr>
        <w:ind w:left="5640" w:right="5600" w:hanging="5632"/>
        <w:spacing w:after="0" w:line="92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May 2, 2018</w:t>
            </w:r>
          </w:p>
        </w:tc>
        <w:tc>
          <w:tcPr>
            <w:tcW w:w="25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224"/>
        </w:trPr>
        <w:tc>
          <w:tcPr>
            <w:tcW w:w="3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634"/>
        </w:trPr>
        <w:tc>
          <w:tcPr>
            <w:tcW w:w="3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AND DIVIDEND EQUIVALENTS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(this “Agreement”) is made as of March ___, 20___, by and between MYR Group Inc., a Delaware corporation (the</w:t>
      </w:r>
    </w:p>
    <w:p>
      <w:pPr>
        <w:spacing w:after="0" w:line="23"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“Company”), and [</w:t>
      </w:r>
      <w:r>
        <w:rPr>
          <w:sz w:val="20"/>
          <w:szCs w:val="20"/>
          <w:color w:val="auto"/>
        </w:rPr>
        <w:tab/>
      </w:r>
      <w:r>
        <w:rPr>
          <w:rFonts w:ascii="Arial" w:cs="Arial" w:eastAsia="Arial" w:hAnsi="Arial"/>
          <w:sz w:val="17"/>
          <w:szCs w:val="17"/>
          <w:color w:val="auto"/>
        </w:rPr>
        <w:t>] (the “Participant”).</w:t>
      </w:r>
    </w:p>
    <w:p>
      <w:pPr>
        <w:spacing w:after="0" w:line="211" w:lineRule="exact"/>
        <w:rPr>
          <w:sz w:val="20"/>
          <w:szCs w:val="20"/>
          <w:color w:val="auto"/>
        </w:rPr>
      </w:pPr>
    </w:p>
    <w:p>
      <w:pPr>
        <w:ind w:left="660" w:right="80" w:hanging="652"/>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Pursuant to the MYR Group Inc. 2017 Long-Term Incentive Plan (the “Plan”) and subject to the terms and conditions thereof and the terms and conditions hereinafter set forth, the Company has granted, as of March ___, 20___ (the “Date of Grant”), to the</w:t>
      </w:r>
    </w:p>
    <w:p>
      <w:pPr>
        <w:ind w:left="660"/>
        <w:spacing w:after="0"/>
        <w:rPr>
          <w:rFonts w:ascii="Arial" w:cs="Arial" w:eastAsia="Arial" w:hAnsi="Arial"/>
          <w:sz w:val="16"/>
          <w:szCs w:val="16"/>
          <w:color w:val="auto"/>
        </w:rPr>
      </w:pPr>
      <w:r>
        <w:rPr>
          <w:rFonts w:ascii="Arial" w:cs="Arial" w:eastAsia="Arial" w:hAnsi="Arial"/>
          <w:sz w:val="18"/>
          <w:szCs w:val="18"/>
          <w:color w:val="auto"/>
        </w:rPr>
        <w:t>Participant [</w:t>
      </w:r>
      <w:r>
        <w:rPr>
          <w:rFonts w:ascii="Arial" w:cs="Arial" w:eastAsia="Arial" w:hAnsi="Arial"/>
          <w:sz w:val="16"/>
          <w:szCs w:val="16"/>
          <w:color w:val="auto"/>
        </w:rPr>
        <w:t>] Restricted Stock Units.</w:t>
      </w:r>
    </w:p>
    <w:p>
      <w:pPr>
        <w:spacing w:after="0" w:line="210" w:lineRule="exact"/>
        <w:rPr>
          <w:rFonts w:ascii="Arial" w:cs="Arial" w:eastAsia="Arial" w:hAnsi="Arial"/>
          <w:sz w:val="16"/>
          <w:szCs w:val="16"/>
          <w:color w:val="auto"/>
        </w:rPr>
      </w:pPr>
    </w:p>
    <w:p>
      <w:pPr>
        <w:ind w:left="660" w:right="60" w:hanging="652"/>
        <w:spacing w:after="0" w:line="27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Rights of the Participant</w:t>
      </w:r>
      <w:r>
        <w:rPr>
          <w:rFonts w:ascii="Arial" w:cs="Arial" w:eastAsia="Arial" w:hAnsi="Arial"/>
          <w:sz w:val="17"/>
          <w:szCs w:val="17"/>
          <w:color w:val="auto"/>
        </w:rPr>
        <w:t>. Each Restricted Stock Unit, upon becoming vested before its expiration, represents a right to receive payment in the form of one (1) share of Common Stock. Each tandem Dividend Equivalent represents a right to receive cash payments equivalent to the amount of cash dividends declared and paid on one (1) share of Common Stock after the Date of Grant and until the earlier of (a) the time the Restricted Stock Units vest and become payable or (b) the date the Restricted Stock Units are forfeited/expire. Restricted Stock Units and Dividend Equivalents are used solely as units of measurement, and are not shares of Common Stock and the Grantee is not, and has no rights as, a shareholder of the Company by virtue of this Award. The Restricted Stock Units and Dividend Equivalents subject to this Agreement have been awarded to the Grantee in respect of services to be performed by the Participant during the vesting period.</w:t>
      </w:r>
    </w:p>
    <w:p>
      <w:pPr>
        <w:spacing w:after="0" w:line="177" w:lineRule="exact"/>
        <w:rPr>
          <w:rFonts w:ascii="Arial" w:cs="Arial" w:eastAsia="Arial" w:hAnsi="Arial"/>
          <w:sz w:val="17"/>
          <w:szCs w:val="17"/>
          <w:color w:val="auto"/>
        </w:rPr>
      </w:pPr>
    </w:p>
    <w:p>
      <w:pPr>
        <w:ind w:left="660" w:right="14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xml:space="preserve">. The rights to the Restricted Stock Units may not be transferred, assigned or subject to any encumbrance, pledge or charge;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Participant’s rights with respect to the Restricted Stock Units may be transferred by will or pursuant to the laws of descent and distribution. Any purported transfer in violation of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void, and the other party to any such purported transaction shall not obtain any rights to or interest in the Restricted Stock Units.</w:t>
      </w:r>
    </w:p>
    <w:p>
      <w:pPr>
        <w:spacing w:after="0" w:line="186" w:lineRule="exact"/>
        <w:rPr>
          <w:rFonts w:ascii="Arial" w:cs="Arial" w:eastAsia="Arial" w:hAnsi="Arial"/>
          <w:sz w:val="18"/>
          <w:szCs w:val="18"/>
          <w:color w:val="auto"/>
        </w:rPr>
      </w:pPr>
    </w:p>
    <w:p>
      <w:pPr>
        <w:ind w:left="660" w:right="240" w:hanging="652"/>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xml:space="preserve">. Subject to the terms and conditions of this Agreement and the Plan, the Restricted Stock Units shall vest in accordance with the vesting schedule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provided the Participant remains continuously employed by the Company until the applicable vesting date(s)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as otherwise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ind w:left="652" w:right="600"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 xml:space="preserve">. Notwithstanding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the Restricted Stock Units covered by this Agreement shall become immediately vested in full if any of the following circumstances apply:</w:t>
      </w:r>
    </w:p>
    <w:p>
      <w:pPr>
        <w:spacing w:after="0" w:line="170" w:lineRule="exact"/>
        <w:rPr>
          <w:rFonts w:ascii="Arial" w:cs="Arial" w:eastAsia="Arial" w:hAnsi="Arial"/>
          <w:sz w:val="18"/>
          <w:szCs w:val="18"/>
          <w:color w:val="auto"/>
        </w:rPr>
      </w:pPr>
    </w:p>
    <w:p>
      <w:pPr>
        <w:ind w:left="1292" w:hanging="644"/>
        <w:spacing w:after="0" w:line="264"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Good Reason</w:t>
      </w:r>
      <w:r>
        <w:rPr>
          <w:rFonts w:ascii="Arial" w:cs="Arial" w:eastAsia="Arial" w:hAnsi="Arial"/>
          <w:sz w:val="18"/>
          <w:szCs w:val="18"/>
          <w:color w:val="auto"/>
        </w:rPr>
        <w:t>: The Participant’s employment with the Company is terminated without “Cause” or with “Good Reason” (as each term is defined in the Participant’s current Employment Agreement with the Company, as may be amended from time to time (the “Employment Agreement”)).</w:t>
      </w:r>
    </w:p>
    <w:p>
      <w:pPr>
        <w:spacing w:after="0" w:line="181" w:lineRule="exact"/>
        <w:rPr>
          <w:rFonts w:ascii="Arial" w:cs="Arial" w:eastAsia="Arial" w:hAnsi="Arial"/>
          <w:sz w:val="18"/>
          <w:szCs w:val="18"/>
          <w:color w:val="auto"/>
        </w:rPr>
      </w:pPr>
    </w:p>
    <w:p>
      <w:pPr>
        <w:ind w:left="1292" w:right="240" w:hanging="644"/>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The Participant’s employment with the Company is terminated due to the Participant’s death or “Disability” (as such term is defined in the Employment Agreement).</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occurs while the Participant is an employee of the Company.</w:t>
      </w:r>
    </w:p>
    <w:p>
      <w:pPr>
        <w:spacing w:after="0" w:line="225" w:lineRule="exact"/>
        <w:rPr>
          <w:rFonts w:ascii="Arial" w:cs="Arial" w:eastAsia="Arial" w:hAnsi="Arial"/>
          <w:sz w:val="18"/>
          <w:szCs w:val="18"/>
          <w:color w:val="auto"/>
        </w:rPr>
      </w:pPr>
    </w:p>
    <w:p>
      <w:pPr>
        <w:ind w:left="652" w:right="60" w:hanging="652"/>
        <w:spacing w:after="0" w:line="270"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Payment of Restricted Stock Units.</w:t>
      </w:r>
      <w:r>
        <w:rPr>
          <w:rFonts w:ascii="Arial" w:cs="Arial" w:eastAsia="Arial" w:hAnsi="Arial"/>
          <w:sz w:val="17"/>
          <w:szCs w:val="17"/>
          <w:color w:val="auto"/>
        </w:rPr>
        <w:t xml:space="preserve"> Except as provided in the next sentence, payment of any vested Restricted Stock Units subject to this Agreement shall be made as soon as administratively practicable following (but no later than thirty (30) days following) the date that the Restricted Stock Units vest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To the extent applicable, if the Restricted Stock Units become payable on the Participant’s “separation from service” with the Company and its Subsidiaries within the meaning of Section 409A(a)(2)(A)(i) of the Code, the Participant is a “specified employee” as determined pursuant to procedures adopted by the Company in compliance with Section 409A of the Code, and the amount payable hereunder constitutes a “deferral of compensation” (within the meaning of Section 409A of the Code), then payment for the Restricted Stock Units shall be made on the earlier of the first day of the seventh month after the date of the Participant’s “separation from service” with the Company and its Subsidiaries within the meaning of Section 409A(a)(2)(A)(i) of the Code or the Participant’s death. Payment shall be in the form of delivery of one (1) share of Common Stock for each vested Restricted Stock Unit.</w:t>
      </w:r>
    </w:p>
    <w:p>
      <w:pPr>
        <w:spacing w:after="0" w:line="181" w:lineRule="exact"/>
        <w:rPr>
          <w:rFonts w:ascii="Arial" w:cs="Arial" w:eastAsia="Arial" w:hAnsi="Arial"/>
          <w:sz w:val="17"/>
          <w:szCs w:val="17"/>
          <w:color w:val="auto"/>
        </w:rPr>
      </w:pPr>
    </w:p>
    <w:p>
      <w:pPr>
        <w:ind w:left="652" w:right="40"/>
        <w:spacing w:after="0" w:line="272" w:lineRule="auto"/>
        <w:rPr>
          <w:rFonts w:ascii="Arial" w:cs="Arial" w:eastAsia="Arial" w:hAnsi="Arial"/>
          <w:sz w:val="17"/>
          <w:szCs w:val="17"/>
          <w:color w:val="auto"/>
        </w:rPr>
      </w:pPr>
      <w:r>
        <w:rPr>
          <w:rFonts w:ascii="Arial" w:cs="Arial" w:eastAsia="Arial" w:hAnsi="Arial"/>
          <w:sz w:val="17"/>
          <w:szCs w:val="17"/>
          <w:color w:val="auto"/>
        </w:rPr>
        <w:t>To the extent that the Company is required to withhold any federal, state, provincial, local or foreign taxes in connection with any delivery of shares of Common Stock to the Participant, and the amounts available to the Company for such withholding are insufficient, it shall be a condition to the receipt of such delivery that the Participant shall pay such taxes by the Company’s retention of a portion of the shares of Common Stock otherwise deliverable to the Participant. The shares so retained shall be credited against such withholding requirement at the fair market value on the date of such delivery. In no event, however, shall the Company accept shares for payment of taxes in excess of minimum required tax withholding rates; therefore, the Participant agrees to a payroll deduction for the amount of the withholding requirement that may be greater than the value of the whole number of shares retained for such purpose.</w:t>
      </w:r>
    </w:p>
    <w:p>
      <w:pPr>
        <w:spacing w:after="0" w:line="177" w:lineRule="exact"/>
        <w:rPr>
          <w:rFonts w:ascii="Arial" w:cs="Arial" w:eastAsia="Arial" w:hAnsi="Arial"/>
          <w:sz w:val="17"/>
          <w:szCs w:val="17"/>
          <w:color w:val="auto"/>
        </w:rPr>
      </w:pPr>
    </w:p>
    <w:p>
      <w:pPr>
        <w:ind w:left="652" w:right="100"/>
        <w:spacing w:after="0" w:line="290" w:lineRule="auto"/>
        <w:rPr>
          <w:rFonts w:ascii="Arial" w:cs="Arial" w:eastAsia="Arial" w:hAnsi="Arial"/>
          <w:sz w:val="17"/>
          <w:szCs w:val="17"/>
          <w:color w:val="auto"/>
        </w:rPr>
      </w:pPr>
      <w:r>
        <w:rPr>
          <w:rFonts w:ascii="Arial" w:cs="Arial" w:eastAsia="Arial" w:hAnsi="Arial"/>
          <w:sz w:val="16"/>
          <w:szCs w:val="16"/>
          <w:color w:val="auto"/>
        </w:rPr>
        <w:t>The Participant acknowledges that, regardless of any action taken by the Company,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The Participant further acknowledges that the Company (1) makes no representations or undertakings regarding the treatment of any Tax-Related Items in connection with any aspect of the Restricted Stock Units, including, but not limited to, the grant, vesting or settlement of the Restricted Stock Units, or the subsequent sale of shares of Common Stock acquired pursuant to such settlement and the receipt of any dividends and/or any dividend equivalents, and (2) does not commit to and is under no obligation to structure the terms of the grant or any aspect of the Restricted Stock Units to reduce or eliminate the Participant’s liability for Tax-Related Items or achieve any particular tax result.</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1" w:name="page32"/>
    <w:bookmarkEnd w:id="31"/>
    <w:p>
      <w:pPr>
        <w:ind w:left="652" w:right="220"/>
        <w:spacing w:after="0" w:line="312" w:lineRule="auto"/>
        <w:rPr>
          <w:sz w:val="20"/>
          <w:szCs w:val="20"/>
          <w:color w:val="auto"/>
        </w:rPr>
      </w:pPr>
      <w:r>
        <w:rPr>
          <w:rFonts w:ascii="Arial" w:cs="Arial" w:eastAsia="Arial" w:hAnsi="Arial"/>
          <w:sz w:val="16"/>
          <w:szCs w:val="16"/>
          <w:color w:val="auto"/>
        </w:rPr>
        <w:t>Except to the extent provided by Section 409A of the Code and permitted by the Committee, no shares of Common Stock may be issued to the Participant at a time earlier than otherwise expressly provided in this Agreement. The Company’s obligations to the Participant with respect to the Restricted Stock Units will be satisfied in full upon the issuance of shares of Common Stock corresponding to such Restricted Stock Units.</w:t>
      </w:r>
    </w:p>
    <w:p>
      <w:pPr>
        <w:spacing w:after="0" w:line="147" w:lineRule="exact"/>
        <w:rPr>
          <w:sz w:val="20"/>
          <w:szCs w:val="20"/>
          <w:color w:val="auto"/>
        </w:rPr>
      </w:pPr>
    </w:p>
    <w:p>
      <w:pPr>
        <w:jc w:val="both"/>
        <w:ind w:left="652" w:right="160" w:hanging="652"/>
        <w:spacing w:after="0" w:line="286"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Forfeiture/Expiration</w:t>
      </w:r>
      <w:r>
        <w:rPr>
          <w:rFonts w:ascii="Arial" w:cs="Arial" w:eastAsia="Arial" w:hAnsi="Arial"/>
          <w:sz w:val="17"/>
          <w:szCs w:val="17"/>
          <w:color w:val="auto"/>
        </w:rPr>
        <w:t xml:space="preserve">. Except to the extent the Restricted Stock Units covered by this Agreement have vested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the Participant’s right to retain the Restricted Stock Units covered by this Agreement shall be forfeited automatically and without further notice on the date that the Participant ceases to be an employee of the Company for any reason other than as described in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652" w:right="60" w:hanging="652"/>
        <w:spacing w:after="0" w:line="255"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Dividend Equivalents Payments</w:t>
      </w:r>
      <w:r>
        <w:rPr>
          <w:rFonts w:ascii="Arial" w:cs="Arial" w:eastAsia="Arial" w:hAnsi="Arial"/>
          <w:sz w:val="18"/>
          <w:szCs w:val="18"/>
          <w:color w:val="auto"/>
        </w:rPr>
        <w:t xml:space="preserve">. With respect to each of the Restricted Stock Units covered by this Agreement, the Participant shall be credited on the records of the Company with dividend equivalents in an amount equal to the amount per share of Common Stock of any cash dividends declared by the Board on the outstanding shares of Common Stock during the period beginning on the Date of Grant and ending either on the date on which the Participant receives payment for the Restricted Stock Units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or at the time when the Restricted Stock Units are forfeited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These dividend equivalents will accumulate without interest and, subject to the terms and conditions of this Agreement, will be paid in cash at the same time and to the same extent as the Restricted Stock Units for which the dividend equivalents were credited.</w:t>
      </w:r>
    </w:p>
    <w:p>
      <w:pPr>
        <w:spacing w:after="0" w:line="189" w:lineRule="exact"/>
        <w:rPr>
          <w:rFonts w:ascii="Arial" w:cs="Arial" w:eastAsia="Arial" w:hAnsi="Arial"/>
          <w:sz w:val="18"/>
          <w:szCs w:val="18"/>
          <w:color w:val="auto"/>
        </w:rPr>
      </w:pPr>
    </w:p>
    <w:p>
      <w:pPr>
        <w:ind w:left="652" w:hanging="652"/>
        <w:spacing w:after="0" w:line="287" w:lineRule="auto"/>
        <w:tabs>
          <w:tab w:leader="none" w:pos="6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retain the Restricted Stock Units covered by this Agreement shall be forfeited automatically and without further notice and, if and to the extent any Restricted Stock Units covered by this Agreement have vested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within a period of 18 months prior to such breach, the Participant shall be required to return to the Company, upon demand, any shares paid to the Participant in settlement of the Restricted Stock Units (or the net proceeds of any sales of such shares) and the value of any Dividend Equivalents paid. For purposes of this </w:t>
      </w:r>
      <w:r>
        <w:rPr>
          <w:rFonts w:ascii="Arial" w:cs="Arial" w:eastAsia="Arial" w:hAnsi="Arial"/>
          <w:sz w:val="16"/>
          <w:szCs w:val="16"/>
          <w:u w:val="single" w:color="auto"/>
          <w:color w:val="auto"/>
        </w:rPr>
        <w:t>Section 9</w:t>
      </w:r>
      <w:r>
        <w:rPr>
          <w:rFonts w:ascii="Arial" w:cs="Arial" w:eastAsia="Arial" w:hAnsi="Arial"/>
          <w:sz w:val="16"/>
          <w:szCs w:val="16"/>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32" w:name="page33"/>
    <w:bookmarkEnd w:id="32"/>
    <w:p>
      <w:pPr>
        <w:ind w:left="652" w:hanging="652"/>
        <w:spacing w:after="0" w:line="286"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Recovery of Restricted Stock Units</w:t>
      </w:r>
      <w:r>
        <w:rPr>
          <w:rFonts w:ascii="Arial" w:cs="Arial" w:eastAsia="Arial" w:hAnsi="Arial"/>
          <w:sz w:val="16"/>
          <w:szCs w:val="16"/>
          <w:color w:val="auto"/>
        </w:rPr>
        <w:t xml:space="preserve">. If (a) the Company restates any part of its financial statements for any fiscal year or years during which the Restricted Stock Units covered by this Agreement have been granted due to material noncompliance with any financial reporting requirement under the U.S. securities laws applicable to such fiscal year or years (a “Restatement”) and (b) the Committee determines that the Participant is personally responsible for causing the Restatement as a result of the Participant’s personal misconduct or any fraudulent activity on the part of the Participant, then the Committee has discretion to, based on applicable facts and circumstances and subject to applicable law, cause the Participant’s right to retain the Restricted Stock Units covered by this Agreement to be forfeited automatically and without further notice and, if and to the extent any Restricted Stock Units covered by this Agreement have vested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within a period of 18 months prior to the Restatement, the Participant shall be required to return to the Company, upon demand, any shares paid to the Participant in settlement of the Restricted Stock Units (or the net proceeds of any sales of such shares) and the value of any Dividend Equivalents paid. For purposes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net proceeds shall mean the net amount realized upon the disposition of the shares. Notwithstanding anything herein to the contrary, the Participant’s consent shall not be required for an amendment to this Agreement that is deemed necessary by the Company to ensure compliance with the Dodd-Frank Wall Street Reform and Consumer Protection Act (the “Dodd-Frank Act”) or any regulations promulgated thereunder, including as a result of the implementation of any recoupment policy the Company adopts to comply with the requirements set forth in the Dodd-Frank Act.</w:t>
      </w:r>
    </w:p>
    <w:p>
      <w:pPr>
        <w:spacing w:after="0" w:line="174" w:lineRule="exact"/>
        <w:rPr>
          <w:rFonts w:ascii="Arial" w:cs="Arial" w:eastAsia="Arial" w:hAnsi="Arial"/>
          <w:sz w:val="16"/>
          <w:szCs w:val="16"/>
          <w:color w:val="auto"/>
        </w:rPr>
      </w:pPr>
    </w:p>
    <w:p>
      <w:pPr>
        <w:ind w:left="652" w:right="140" w:hanging="652"/>
        <w:spacing w:after="0" w:line="297"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Relation to Plan</w:t>
      </w:r>
      <w:r>
        <w:rPr>
          <w:rFonts w:ascii="Arial" w:cs="Arial" w:eastAsia="Arial" w:hAnsi="Arial"/>
          <w:sz w:val="16"/>
          <w:szCs w:val="16"/>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the Restricted Stock Units. The number of Restricted Stock Units subject to this Agreement, and the other terms and conditions of this award, are subject to mandatory adjustment as provided in Section 3.2 of the Plan.</w:t>
      </w:r>
    </w:p>
    <w:p>
      <w:pPr>
        <w:spacing w:after="0" w:line="158" w:lineRule="exact"/>
        <w:rPr>
          <w:rFonts w:ascii="Arial" w:cs="Arial" w:eastAsia="Arial" w:hAnsi="Arial"/>
          <w:sz w:val="16"/>
          <w:szCs w:val="16"/>
          <w:color w:val="auto"/>
        </w:rPr>
      </w:pPr>
    </w:p>
    <w:p>
      <w:pPr>
        <w:ind w:left="652" w:hanging="652"/>
        <w:spacing w:after="0" w:line="287"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 The Company shall make reasonable efforts to comply with all applicable federal and state securities laws; provided, however, notwithstanding any other provision of the Plan and this Agreement, the Company shall not be obligated to issue any shares of Common Stock pursuant to this Agreement if the issuance thereof would result in a violation of any such law.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38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3" w:name="page34"/>
    <w:bookmarkEnd w:id="33"/>
    <w:p>
      <w:pPr>
        <w:ind w:left="652" w:right="540" w:hanging="652"/>
        <w:spacing w:after="0" w:line="342" w:lineRule="auto"/>
        <w:tabs>
          <w:tab w:leader="none" w:pos="65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pacing w:after="0" w:line="123" w:lineRule="exact"/>
        <w:rPr>
          <w:rFonts w:ascii="Arial" w:cs="Arial" w:eastAsia="Arial" w:hAnsi="Arial"/>
          <w:sz w:val="16"/>
          <w:szCs w:val="16"/>
          <w:color w:val="auto"/>
        </w:rPr>
      </w:pPr>
    </w:p>
    <w:p>
      <w:pPr>
        <w:ind w:left="652" w:hanging="652"/>
        <w:spacing w:after="0" w:line="268"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Nothing in this Agreement will give the Participant any right to continue service as an employee of the Company or interfere in any way with the right of the Company to terminate the service of the Participant as an employee of the Company. Furthermore, the Participant acknowledges and agrees that (a) the grant of the Restricted Stock Units to the Participant is a voluntary, discretionary award and it does not constitute a commitment to make any future awards, (b) the Plan is established voluntarily by the Company, it is discretionary in nature and it may be modified, amended, suspended or terminated by the Company at any time, (c) all decisions with respect to future Restricted Stock Units grants, if any, will be at the sole discretion of the Company, (d) participation in the Plan is voluntary, (e) the future value of the underlying shares of Common Stock is unknown and cannot be predicted with certainty, and (f) in consideration of the grant of Restricted Stock Units, no claim or entitlement to compensation or damages shall arise from termination of the Restricted Stock Units or diminution in value of the Restricted Stock Units or shares of Common Stock received upon vesting, including (without limitation) any claim or entitlement resulting from termination of the Participant’s service with the Company (for any reason whatsoever and whether or not in breach of local laws), and the Participant hereby releases the Company and its Subsidiaries from any such claim that may arise; if, notwithstanding the foregoing, any such claim is found by a court of competent jurisdiction to have arisen, then, by signing this Agreement, the Participant shall be deemed irrevocably to have waived the Participant’s entitlement to pursue such claim.</w:t>
      </w:r>
    </w:p>
    <w:p>
      <w:pPr>
        <w:spacing w:after="0" w:line="187" w:lineRule="exact"/>
        <w:rPr>
          <w:rFonts w:ascii="Arial" w:cs="Arial" w:eastAsia="Arial" w:hAnsi="Arial"/>
          <w:sz w:val="17"/>
          <w:szCs w:val="17"/>
          <w:color w:val="auto"/>
        </w:rPr>
      </w:pPr>
    </w:p>
    <w:p>
      <w:pPr>
        <w:ind w:left="652" w:right="20" w:hanging="652"/>
        <w:spacing w:after="0" w:line="284" w:lineRule="auto"/>
        <w:tabs>
          <w:tab w:leader="none" w:pos="65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Participant explicitly and unambiguously consents to the collection, use and transfer, in electronic or other form, of the Participant’s personal data by and among, as applicable, the Company and its Subsidiaries and affiliates, namely MYR Group Inc. (located in the United States) for the exclusive purpose of implementing, administering and managing the Participant’s participation in the Plan. The Participant hereby understands that the Company and its Subsidiaries and affiliates hold (but only process or transfer to the extent required or permitted by local law) the following personal information about the Participant: the Participant’s name, home address and telephone number, date of birth, social insurance number or other identification number, compensation, nationality, position, any shares of Common Stock or directorships held in the Company, details of all Restricted Stock Units or any other entitlement to shares of Common Stock awarded, canceled, exercised, vested, unvested or outstanding in the Participant’s favor, for the purpose of implementing, administering and managing the Plan (“Data”). The Participant hereby understands that Data may be transferred to any third parties assisting in the implementation, administration and management of the Plan, that these recipients may be located in the Participant’s country or elsewhere (including the United States of America), and that the recipient’s country may have different data privacy laws and protections than the Participant’s country. The Participant hereby understands that the Participant may request a list with the names and addresses of any potential recipients of the Data by contacting the Company’s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vesting. The Participant hereby understands that Data will be held only as long as is necessary to implement, administer and manage the Participant’s participation in the Plan and in accordance with local law. The Participant hereby understands that the Participant may, at any time, view Data, request additional information about the storage and processing of Data, require any necessary amendments to Data or refuse or withdraw the consents herein, in any case without cost, by contacting in writing the Company’s human resources representative. The Participant hereby understands, however, that refusing or withdrawing the Participant’s consent may affect the Participant’s ability to participate in the Plan. For more information on the consequences of the Participant’s refusal to consent or withdrawal of consent, the Participant hereby understands that the Participant may contact the Company’s human resources representative.</w:t>
      </w:r>
    </w:p>
    <w:p>
      <w:pPr>
        <w:spacing w:after="0" w:line="397" w:lineRule="exact"/>
        <w:rPr>
          <w:rFonts w:ascii="Arial" w:cs="Arial" w:eastAsia="Arial" w:hAnsi="Arial"/>
          <w:sz w:val="16"/>
          <w:szCs w:val="16"/>
          <w:color w:val="auto"/>
        </w:rPr>
      </w:pPr>
    </w:p>
    <w:p>
      <w:pPr>
        <w:ind w:left="5232"/>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as of the day and year first above written.</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MYR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Chairman of the Board</w:t>
      </w:r>
    </w:p>
    <w:p>
      <w:pPr>
        <w:spacing w:after="0" w:line="21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undersigned Participant hereby acknowledges receipt of an executed copy of this Agreement and accepts the right to receive any Restricted Stock Units or other securities covered hereby, subject to the terms and conditions of the Plan and the terms and conditions herein above set forth.</w:t>
      </w:r>
    </w:p>
    <w:p>
      <w:pPr>
        <w:spacing w:after="0" w:line="35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-130175</wp:posOffset>
            </wp:positionV>
            <wp:extent cx="37731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80" w:type="dxa"/>
            <w:vAlign w:val="bottom"/>
            <w:gridSpan w:val="3"/>
          </w:tcPr>
          <w:p>
            <w:pPr>
              <w:jc w:val="center"/>
              <w:ind w:right="5250"/>
              <w:spacing w:after="0"/>
              <w:rPr>
                <w:sz w:val="20"/>
                <w:szCs w:val="20"/>
                <w:color w:val="auto"/>
              </w:rPr>
            </w:pPr>
            <w:r>
              <w:rPr>
                <w:rFonts w:ascii="Arial" w:cs="Arial" w:eastAsia="Arial" w:hAnsi="Arial"/>
                <w:sz w:val="18"/>
                <w:szCs w:val="18"/>
                <w:b w:val="1"/>
                <w:bCs w:val="1"/>
                <w:color w:val="auto"/>
                <w:w w:val="94"/>
              </w:rPr>
              <w:t>Exhibit A</w:t>
            </w:r>
          </w:p>
        </w:tc>
      </w:tr>
      <w:tr>
        <w:trPr>
          <w:trHeight w:val="20"/>
        </w:trPr>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53"/>
        </w:trPr>
        <w:tc>
          <w:tcPr>
            <w:tcW w:w="3620" w:type="dxa"/>
            <w:vAlign w:val="bottom"/>
          </w:tcPr>
          <w:p>
            <w:pPr>
              <w:spacing w:after="0"/>
              <w:rPr>
                <w:sz w:val="24"/>
                <w:szCs w:val="24"/>
                <w:color w:val="auto"/>
              </w:rPr>
            </w:pPr>
          </w:p>
        </w:tc>
        <w:tc>
          <w:tcPr>
            <w:tcW w:w="7800" w:type="dxa"/>
            <w:vAlign w:val="bottom"/>
            <w:gridSpan w:val="4"/>
          </w:tcPr>
          <w:p>
            <w:pPr>
              <w:jc w:val="center"/>
              <w:ind w:right="3530"/>
              <w:spacing w:after="0"/>
              <w:rPr>
                <w:sz w:val="20"/>
                <w:szCs w:val="20"/>
                <w:color w:val="auto"/>
              </w:rPr>
            </w:pPr>
            <w:r>
              <w:rPr>
                <w:rFonts w:ascii="Arial" w:cs="Arial" w:eastAsia="Arial" w:hAnsi="Arial"/>
                <w:sz w:val="18"/>
                <w:szCs w:val="18"/>
                <w:b w:val="1"/>
                <w:bCs w:val="1"/>
                <w:color w:val="auto"/>
                <w:w w:val="88"/>
              </w:rPr>
              <w:t>Time-Based Restricted Stock Units Vesting Schedule</w:t>
            </w:r>
          </w:p>
        </w:tc>
      </w:tr>
      <w:tr>
        <w:trPr>
          <w:trHeight w:val="216"/>
        </w:trPr>
        <w:tc>
          <w:tcPr>
            <w:tcW w:w="36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tcBorders>
            <w:shd w:val="clear" w:color="auto" w:fill="BFBFBF"/>
          </w:tcPr>
          <w:p>
            <w:pPr>
              <w:jc w:val="center"/>
              <w:ind w:left="2010"/>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tcBorders>
              <w:bottom w:val="single" w:sz="8" w:color="auto"/>
            </w:tcBorders>
            <w:shd w:val="clear" w:color="auto" w:fill="BFBFBF"/>
          </w:tcPr>
          <w:p>
            <w:pPr>
              <w:spacing w:after="0"/>
              <w:rPr>
                <w:sz w:val="18"/>
                <w:szCs w:val="18"/>
                <w:color w:val="auto"/>
              </w:rPr>
            </w:pPr>
          </w:p>
        </w:tc>
        <w:tc>
          <w:tcPr>
            <w:tcW w:w="380" w:type="dxa"/>
            <w:vAlign w:val="bottom"/>
            <w:tcBorders>
              <w:bottom w:val="single" w:sz="8" w:color="auto"/>
              <w:right w:val="single" w:sz="8" w:color="auto"/>
            </w:tcBorders>
            <w:shd w:val="clear" w:color="auto" w:fill="BFBFBF"/>
          </w:tcPr>
          <w:p>
            <w:pPr>
              <w:spacing w:after="0"/>
              <w:rPr>
                <w:sz w:val="18"/>
                <w:szCs w:val="18"/>
                <w:color w:val="auto"/>
              </w:rPr>
            </w:pPr>
          </w:p>
        </w:tc>
        <w:tc>
          <w:tcPr>
            <w:tcW w:w="360" w:type="dxa"/>
            <w:vAlign w:val="bottom"/>
            <w:tcBorders>
              <w:bottom w:val="single" w:sz="8" w:color="auto"/>
            </w:tcBorders>
            <w:shd w:val="clear" w:color="auto" w:fill="BFBFBF"/>
          </w:tcPr>
          <w:p>
            <w:pPr>
              <w:spacing w:after="0"/>
              <w:rPr>
                <w:sz w:val="18"/>
                <w:szCs w:val="18"/>
                <w:color w:val="auto"/>
              </w:rPr>
            </w:pPr>
          </w:p>
        </w:tc>
        <w:tc>
          <w:tcPr>
            <w:tcW w:w="5340" w:type="dxa"/>
            <w:vAlign w:val="bottom"/>
            <w:tcBorders>
              <w:bottom w:val="single" w:sz="8" w:color="auto"/>
              <w:right w:val="single" w:sz="8" w:color="auto"/>
            </w:tcBorders>
            <w:shd w:val="clear" w:color="auto" w:fill="BFBFBF"/>
          </w:tcPr>
          <w:p>
            <w:pPr>
              <w:ind w:left="1140"/>
              <w:spacing w:after="0"/>
              <w:rPr>
                <w:sz w:val="20"/>
                <w:szCs w:val="20"/>
                <w:color w:val="auto"/>
              </w:rPr>
            </w:pPr>
            <w:r>
              <w:rPr>
                <w:rFonts w:ascii="Arial" w:cs="Arial" w:eastAsia="Arial" w:hAnsi="Arial"/>
                <w:sz w:val="18"/>
                <w:szCs w:val="18"/>
                <w:b w:val="1"/>
                <w:bCs w:val="1"/>
                <w:color w:val="auto"/>
              </w:rPr>
              <w:t>Total Restricted Stock Units Vested</w:t>
            </w:r>
          </w:p>
        </w:tc>
      </w:tr>
      <w:tr>
        <w:trPr>
          <w:trHeight w:val="210"/>
        </w:trPr>
        <w:tc>
          <w:tcPr>
            <w:tcW w:w="3620" w:type="dxa"/>
            <w:vAlign w:val="bottom"/>
            <w:tcBorders>
              <w:left w:val="single" w:sz="8" w:color="auto"/>
              <w:bottom w:val="single" w:sz="8" w:color="auto"/>
            </w:tcBorders>
          </w:tcPr>
          <w:p>
            <w:pPr>
              <w:jc w:val="center"/>
              <w:ind w:left="2010"/>
              <w:spacing w:after="0"/>
              <w:rPr>
                <w:sz w:val="20"/>
                <w:szCs w:val="20"/>
                <w:color w:val="auto"/>
              </w:rPr>
            </w:pPr>
            <w:r>
              <w:rPr>
                <w:rFonts w:ascii="Arial" w:cs="Arial" w:eastAsia="Arial" w:hAnsi="Arial"/>
                <w:sz w:val="18"/>
                <w:szCs w:val="18"/>
                <w:color w:val="auto"/>
                <w:w w:val="90"/>
              </w:rPr>
              <w:t>March ___, 20___</w:t>
            </w:r>
          </w:p>
        </w:tc>
        <w:tc>
          <w:tcPr>
            <w:tcW w:w="17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tcBorders>
          </w:tcPr>
          <w:p>
            <w:pPr>
              <w:jc w:val="center"/>
              <w:ind w:left="2010"/>
              <w:spacing w:after="0"/>
              <w:rPr>
                <w:sz w:val="20"/>
                <w:szCs w:val="20"/>
                <w:color w:val="auto"/>
              </w:rPr>
            </w:pPr>
            <w:r>
              <w:rPr>
                <w:rFonts w:ascii="Arial" w:cs="Arial" w:eastAsia="Arial" w:hAnsi="Arial"/>
                <w:sz w:val="18"/>
                <w:szCs w:val="18"/>
                <w:color w:val="auto"/>
                <w:w w:val="90"/>
              </w:rPr>
              <w:t>March ___, 20___</w:t>
            </w:r>
          </w:p>
        </w:tc>
        <w:tc>
          <w:tcPr>
            <w:tcW w:w="17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tcBorders>
          </w:tcPr>
          <w:p>
            <w:pPr>
              <w:jc w:val="center"/>
              <w:ind w:left="2010"/>
              <w:spacing w:after="0"/>
              <w:rPr>
                <w:sz w:val="20"/>
                <w:szCs w:val="20"/>
                <w:color w:val="auto"/>
              </w:rPr>
            </w:pPr>
            <w:r>
              <w:rPr>
                <w:rFonts w:ascii="Arial" w:cs="Arial" w:eastAsia="Arial" w:hAnsi="Arial"/>
                <w:sz w:val="18"/>
                <w:szCs w:val="18"/>
                <w:color w:val="auto"/>
                <w:w w:val="90"/>
              </w:rPr>
              <w:t>March ___, 20___</w:t>
            </w:r>
          </w:p>
        </w:tc>
        <w:tc>
          <w:tcPr>
            <w:tcW w:w="17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340" w:type="dxa"/>
            <w:vAlign w:val="bottom"/>
            <w:tcBorders>
              <w:bottom w:val="single" w:sz="8" w:color="auto"/>
              <w:right w:val="single" w:sz="8" w:color="auto"/>
            </w:tcBorders>
          </w:tcPr>
          <w:p>
            <w:pPr>
              <w:spacing w:after="0"/>
              <w:rPr>
                <w:sz w:val="18"/>
                <w:szCs w:val="18"/>
                <w:color w:val="auto"/>
              </w:rPr>
            </w:pPr>
          </w:p>
        </w:tc>
      </w:tr>
      <w:tr>
        <w:trPr>
          <w:trHeight w:val="642"/>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650"/>
              <w:spacing w:after="0"/>
              <w:rPr>
                <w:sz w:val="20"/>
                <w:szCs w:val="20"/>
                <w:color w:val="auto"/>
              </w:rPr>
            </w:pPr>
            <w:r>
              <w:rPr>
                <w:rFonts w:ascii="Arial" w:cs="Arial" w:eastAsia="Arial" w:hAnsi="Arial"/>
                <w:sz w:val="18"/>
                <w:szCs w:val="18"/>
                <w:color w:val="auto"/>
                <w:w w:val="79"/>
              </w:rPr>
              <w:t>7</w:t>
            </w: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(this “Agreement”) is made as of March ___, 20___, by and between MYR Group Inc., a Delaware corporation (the “Company”), and [ ] (the “Participant”).</w:t>
      </w:r>
    </w:p>
    <w:p>
      <w:pPr>
        <w:spacing w:after="0" w:line="170" w:lineRule="exact"/>
        <w:rPr>
          <w:sz w:val="20"/>
          <w:szCs w:val="20"/>
          <w:color w:val="auto"/>
        </w:rPr>
      </w:pPr>
    </w:p>
    <w:p>
      <w:pPr>
        <w:ind w:left="660" w:right="40" w:hanging="652"/>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Grant of Performance Shares</w:t>
      </w:r>
      <w:r>
        <w:rPr>
          <w:rFonts w:ascii="Arial" w:cs="Arial" w:eastAsia="Arial" w:hAnsi="Arial"/>
          <w:sz w:val="16"/>
          <w:szCs w:val="16"/>
          <w:color w:val="auto"/>
        </w:rPr>
        <w:t>. Pursuant to the MYR Group Inc. 2017 Long-Term Incentive Plan (the “Plan”) and subject to the terms and conditions thereof and the terms and conditions hereinafter set forth, the Company has granted to the Participant, as of March ___, 20___ (the “Date of Grant”),</w:t>
      </w:r>
    </w:p>
    <w:p>
      <w:pPr>
        <w:ind w:left="660" w:right="20"/>
        <w:spacing w:after="0" w:line="271" w:lineRule="auto"/>
        <w:rPr>
          <w:sz w:val="20"/>
          <w:szCs w:val="20"/>
          <w:color w:val="auto"/>
        </w:rPr>
      </w:pPr>
      <w:r>
        <w:rPr>
          <w:rFonts w:ascii="Arial" w:cs="Arial" w:eastAsia="Arial" w:hAnsi="Arial"/>
          <w:sz w:val="17"/>
          <w:szCs w:val="17"/>
          <w:color w:val="auto"/>
        </w:rPr>
        <w:t>[ ] target Performance Shares, a percentage of which may be earned in accordance with the terms of this Agreement and contingent on the Company’s Return On Invested Capital (“ROIC”) over the ROIC Performance Period (such target amount, the “ROIC Target Performance Shares”), and [ ] Performance Shares, a percentage of which may be earned in accordance with the terms of this Agreement and contingent on the Company’s relative Total Stockholder Return (“TSR”) over the TSR Performance Period (such target amount, the “TSR Target Performance Shares”). The Performance Shares are not intended to be a Qualified-Performance Based Award under the Plan.</w:t>
      </w:r>
    </w:p>
    <w:p>
      <w:pPr>
        <w:spacing w:after="0" w:line="17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Earning of Target Performance Shares.</w:t>
      </w:r>
    </w:p>
    <w:p>
      <w:pPr>
        <w:spacing w:after="0" w:line="225" w:lineRule="exact"/>
        <w:rPr>
          <w:sz w:val="20"/>
          <w:szCs w:val="20"/>
          <w:color w:val="auto"/>
        </w:rPr>
      </w:pPr>
    </w:p>
    <w:p>
      <w:pPr>
        <w:jc w:val="both"/>
        <w:ind w:left="1300" w:hanging="644"/>
        <w:spacing w:after="0" w:line="273"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Performance Measure</w:t>
      </w:r>
      <w:r>
        <w:rPr>
          <w:rFonts w:ascii="Arial" w:cs="Arial" w:eastAsia="Arial" w:hAnsi="Arial"/>
          <w:sz w:val="17"/>
          <w:szCs w:val="17"/>
          <w:color w:val="auto"/>
        </w:rPr>
        <w:t>: The Participant’s right to receive all of, any portion of, or more than, the number of ROIC Target Performance Shares or TSR Target Performance Shares generally will be contingent upon the achievement of specified levels of the Company’s ROIC and relative TSR, as set forth in the “Statement of Performance Goals” established by the Committee in connection with the Awards granted by this Agreement, and will be measured over the period from January 1, 20___ through December 31, 20___ for ROIC performance (the “ROIC Performance Period”) and the Date of Grant through December 31, 20___ for TSR performance (the “TSR Performance Period”, and together with the ROIC Performance Period, the “Performance Periods”).</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Below Threshold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If, upon the conclusion of the ROIC Performance Period, ROIC for the ROIC Performance Period falls below the threshold level, as set forth in the ROIC Performance Matrix contained in the Statement of Performance Goals, no Performance Shares for ROIC performance shall become earned.</w:t>
      </w:r>
    </w:p>
    <w:p>
      <w:pPr>
        <w:spacing w:after="0" w:line="181" w:lineRule="exact"/>
        <w:rPr>
          <w:rFonts w:ascii="Arial" w:cs="Arial" w:eastAsia="Arial" w:hAnsi="Arial"/>
          <w:sz w:val="18"/>
          <w:szCs w:val="18"/>
          <w:color w:val="auto"/>
        </w:rPr>
      </w:pPr>
    </w:p>
    <w:p>
      <w:pPr>
        <w:jc w:val="both"/>
        <w:ind w:left="1960" w:hanging="655"/>
        <w:spacing w:after="0" w:line="222"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falls below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TSR for the TSR Peer Group Companies (as defined below), no Performance Shares for TSR performance shall become earned.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Threshold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right="360" w:hanging="655"/>
        <w:spacing w:after="0" w:line="264"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If, upon the conclusion of the ROIC Performance Period, ROIC for the ROIC Performance Period equals the threshold level, as set forth in the ROIC Performance Matrix contained in the Statement of Performance Goals, 50% of the ROIC Target Performance Shares shall become earned.</w:t>
      </w:r>
    </w:p>
    <w:p>
      <w:pPr>
        <w:spacing w:after="0" w:line="181" w:lineRule="exact"/>
        <w:rPr>
          <w:rFonts w:ascii="Arial" w:cs="Arial" w:eastAsia="Arial" w:hAnsi="Arial"/>
          <w:sz w:val="18"/>
          <w:szCs w:val="18"/>
          <w:color w:val="auto"/>
        </w:rPr>
      </w:pPr>
    </w:p>
    <w:p>
      <w:pPr>
        <w:ind w:left="1304" w:right="200" w:hanging="655"/>
        <w:spacing w:after="0" w:line="341" w:lineRule="auto"/>
        <w:tabs>
          <w:tab w:leader="none" w:pos="1304"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TSR</w:t>
      </w:r>
      <w:r>
        <w:rPr>
          <w:rFonts w:ascii="Arial" w:cs="Arial" w:eastAsia="Arial" w:hAnsi="Arial"/>
          <w:sz w:val="16"/>
          <w:szCs w:val="16"/>
          <w:color w:val="auto"/>
        </w:rPr>
        <w:t>: If, upon conclusion of the TSR Performance Period, the Company’s relative TSR for the TSR Performance Period is at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TSR for the TSR Peer Group Companies, 25% of the TSR Target Performance Shares shall become earned.</w:t>
      </w:r>
    </w:p>
    <w:p>
      <w:pPr>
        <w:spacing w:after="0" w:line="2" w:lineRule="exact"/>
        <w:rPr>
          <w:rFonts w:ascii="Arial" w:cs="Arial" w:eastAsia="Arial" w:hAnsi="Arial"/>
          <w:sz w:val="16"/>
          <w:szCs w:val="16"/>
          <w:color w:val="auto"/>
        </w:rPr>
      </w:pP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Between Threshold and Target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right="20" w:hanging="655"/>
        <w:spacing w:after="0" w:line="257"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xml:space="preserve"> If, upon the conclusion of the ROIC Performance Period, ROIC exceeds the threshold level, but is less than the target level, as set forth in the ROIC Performance Matrix contained in the Statement of Performance Goals, the percentage of ROIC Target Performance Shares that shall become earned shall be determined by mathematical straight-line interpolation between 50% of the ROIC Target Performance Shares and 100% of the ROIC Target Performance Shares, with a fractional share rounded down to the next whole share.</w:t>
      </w:r>
    </w:p>
    <w:p>
      <w:pPr>
        <w:spacing w:after="0" w:line="191" w:lineRule="exact"/>
        <w:rPr>
          <w:rFonts w:ascii="Arial" w:cs="Arial" w:eastAsia="Arial" w:hAnsi="Arial"/>
          <w:sz w:val="18"/>
          <w:szCs w:val="18"/>
          <w:color w:val="auto"/>
        </w:rPr>
      </w:pPr>
    </w:p>
    <w:p>
      <w:pPr>
        <w:ind w:left="1304" w:right="140" w:hanging="655"/>
        <w:spacing w:after="0" w:line="224" w:lineRule="auto"/>
        <w:tabs>
          <w:tab w:leader="none" w:pos="1304" w:val="left"/>
        </w:tabs>
        <w:numPr>
          <w:ilvl w:val="1"/>
          <w:numId w:val="21"/>
        </w:numPr>
        <w:rPr>
          <w:rFonts w:ascii="Arial" w:cs="Arial" w:eastAsia="Arial" w:hAnsi="Arial"/>
          <w:sz w:val="31"/>
          <w:szCs w:val="31"/>
          <w:color w:val="auto"/>
          <w:vertAlign w:val="superscript"/>
        </w:rPr>
      </w:pPr>
      <w:r>
        <w:rPr>
          <w:rFonts w:ascii="Arial" w:cs="Arial" w:eastAsia="Arial" w:hAnsi="Arial"/>
          <w:sz w:val="16"/>
          <w:szCs w:val="16"/>
          <w:u w:val="single" w:color="auto"/>
          <w:color w:val="auto"/>
        </w:rPr>
        <w:t>TSR</w:t>
      </w:r>
      <w:r>
        <w:rPr>
          <w:rFonts w:ascii="Arial" w:cs="Arial" w:eastAsia="Arial" w:hAnsi="Arial"/>
          <w:sz w:val="16"/>
          <w:szCs w:val="16"/>
          <w:color w:val="auto"/>
        </w:rPr>
        <w:t>: If, upon the conclusion of the TSR Performance Period, the Company’s relative TSR exceeds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but is less than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TSR of the TSR Peer Group Companies, the percentage of TSR Target Performance Shares that shall become earned shall be determined by mathematical straight-line interpolation between 25% of the TSR Target Performance Shares and 100% of the TSR Target Performance Shares, with a fractional share rounded down to the next whole share.</w:t>
      </w:r>
    </w:p>
    <w:p>
      <w:pPr>
        <w:spacing w:after="0" w:line="202" w:lineRule="exact"/>
        <w:rPr>
          <w:rFonts w:ascii="Arial" w:cs="Arial" w:eastAsia="Arial" w:hAnsi="Arial"/>
          <w:sz w:val="31"/>
          <w:szCs w:val="31"/>
          <w:color w:val="auto"/>
          <w:vertAlign w:val="superscript"/>
        </w:rPr>
      </w:pP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Target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right="180" w:hanging="655"/>
        <w:spacing w:after="0" w:line="264"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If, upon the conclusion of the ROIC Performance Period, ROIC for the Performance Period equals the target level, as set forth in the ROIC Performance Matrix contained in the Statement of Performance Goals, 100% of the ROIC Target Performance Shares shall become earned.</w:t>
      </w:r>
    </w:p>
    <w:p>
      <w:pPr>
        <w:spacing w:after="0" w:line="181" w:lineRule="exact"/>
        <w:rPr>
          <w:rFonts w:ascii="Arial" w:cs="Arial" w:eastAsia="Arial" w:hAnsi="Arial"/>
          <w:sz w:val="18"/>
          <w:szCs w:val="18"/>
          <w:color w:val="auto"/>
        </w:rPr>
      </w:pPr>
    </w:p>
    <w:p>
      <w:pPr>
        <w:ind w:left="1304" w:right="200" w:hanging="655"/>
        <w:spacing w:after="0" w:line="341" w:lineRule="auto"/>
        <w:tabs>
          <w:tab w:leader="none" w:pos="1304"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TSR</w:t>
      </w:r>
      <w:r>
        <w:rPr>
          <w:rFonts w:ascii="Arial" w:cs="Arial" w:eastAsia="Arial" w:hAnsi="Arial"/>
          <w:sz w:val="16"/>
          <w:szCs w:val="16"/>
          <w:color w:val="auto"/>
        </w:rPr>
        <w:t>: If, upon conclusion of the TSR Performance Period, the Company’s relative TSR for the TSR Performance Period is at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TSR for the TSR Peer Group Companies, 100% of the TSR Target Performance Shares shall become earned.</w:t>
      </w:r>
    </w:p>
    <w:p>
      <w:pPr>
        <w:spacing w:after="0" w:line="2" w:lineRule="exact"/>
        <w:rPr>
          <w:rFonts w:ascii="Arial" w:cs="Arial" w:eastAsia="Arial" w:hAnsi="Arial"/>
          <w:sz w:val="16"/>
          <w:szCs w:val="16"/>
          <w:color w:val="auto"/>
        </w:rPr>
      </w:pPr>
    </w:p>
    <w:p>
      <w:pPr>
        <w:ind w:left="644" w:hanging="644"/>
        <w:spacing w:after="0"/>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Between Target and Maximum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5"/>
        <w:spacing w:after="0" w:line="257"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xml:space="preserve"> If, upon the conclusion of the ROIC Performance Period, ROIC exceeds the target level, but is less than the maximum level, as set forth in the ROIC Performance Matrix contained in the Statement of Performance Goals, the percentage of ROIC Target Performance Shares that shall become earned shall be determined by mathematical straight-line interpolation between 100% of the ROIC Target Performance Shares and 200% of the ROIC Target Performance Shares, with a fractional share rounded down to the next whole share.</w:t>
      </w:r>
    </w:p>
    <w:p>
      <w:pPr>
        <w:spacing w:after="0" w:line="200" w:lineRule="exact"/>
        <w:rPr>
          <w:sz w:val="20"/>
          <w:szCs w:val="20"/>
          <w:color w:val="auto"/>
        </w:rPr>
      </w:pPr>
    </w:p>
    <w:p>
      <w:pPr>
        <w:spacing w:after="0" w:line="204"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38" w:name="page39"/>
    <w:bookmarkEnd w:id="38"/>
    <w:p>
      <w:pPr>
        <w:ind w:left="1960" w:right="160" w:hanging="655"/>
        <w:spacing w:after="0" w:line="224" w:lineRule="auto"/>
        <w:tabs>
          <w:tab w:leader="none" w:pos="1960" w:val="left"/>
        </w:tabs>
        <w:numPr>
          <w:ilvl w:val="1"/>
          <w:numId w:val="22"/>
        </w:numPr>
        <w:rPr>
          <w:rFonts w:ascii="Arial" w:cs="Arial" w:eastAsia="Arial" w:hAnsi="Arial"/>
          <w:sz w:val="31"/>
          <w:szCs w:val="31"/>
          <w:color w:val="auto"/>
          <w:vertAlign w:val="superscript"/>
        </w:rPr>
      </w:pPr>
      <w:r>
        <w:rPr>
          <w:rFonts w:ascii="Arial" w:cs="Arial" w:eastAsia="Arial" w:hAnsi="Arial"/>
          <w:sz w:val="16"/>
          <w:szCs w:val="16"/>
          <w:u w:val="single" w:color="auto"/>
          <w:color w:val="auto"/>
        </w:rPr>
        <w:t>TSR</w:t>
      </w:r>
      <w:r>
        <w:rPr>
          <w:rFonts w:ascii="Arial" w:cs="Arial" w:eastAsia="Arial" w:hAnsi="Arial"/>
          <w:sz w:val="16"/>
          <w:szCs w:val="16"/>
          <w:color w:val="auto"/>
        </w:rPr>
        <w:t>: If, upon the conclusion of the TSR Performance Period, the Company’s relative TSR exceeds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but is less than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TSR for the TSR Peer Group Companies, the percentage of TSR Target Performance Shares that shall become earned shall be determined by mathematical straight-line interpolation between 100% of the TSR Target Performance Shares and 200% of the TSR Target Performance Shares, with a fractional share rounded down to the next whole share.</w:t>
      </w:r>
    </w:p>
    <w:p>
      <w:pPr>
        <w:spacing w:after="0" w:line="202" w:lineRule="exact"/>
        <w:rPr>
          <w:rFonts w:ascii="Arial" w:cs="Arial" w:eastAsia="Arial" w:hAnsi="Arial"/>
          <w:sz w:val="31"/>
          <w:szCs w:val="31"/>
          <w:color w:val="auto"/>
          <w:vertAlign w:val="superscript"/>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Equals or Exceeds Maximum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line="264"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If, upon the conclusion of the ROIC Performance Period, ROIC for the ROIC Performance Period equals or exceeds the maximum level, as set forth in the ROIC Performance Matrix contained in the Statement of Performance Goals, 200% of the ROIC Target Performance Shares shall become earned.</w:t>
      </w:r>
    </w:p>
    <w:p>
      <w:pPr>
        <w:spacing w:after="0" w:line="181" w:lineRule="exact"/>
        <w:rPr>
          <w:sz w:val="20"/>
          <w:szCs w:val="20"/>
          <w:color w:val="auto"/>
        </w:rPr>
      </w:pPr>
    </w:p>
    <w:p>
      <w:pPr>
        <w:ind w:left="1960" w:right="20" w:hanging="655"/>
        <w:spacing w:after="0" w:line="222"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equals or exceeds the 75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TSR for the TSR Peer Group Companies, 200% of the TSR Target Performance Shares shall become earned.</w:t>
      </w:r>
    </w:p>
    <w:p>
      <w:pPr>
        <w:spacing w:after="0" w:line="202"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Determination of Earned Award</w:t>
      </w:r>
      <w:r>
        <w:rPr>
          <w:rFonts w:ascii="Arial" w:cs="Arial" w:eastAsia="Arial" w:hAnsi="Arial"/>
          <w:sz w:val="18"/>
          <w:szCs w:val="18"/>
          <w:color w:val="auto"/>
        </w:rPr>
        <w:t>: Except as otherwise provided herein, the Participant’s right to receive any Performance Shares is contingent upon his or her remaining in the continuous employ of the Company or a Subsidiary through the end of the Performance Periods. Following the Performance Periods, the Committee shall determine whether and to what extent the goals relating to ROIC and TSR have been satisfied for the Performance Periods and shall determine the percent of ROIC Target Performance Shares and TSR Target Performance Shares, if any, that may have become earned hereunder.</w:t>
      </w:r>
    </w:p>
    <w:p>
      <w:pPr>
        <w:spacing w:after="0" w:line="188"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Determination Regarding ROIC</w:t>
      </w:r>
      <w:r>
        <w:rPr>
          <w:rFonts w:ascii="Arial" w:cs="Arial" w:eastAsia="Arial" w:hAnsi="Arial"/>
          <w:sz w:val="18"/>
          <w:szCs w:val="18"/>
          <w:color w:val="auto"/>
        </w:rPr>
        <w:t xml:space="preserve">: All determinations involving ROIC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the arithmetic average of the ROIC for the ROIC Performance Period calculated by dividing the sum of the Company’s ROIC for each fiscal year in the ROIC Performance Period by the number of years in the ROIC Performance Period, where ROIC for each fiscal year in the ROIC Performance Period is defined as net income plus net interest net of taxes (net income plus net interest, less net interest times the effective tax rate), less dividends divided by invested capital (funded debt less cash and marketable securities plus total stockholders’ equity) at the beginning of each fiscal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vMerge w:val="restart"/>
          </w:tcPr>
          <w:p>
            <w:pPr>
              <w:ind w:left="960"/>
              <w:spacing w:after="0"/>
              <w:rPr>
                <w:sz w:val="20"/>
                <w:szCs w:val="20"/>
                <w:color w:val="auto"/>
              </w:rPr>
            </w:pPr>
            <w:r>
              <w:rPr>
                <w:rFonts w:ascii="Arial" w:cs="Arial" w:eastAsia="Arial" w:hAnsi="Arial"/>
                <w:sz w:val="18"/>
                <w:szCs w:val="18"/>
                <w:color w:val="auto"/>
              </w:rPr>
              <w:t>ROIC</w:t>
            </w:r>
          </w:p>
        </w:tc>
        <w:tc>
          <w:tcPr>
            <w:tcW w:w="4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Net Income + (Net Interest x (1 – Tax Rate)) – Dividends</w:t>
            </w:r>
          </w:p>
        </w:tc>
        <w:tc>
          <w:tcPr>
            <w:tcW w:w="0" w:type="dxa"/>
            <w:vAlign w:val="bottom"/>
          </w:tcPr>
          <w:p>
            <w:pPr>
              <w:spacing w:after="0"/>
              <w:rPr>
                <w:sz w:val="1"/>
                <w:szCs w:val="1"/>
                <w:color w:val="auto"/>
              </w:rPr>
            </w:pPr>
          </w:p>
        </w:tc>
      </w:tr>
      <w:tr>
        <w:trPr>
          <w:trHeight w:val="88"/>
        </w:trPr>
        <w:tc>
          <w:tcPr>
            <w:tcW w:w="154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9460" w:type="dxa"/>
            <w:vAlign w:val="bottom"/>
            <w:vMerge w:val="restart"/>
          </w:tcPr>
          <w:p>
            <w:pPr>
              <w:jc w:val="center"/>
              <w:spacing w:after="0"/>
              <w:rPr>
                <w:sz w:val="20"/>
                <w:szCs w:val="20"/>
                <w:color w:val="auto"/>
              </w:rPr>
            </w:pPr>
            <w:r>
              <w:rPr>
                <w:rFonts w:ascii="Arial" w:cs="Arial" w:eastAsia="Arial" w:hAnsi="Arial"/>
                <w:sz w:val="18"/>
                <w:szCs w:val="18"/>
                <w:color w:val="auto"/>
                <w:w w:val="91"/>
              </w:rPr>
              <w:t>Funded Debt – Cash And Marketable Securities + Total Stockholders’ Equity</w:t>
            </w:r>
          </w:p>
        </w:tc>
        <w:tc>
          <w:tcPr>
            <w:tcW w:w="0" w:type="dxa"/>
            <w:vAlign w:val="bottom"/>
          </w:tcPr>
          <w:p>
            <w:pPr>
              <w:spacing w:after="0"/>
              <w:rPr>
                <w:sz w:val="1"/>
                <w:szCs w:val="1"/>
                <w:color w:val="auto"/>
              </w:rPr>
            </w:pPr>
          </w:p>
        </w:tc>
      </w:tr>
      <w:tr>
        <w:trPr>
          <w:trHeight w:val="136"/>
        </w:trPr>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4"/>
        </w:trPr>
        <w:tc>
          <w:tcPr>
            <w:tcW w:w="1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2" w:right="239" w:bottom="1440" w:gutter="0" w:footer="0" w:header="0"/>
        </w:sectPr>
      </w:pPr>
    </w:p>
    <w:bookmarkStart w:id="39" w:name="page40"/>
    <w:bookmarkEnd w:id="39"/>
    <w:p>
      <w:pPr>
        <w:ind w:left="1292" w:right="300"/>
        <w:spacing w:after="0" w:line="277" w:lineRule="auto"/>
        <w:rPr>
          <w:sz w:val="20"/>
          <w:szCs w:val="20"/>
          <w:color w:val="auto"/>
        </w:rPr>
      </w:pPr>
      <w:r>
        <w:rPr>
          <w:rFonts w:ascii="Arial" w:cs="Arial" w:eastAsia="Arial" w:hAnsi="Arial"/>
          <w:sz w:val="18"/>
          <w:szCs w:val="18"/>
          <w:color w:val="auto"/>
        </w:rPr>
        <w:t>with all financial measures as determined from the Company’s consolidated financial statements for each year in the ROIC Performance Period</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any adjustment as determined by the Committee.</w:t>
      </w:r>
    </w:p>
    <w:p>
      <w:pPr>
        <w:spacing w:after="0" w:line="170" w:lineRule="exact"/>
        <w:rPr>
          <w:sz w:val="20"/>
          <w:szCs w:val="20"/>
          <w:color w:val="auto"/>
        </w:rPr>
      </w:pPr>
    </w:p>
    <w:p>
      <w:pPr>
        <w:jc w:val="both"/>
        <w:ind w:left="1292" w:hanging="644"/>
        <w:spacing w:after="0" w:line="291" w:lineRule="auto"/>
        <w:tabs>
          <w:tab w:leader="none" w:pos="129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Determination Regarding TSR</w:t>
      </w:r>
      <w:r>
        <w:rPr>
          <w:rFonts w:ascii="Arial" w:cs="Arial" w:eastAsia="Arial" w:hAnsi="Arial"/>
          <w:sz w:val="16"/>
          <w:szCs w:val="16"/>
          <w:color w:val="auto"/>
        </w:rPr>
        <w:t>: At the end of the TSR Performance Period, the percentile rank of the Company’s TSR in respect to the TSR of the TSR Peer Companies will be calculated. TSR with respect to the Company and each of the TSR Peer Companies means the change in the fair market value of common stock of the Company and the TSR Peer Companies, assuming reinvestment of dividends, over the TSR Performance Period. The measurement of change in fair market value over the Performance Period shall be based on the average closing prices of the common stock for the last 20 trading days preceding the Date of Grant and the last 20 trading days preceding the end of the TSR Performance Period (December 31, 20___), assuming reinvestment of dividends in common stock. Any TSR Peer Company that is no longer publicly traded at any time during or at the end of the TSR Performance Period shall be excluded from this calculation.</w:t>
      </w:r>
    </w:p>
    <w:p>
      <w:pPr>
        <w:spacing w:after="0" w:line="167" w:lineRule="exact"/>
        <w:rPr>
          <w:rFonts w:ascii="Arial" w:cs="Arial" w:eastAsia="Arial" w:hAnsi="Arial"/>
          <w:sz w:val="16"/>
          <w:szCs w:val="16"/>
          <w:color w:val="auto"/>
        </w:rPr>
      </w:pPr>
    </w:p>
    <w:p>
      <w:pPr>
        <w:ind w:left="1292" w:right="440" w:hanging="644"/>
        <w:spacing w:after="0" w:line="277" w:lineRule="auto"/>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TSR Peer Companies:</w:t>
      </w:r>
      <w:r>
        <w:rPr>
          <w:rFonts w:ascii="Arial" w:cs="Arial" w:eastAsia="Arial" w:hAnsi="Arial"/>
          <w:sz w:val="18"/>
          <w:szCs w:val="18"/>
          <w:color w:val="auto"/>
        </w:rPr>
        <w:t xml:space="preserve"> The public companies against which the Company’s TSR performance will be compared (the “TSR Peer Group Companies”) are identified in the Statement of Performance Goals.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Pro Rata Earning of Target Performance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20" w:hanging="644"/>
        <w:spacing w:after="0" w:line="288" w:lineRule="auto"/>
        <w:tabs>
          <w:tab w:leader="none" w:pos="129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Good Reason, Death, Disability or Retirement</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if, during the Performance Period, but before the payment of any Performance Shares as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Participant’s employment is terminated without “Cause” or with “Good Reason” (as each term is defined in the Participant’s current Employment Agreement with the Company, as may be amended from time to time (the “Employment Agreement”)), the Participant dies or in the event of his “Disability” (as such term is defined in the Employment Agreement) while in the employ of the Company or in the event of the retirement of the Participant after having attained “normal retirement age” (as such term is defined in the Social Security Act of 1935, as amended), then the Participant shall be entitled to receive such percent of the ROIC Target Performance Shares and TSR Target Performance Shares, if any, as is determined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at the conclusion of the Performance Periods as if the Participant had remained in the continuous employ of the Company through the end of the Performance Periods, based on the Company’s ROIC and TSR performance during the Performance Periods, prorated, based on the number of whole months that the Participant was employed by the Company during the Performance Periods.</w:t>
      </w:r>
    </w:p>
    <w:p>
      <w:pPr>
        <w:spacing w:after="0" w:line="169" w:lineRule="exact"/>
        <w:rPr>
          <w:rFonts w:ascii="Arial" w:cs="Arial" w:eastAsia="Arial" w:hAnsi="Arial"/>
          <w:sz w:val="16"/>
          <w:szCs w:val="16"/>
          <w:color w:val="auto"/>
        </w:rPr>
      </w:pPr>
    </w:p>
    <w:p>
      <w:pPr>
        <w:jc w:val="both"/>
        <w:ind w:left="1292" w:right="20" w:hanging="644"/>
        <w:spacing w:after="0" w:line="312" w:lineRule="auto"/>
        <w:tabs>
          <w:tab w:leader="none" w:pos="129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if, during the Performance Periods, but before the payment of any Performance Shares as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 Change in Control occurs while the Participant is an employee of the Company, then the Participant shall be entitled to receive the number of ROIC Target Performance Shares and the number of TSR Target Performance Shares set out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0" w:name="page41"/>
    <w:bookmarkEnd w:id="40"/>
    <w:p>
      <w:pPr>
        <w:ind w:left="652" w:hanging="652"/>
        <w:spacing w:after="0" w:line="259"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Except to the extent the Participant has earned the right to receive Performance Shares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w:t>
      </w:r>
      <w:r>
        <w:rPr>
          <w:rFonts w:ascii="Arial" w:cs="Arial" w:eastAsia="Arial" w:hAnsi="Arial"/>
          <w:sz w:val="18"/>
          <w:szCs w:val="18"/>
          <w:color w:val="auto"/>
        </w:rPr>
        <w:t xml:space="preserve"> hereof, the Participant’s right to receive Performance Shares shall be forfeited automatically and without further notice on the date that the Participant ceases to be an employee of the Company or a Subsidiary prior to the last day of the Performance Periods or, in the event that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applies, the date on which the Change in Control occurs.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 of Performance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line="259" w:lineRule="auto"/>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Subject to Section 5(c), Performance Shares earned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shall be paid to the Participant or his or her executor or administrator, as the case may be, in shares of Common Stock in the calendar year immediately following the close of the Performance Period to which the award relates, but in no event later than two and one-half (2 1/2) months after the close of the Performance Period.</w:t>
      </w:r>
    </w:p>
    <w:p>
      <w:pPr>
        <w:spacing w:after="0" w:line="186" w:lineRule="exact"/>
        <w:rPr>
          <w:rFonts w:ascii="Arial" w:cs="Arial" w:eastAsia="Arial" w:hAnsi="Arial"/>
          <w:sz w:val="18"/>
          <w:szCs w:val="18"/>
          <w:color w:val="auto"/>
        </w:rPr>
      </w:pPr>
    </w:p>
    <w:p>
      <w:pPr>
        <w:ind w:left="1292" w:right="140" w:hanging="644"/>
        <w:spacing w:after="0" w:line="264" w:lineRule="auto"/>
        <w:tabs>
          <w:tab w:leader="none" w:pos="12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ROIC Target Performance Shares and TSR Target Performance Shares earned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shall be paid to the Participant in shares of Common Stock as soon as practicable following the Change in Control, but in no event later than two and one-half (2 1/2) months following the end of the year in which the Change in Control occurs.</w:t>
      </w:r>
    </w:p>
    <w:p>
      <w:pPr>
        <w:spacing w:after="0" w:line="181" w:lineRule="exact"/>
        <w:rPr>
          <w:rFonts w:ascii="Arial" w:cs="Arial" w:eastAsia="Arial" w:hAnsi="Arial"/>
          <w:sz w:val="18"/>
          <w:szCs w:val="18"/>
          <w:color w:val="auto"/>
        </w:rPr>
      </w:pPr>
    </w:p>
    <w:p>
      <w:pPr>
        <w:ind w:left="1292" w:right="20" w:hanging="644"/>
        <w:spacing w:after="0" w:line="291" w:lineRule="auto"/>
        <w:tabs>
          <w:tab w:leader="none" w:pos="12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the Participant is a “specified employee” as determined pursuant to procedures adopted by the Company in compliance with Section 409A of the Code, the ROIC Target Performance Shares and TSR Target Performance Shares become payable on the Participant’s “separation from service” with the Company and its Subsidiaries within the meaning of Section 409A(a)(2)(A)(i) of the Code, and the amount payable hereunder constitutes a “deferral of compensation” (within the meaning of Section 409A of the Code), then payment of the ROIC Target Performance Shares and TSR Target Performance Shares shall be made on the earlier of the first day of the seventh month after the date of the Participant’s “separation from service” with the Company and its Subsidiaries within the meaning of Section 409A(a)(2)(A)(i) of the Code or the Participant’s death.</w:t>
      </w:r>
    </w:p>
    <w:p>
      <w:pPr>
        <w:spacing w:after="0" w:line="167" w:lineRule="exact"/>
        <w:rPr>
          <w:rFonts w:ascii="Arial" w:cs="Arial" w:eastAsia="Arial" w:hAnsi="Arial"/>
          <w:sz w:val="16"/>
          <w:szCs w:val="16"/>
          <w:color w:val="auto"/>
        </w:rPr>
      </w:pPr>
    </w:p>
    <w:p>
      <w:pPr>
        <w:ind w:left="652" w:hanging="652"/>
        <w:spacing w:after="0"/>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Transferability shall be as set forth in the Plan.</w:t>
      </w:r>
    </w:p>
    <w:p>
      <w:pPr>
        <w:spacing w:after="0" w:line="225" w:lineRule="exact"/>
        <w:rPr>
          <w:rFonts w:ascii="Arial" w:cs="Arial" w:eastAsia="Arial" w:hAnsi="Arial"/>
          <w:sz w:val="18"/>
          <w:szCs w:val="18"/>
          <w:color w:val="auto"/>
        </w:rPr>
      </w:pPr>
    </w:p>
    <w:p>
      <w:pPr>
        <w:ind w:left="652" w:right="40" w:hanging="652"/>
        <w:spacing w:after="0" w:line="342" w:lineRule="auto"/>
        <w:tabs>
          <w:tab w:leader="none" w:pos="65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 Employment Contract</w:t>
      </w:r>
      <w:r>
        <w:rPr>
          <w:rFonts w:ascii="Arial" w:cs="Arial" w:eastAsia="Arial" w:hAnsi="Arial"/>
          <w:sz w:val="16"/>
          <w:szCs w:val="16"/>
          <w:color w:val="auto"/>
        </w:rPr>
        <w:t>. Nothing contained in this Agreement shall (a) confer upon the Participant any right to be employed by or remain employed by the Company, or (b) limit or affect in any manner the right of the Company to terminate the employment of the Participant at any time.</w:t>
      </w:r>
    </w:p>
    <w:p>
      <w:pPr>
        <w:spacing w:after="0" w:line="123" w:lineRule="exact"/>
        <w:rPr>
          <w:rFonts w:ascii="Arial" w:cs="Arial" w:eastAsia="Arial" w:hAnsi="Arial"/>
          <w:sz w:val="16"/>
          <w:szCs w:val="16"/>
          <w:color w:val="auto"/>
        </w:rPr>
      </w:pPr>
    </w:p>
    <w:p>
      <w:pPr>
        <w:ind w:left="652" w:hanging="652"/>
        <w:spacing w:after="0" w:line="293" w:lineRule="auto"/>
        <w:tabs>
          <w:tab w:leader="none" w:pos="65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To the extent that the Company is required to withhold any federal, state, local or foreign taxes in connection with the payment of any Performance Shares, it shall be a condition to the payment of any Performance Shares that the Participant shall pay such taxes by the Company’s retention of a portion of the shares of Common Stock otherwise payable to the Participant. The shares so retained shall be credited against such withholding requirement at the Fair Market Value on the date of such delivery. In no event, however, shall the Company accept shares for payment of taxes in excess of minimum required tax withholding rates; therefore, the Participant agrees to a payroll deduction for the amount of the withholding requirement that may be greater than the value of the whole number of shares retained for such purpose.</w:t>
      </w:r>
    </w:p>
    <w:p>
      <w:pPr>
        <w:spacing w:after="0" w:line="3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9" w:right="279" w:bottom="1440" w:gutter="0" w:footer="0" w:header="0"/>
        </w:sectPr>
      </w:pPr>
    </w:p>
    <w:bookmarkStart w:id="41" w:name="page42"/>
    <w:bookmarkEnd w:id="41"/>
    <w:p>
      <w:pPr>
        <w:ind w:left="652" w:right="440" w:hanging="652"/>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Rights of a Stockholder</w:t>
      </w:r>
      <w:r>
        <w:rPr>
          <w:rFonts w:ascii="Arial" w:cs="Arial" w:eastAsia="Arial" w:hAnsi="Arial"/>
          <w:sz w:val="18"/>
          <w:szCs w:val="18"/>
          <w:color w:val="auto"/>
        </w:rPr>
        <w:t>. The Participant shall not have any rights of a stockholder with respect to the Performance Shares prior to the date such shares are earned.</w:t>
      </w:r>
    </w:p>
    <w:p>
      <w:pPr>
        <w:spacing w:after="0" w:line="170" w:lineRule="exact"/>
        <w:rPr>
          <w:rFonts w:ascii="Arial" w:cs="Arial" w:eastAsia="Arial" w:hAnsi="Arial"/>
          <w:sz w:val="18"/>
          <w:szCs w:val="18"/>
          <w:color w:val="auto"/>
        </w:rPr>
      </w:pPr>
    </w:p>
    <w:p>
      <w:pPr>
        <w:ind w:left="652" w:right="800" w:hanging="652"/>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Payment of Dividends</w:t>
      </w:r>
      <w:r>
        <w:rPr>
          <w:rFonts w:ascii="Arial" w:cs="Arial" w:eastAsia="Arial" w:hAnsi="Arial"/>
          <w:sz w:val="18"/>
          <w:szCs w:val="18"/>
          <w:color w:val="auto"/>
        </w:rPr>
        <w:t>. No dividends or dividend equivalents shall be accrued or earned with respect to any Performance Shares until such Performance Shares are earned by the Participant as provided in this Agreement.</w:t>
      </w:r>
    </w:p>
    <w:p>
      <w:pPr>
        <w:spacing w:after="0" w:line="170"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 other provision hereof, the number of Performance Shares subject to this Agreement, and the other terms and conditions of this award, are subject to mandatory adjustment as provided in Section 3.2 of the Plan.</w:t>
      </w:r>
    </w:p>
    <w:p>
      <w:pPr>
        <w:spacing w:after="0" w:line="170" w:lineRule="exact"/>
        <w:rPr>
          <w:rFonts w:ascii="Arial" w:cs="Arial" w:eastAsia="Arial" w:hAnsi="Arial"/>
          <w:sz w:val="18"/>
          <w:szCs w:val="18"/>
          <w:color w:val="auto"/>
        </w:rPr>
      </w:pPr>
    </w:p>
    <w:p>
      <w:pPr>
        <w:ind w:left="652" w:right="20" w:hanging="652"/>
        <w:spacing w:after="0" w:line="288" w:lineRule="auto"/>
        <w:tabs>
          <w:tab w:leader="none" w:pos="65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receive Performance Shares covered by this Agreement shall be forfeited automatically and without further notice and to the extent that the Participant has received shares of Common Stock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within a period of 18 months prior to such breach, the Participant shall be required to return to the Company, upon demand, such shares or the net proceeds of any sales. For purposes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69" w:lineRule="exact"/>
        <w:rPr>
          <w:rFonts w:ascii="Arial" w:cs="Arial" w:eastAsia="Arial" w:hAnsi="Arial"/>
          <w:sz w:val="16"/>
          <w:szCs w:val="16"/>
          <w:color w:val="auto"/>
        </w:rPr>
      </w:pPr>
    </w:p>
    <w:p>
      <w:pPr>
        <w:ind w:left="652" w:hanging="652"/>
        <w:spacing w:after="0" w:line="287" w:lineRule="auto"/>
        <w:tabs>
          <w:tab w:leader="none" w:pos="65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Recovery of Performance Shares</w:t>
      </w:r>
      <w:r>
        <w:rPr>
          <w:rFonts w:ascii="Arial" w:cs="Arial" w:eastAsia="Arial" w:hAnsi="Arial"/>
          <w:sz w:val="16"/>
          <w:szCs w:val="16"/>
          <w:color w:val="auto"/>
        </w:rPr>
        <w:t xml:space="preserve">. If (a) the Company restates any part of its financial statements for any fiscal year or years covered by the Performance Periods due to material noncompliance with any financial reporting requirement under the U.S. securities laws applicable to such fiscal year or years (a “Restatement”) and (b) the Committee determines that the Participant is personally responsible for causing the Restatement as a result of the Participant’s personal misconduct or any fraudulent activity on the part of the Participant, then the Committee has discretion to, based on applicable facts and circumstances and subject to applicable law, cause the Company to recover all or any portion (but no more than 100%) of the shares of Common Stock paid or payable to the Participant for the Performance Periods. The amount of any cash or shares recovered by the Company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limited to the amount by which such shares payment exceeded the amount that would have been paid to or received by the Participant had the Company’s financial statements for the applicable restated fiscal year or years been initially filed as restated, as reasonably determined by the Committee. Notwithstanding anything herein to the contrary, the Participant’s consent shall not be required for an amendment to this Agreement that is deemed necessary by the Company to ensure compliance with the Dodd-Frank Wall Street Reform and Consumer Protection Act (the “Dodd-Frank Act”) or any regulations promulgated thereunder, including as a result of the implementation of any recoupment policy the Company adopts to comply with the requirements set forth in the Dodd-Frank Act.</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2" w:name="page43"/>
    <w:bookmarkEnd w:id="42"/>
    <w:p>
      <w:pPr>
        <w:ind w:left="652" w:right="120" w:hanging="652"/>
        <w:spacing w:after="0" w:line="302" w:lineRule="auto"/>
        <w:tabs>
          <w:tab w:leader="none" w:pos="65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Relation to Plan</w:t>
      </w:r>
      <w:r>
        <w:rPr>
          <w:rFonts w:ascii="Arial" w:cs="Arial" w:eastAsia="Arial" w:hAnsi="Arial"/>
          <w:sz w:val="16"/>
          <w:szCs w:val="16"/>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ROIC Target Performance Shares and TSR Target Performance Shares.</w:t>
      </w:r>
    </w:p>
    <w:p>
      <w:pPr>
        <w:spacing w:after="0" w:line="154" w:lineRule="exact"/>
        <w:rPr>
          <w:rFonts w:ascii="Arial" w:cs="Arial" w:eastAsia="Arial" w:hAnsi="Arial"/>
          <w:sz w:val="16"/>
          <w:szCs w:val="16"/>
          <w:color w:val="auto"/>
        </w:rPr>
      </w:pPr>
    </w:p>
    <w:p>
      <w:pPr>
        <w:ind w:left="652" w:hanging="652"/>
        <w:spacing w:after="0" w:line="279" w:lineRule="auto"/>
        <w:tabs>
          <w:tab w:leader="none" w:pos="65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w:t>
      </w:r>
    </w:p>
    <w:p>
      <w:pPr>
        <w:spacing w:after="0" w:line="171" w:lineRule="exact"/>
        <w:rPr>
          <w:rFonts w:ascii="Arial" w:cs="Arial" w:eastAsia="Arial" w:hAnsi="Arial"/>
          <w:sz w:val="17"/>
          <w:szCs w:val="17"/>
          <w:color w:val="auto"/>
        </w:rPr>
      </w:pPr>
    </w:p>
    <w:p>
      <w:pPr>
        <w:ind w:left="652" w:right="560" w:hanging="652"/>
        <w:spacing w:after="0" w:line="342" w:lineRule="auto"/>
        <w:tabs>
          <w:tab w:leader="none" w:pos="65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pacing w:after="0" w:line="123" w:lineRule="exact"/>
        <w:rPr>
          <w:rFonts w:ascii="Arial" w:cs="Arial" w:eastAsia="Arial" w:hAnsi="Arial"/>
          <w:sz w:val="16"/>
          <w:szCs w:val="16"/>
          <w:color w:val="auto"/>
        </w:rPr>
      </w:pPr>
    </w:p>
    <w:p>
      <w:pPr>
        <w:ind w:left="652" w:right="160" w:hanging="652"/>
        <w:spacing w:after="0" w:line="255"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9" w:right="259" w:bottom="1440" w:gutter="0" w:footer="0" w:header="0"/>
        </w:sectPr>
      </w:pPr>
    </w:p>
    <w:bookmarkStart w:id="43" w:name="page44"/>
    <w:bookmarkEnd w:id="43"/>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and the Participant has executed this Agreement, as of the day and year first above written.</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MYR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Chairman of the Board</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undersigned Participant hereby acknowledges receipt of an executed copy of this Agreement and accepts the right to receive any Performance Shares or other securities covered hereby, subject to the terms and conditions of the Plan and the terms and conditions herein above set forth.</w:t>
      </w: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37649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14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2018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right="14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2018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May 2, 2018</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99"/>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5"/>
    </w:lvl>
    <w:lvl w:ilvl="1">
      <w:lvlJc w:val="left"/>
      <w:lvlText w:val="(%2)"/>
      <w:numFmt w:val="lowerLetter"/>
      <w:start w:val="1"/>
    </w:lvl>
  </w:abstractNum>
  <w:abstractNum w:abstractNumId="14">
    <w:nsid w:val="8EDBDAB"/>
    <w:multiLevelType w:val="hybridMultilevel"/>
    <w:lvl w:ilvl="0">
      <w:lvlJc w:val="left"/>
      <w:lvlText w:val="%1."/>
      <w:numFmt w:val="decimal"/>
      <w:start w:val="7"/>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3"/>
    </w:lvl>
    <w:lvl w:ilvl="1">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2"/>
    </w:lvl>
  </w:abstractNum>
  <w:abstractNum w:abstractNumId="19">
    <w:nsid w:val="54E49EB4"/>
    <w:multiLevelType w:val="hybridMultilevel"/>
    <w:lvl w:ilvl="0">
      <w:lvlJc w:val="left"/>
      <w:lvlText w:val="(%1)"/>
      <w:numFmt w:val="lowerLetter"/>
      <w:start w:val="1"/>
    </w:lvl>
    <w:lvl w:ilvl="1">
      <w:lvlJc w:val="left"/>
      <w:lvlText w:val="(%2)"/>
      <w:numFmt w:val="lowerRoman"/>
      <w:start w:val="1"/>
    </w:lvl>
  </w:abstractNum>
  <w:abstractNum w:abstractNumId="20">
    <w:nsid w:val="71F32454"/>
    <w:multiLevelType w:val="hybridMultilevel"/>
    <w:lvl w:ilvl="0">
      <w:lvlJc w:val="left"/>
      <w:lvlText w:val="(%1)"/>
      <w:numFmt w:val="lowerLetter"/>
      <w:start w:val="3"/>
    </w:lvl>
    <w:lvl w:ilvl="1">
      <w:lvlJc w:val="left"/>
      <w:lvlText w:val="(%2)"/>
      <w:numFmt w:val="lowerRoman"/>
      <w:start w:val="1"/>
    </w:lvl>
  </w:abstractNum>
  <w:abstractNum w:abstractNumId="21">
    <w:nsid w:val="2CA88611"/>
    <w:multiLevelType w:val="hybridMultilevel"/>
    <w:lvl w:ilvl="0">
      <w:lvlJc w:val="left"/>
      <w:lvlText w:val="%1"/>
      <w:numFmt w:val="lowerLetter"/>
      <w:start w:val="1"/>
    </w:lvl>
    <w:lvl w:ilvl="1">
      <w:lvlJc w:val="left"/>
      <w:lvlText w:val="(%2)"/>
      <w:numFmt w:val="lowerLetter"/>
      <w:start w:val="35"/>
    </w:lvl>
  </w:abstractNum>
  <w:abstractNum w:abstractNumId="22">
    <w:nsid w:val="836C40E"/>
    <w:multiLevelType w:val="hybridMultilevel"/>
    <w:lvl w:ilvl="0">
      <w:lvlJc w:val="left"/>
      <w:lvlText w:val="(%1)"/>
      <w:numFmt w:val="lowerLetter"/>
      <w:start w:val="7"/>
    </w:lvl>
    <w:lvl w:ilvl="1">
      <w:lvlJc w:val="left"/>
      <w:lvlText w:val="(%2)"/>
      <w:numFmt w:val="lowerLetter"/>
      <w:start w:val="9"/>
    </w:lvl>
  </w:abstractNum>
  <w:abstractNum w:abstractNumId="23">
    <w:nsid w:val="2901D82"/>
    <w:multiLevelType w:val="hybridMultilevel"/>
    <w:lvl w:ilvl="0">
      <w:lvlJc w:val="left"/>
      <w:lvlText w:val="%1"/>
      <w:numFmt w:val="lowerLetter"/>
      <w:start w:val="1"/>
    </w:lvl>
    <w:lvl w:ilvl="1">
      <w:lvlJc w:val="left"/>
      <w:lvlText w:val="(%2)"/>
      <w:numFmt w:val="lowerLetter"/>
      <w:start w:val="35"/>
    </w:lvl>
  </w:abstractNum>
  <w:abstractNum w:abstractNumId="24">
    <w:nsid w:val="3A95F874"/>
    <w:multiLevelType w:val="hybridMultilevel"/>
    <w:lvl w:ilvl="0">
      <w:lvlJc w:val="left"/>
      <w:lvlText w:val="(%1)"/>
      <w:numFmt w:val="lowerLetter"/>
      <w:start w:val="8"/>
    </w:lvl>
    <w:lvl w:ilvl="1">
      <w:lvlJc w:val="left"/>
      <w:lvlText w:val="%2"/>
      <w:numFmt w:val="lowerLetter"/>
      <w:start w:val="1"/>
    </w:lvl>
  </w:abstractNum>
  <w:abstractNum w:abstractNumId="25">
    <w:nsid w:val="8138641"/>
    <w:multiLevelType w:val="hybridMultilevel"/>
    <w:lvl w:ilvl="0">
      <w:lvlJc w:val="left"/>
      <w:lvlText w:val="%1"/>
      <w:numFmt w:val="decimal"/>
      <w:start w:val="1"/>
    </w:lvl>
    <w:lvl w:ilvl="1">
      <w:lvlJc w:val="left"/>
      <w:lvlText w:val="(%2)"/>
      <w:numFmt w:val="lowerLetter"/>
      <w:start w:val="10"/>
    </w:lvl>
  </w:abstractNum>
  <w:abstractNum w:abstractNumId="26">
    <w:nsid w:val="1E7FF521"/>
    <w:multiLevelType w:val="hybridMultilevel"/>
    <w:lvl w:ilvl="0">
      <w:lvlJc w:val="left"/>
      <w:lvlText w:val="%1."/>
      <w:numFmt w:val="decimal"/>
      <w:start w:val="3"/>
    </w:lvl>
    <w:lvl w:ilvl="1">
      <w:lvlJc w:val="left"/>
      <w:lvlText w:val="(%2)"/>
      <w:numFmt w:val="lowerLetter"/>
      <w:start w:val="1"/>
    </w:lvl>
  </w:abstractNum>
  <w:abstractNum w:abstractNumId="27">
    <w:nsid w:val="7C3DBD3D"/>
    <w:multiLevelType w:val="hybridMultilevel"/>
    <w:lvl w:ilvl="0">
      <w:lvlJc w:val="left"/>
      <w:lvlText w:val="%1."/>
      <w:numFmt w:val="decimal"/>
      <w:start w:val="4"/>
    </w:lvl>
    <w:lvl w:ilvl="1">
      <w:lvlJc w:val="left"/>
      <w:lvlText w:val="(%2)"/>
      <w:numFmt w:val="lowerLetter"/>
      <w:start w:val="1"/>
    </w:lvl>
  </w:abstractNum>
  <w:abstractNum w:abstractNumId="28">
    <w:nsid w:val="737B8DDC"/>
    <w:multiLevelType w:val="hybridMultilevel"/>
    <w:lvl w:ilvl="0">
      <w:lvlJc w:val="left"/>
      <w:lvlText w:val="%1."/>
      <w:numFmt w:val="decimal"/>
      <w:start w:val="9"/>
    </w:lvl>
  </w:abstractNum>
  <w:abstractNum w:abstractNumId="29">
    <w:nsid w:val="6CEAF087"/>
    <w:multiLevelType w:val="hybridMultilevel"/>
    <w:lvl w:ilvl="0">
      <w:lvlJc w:val="left"/>
      <w:lvlText w:val="%1."/>
      <w:numFmt w:val="decimal"/>
      <w:start w:val="1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2019-12-05T12:13:42Z</dcterms:created>
  <dcterms:modified xsi:type="dcterms:W3CDTF">2019-12-05T12:13:42Z</dcterms:modified>
</cp:coreProperties>
</file>