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14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_____________________________________________________________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MYR GROUP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5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680" w:type="dxa"/>
            <w:vAlign w:val="bottom"/>
          </w:tcPr>
          <w:p>
            <w:pPr>
              <w:jc w:val="center"/>
              <w:ind w:right="1039"/>
              <w:spacing w:after="0"/>
              <w:rPr>
                <w:sz w:val="20"/>
                <w:szCs w:val="20"/>
                <w:color w:val="auto"/>
              </w:rPr>
            </w:pPr>
            <w:r>
              <w:rPr>
                <w:rFonts w:ascii="Arial" w:cs="Arial" w:eastAsia="Arial" w:hAnsi="Arial"/>
                <w:sz w:val="16"/>
                <w:szCs w:val="16"/>
                <w:b w:val="1"/>
                <w:bCs w:val="1"/>
                <w:color w:val="auto"/>
                <w:w w:val="91"/>
              </w:rPr>
              <w:t>Delaware</w:t>
            </w:r>
          </w:p>
        </w:tc>
        <w:tc>
          <w:tcPr>
            <w:tcW w:w="3480" w:type="dxa"/>
            <w:vAlign w:val="bottom"/>
          </w:tcPr>
          <w:p>
            <w:pPr>
              <w:jc w:val="right"/>
              <w:ind w:right="699"/>
              <w:spacing w:after="0"/>
              <w:rPr>
                <w:sz w:val="20"/>
                <w:szCs w:val="20"/>
                <w:color w:val="auto"/>
              </w:rPr>
            </w:pPr>
            <w:r>
              <w:rPr>
                <w:rFonts w:ascii="Arial" w:cs="Arial" w:eastAsia="Arial" w:hAnsi="Arial"/>
                <w:sz w:val="16"/>
                <w:szCs w:val="16"/>
                <w:b w:val="1"/>
                <w:bCs w:val="1"/>
                <w:color w:val="auto"/>
              </w:rPr>
              <w:t>36-3158643</w:t>
            </w:r>
          </w:p>
        </w:tc>
      </w:tr>
      <w:tr>
        <w:trPr>
          <w:trHeight w:val="226"/>
        </w:trPr>
        <w:tc>
          <w:tcPr>
            <w:tcW w:w="3680" w:type="dxa"/>
            <w:vAlign w:val="bottom"/>
          </w:tcPr>
          <w:p>
            <w:pPr>
              <w:jc w:val="center"/>
              <w:ind w:right="1079"/>
              <w:spacing w:after="0"/>
              <w:rPr>
                <w:sz w:val="20"/>
                <w:szCs w:val="20"/>
                <w:color w:val="auto"/>
              </w:rPr>
            </w:pPr>
            <w:r>
              <w:rPr>
                <w:rFonts w:ascii="Arial" w:cs="Arial" w:eastAsia="Arial" w:hAnsi="Arial"/>
                <w:sz w:val="16"/>
                <w:szCs w:val="16"/>
                <w:color w:val="auto"/>
                <w:w w:val="93"/>
              </w:rPr>
              <w:t>(State or other jurisdiction of</w:t>
            </w:r>
          </w:p>
        </w:tc>
        <w:tc>
          <w:tcPr>
            <w:tcW w:w="3480" w:type="dxa"/>
            <w:vAlign w:val="bottom"/>
          </w:tcPr>
          <w:p>
            <w:pPr>
              <w:jc w:val="center"/>
              <w:ind w:left="103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680" w:type="dxa"/>
            <w:vAlign w:val="bottom"/>
          </w:tcPr>
          <w:p>
            <w:pPr>
              <w:jc w:val="center"/>
              <w:ind w:right="1039"/>
              <w:spacing w:after="0"/>
              <w:rPr>
                <w:sz w:val="20"/>
                <w:szCs w:val="20"/>
                <w:color w:val="auto"/>
              </w:rPr>
            </w:pPr>
            <w:r>
              <w:rPr>
                <w:rFonts w:ascii="Arial" w:cs="Arial" w:eastAsia="Arial" w:hAnsi="Arial"/>
                <w:sz w:val="16"/>
                <w:szCs w:val="16"/>
                <w:color w:val="auto"/>
                <w:w w:val="94"/>
              </w:rPr>
              <w:t>incorporation or organization)</w:t>
            </w:r>
          </w:p>
        </w:tc>
        <w:tc>
          <w:tcPr>
            <w:tcW w:w="3480" w:type="dxa"/>
            <w:vAlign w:val="bottom"/>
          </w:tcPr>
          <w:p>
            <w:pPr>
              <w:spacing w:after="0"/>
              <w:rPr>
                <w:sz w:val="17"/>
                <w:szCs w:val="17"/>
                <w:color w:val="auto"/>
              </w:rPr>
            </w:pPr>
          </w:p>
        </w:tc>
      </w:tr>
      <w:tr>
        <w:trPr>
          <w:trHeight w:val="459"/>
        </w:trPr>
        <w:tc>
          <w:tcPr>
            <w:tcW w:w="3680" w:type="dxa"/>
            <w:vAlign w:val="bottom"/>
          </w:tcPr>
          <w:p>
            <w:pPr>
              <w:ind w:left="320"/>
              <w:spacing w:after="0"/>
              <w:rPr>
                <w:sz w:val="20"/>
                <w:szCs w:val="20"/>
                <w:color w:val="auto"/>
              </w:rPr>
            </w:pPr>
            <w:r>
              <w:rPr>
                <w:rFonts w:ascii="Arial" w:cs="Arial" w:eastAsia="Arial" w:hAnsi="Arial"/>
                <w:sz w:val="16"/>
                <w:szCs w:val="16"/>
                <w:b w:val="1"/>
                <w:bCs w:val="1"/>
                <w:color w:val="auto"/>
              </w:rPr>
              <w:t>12150 East 112th Avenue</w:t>
            </w:r>
          </w:p>
        </w:tc>
        <w:tc>
          <w:tcPr>
            <w:tcW w:w="3480" w:type="dxa"/>
            <w:vAlign w:val="bottom"/>
          </w:tcPr>
          <w:p>
            <w:pPr>
              <w:spacing w:after="0"/>
              <w:rPr>
                <w:sz w:val="24"/>
                <w:szCs w:val="24"/>
                <w:color w:val="auto"/>
              </w:rPr>
            </w:pPr>
          </w:p>
        </w:tc>
      </w:tr>
      <w:tr>
        <w:trPr>
          <w:trHeight w:val="270"/>
        </w:trPr>
        <w:tc>
          <w:tcPr>
            <w:tcW w:w="3680" w:type="dxa"/>
            <w:vAlign w:val="bottom"/>
          </w:tcPr>
          <w:p>
            <w:pPr>
              <w:ind w:left="440"/>
              <w:spacing w:after="0"/>
              <w:rPr>
                <w:sz w:val="20"/>
                <w:szCs w:val="20"/>
                <w:color w:val="auto"/>
              </w:rPr>
            </w:pPr>
            <w:r>
              <w:rPr>
                <w:rFonts w:ascii="Arial" w:cs="Arial" w:eastAsia="Arial" w:hAnsi="Arial"/>
                <w:sz w:val="16"/>
                <w:szCs w:val="16"/>
                <w:b w:val="1"/>
                <w:bCs w:val="1"/>
                <w:color w:val="auto"/>
              </w:rPr>
              <w:t xml:space="preserve">Henderson,  </w:t>
            </w:r>
            <w:r>
              <w:rPr>
                <w:rFonts w:ascii="Arial" w:cs="Arial" w:eastAsia="Arial" w:hAnsi="Arial"/>
                <w:sz w:val="17"/>
                <w:szCs w:val="17"/>
                <w:b w:val="1"/>
                <w:bCs w:val="1"/>
                <w:color w:val="auto"/>
              </w:rPr>
              <w:t>CO</w:t>
            </w:r>
          </w:p>
        </w:tc>
        <w:tc>
          <w:tcPr>
            <w:tcW w:w="3480" w:type="dxa"/>
            <w:vAlign w:val="bottom"/>
          </w:tcPr>
          <w:p>
            <w:pPr>
              <w:jc w:val="right"/>
              <w:ind w:right="899"/>
              <w:spacing w:after="0"/>
              <w:rPr>
                <w:sz w:val="20"/>
                <w:szCs w:val="20"/>
                <w:color w:val="auto"/>
              </w:rPr>
            </w:pPr>
            <w:r>
              <w:rPr>
                <w:rFonts w:ascii="Arial" w:cs="Arial" w:eastAsia="Arial" w:hAnsi="Arial"/>
                <w:sz w:val="16"/>
                <w:szCs w:val="16"/>
                <w:b w:val="1"/>
                <w:bCs w:val="1"/>
                <w:color w:val="auto"/>
              </w:rPr>
              <w:t>80640</w:t>
            </w:r>
          </w:p>
        </w:tc>
      </w:tr>
      <w:tr>
        <w:trPr>
          <w:trHeight w:val="257"/>
        </w:trPr>
        <w:tc>
          <w:tcPr>
            <w:tcW w:w="3680" w:type="dxa"/>
            <w:vAlign w:val="bottom"/>
          </w:tcPr>
          <w:p>
            <w:pPr>
              <w:jc w:val="center"/>
              <w:ind w:right="1039"/>
              <w:spacing w:after="0"/>
              <w:rPr>
                <w:sz w:val="20"/>
                <w:szCs w:val="20"/>
                <w:color w:val="auto"/>
              </w:rPr>
            </w:pPr>
            <w:r>
              <w:rPr>
                <w:rFonts w:ascii="Arial" w:cs="Arial" w:eastAsia="Arial" w:hAnsi="Arial"/>
                <w:sz w:val="16"/>
                <w:szCs w:val="16"/>
                <w:color w:val="auto"/>
                <w:w w:val="93"/>
              </w:rPr>
              <w:t>(Address of principal executive offices)</w:t>
            </w:r>
          </w:p>
        </w:tc>
        <w:tc>
          <w:tcPr>
            <w:tcW w:w="3480" w:type="dxa"/>
            <w:vAlign w:val="bottom"/>
          </w:tcPr>
          <w:p>
            <w:pPr>
              <w:jc w:val="center"/>
              <w:ind w:left="1039"/>
              <w:spacing w:after="0"/>
              <w:rPr>
                <w:sz w:val="20"/>
                <w:szCs w:val="20"/>
                <w:color w:val="auto"/>
              </w:rPr>
            </w:pPr>
            <w:r>
              <w:rPr>
                <w:rFonts w:ascii="Arial" w:cs="Arial" w:eastAsia="Arial" w:hAnsi="Arial"/>
                <w:sz w:val="16"/>
                <w:szCs w:val="16"/>
                <w:color w:val="auto"/>
                <w:w w:val="95"/>
              </w:rPr>
              <w:t>(Zip Code)</w:t>
            </w:r>
          </w:p>
        </w:tc>
      </w:tr>
    </w:tbl>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(303) 286-8000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_____________________________________________________________</w:t>
      </w:r>
    </w:p>
    <w:p>
      <w:pPr>
        <w:spacing w:after="0" w:line="18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6" w:lineRule="exact"/>
        <w:rPr>
          <w:sz w:val="24"/>
          <w:szCs w:val="24"/>
          <w:color w:val="auto"/>
        </w:rPr>
      </w:pPr>
    </w:p>
    <w:p>
      <w:pPr>
        <w:ind w:right="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02" w:lineRule="exact"/>
        <w:rPr>
          <w:sz w:val="24"/>
          <w:szCs w:val="24"/>
          <w:color w:val="auto"/>
        </w:rPr>
      </w:pPr>
    </w:p>
    <w:p>
      <w:pPr>
        <w:ind w:right="10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87" w:lineRule="exact"/>
        <w:rPr>
          <w:sz w:val="24"/>
          <w:szCs w:val="24"/>
          <w:color w:val="auto"/>
        </w:rPr>
      </w:pPr>
    </w:p>
    <w:p>
      <w:pPr>
        <w:ind w:right="3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334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43"/>
        </w:trPr>
        <w:tc>
          <w:tcPr>
            <w:tcW w:w="334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340" w:type="dxa"/>
            <w:vAlign w:val="bottom"/>
          </w:tcPr>
          <w:p>
            <w:pPr>
              <w:spacing w:after="0"/>
              <w:rPr>
                <w:sz w:val="22"/>
                <w:szCs w:val="22"/>
                <w:color w:val="auto"/>
              </w:rPr>
            </w:pPr>
          </w:p>
        </w:tc>
        <w:tc>
          <w:tcPr>
            <w:tcW w:w="3720" w:type="dxa"/>
            <w:vAlign w:val="bottom"/>
          </w:tcPr>
          <w:p>
            <w:pPr>
              <w:ind w:left="170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left="340" w:right="2740"/>
        <w:spacing w:after="0" w:line="29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x As of April 23, 2021, there were 16,827,499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Page</w:t>
            </w: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20" w:type="dxa"/>
            <w:vAlign w:val="bottom"/>
            <w:gridSpan w:val="11"/>
            <w:shd w:val="clear" w:color="auto" w:fill="CCEEFF"/>
          </w:tcPr>
          <w:p>
            <w:pPr>
              <w:jc w:val="center"/>
              <w:ind w:right="3060"/>
              <w:spacing w:after="0" w:line="183" w:lineRule="exact"/>
              <w:rPr>
                <w:rFonts w:ascii="Arial" w:cs="Arial" w:eastAsia="Arial" w:hAnsi="Arial"/>
                <w:sz w:val="20"/>
                <w:szCs w:val="20"/>
                <w:b w:val="1"/>
                <w:bCs w:val="1"/>
                <w:color w:val="0000FF"/>
                <w:w w:val="94"/>
              </w:rPr>
            </w:pPr>
            <w:hyperlink w:anchor="page2">
              <w:r>
                <w:rPr>
                  <w:rFonts w:ascii="Arial" w:cs="Arial" w:eastAsia="Arial" w:hAnsi="Arial"/>
                  <w:sz w:val="20"/>
                  <w:szCs w:val="20"/>
                  <w:b w:val="1"/>
                  <w:bCs w:val="1"/>
                  <w:color w:val="0000FF"/>
                  <w:w w:val="94"/>
                </w:rPr>
                <w:t>Part I—Financial Information</w:t>
              </w:r>
            </w:hyperlink>
          </w:p>
        </w:tc>
        <w:tc>
          <w:tcPr>
            <w:tcW w:w="1520" w:type="dxa"/>
            <w:vAlign w:val="bottom"/>
            <w:shd w:val="clear" w:color="auto" w:fill="CCEEFF"/>
          </w:tcPr>
          <w:p>
            <w:pPr>
              <w:spacing w:after="0"/>
              <w:rPr>
                <w:sz w:val="17"/>
                <w:szCs w:val="17"/>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Item 1.</w:t>
              </w:r>
            </w:hyperlink>
          </w:p>
        </w:tc>
        <w:tc>
          <w:tcPr>
            <w:tcW w:w="3040" w:type="dxa"/>
            <w:vAlign w:val="bottom"/>
            <w:tcBorders>
              <w:top w:val="single" w:sz="8" w:color="CCEEFF"/>
            </w:tcBorders>
            <w:gridSpan w:val="8"/>
          </w:tcPr>
          <w:p>
            <w:pPr>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Financial Statements</w:t>
              </w:r>
            </w:hyperlink>
          </w:p>
        </w:tc>
        <w:tc>
          <w:tcPr>
            <w:tcW w:w="2560" w:type="dxa"/>
            <w:vAlign w:val="bottom"/>
            <w:tcBorders>
              <w:top w:val="single" w:sz="8" w:color="0000FF"/>
            </w:tcBorders>
            <w:gridSpan w:val="5"/>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2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 xml:space="preserve">Consolidated Balance Sheets as of </w:t>
              </w:r>
            </w:hyperlink>
            <w:r>
              <w:rPr>
                <w:rFonts w:ascii="Arial" w:cs="Arial" w:eastAsia="Arial" w:hAnsi="Arial"/>
                <w:sz w:val="20"/>
                <w:szCs w:val="20"/>
                <w:color w:val="0000FF"/>
              </w:rPr>
              <w:t xml:space="preserve">March 31, 2021 </w:t>
            </w:r>
            <w:hyperlink w:anchor="page3">
              <w:r>
                <w:rPr>
                  <w:rFonts w:ascii="Arial" w:cs="Arial" w:eastAsia="Arial" w:hAnsi="Arial"/>
                  <w:sz w:val="20"/>
                  <w:szCs w:val="20"/>
                  <w:color w:val="0000FF"/>
                </w:rPr>
                <w:t xml:space="preserve">(unaudited) and </w:t>
              </w:r>
            </w:hyperlink>
            <w:r>
              <w:rPr>
                <w:rFonts w:ascii="Arial" w:cs="Arial" w:eastAsia="Arial" w:hAnsi="Arial"/>
                <w:sz w:val="20"/>
                <w:szCs w:val="20"/>
                <w:color w:val="0000FF"/>
              </w:rPr>
              <w:t>December 31, 2020</w:t>
            </w:r>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19"/>
          </w:tcPr>
          <w:p>
            <w:pPr>
              <w:spacing w:after="0" w:line="203" w:lineRule="exact"/>
              <w:rPr>
                <w:rFonts w:ascii="Arial" w:cs="Arial" w:eastAsia="Arial" w:hAnsi="Arial"/>
                <w:sz w:val="20"/>
                <w:szCs w:val="20"/>
                <w:color w:val="0000FF"/>
                <w:w w:val="90"/>
              </w:rPr>
            </w:pPr>
            <w:hyperlink w:anchor="page3">
              <w:r>
                <w:rPr>
                  <w:rFonts w:ascii="Arial" w:cs="Arial" w:eastAsia="Arial" w:hAnsi="Arial"/>
                  <w:sz w:val="20"/>
                  <w:szCs w:val="20"/>
                  <w:color w:val="0000FF"/>
                  <w:w w:val="90"/>
                </w:rPr>
                <w:t xml:space="preserve">Unaudited Consolidated Statements of Operations and Comprehensive Income for the </w:t>
              </w:r>
            </w:hyperlink>
            <w:r>
              <w:rPr>
                <w:rFonts w:ascii="Arial" w:cs="Arial" w:eastAsia="Arial" w:hAnsi="Arial"/>
                <w:sz w:val="20"/>
                <w:szCs w:val="20"/>
                <w:color w:val="0000FF"/>
                <w:w w:val="90"/>
              </w:rPr>
              <w:t xml:space="preserve">Three </w:t>
            </w:r>
            <w:hyperlink w:anchor="page3">
              <w:r>
                <w:rPr>
                  <w:rFonts w:ascii="Arial" w:cs="Arial" w:eastAsia="Arial" w:hAnsi="Arial"/>
                  <w:sz w:val="20"/>
                  <w:szCs w:val="20"/>
                  <w:color w:val="0000FF"/>
                  <w:w w:val="90"/>
                </w:rPr>
                <w:t>Months Ended</w:t>
              </w:r>
            </w:hyperlink>
          </w:p>
        </w:tc>
        <w:tc>
          <w:tcPr>
            <w:tcW w:w="152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520" w:type="dxa"/>
            <w:vAlign w:val="bottom"/>
            <w:tcBorders>
              <w:top w:val="single" w:sz="8" w:color="0000FF"/>
            </w:tcBorders>
            <w:gridSpan w:val="18"/>
          </w:tcPr>
          <w:p>
            <w:pPr>
              <w:spacing w:after="0" w:line="169" w:lineRule="exact"/>
              <w:rPr>
                <w:rFonts w:ascii="Arial" w:cs="Arial" w:eastAsia="Arial" w:hAnsi="Arial"/>
                <w:sz w:val="19"/>
                <w:szCs w:val="19"/>
                <w:color w:val="0000FF"/>
              </w:rPr>
            </w:pPr>
            <w:r>
              <w:rPr>
                <w:rFonts w:ascii="Arial" w:cs="Arial" w:eastAsia="Arial" w:hAnsi="Arial"/>
                <w:sz w:val="19"/>
                <w:szCs w:val="19"/>
                <w:color w:val="0000FF"/>
              </w:rPr>
              <w:t xml:space="preserve">March 31, 2021 </w:t>
            </w:r>
            <w:hyperlink w:anchor="page3">
              <w:r>
                <w:rPr>
                  <w:rFonts w:ascii="Arial" w:cs="Arial" w:eastAsia="Arial" w:hAnsi="Arial"/>
                  <w:sz w:val="19"/>
                  <w:szCs w:val="19"/>
                  <w:color w:val="0000FF"/>
                </w:rPr>
                <w:t xml:space="preserve">and </w:t>
              </w:r>
            </w:hyperlink>
            <w:r>
              <w:rPr>
                <w:rFonts w:ascii="Arial" w:cs="Arial" w:eastAsia="Arial" w:hAnsi="Arial"/>
                <w:sz w:val="19"/>
                <w:szCs w:val="19"/>
                <w:color w:val="0000FF"/>
              </w:rPr>
              <w:t>2020</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19"/>
            <w:shd w:val="clear" w:color="auto" w:fill="CCEEFF"/>
          </w:tcPr>
          <w:p>
            <w:pPr>
              <w:spacing w:after="0" w:line="203" w:lineRule="exact"/>
              <w:rPr>
                <w:rFonts w:ascii="Arial" w:cs="Arial" w:eastAsia="Arial" w:hAnsi="Arial"/>
                <w:sz w:val="20"/>
                <w:szCs w:val="20"/>
                <w:color w:val="0000FF"/>
                <w:w w:val="93"/>
              </w:rPr>
            </w:pPr>
            <w:hyperlink w:anchor="page4">
              <w:r>
                <w:rPr>
                  <w:rFonts w:ascii="Arial" w:cs="Arial" w:eastAsia="Arial" w:hAnsi="Arial"/>
                  <w:sz w:val="20"/>
                  <w:szCs w:val="20"/>
                  <w:color w:val="0000FF"/>
                  <w:w w:val="93"/>
                </w:rPr>
                <w:t xml:space="preserve">Unaudited Consolidated Statements of Stockholders’ Equity for the </w:t>
              </w:r>
            </w:hyperlink>
            <w:r>
              <w:rPr>
                <w:rFonts w:ascii="Arial" w:cs="Arial" w:eastAsia="Arial" w:hAnsi="Arial"/>
                <w:sz w:val="20"/>
                <w:szCs w:val="20"/>
                <w:color w:val="0000FF"/>
                <w:w w:val="93"/>
              </w:rPr>
              <w:t xml:space="preserve">Three </w:t>
            </w:r>
            <w:hyperlink w:anchor="page4">
              <w:r>
                <w:rPr>
                  <w:rFonts w:ascii="Arial" w:cs="Arial" w:eastAsia="Arial" w:hAnsi="Arial"/>
                  <w:sz w:val="20"/>
                  <w:szCs w:val="20"/>
                  <w:color w:val="0000FF"/>
                  <w:w w:val="93"/>
                </w:rPr>
                <w:t xml:space="preserve">Months Ended </w:t>
              </w:r>
            </w:hyperlink>
            <w:r>
              <w:rPr>
                <w:rFonts w:ascii="Arial" w:cs="Arial" w:eastAsia="Arial" w:hAnsi="Arial"/>
                <w:sz w:val="20"/>
                <w:szCs w:val="20"/>
                <w:color w:val="0000FF"/>
                <w:w w:val="93"/>
              </w:rPr>
              <w:t>March 31, 2021</w:t>
            </w:r>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169"/>
        </w:trPr>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360" w:type="dxa"/>
            <w:vAlign w:val="bottom"/>
            <w:tcBorders>
              <w:top w:val="single" w:sz="8" w:color="0000FF"/>
            </w:tcBorders>
            <w:gridSpan w:val="16"/>
            <w:shd w:val="clear" w:color="auto" w:fill="CCEEFF"/>
          </w:tcPr>
          <w:p>
            <w:pPr>
              <w:spacing w:after="0" w:line="169" w:lineRule="exact"/>
              <w:rPr>
                <w:rFonts w:ascii="Arial" w:cs="Arial" w:eastAsia="Arial" w:hAnsi="Arial"/>
                <w:sz w:val="19"/>
                <w:szCs w:val="19"/>
                <w:color w:val="0000FF"/>
              </w:rPr>
            </w:pPr>
            <w:hyperlink w:anchor="page4">
              <w:r>
                <w:rPr>
                  <w:rFonts w:ascii="Arial" w:cs="Arial" w:eastAsia="Arial" w:hAnsi="Arial"/>
                  <w:sz w:val="19"/>
                  <w:szCs w:val="19"/>
                  <w:color w:val="0000FF"/>
                </w:rPr>
                <w:t xml:space="preserve">and </w:t>
              </w:r>
            </w:hyperlink>
            <w:r>
              <w:rPr>
                <w:rFonts w:ascii="Arial" w:cs="Arial" w:eastAsia="Arial" w:hAnsi="Arial"/>
                <w:sz w:val="19"/>
                <w:szCs w:val="19"/>
                <w:color w:val="0000FF"/>
              </w:rPr>
              <w:t>2020</w:t>
            </w: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gridSpan w:val="2"/>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19"/>
          </w:tcPr>
          <w:p>
            <w:pPr>
              <w:spacing w:after="0" w:line="203" w:lineRule="exact"/>
              <w:rPr>
                <w:rFonts w:ascii="Arial" w:cs="Arial" w:eastAsia="Arial" w:hAnsi="Arial"/>
                <w:sz w:val="20"/>
                <w:szCs w:val="20"/>
                <w:color w:val="0000FF"/>
                <w:w w:val="91"/>
              </w:rPr>
            </w:pPr>
            <w:hyperlink w:anchor="page5">
              <w:r>
                <w:rPr>
                  <w:rFonts w:ascii="Arial" w:cs="Arial" w:eastAsia="Arial" w:hAnsi="Arial"/>
                  <w:sz w:val="20"/>
                  <w:szCs w:val="20"/>
                  <w:color w:val="0000FF"/>
                  <w:w w:val="91"/>
                </w:rPr>
                <w:t xml:space="preserve">Unaudited Consolidated Statements of Cash Flows for the </w:t>
              </w:r>
            </w:hyperlink>
            <w:r>
              <w:rPr>
                <w:rFonts w:ascii="Arial" w:cs="Arial" w:eastAsia="Arial" w:hAnsi="Arial"/>
                <w:sz w:val="20"/>
                <w:szCs w:val="20"/>
                <w:color w:val="0000FF"/>
                <w:w w:val="91"/>
              </w:rPr>
              <w:t xml:space="preserve">Three Months Ended March 31, 2021 </w:t>
            </w:r>
            <w:hyperlink w:anchor="page5">
              <w:r>
                <w:rPr>
                  <w:rFonts w:ascii="Arial" w:cs="Arial" w:eastAsia="Arial" w:hAnsi="Arial"/>
                  <w:sz w:val="20"/>
                  <w:szCs w:val="20"/>
                  <w:color w:val="0000FF"/>
                  <w:w w:val="91"/>
                </w:rPr>
                <w:t xml:space="preserve">and </w:t>
              </w:r>
            </w:hyperlink>
            <w:r>
              <w:rPr>
                <w:rFonts w:ascii="Arial" w:cs="Arial" w:eastAsia="Arial" w:hAnsi="Arial"/>
                <w:sz w:val="20"/>
                <w:szCs w:val="20"/>
                <w:color w:val="0000FF"/>
                <w:w w:val="91"/>
              </w:rPr>
              <w:t>2020</w:t>
            </w:r>
          </w:p>
        </w:tc>
        <w:tc>
          <w:tcPr>
            <w:tcW w:w="1520" w:type="dxa"/>
            <w:vAlign w:val="bottom"/>
          </w:tcPr>
          <w:p>
            <w:pPr>
              <w:jc w:val="right"/>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6">
              <w:r>
                <w:rPr>
                  <w:rFonts w:ascii="Arial" w:cs="Arial" w:eastAsia="Arial" w:hAnsi="Arial"/>
                  <w:sz w:val="20"/>
                  <w:szCs w:val="20"/>
                  <w:color w:val="0000FF"/>
                </w:rPr>
                <w:t>Notes to Unaudited Consolidated Financial Statements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060" w:type="dxa"/>
            <w:vAlign w:val="bottom"/>
            <w:gridSpan w:val="6"/>
          </w:tcPr>
          <w:p>
            <w:pPr>
              <w:ind w:left="60"/>
              <w:spacing w:after="0" w:line="203" w:lineRule="exact"/>
              <w:rPr>
                <w:rFonts w:ascii="Arial" w:cs="Arial" w:eastAsia="Arial" w:hAnsi="Arial"/>
                <w:sz w:val="20"/>
                <w:szCs w:val="20"/>
                <w:color w:val="0000FF"/>
              </w:rPr>
            </w:pPr>
            <w:hyperlink w:anchor="page21">
              <w:r>
                <w:rPr>
                  <w:rFonts w:ascii="Arial" w:cs="Arial" w:eastAsia="Arial" w:hAnsi="Arial"/>
                  <w:sz w:val="20"/>
                  <w:szCs w:val="20"/>
                  <w:color w:val="0000FF"/>
                </w:rPr>
                <w:t>Item 2.</w:t>
              </w:r>
            </w:hyperlink>
          </w:p>
        </w:tc>
        <w:tc>
          <w:tcPr>
            <w:tcW w:w="8660" w:type="dxa"/>
            <w:vAlign w:val="bottom"/>
            <w:gridSpan w:val="19"/>
          </w:tcPr>
          <w:p>
            <w:pPr>
              <w:spacing w:after="0" w:line="203" w:lineRule="exact"/>
              <w:rPr>
                <w:rFonts w:ascii="Arial" w:cs="Arial" w:eastAsia="Arial" w:hAnsi="Arial"/>
                <w:sz w:val="20"/>
                <w:szCs w:val="20"/>
                <w:color w:val="0000FF"/>
              </w:rPr>
            </w:pPr>
            <w:hyperlink w:anchor="page21">
              <w:r>
                <w:rPr>
                  <w:rFonts w:ascii="Arial" w:cs="Arial" w:eastAsia="Arial" w:hAnsi="Arial"/>
                  <w:sz w:val="20"/>
                  <w:szCs w:val="20"/>
                  <w:color w:val="0000FF"/>
                </w:rPr>
                <w:t>Management’s Discussion and Analysis of Financial Condition and Results of Operations</w:t>
              </w:r>
            </w:hyperlink>
          </w:p>
        </w:tc>
        <w:tc>
          <w:tcPr>
            <w:tcW w:w="1520" w:type="dxa"/>
            <w:vAlign w:val="bottom"/>
          </w:tcPr>
          <w:p>
            <w:pPr>
              <w:jc w:val="right"/>
              <w:spacing w:after="0" w:line="202" w:lineRule="exact"/>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rFonts w:ascii="Arial" w:cs="Arial" w:eastAsia="Arial" w:hAnsi="Arial"/>
                <w:sz w:val="20"/>
                <w:szCs w:val="20"/>
                <w:color w:val="0000FF"/>
              </w:rPr>
            </w:pPr>
            <w:hyperlink w:anchor="page32">
              <w:r>
                <w:rPr>
                  <w:rFonts w:ascii="Arial" w:cs="Arial" w:eastAsia="Arial" w:hAnsi="Arial"/>
                  <w:sz w:val="20"/>
                  <w:szCs w:val="20"/>
                  <w:color w:val="0000FF"/>
                </w:rPr>
                <w:t>Item 3.</w:t>
              </w:r>
            </w:hyperlink>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2">
              <w:r>
                <w:rPr>
                  <w:rFonts w:ascii="Arial" w:cs="Arial" w:eastAsia="Arial" w:hAnsi="Arial"/>
                  <w:sz w:val="20"/>
                  <w:szCs w:val="20"/>
                  <w:color w:val="0000FF"/>
                </w:rPr>
                <w:t>Quantitative and Qualitative Disclosures About Market Risk</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rFonts w:ascii="Arial" w:cs="Arial" w:eastAsia="Arial" w:hAnsi="Arial"/>
                <w:sz w:val="20"/>
                <w:szCs w:val="20"/>
                <w:color w:val="0000FF"/>
              </w:rPr>
            </w:pPr>
            <w:hyperlink w:anchor="page32">
              <w:r>
                <w:rPr>
                  <w:rFonts w:ascii="Arial" w:cs="Arial" w:eastAsia="Arial" w:hAnsi="Arial"/>
                  <w:sz w:val="20"/>
                  <w:szCs w:val="20"/>
                  <w:color w:val="0000FF"/>
                </w:rPr>
                <w:t>Item 4.</w:t>
              </w:r>
            </w:hyperlink>
          </w:p>
        </w:tc>
        <w:tc>
          <w:tcPr>
            <w:tcW w:w="8660" w:type="dxa"/>
            <w:vAlign w:val="bottom"/>
            <w:gridSpan w:val="19"/>
          </w:tcPr>
          <w:p>
            <w:pPr>
              <w:spacing w:after="0" w:line="203" w:lineRule="exact"/>
              <w:rPr>
                <w:rFonts w:ascii="Arial" w:cs="Arial" w:eastAsia="Arial" w:hAnsi="Arial"/>
                <w:sz w:val="20"/>
                <w:szCs w:val="20"/>
                <w:color w:val="0000FF"/>
              </w:rPr>
            </w:pPr>
            <w:hyperlink w:anchor="page32">
              <w:r>
                <w:rPr>
                  <w:rFonts w:ascii="Arial" w:cs="Arial" w:eastAsia="Arial" w:hAnsi="Arial"/>
                  <w:sz w:val="20"/>
                  <w:szCs w:val="20"/>
                  <w:color w:val="0000FF"/>
                </w:rPr>
                <w:t>Controls and Procedures</w:t>
              </w:r>
            </w:hyperlink>
          </w:p>
        </w:tc>
        <w:tc>
          <w:tcPr>
            <w:tcW w:w="1520" w:type="dxa"/>
            <w:vAlign w:val="bottom"/>
          </w:tcPr>
          <w:p>
            <w:pPr>
              <w:jc w:val="right"/>
              <w:spacing w:after="0" w:line="202" w:lineRule="exact"/>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20" w:type="dxa"/>
            <w:vAlign w:val="bottom"/>
            <w:gridSpan w:val="10"/>
            <w:shd w:val="clear" w:color="auto" w:fill="CCEEFF"/>
          </w:tcPr>
          <w:p>
            <w:pPr>
              <w:jc w:val="center"/>
              <w:ind w:right="3160"/>
              <w:spacing w:after="0" w:line="203" w:lineRule="exact"/>
              <w:rPr>
                <w:rFonts w:ascii="Arial" w:cs="Arial" w:eastAsia="Arial" w:hAnsi="Arial"/>
                <w:sz w:val="20"/>
                <w:szCs w:val="20"/>
                <w:b w:val="1"/>
                <w:bCs w:val="1"/>
                <w:color w:val="0000FF"/>
                <w:w w:val="96"/>
              </w:rPr>
            </w:pPr>
            <w:hyperlink w:anchor="page33">
              <w:r>
                <w:rPr>
                  <w:rFonts w:ascii="Arial" w:cs="Arial" w:eastAsia="Arial" w:hAnsi="Arial"/>
                  <w:sz w:val="20"/>
                  <w:szCs w:val="20"/>
                  <w:b w:val="1"/>
                  <w:bCs w:val="1"/>
                  <w:color w:val="0000FF"/>
                  <w:w w:val="96"/>
                </w:rPr>
                <w:t>Part II—Other Information</w:t>
              </w:r>
            </w:hyperlink>
          </w:p>
        </w:tc>
        <w:tc>
          <w:tcPr>
            <w:tcW w:w="1520" w:type="dxa"/>
            <w:vAlign w:val="bottom"/>
            <w:shd w:val="clear" w:color="auto" w:fill="CCEEFF"/>
          </w:tcPr>
          <w:p>
            <w:pPr>
              <w:spacing w:after="0"/>
              <w:rPr>
                <w:sz w:val="19"/>
                <w:szCs w:val="19"/>
                <w:color w:val="auto"/>
              </w:rPr>
            </w:pPr>
          </w:p>
        </w:tc>
      </w:tr>
      <w:tr>
        <w:trPr>
          <w:trHeight w:val="202"/>
        </w:trPr>
        <w:tc>
          <w:tcPr>
            <w:tcW w:w="1060" w:type="dxa"/>
            <w:vAlign w:val="bottom"/>
            <w:tcBorders>
              <w:top w:val="single" w:sz="8" w:color="CCEEFF"/>
            </w:tcBorders>
            <w:gridSpan w:val="6"/>
          </w:tcPr>
          <w:p>
            <w:pPr>
              <w:ind w:left="60"/>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1.</w:t>
              </w:r>
            </w:hyperlink>
          </w:p>
        </w:tc>
        <w:tc>
          <w:tcPr>
            <w:tcW w:w="3140" w:type="dxa"/>
            <w:vAlign w:val="bottom"/>
            <w:tcBorders>
              <w:top w:val="single" w:sz="8" w:color="CCEEFF"/>
            </w:tcBorders>
            <w:gridSpan w:val="9"/>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Legal Proceedings</w:t>
              </w:r>
            </w:hyperlink>
          </w:p>
        </w:tc>
        <w:tc>
          <w:tcPr>
            <w:tcW w:w="2360" w:type="dxa"/>
            <w:vAlign w:val="bottom"/>
            <w:tcBorders>
              <w:top w:val="single" w:sz="8" w:color="0000FF"/>
            </w:tcBorders>
            <w:gridSpan w:val="3"/>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2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1A.</w:t>
              </w:r>
            </w:hyperlink>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Risk Factors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2.</w:t>
              </w:r>
            </w:hyperlink>
          </w:p>
        </w:tc>
        <w:tc>
          <w:tcPr>
            <w:tcW w:w="300" w:type="dxa"/>
            <w:vAlign w:val="bottom"/>
          </w:tcPr>
          <w:p>
            <w:pPr>
              <w:spacing w:after="0"/>
              <w:rPr>
                <w:sz w:val="17"/>
                <w:szCs w:val="17"/>
                <w:color w:val="auto"/>
              </w:rPr>
            </w:pPr>
          </w:p>
        </w:tc>
        <w:tc>
          <w:tcPr>
            <w:tcW w:w="8660" w:type="dxa"/>
            <w:vAlign w:val="bottom"/>
            <w:gridSpan w:val="19"/>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Unregistered Sales of Equity Securities and Use of Proceeds</w:t>
              </w:r>
            </w:hyperlink>
          </w:p>
        </w:tc>
        <w:tc>
          <w:tcPr>
            <w:tcW w:w="1520" w:type="dxa"/>
            <w:vAlign w:val="bottom"/>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1060" w:type="dxa"/>
            <w:vAlign w:val="bottom"/>
            <w:gridSpan w:val="6"/>
            <w:shd w:val="clear" w:color="auto" w:fill="CCEEFF"/>
          </w:tcPr>
          <w:p>
            <w:pPr>
              <w:ind w:left="60"/>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Item 6.</w:t>
              </w:r>
            </w:hyperlink>
          </w:p>
        </w:tc>
        <w:tc>
          <w:tcPr>
            <w:tcW w:w="8660" w:type="dxa"/>
            <w:vAlign w:val="bottom"/>
            <w:gridSpan w:val="19"/>
            <w:shd w:val="clear" w:color="auto" w:fill="CCEEFF"/>
          </w:tcPr>
          <w:p>
            <w:pPr>
              <w:spacing w:after="0" w:line="203" w:lineRule="exact"/>
              <w:rPr>
                <w:rFonts w:ascii="Arial" w:cs="Arial" w:eastAsia="Arial" w:hAnsi="Arial"/>
                <w:sz w:val="20"/>
                <w:szCs w:val="20"/>
                <w:color w:val="0000FF"/>
              </w:rPr>
            </w:pPr>
            <w:hyperlink w:anchor="page34">
              <w:r>
                <w:rPr>
                  <w:rFonts w:ascii="Arial" w:cs="Arial" w:eastAsia="Arial" w:hAnsi="Arial"/>
                  <w:sz w:val="20"/>
                  <w:szCs w:val="20"/>
                  <w:color w:val="0000FF"/>
                </w:rPr>
                <w:t>Exhibits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73,069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Accounts receivable, net of allowances of $1,665 and $1,696,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373,524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385,938</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assets, net of allowances of $350 and $359,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192,883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185,803</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11,859</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Refundable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w:t>
            </w:r>
          </w:p>
        </w:tc>
      </w:tr>
      <w:tr>
        <w:trPr>
          <w:trHeight w:val="191"/>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28,882</w:t>
            </w:r>
          </w:p>
        </w:tc>
      </w:tr>
      <w:tr>
        <w:trPr>
          <w:trHeight w:val="26"/>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665,366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636,684</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 of accumulated depreciation of $302,134 and $294,366,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181,096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185,114</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21,724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22,291</w:t>
            </w: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66,067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66,065</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 of $15,045 and $14,467,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50,793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51,365</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27,043</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in joint ventures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4,257</w:t>
            </w:r>
          </w:p>
        </w:tc>
      </w:tr>
      <w:tr>
        <w:trPr>
          <w:trHeight w:val="26"/>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1,019,246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6"/>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operating lease obligations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6,612</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finance lease obligations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192,241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162,580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140,314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158,396</w:t>
            </w:r>
          </w:p>
        </w:tc>
      </w:tr>
      <w:tr>
        <w:trPr>
          <w:trHeight w:val="191"/>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accrued self-insurance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24,395</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86,718</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447,824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443,400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18,339</w:t>
            </w: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25,039</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self-insurance</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45,095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45,428</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Operating lease obligations, net of current maturities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15,730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18,631</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570,782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566,567</w:t>
            </w:r>
          </w:p>
        </w:tc>
      </w:tr>
      <w:tr>
        <w:trPr>
          <w:trHeight w:val="25"/>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8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5"/>
              </w:rPr>
              <w:t>Preferred stock—$0.01 par value per share; 4,000,000 authorized shares; none issued and outstanding at March 31, 2021 and December 31,</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8"/>
        </w:trPr>
        <w:tc>
          <w:tcPr>
            <w:tcW w:w="8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520" w:type="dxa"/>
            <w:vAlign w:val="bottom"/>
            <w:gridSpan w:val="2"/>
          </w:tcPr>
          <w:p>
            <w:pPr>
              <w:ind w:left="140"/>
              <w:spacing w:after="0"/>
              <w:rPr>
                <w:sz w:val="20"/>
                <w:szCs w:val="20"/>
                <w:color w:val="auto"/>
              </w:rPr>
            </w:pPr>
            <w:r>
              <w:rPr>
                <w:rFonts w:ascii="Arial" w:cs="Arial" w:eastAsia="Arial" w:hAnsi="Arial"/>
                <w:sz w:val="14"/>
                <w:szCs w:val="14"/>
                <w:color w:val="auto"/>
                <w:w w:val="97"/>
              </w:rPr>
              <w:t>Common stock—$0.01 par value per share; 100,000,000 authorized shares; 16,817,256 and 16,734,239 shares issued and outstanding at</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8520" w:type="dxa"/>
            <w:vAlign w:val="bottom"/>
            <w:gridSpan w:val="2"/>
          </w:tcPr>
          <w:p>
            <w:pPr>
              <w:ind w:left="300"/>
              <w:spacing w:after="0"/>
              <w:rPr>
                <w:sz w:val="20"/>
                <w:szCs w:val="20"/>
                <w:color w:val="auto"/>
              </w:rPr>
            </w:pPr>
            <w:r>
              <w:rPr>
                <w:rFonts w:ascii="Arial" w:cs="Arial" w:eastAsia="Arial" w:hAnsi="Arial"/>
                <w:sz w:val="14"/>
                <w:szCs w:val="14"/>
                <w:color w:val="auto"/>
              </w:rPr>
              <w:t>March 31, 2021 and December 31, 2020,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157,995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158,618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270,480</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 attributable to MYR Group Inc.</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448,460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429,288</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448,464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429,292</w:t>
            </w:r>
          </w:p>
        </w:tc>
      </w:tr>
      <w:tr>
        <w:trPr>
          <w:trHeight w:val="25"/>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1,019,246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7"/>
        </w:trPr>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592,486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518,470</w:t>
            </w:r>
          </w:p>
        </w:tc>
      </w:tr>
      <w:tr>
        <w:trPr>
          <w:trHeight w:val="270"/>
        </w:trPr>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515,533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456,838</w:t>
            </w:r>
          </w:p>
        </w:tc>
      </w:tr>
      <w:tr>
        <w:trPr>
          <w:trHeight w:val="244"/>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61,632</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45,046</w:t>
            </w: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7"/>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16,408</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7"/>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14,002</w:t>
            </w: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37"/>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9,932</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r>
      <w:tr>
        <w:trPr>
          <w:trHeight w:val="270"/>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16,742</w:t>
            </w:r>
          </w:p>
        </w:tc>
      </w:tr>
      <w:tr>
        <w:trPr>
          <w:trHeight w:val="256"/>
        </w:trPr>
        <w:tc>
          <w:tcPr>
            <w:tcW w:w="8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19,928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9,932</w:t>
            </w: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w:t>
            </w:r>
          </w:p>
        </w:tc>
      </w:tr>
      <w:tr>
        <w:trPr>
          <w:trHeight w:val="20"/>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MYR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4"/>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Preferred</w:t>
            </w:r>
          </w:p>
        </w:tc>
        <w:tc>
          <w:tcPr>
            <w:tcW w:w="150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9"/>
        </w:trPr>
        <w:tc>
          <w:tcPr>
            <w:tcW w:w="2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67"/>
        </w:trPr>
        <w:tc>
          <w:tcPr>
            <w:tcW w:w="2680" w:type="dxa"/>
            <w:vAlign w:val="bottom"/>
            <w:gridSpan w:val="2"/>
          </w:tcPr>
          <w:p>
            <w:pPr>
              <w:ind w:left="90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9"/>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16,649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152,532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364,471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364,475</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9,932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Adjustment to adopt ASC 326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9"/>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374,982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374,986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16,734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270,480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429,288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429,292</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19,928</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1,487</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95"/>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16,817</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157,995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290,021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448,460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448,464</w:t>
            </w: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19,928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38,089</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Contract assets,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Receivable for insurance claims in excess of deductibles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Accrued self insurance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35,243</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repayments under revolving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Payment of principal obligations under equipment notes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Payment of principal obligations under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Repurchase of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37"/>
        </w:trPr>
        <w:tc>
          <w:tcPr>
            <w:tcW w:w="8520" w:type="dxa"/>
            <w:vAlign w:val="bottom"/>
            <w:gridSpan w:val="2"/>
          </w:tcPr>
          <w:p>
            <w:pPr>
              <w:ind w:left="48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64"/>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right="730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right="20" w:firstLine="648"/>
        <w:spacing w:after="0" w:line="291" w:lineRule="auto"/>
        <w:rPr>
          <w:sz w:val="20"/>
          <w:szCs w:val="20"/>
          <w:color w:val="auto"/>
        </w:rPr>
      </w:pPr>
      <w:r>
        <w:rPr>
          <w:rFonts w:ascii="Arial" w:cs="Arial" w:eastAsia="Arial" w:hAnsi="Arial"/>
          <w:sz w:val="16"/>
          <w:szCs w:val="16"/>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6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9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COVID-19 pandemic caused a slowdown of certain projects due to specific state, local, municipal and customer mandated stay-at-home orders and new project requirements that were established to protect construction workers and the general public, most of which have impacted our C&amp;I segment. Although the majority of stay-at-home orders have been phased out, we are still experiencing impacts associated with the COVID-19 project-specific protocols. We expect the project-specific requirements to remain in place which will continue to impact project schedules and workflow going forward. Key estimates that could potentially be impacted include estimates of costs to complete contracts, the recoverability of goodwill and intangibles and allowance for doubtful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The consolidated balance sheet as of December 31, 2020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2020, included in the Company’s Annual Report on Form 10-K, which was filed with the SEC on March 3, 2021 (the "2020 Annual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and Noncontrolling Interests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is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 The majority controlled joint venture made no distributions to its partners, and the Company made no capital contributions to the joint venture, during the three months ended March 31, 2021. Additionally, there have been no changes in ownership during the three months ended March 31, 2021. The project associated with this joint venture was substantially completed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Company’s consolidated statements of operations. Foreign currency losses and gains, recorded in other income, net, for the three months ended March 31, 2021 and 2020 were not significant. Effective foreign currency transaction gains and losses, arising primarily from long-term monetary assets and liabilities, are recorded in the foreign currency translation adjustment line on the Company’s consolidated statements of comprehensive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March 31, 2021 and 2020, the Company had recognized revenues of $14.0 million and $36.4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cost-to-cost method of accounting requires the Company to make estimates about the expected revenue and gross profit on each of its contracts in process. During the three months ended March 31, 2021, changes in estimates pertaining to certain projects increased consolidated gross margin by 0.1%, which resulted in increases in operating income of $0.6 million, net income of $0.4 million and diluted earnings per common share of $0.02.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2020, changes in estimates pertaining to certain projects increased consolidated gross margin by 0.1%.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changes in estimates did not have a significant impact to consolidated operating income, net income or diluted earnings per common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simplifies the accounting for income taxes, eliminates certain exceptions within ASC 740, Income Taxes, and clarifies certain aspects of the current guidance to promote consistent application among reporting entities. The Company adopted this ASU in January 2021 and there was no effect on the consolidated financial statements or disclosures.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Contract Assets and Liabilities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8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March 31, 2021 and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Unbilled revenue,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retainages,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loss provision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gridSpan w:val="8"/>
          </w:tcPr>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2"/>
                <w:szCs w:val="22"/>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contract assets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$41.4 million for the three months ended March 31, 2021 and $25.7 million for the three months ended March 31, 2020. This revenue consists primarily of work performed on previous billings to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1"/>
        </w:trPr>
        <w:tc>
          <w:tcPr>
            <w:tcW w:w="8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3,705,959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3,921,376</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billings to date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4"/>
              </w:rPr>
              <w:t>3,735,871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7"/>
              </w:rPr>
              <w:t>3,979,403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2"/>
              </w:rPr>
              <w:t>(29,912)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2"/>
              </w:rPr>
              <w:t>(58,027)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2020</w:t>
            </w:r>
          </w:p>
        </w:tc>
      </w:tr>
      <w:tr>
        <w:trPr>
          <w:trHeight w:val="25"/>
        </w:trPr>
        <w:tc>
          <w:tcPr>
            <w:tcW w:w="8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97,543</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(155,570)</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 Obligations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March 31, 2021,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lease-related assets and liabilities recorded: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Arial" w:cs="Arial" w:eastAsia="Arial" w:hAnsi="Arial"/>
                <w:sz w:val="14"/>
                <w:szCs w:val="14"/>
                <w:b w:val="1"/>
                <w:bCs w:val="1"/>
                <w:color w:val="auto"/>
              </w:rPr>
              <w:t>Classification on the Consolidated Balance Sheet</w:t>
            </w:r>
          </w:p>
        </w:tc>
        <w:tc>
          <w:tcPr>
            <w:tcW w:w="12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Finance lease right-of-use assets</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right-of-use lease assets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21,864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Finance lease obligations</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Current portion of finance lease obligations</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obligations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Total non-current obligations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14,787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21,826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Arial" w:cs="Arial" w:eastAsia="Arial" w:hAnsi="Arial"/>
                <w:sz w:val="18"/>
                <w:szCs w:val="18"/>
                <w:color w:val="auto"/>
              </w:rPr>
              <w:t>The following is a summary of the lease terms and discount rates: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5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2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3.2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7"/>
        </w:trPr>
        <w:tc>
          <w:tcPr>
            <w:tcW w:w="828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information related to the lease costs for finance and 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r>
      <w:tr>
        <w:trPr>
          <w:trHeight w:val="206"/>
        </w:trPr>
        <w:tc>
          <w:tcPr>
            <w:tcW w:w="8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7"/>
                <w:szCs w:val="17"/>
                <w:color w:val="auto"/>
              </w:rPr>
            </w:pPr>
          </w:p>
        </w:tc>
        <w:tc>
          <w:tcPr>
            <w:tcW w:w="14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7"/>
                <w:szCs w:val="17"/>
                <w:color w:val="auto"/>
              </w:rPr>
            </w:pPr>
          </w:p>
        </w:tc>
      </w:tr>
      <w:tr>
        <w:trPr>
          <w:trHeight w:val="187"/>
        </w:trPr>
        <w:tc>
          <w:tcPr>
            <w:tcW w:w="84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r>
      <w:tr>
        <w:trPr>
          <w:trHeight w:val="211"/>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Finance lease cost:</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Interest on lease liabilities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2,231</w:t>
            </w:r>
          </w:p>
        </w:tc>
      </w:tr>
      <w:tr>
        <w:trPr>
          <w:trHeight w:val="229"/>
        </w:trPr>
        <w:tc>
          <w:tcPr>
            <w:tcW w:w="85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Variable lease costs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2,562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information and supplemental cash flow information related to finance and 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r>
      <w:tr>
        <w:trPr>
          <w:trHeight w:val="216"/>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6"/>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2,540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43"/>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Right-of-use asset obtained in exchange for new operating lease obligations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1,502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3,024</w:t>
            </w:r>
          </w:p>
        </w:tc>
      </w:tr>
    </w:tbl>
    <w:p>
      <w:pPr>
        <w:spacing w:after="0" w:line="32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future undiscounted minimum lease payments, as reconciled to the discounted minimum lease obligation indicated on the Company’s consolidated balance sheets, under financial leases, less interest, and under operating leases, less imputed interest, as of March 31, 2021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Operating Lease</w:t>
            </w:r>
          </w:p>
        </w:tc>
        <w:tc>
          <w:tcPr>
            <w:tcW w:w="200" w:type="dxa"/>
            <w:vAlign w:val="bottom"/>
          </w:tcPr>
          <w:p>
            <w:pPr>
              <w:spacing w:after="0"/>
              <w:rPr>
                <w:sz w:val="14"/>
                <w:szCs w:val="14"/>
                <w:color w:val="auto"/>
              </w:rPr>
            </w:pPr>
          </w:p>
        </w:tc>
        <w:tc>
          <w:tcPr>
            <w:tcW w:w="110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Lease</w:t>
            </w: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Lease Obligations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Obligations</w:t>
            </w:r>
          </w:p>
        </w:tc>
        <w:tc>
          <w:tcPr>
            <w:tcW w:w="200" w:type="dxa"/>
            <w:vAlign w:val="bottom"/>
          </w:tcPr>
          <w:p>
            <w:pPr>
              <w:spacing w:after="0"/>
              <w:rPr>
                <w:sz w:val="16"/>
                <w:szCs w:val="16"/>
                <w:color w:val="auto"/>
              </w:rPr>
            </w:pPr>
          </w:p>
        </w:tc>
        <w:tc>
          <w:tcPr>
            <w:tcW w:w="110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Obligations</w:t>
            </w:r>
          </w:p>
        </w:tc>
      </w:tr>
      <w:tr>
        <w:trPr>
          <w:trHeight w:val="25"/>
        </w:trPr>
        <w:tc>
          <w:tcPr>
            <w:tcW w:w="7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7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651"/>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ind w:left="651"/>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25,804</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r>
      <w:tr>
        <w:trPr>
          <w:trHeight w:val="237"/>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Net present value of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ind w:left="651"/>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finance and operating lease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611"/>
              <w:spacing w:after="0"/>
              <w:rPr>
                <w:sz w:val="20"/>
                <w:szCs w:val="20"/>
                <w:color w:val="auto"/>
              </w:rPr>
            </w:pPr>
            <w:r>
              <w:rPr>
                <w:rFonts w:ascii="Arial" w:cs="Arial" w:eastAsia="Arial" w:hAnsi="Arial"/>
                <w:sz w:val="18"/>
                <w:szCs w:val="18"/>
                <w:color w:val="auto"/>
                <w:w w:val="93"/>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Long-term finance and operating lease obligations</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center"/>
              <w:ind w:left="65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14,787</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March 31, 2021, the minimum lease payments required under these leases totaled $3.0 million, which are due over the next 3.3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7"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As of March 31, 2021 and December 31, 2020, the Company determined that the carrying value of cash and cash equivalents approximated fair value based on Level 1 inputs. As of March 31, 2021 and December 31, 2020, the fair values of the Company’s long-term debt and finance lease obligations were based on Level 2 inputs. The Company’s long-term debt was based on variable and fixed interest rates at March 31, 2021 and December 31, 2020,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Stated Interest</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Payment</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Inception Date</w:t>
            </w:r>
          </w:p>
        </w:tc>
        <w:tc>
          <w:tcPr>
            <w:tcW w:w="15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Balance as of</w:t>
            </w:r>
          </w:p>
        </w:tc>
        <w:tc>
          <w:tcPr>
            <w:tcW w:w="160" w:type="dxa"/>
            <w:vAlign w:val="bottom"/>
          </w:tcPr>
          <w:p>
            <w:pPr>
              <w:spacing w:after="0"/>
              <w:rPr>
                <w:sz w:val="11"/>
                <w:szCs w:val="11"/>
                <w:color w:val="auto"/>
              </w:rPr>
            </w:pPr>
          </w:p>
        </w:tc>
        <w:tc>
          <w:tcPr>
            <w:tcW w:w="112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8"/>
        </w:trPr>
        <w:tc>
          <w:tcPr>
            <w:tcW w:w="28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Rate (per annum)</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Frequency</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2021</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51"/>
        </w:trPr>
        <w:tc>
          <w:tcPr>
            <w:tcW w:w="2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Credit Agreement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140"/>
              <w:spacing w:after="0"/>
              <w:rPr>
                <w:sz w:val="20"/>
                <w:szCs w:val="20"/>
                <w:color w:val="auto"/>
              </w:rPr>
            </w:pPr>
            <w:r>
              <w:rPr>
                <w:rFonts w:ascii="Arial" w:cs="Arial" w:eastAsia="Arial" w:hAnsi="Arial"/>
                <w:sz w:val="18"/>
                <w:szCs w:val="18"/>
                <w:color w:val="auto"/>
              </w:rPr>
              <w:t>Revolving loans</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9/13/2019</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i w:val="1"/>
                <w:iCs w:val="1"/>
                <w:color w:val="auto"/>
              </w:rPr>
              <w:t>Equipment Notes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Note 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6/25/2019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Semi-annual</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9"/>
        </w:trPr>
        <w:tc>
          <w:tcPr>
            <w:tcW w:w="2820" w:type="dxa"/>
            <w:vAlign w:val="bottom"/>
            <w:gridSpan w:val="2"/>
          </w:tcPr>
          <w:p>
            <w:pPr>
              <w:ind w:left="140"/>
              <w:spacing w:after="0"/>
              <w:rPr>
                <w:sz w:val="20"/>
                <w:szCs w:val="20"/>
                <w:color w:val="auto"/>
              </w:rPr>
            </w:pPr>
            <w:r>
              <w:rPr>
                <w:rFonts w:ascii="Arial" w:cs="Arial" w:eastAsia="Arial" w:hAnsi="Arial"/>
                <w:sz w:val="18"/>
                <w:szCs w:val="18"/>
                <w:color w:val="auto"/>
              </w:rPr>
              <w:t>Equipment Note 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6/24/2019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3.09%</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Semi-annual</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Note 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Semi-annual</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Note 9</w:t>
            </w: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12/24/2019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Semi-annual</w:t>
            </w: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debt</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155"/>
        </w:trPr>
        <w:tc>
          <w:tcPr>
            <w:tcW w:w="28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Less: current portion of long-term</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w:t>
      </w:r>
    </w:p>
    <w:p>
      <w:pPr>
        <w:spacing w:after="0" w:line="19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March 31, 2021.</w:t>
      </w:r>
    </w:p>
    <w:p>
      <w:pPr>
        <w:spacing w:after="0" w:line="157" w:lineRule="exact"/>
        <w:rPr>
          <w:sz w:val="20"/>
          <w:szCs w:val="20"/>
          <w:color w:val="auto"/>
        </w:rPr>
      </w:pPr>
    </w:p>
    <w:p>
      <w:pPr>
        <w:ind w:right="980" w:firstLine="648"/>
        <w:spacing w:after="0" w:line="308" w:lineRule="auto"/>
        <w:rPr>
          <w:sz w:val="20"/>
          <w:szCs w:val="20"/>
          <w:color w:val="auto"/>
        </w:rPr>
      </w:pPr>
      <w:r>
        <w:rPr>
          <w:rFonts w:ascii="Arial" w:cs="Arial" w:eastAsia="Arial" w:hAnsi="Arial"/>
          <w:sz w:val="17"/>
          <w:szCs w:val="17"/>
          <w:color w:val="auto"/>
        </w:rPr>
        <w:t>As of March 31, 2021, the Company had no debt outstanding under the Facility and letters of credit outstanding under the Facility of approximately $12.3 million, all of which was related to the Company's payment obligation under its insurance programs.</w:t>
      </w:r>
    </w:p>
    <w:p>
      <w:pPr>
        <w:spacing w:after="0" w:line="146"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December 31, 2020, the Company had no debt outstanding under the Facility and letters of credit outstanding under the Facility of approximately $10.4 million, including $9.8 million related to the Company's payment obligation under its insurance programs and approximately $0.6 million related to contract performance obligations.</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had remaining deferred debt issuance costs totaling $1.1 million as of March 31, 2021, related to the line of credit. As permitted, debt issuance costs have been deferred and are presented as an asset within other assets, which is amortized as interest expense over the term of the line of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As of March 31, 2021, the Company had four Equipment Notes outstanding under the Master Loan Agreements that are collateralized by equipment and vehicles owned by the Company. The following table sets forth our remaining principal payments for the Company’s outstanding Equipment Notes as of March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Future</w:t>
            </w:r>
          </w:p>
        </w:tc>
      </w:t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Equipment Notes</w:t>
            </w:r>
          </w:p>
        </w:tc>
      </w:tr>
      <w:tr>
        <w:trPr>
          <w:trHeight w:val="186"/>
        </w:trPr>
        <w:tc>
          <w:tcPr>
            <w:tcW w:w="9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Principal Payments</w:t>
            </w:r>
          </w:p>
        </w:tc>
      </w:tr>
      <w:tr>
        <w:trPr>
          <w:trHeight w:val="26"/>
        </w:trPr>
        <w:tc>
          <w:tcPr>
            <w:tcW w:w="9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9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4,511</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7,102</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6,592</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Total future principal payments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29,420</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equipment notes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63"/>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Long-term principal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25,039</w:t>
            </w:r>
          </w:p>
        </w:tc>
      </w:tr>
      <w:tr>
        <w:trPr>
          <w:trHeight w:val="21"/>
        </w:trPr>
        <w:tc>
          <w:tcPr>
            <w:tcW w:w="9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7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contract type for the three months ended March 31, 2021 and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Three months ended March 31, 2021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227,709</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18,431</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17,056</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277,578</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592,486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Three months ended March 31, 2020</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218,539</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18,076</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6,783</w:t>
            </w:r>
          </w:p>
        </w:tc>
        <w:tc>
          <w:tcPr>
            <w:tcW w:w="1440" w:type="dxa"/>
            <w:vAlign w:val="bottom"/>
            <w:gridSpan w:val="3"/>
          </w:tcPr>
          <w:p>
            <w:pPr>
              <w:jc w:val="right"/>
              <w:ind w:right="14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518,470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March 31,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92"/>
              </w:rPr>
              <w:t>Three months ended March 31, 2021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93"/>
              </w:rPr>
              <w:t>Three months ended March 31, 2020</w:t>
            </w:r>
          </w:p>
        </w:tc>
        <w:tc>
          <w:tcPr>
            <w:tcW w:w="900" w:type="dxa"/>
            <w:vAlign w:val="bottom"/>
            <w:tcBorders>
              <w:bottom w:val="single" w:sz="8" w:color="auto"/>
            </w:tcBorders>
          </w:tcPr>
          <w:p>
            <w:pPr>
              <w:spacing w:after="0"/>
              <w:rPr>
                <w:sz w:val="16"/>
                <w:szCs w:val="16"/>
                <w:color w:val="auto"/>
              </w:rPr>
            </w:pPr>
          </w:p>
        </w:tc>
      </w:tr>
      <w:tr>
        <w:trPr>
          <w:trHeight w:val="188"/>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Percent</w:t>
            </w:r>
          </w:p>
        </w:tc>
        <w:tc>
          <w:tcPr>
            <w:tcW w:w="9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Percent</w:t>
            </w:r>
          </w:p>
        </w:tc>
        <w:tc>
          <w:tcPr>
            <w:tcW w:w="9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7"/>
              </w:rPr>
              <w:t>Segment</w:t>
            </w:r>
          </w:p>
        </w:tc>
      </w:tr>
      <w:tr>
        <w:trPr>
          <w:trHeight w:val="265"/>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211,227</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rPr>
              <w:t>T&amp;D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275"/>
              <w:spacing w:after="0"/>
              <w:rPr>
                <w:sz w:val="20"/>
                <w:szCs w:val="20"/>
                <w:color w:val="auto"/>
              </w:rPr>
            </w:pPr>
            <w:r>
              <w:rPr>
                <w:rFonts w:ascii="Arial" w:cs="Arial" w:eastAsia="Arial" w:hAnsi="Arial"/>
                <w:sz w:val="18"/>
                <w:szCs w:val="18"/>
                <w:color w:val="auto"/>
              </w:rPr>
              <w:t>T&amp;D</w:t>
            </w:r>
          </w:p>
        </w:tc>
      </w:tr>
      <w:tr>
        <w:trPr>
          <w:trHeight w:val="270"/>
        </w:trPr>
        <w:tc>
          <w:tcPr>
            <w:tcW w:w="290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103,681</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17.5</w:t>
            </w:r>
          </w:p>
        </w:tc>
        <w:tc>
          <w:tcPr>
            <w:tcW w:w="440" w:type="dxa"/>
            <w:vAlign w:val="bottom"/>
          </w:tcPr>
          <w:p>
            <w:pPr>
              <w:spacing w:after="0"/>
              <w:rPr>
                <w:sz w:val="23"/>
                <w:szCs w:val="23"/>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87,704</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16.9</w:t>
            </w:r>
          </w:p>
        </w:tc>
        <w:tc>
          <w:tcPr>
            <w:tcW w:w="460" w:type="dxa"/>
            <w:vAlign w:val="bottom"/>
          </w:tcPr>
          <w:p>
            <w:pPr>
              <w:spacing w:after="0"/>
              <w:rPr>
                <w:sz w:val="23"/>
                <w:szCs w:val="23"/>
                <w:color w:val="auto"/>
              </w:rPr>
            </w:pPr>
          </w:p>
        </w:tc>
        <w:tc>
          <w:tcPr>
            <w:tcW w:w="900" w:type="dxa"/>
            <w:vAlign w:val="bottom"/>
          </w:tcPr>
          <w:p>
            <w:pPr>
              <w:jc w:val="center"/>
              <w:ind w:right="275"/>
              <w:spacing w:after="0"/>
              <w:rPr>
                <w:sz w:val="20"/>
                <w:szCs w:val="20"/>
                <w:color w:val="auto"/>
              </w:rPr>
            </w:pPr>
            <w:r>
              <w:rPr>
                <w:rFonts w:ascii="Arial" w:cs="Arial" w:eastAsia="Arial" w:hAnsi="Arial"/>
                <w:sz w:val="18"/>
                <w:szCs w:val="18"/>
                <w:color w:val="auto"/>
              </w:rPr>
              <w:t>T&amp;D</w:t>
            </w:r>
          </w:p>
        </w:tc>
      </w:tr>
      <w:tr>
        <w:trPr>
          <w:trHeight w:val="270"/>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277,578</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46.8</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255"/>
              <w:spacing w:after="0"/>
              <w:rPr>
                <w:sz w:val="20"/>
                <w:szCs w:val="20"/>
                <w:color w:val="auto"/>
              </w:rPr>
            </w:pPr>
            <w:r>
              <w:rPr>
                <w:rFonts w:ascii="Arial" w:cs="Arial" w:eastAsia="Arial" w:hAnsi="Arial"/>
                <w:sz w:val="18"/>
                <w:szCs w:val="18"/>
                <w:color w:val="auto"/>
              </w:rPr>
              <w:t>C&amp;I</w:t>
            </w: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592,486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518,470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As of March 31, 2021, the Company had $1.53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8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following table summarizes the amount of remaining performance obligations as of March 31, 2021 that the Company expects to be realized and the amount of the remaining performance obligations that the Company reasonably estimates will not be recognized within the next twelve months.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60" w:type="dxa"/>
            <w:vAlign w:val="bottom"/>
            <w:gridSpan w:val="5"/>
          </w:tcPr>
          <w:p>
            <w:pPr>
              <w:ind w:left="160"/>
              <w:spacing w:after="0"/>
              <w:rPr>
                <w:sz w:val="20"/>
                <w:szCs w:val="20"/>
                <w:color w:val="auto"/>
              </w:rPr>
            </w:pPr>
            <w:r>
              <w:rPr>
                <w:rFonts w:ascii="Arial" w:cs="Arial" w:eastAsia="Arial" w:hAnsi="Arial"/>
                <w:sz w:val="14"/>
                <w:szCs w:val="14"/>
                <w:b w:val="1"/>
                <w:bCs w:val="1"/>
                <w:color w:val="auto"/>
              </w:rPr>
              <w:t>Remaining Performance Obligations at March 31, 2021</w:t>
            </w: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160"/>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1"/>
              </w:rPr>
              <w:t>Amount estimated to not be</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86"/>
        </w:trPr>
        <w:tc>
          <w:tcPr>
            <w:tcW w:w="4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6"/>
                <w:szCs w:val="16"/>
                <w:color w:val="auto"/>
              </w:rPr>
            </w:pPr>
          </w:p>
        </w:tc>
        <w:tc>
          <w:tcPr>
            <w:tcW w:w="17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recognized within 12 months</w:t>
            </w:r>
          </w:p>
        </w:tc>
        <w:tc>
          <w:tcPr>
            <w:tcW w:w="180" w:type="dxa"/>
            <w:vAlign w:val="bottom"/>
          </w:tcPr>
          <w:p>
            <w:pPr>
              <w:spacing w:after="0"/>
              <w:rPr>
                <w:sz w:val="16"/>
                <w:szCs w:val="16"/>
                <w:color w:val="auto"/>
              </w:rPr>
            </w:pPr>
          </w:p>
        </w:tc>
        <w:tc>
          <w:tcPr>
            <w:tcW w:w="20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Total at December 31, 2020</w:t>
            </w:r>
          </w:p>
        </w:tc>
      </w:tr>
      <w:tr>
        <w:trPr>
          <w:trHeight w:val="25"/>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4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4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645,422</w:t>
            </w:r>
          </w:p>
        </w:tc>
      </w:tr>
      <w:tr>
        <w:trPr>
          <w:trHeight w:val="243"/>
        </w:trPr>
        <w:tc>
          <w:tcPr>
            <w:tcW w:w="4740" w:type="dxa"/>
            <w:vAlign w:val="bottom"/>
            <w:gridSpan w:val="2"/>
          </w:tcPr>
          <w:p>
            <w:pPr>
              <w:jc w:val="center"/>
              <w:ind w:right="60"/>
              <w:spacing w:after="0"/>
              <w:rPr>
                <w:sz w:val="20"/>
                <w:szCs w:val="20"/>
                <w:color w:val="auto"/>
              </w:rPr>
            </w:pPr>
            <w:r>
              <w:rPr>
                <w:rFonts w:ascii="Arial" w:cs="Arial" w:eastAsia="Arial" w:hAnsi="Arial"/>
                <w:sz w:val="18"/>
                <w:szCs w:val="18"/>
                <w:color w:val="auto"/>
              </w:rPr>
              <w:t>C&amp;I</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940,758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889,596</w:t>
            </w:r>
          </w:p>
        </w:tc>
      </w:tr>
      <w:tr>
        <w:trPr>
          <w:trHeight w:val="27"/>
        </w:trPr>
        <w:tc>
          <w:tcPr>
            <w:tcW w:w="4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1,525,179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1,535,018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U.S. federal statutory tax rate was 21% for each of the three months ended March 31, 2021 and 2020. The Company’s effective tax rate for the three months ended March 31, 2021 was 26.2% of pretax income compared to the effective tax rate for the three months ended March 31, 2020 of 29.1%.</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March 31, 2021 was primarily due to state income taxes and foreign earnings and the associated impact of the global intangible low tax income (“GILTI”) and other permanent difference items, partially offset by a favorable impact from stock compensation excess tax benefits.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March 31, 2020, was primarily due to state income taxes and excess tax expense pertaining to the vesting of stock awards related to the Company’s stock compensation program along with foreign earnings and the associated impact of GILTI.</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$0.4 million as of March 31, 2021 and December 31, 2020, respectively, which were included in other liabilities in the accompanying consolidated balance sheets.</w:t>
      </w:r>
    </w:p>
    <w:p>
      <w:pPr>
        <w:spacing w:after="0" w:line="17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2021 and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subject to taxation in various jurisdictions. The Company’s 2017 through 2019 tax returns are subject to examination by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authorities. The Company’s tax returns are subject to examination by various state authorities for the years 2016 through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March 31, 2021, the Company had approximately $18.0 million in outstanding purchase orders for certain construction equipment, with cash payments scheduled to occur over the next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2021, an aggregate of approximately $1.20 billion in original face amount of bonds issued by the Company’s sureties were outstanding. The Company estimated the remaining cost to complete these bonded projects was approximately $632.8 million as of March 31, 2021.</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(which was amended and restated as of April 23, 2020) (the “LTIP”) and the 2007 Long-Term Incentive Plan (as amended)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w:t>
      </w:r>
    </w:p>
    <w:p>
      <w:pPr>
        <w:spacing w:after="0" w:line="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restricted stock awards, (e) restricted stock units, (f) performance share awards, (g) phantom stock units, (h) stock bonuses, (i) dividend equivalents, and</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combination of such grants.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outstanding grants of time-vested stock awards in the form of restricted stock units. During the three months ended March 31, 2021, the Company granted time-vested stock awards covering 47,956 shares of common stock under the LTIP, which vest ratably over three years, at a weighted average grant date fair value of $66.38. During the three months ended March 31, 2021, time-vested stock awards covering 40,662 shares of common stock vested at a weighted average grant date fair value of $32.02.</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the three months ended March 31, 2021, the Company granted 42,091 performance share awards under the LTIP at target, which will cliff vest, if earned, on December 31, 2023, at a weighted average grant date fair value of $80.11.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7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three months ended March 31, 2021, plan participants exercised options to purchase 5,102 shares of the Company’s common stock with a weighted average exercise price of $21.71.</w:t>
      </w:r>
    </w:p>
    <w:p>
      <w:pPr>
        <w:spacing w:after="0" w:line="17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 Organization, Business and Significant Accounting Policies to the 2020 Annual Report.</w:t>
      </w:r>
    </w:p>
    <w:p>
      <w:pPr>
        <w:spacing w:after="0" w:line="16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6"/>
                <w:szCs w:val="16"/>
                <w:color w:val="auto"/>
              </w:rPr>
            </w:pPr>
          </w:p>
        </w:tc>
      </w:tr>
      <w:tr>
        <w:trPr>
          <w:trHeight w:val="270"/>
        </w:trPr>
        <w:tc>
          <w:tcPr>
            <w:tcW w:w="8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3"/>
                <w:szCs w:val="23"/>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6"/>
        </w:trPr>
        <w:tc>
          <w:tcPr>
            <w:tcW w:w="8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T&amp;D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314,908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259,270</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r>
      <w:tr>
        <w:trPr>
          <w:trHeight w:val="237"/>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592,486</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518,470</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T&amp;D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28,673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17,964</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General Corporate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(10,868)</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three months ended March 31, 2021 and 2020, contract revenues attributable to the Company’s Canadian operations were $17.7 million and $18.1 million, respectively, predominantly in the C&amp;I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income and the weighted average number of common shares used to compute basic and diluted earnings per share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19,928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8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months ended March 31, 2021 and 2020,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1100"/>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0" w:type="dxa"/>
            <w:vAlign w:val="bottom"/>
            <w:gridSpan w:val="2"/>
            <w:vMerge w:val="continue"/>
          </w:tcPr>
          <w:p>
            <w:pPr>
              <w:spacing w:after="0"/>
              <w:rPr>
                <w:sz w:val="16"/>
                <w:szCs w:val="16"/>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Time-vested stock awards</w:t>
            </w: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Performance awards</w:t>
            </w:r>
          </w:p>
        </w:tc>
        <w:tc>
          <w:tcPr>
            <w:tcW w:w="1360" w:type="dxa"/>
            <w:vAlign w:val="bottom"/>
          </w:tcPr>
          <w:p>
            <w:pPr>
              <w:ind w:left="1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April 13, 2021, the Company prepaid its $7.0 million Equipment Note 7 using cash on hand. This prepayment included an insignificant amount of accrued interest and there was no associated prepayment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2020 (the “2020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2020 Annual Report. We assume no obligation to update any of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U.S. contractors servicing the T&amp;D sector of the electric utility industry and provide T&amp;D services throughout the United States and western Canada. Our T&amp;D customers include many of the leading companies in the electric utility industry. We have also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49"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Since March 2020, the COVID-19 pandemic has had a significant impact on the global economy, including the US and Canadian economies. The COVID-19 pandemic caused a slowdown of certain projects due to specific state, local, municipal and customer mandated stay-at-home orders and new project requirements that were established to protect construction workers and the general public, most of which have impacted our C&amp;I segment. Although the majority of stay-at-home orders have been phased out, we are still experiencing impacts associated with the COVID-19 project-specific protocols. We expect the project-specific requirements to remain in place which will continue to impact project schedules and workflow going forward.</w:t>
      </w:r>
    </w:p>
    <w:p>
      <w:pPr>
        <w:spacing w:after="0" w:line="159" w:lineRule="exact"/>
        <w:rPr>
          <w:sz w:val="20"/>
          <w:szCs w:val="20"/>
          <w:color w:val="auto"/>
        </w:rPr>
      </w:pPr>
    </w:p>
    <w:p>
      <w:pPr>
        <w:ind w:right="160" w:firstLine="648"/>
        <w:spacing w:after="0" w:line="227" w:lineRule="auto"/>
        <w:rPr>
          <w:sz w:val="20"/>
          <w:szCs w:val="20"/>
          <w:color w:val="auto"/>
        </w:rPr>
      </w:pPr>
      <w:r>
        <w:rPr>
          <w:rFonts w:ascii="Arial" w:cs="Arial" w:eastAsia="Arial" w:hAnsi="Arial"/>
          <w:sz w:val="18"/>
          <w:szCs w:val="18"/>
          <w:color w:val="auto"/>
        </w:rPr>
        <w:t>We had consolidated revenues for the three months ended March 31, 2021 of $592.5 million, of which 53.2% was attributable to our T&amp;D customers and 46.8% was attributable to our C&amp;I customers. Our consolidated revenues for the three months ended March 31, 2020 were $518.5 million. For the three months ended March 31, 2021, our net income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were $19.9 million and $39.3 million, respectively, compared to $9.9 million and $27.4 million, respectively, for the three months ended March 31, 2020.</w:t>
      </w:r>
    </w:p>
    <w:p>
      <w:pPr>
        <w:spacing w:after="0" w:line="189"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We believe that the proposed legislative actions may positively impact long-term demand, particularly in connection with electric power infrastructure, transportation and renewable energy spending. We are hopeful that proposed legislative actions will provide greater opportunity in both of our reporting segments.</w:t>
      </w:r>
    </w:p>
    <w:p>
      <w:pPr>
        <w:spacing w:after="0" w:line="18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also believe there is an ongoing need for utilities to sustain investment in their transmission systems to improve reliability, reduce congestion and connect to new sources of renewable generation. Consequently, we anticipate that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2021 will not likely occur until 2022. Bidding and construction activity for small to medium-size transmission projects and upgrades remain active, and we expect this trend to continue, primarily due to reliability and economic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EBITDA is a non-GAAP measure. Refer to “Non-GAAP Measure—EBITDA” for a discussion of this measure.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66"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a result of reduced spending by United States utilities on their distribution systems for several years, we believe there is a need for sustained investment by utilities in their distribution systems to properly maintain or meet reliability requirements. In 2021, we continue to see increased bidding activity in some of our electric distribution markets, as economic conditions improved in those areas.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2021, depending on the ultimate U.S. economic recovery from the COVID-19 pandemic.</w:t>
      </w:r>
    </w:p>
    <w:p>
      <w:pPr>
        <w:spacing w:after="0" w:line="16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expect C&amp;I bidding opportunities to continue to be impacted by the ongoing COVID-19 pandemic and market uncertainty could contribute to an overall deceleration in projects coming out to bid. Recovery of the C&amp;I market will be heavily dependent on the timing and pace of the Unites States and Canada economic recoveries. We believe that the primary markets we serve may be somewhat less vulnerable to economic slowing, such as health care, transportation, data centers, warehousing, renewable energy and water projects. We are hopeful that the service industry and small project market could quickly rebound as pent-up demand will need to be addressed.</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the United States has experienced a decade of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 We expect the long-term growth in our C&amp;I segment to generally track the economic growth of the regions we serve.</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We ended the first quarter of 2021 with $362.7 million available under our credit facility. We believe that our financial position, positive cash flows and other operational strengths will enable us to manage the challenges and uncertainties in the markets we serve,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6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backlog was $1.64 billion at March 31, 2021, compared to $1.65 billion at December 31, 2020 and $1.54 billion at March 31, 2020.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backlog at March 31, 2021 decreased 0.4% from December 31, 2020. Backlog in the T&amp;D segment decreased $59.4 million and C&amp;I backlog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$53.3 million compared to December 31, 2020. Our backlog as of March 31, 2021 included our proportionate share of joint venture backlog totaling $19.2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compared to $24.8 million at December 31, 2020.</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gridSpan w:val="5"/>
          </w:tcPr>
          <w:p>
            <w:pPr>
              <w:ind w:left="800"/>
              <w:spacing w:after="0"/>
              <w:rPr>
                <w:sz w:val="20"/>
                <w:szCs w:val="20"/>
                <w:color w:val="auto"/>
              </w:rPr>
            </w:pPr>
            <w:r>
              <w:rPr>
                <w:rFonts w:ascii="Arial" w:cs="Arial" w:eastAsia="Arial" w:hAnsi="Arial"/>
                <w:sz w:val="14"/>
                <w:szCs w:val="14"/>
                <w:b w:val="1"/>
                <w:bCs w:val="1"/>
                <w:color w:val="auto"/>
              </w:rPr>
              <w:t>Backlog at March 31, 2021</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Amount estimated to not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Total backlog at</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 recognized within 12 months</w:t>
            </w:r>
          </w:p>
        </w:tc>
        <w:tc>
          <w:tcPr>
            <w:tcW w:w="160" w:type="dxa"/>
            <w:vAlign w:val="bottom"/>
          </w:tcPr>
          <w:p>
            <w:pPr>
              <w:spacing w:after="0"/>
              <w:rPr>
                <w:sz w:val="16"/>
                <w:szCs w:val="16"/>
                <w:color w:val="auto"/>
              </w:rPr>
            </w:pPr>
          </w:p>
        </w:tc>
        <w:tc>
          <w:tcPr>
            <w:tcW w:w="142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7"/>
        </w:trPr>
        <w:tc>
          <w:tcPr>
            <w:tcW w:w="5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753,932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948,753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895,524</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March 31, 2021, we had approximately $1.20 billion in original face amount of surety bonds outstanding. Our estimated remaining cost to complete these bonded projects was approximately $632.8 million as of March 31, 2021.</w:t>
      </w:r>
    </w:p>
    <w:p>
      <w:pPr>
        <w:spacing w:after="0" w:line="16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and such data as a percentage of revenues for the periods indicated:</w:t>
      </w:r>
    </w:p>
    <w:p>
      <w:pPr>
        <w:spacing w:after="0" w:line="99"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22860</wp:posOffset>
            </wp:positionV>
            <wp:extent cx="3454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spacing w:after="0"/>
              <w:rPr>
                <w:sz w:val="20"/>
                <w:szCs w:val="20"/>
                <w:color w:val="auto"/>
              </w:rPr>
            </w:pPr>
          </w:p>
        </w:tc>
      </w:tr>
      <w:tr>
        <w:trPr>
          <w:trHeight w:val="27"/>
        </w:trPr>
        <w:tc>
          <w:tcPr>
            <w:tcW w:w="58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0"/>
                <w:szCs w:val="20"/>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w:t>
            </w:r>
          </w:p>
        </w:tc>
      </w:tr>
      <w:tr>
        <w:trPr>
          <w:trHeight w:val="27"/>
        </w:trPr>
        <w:tc>
          <w:tcPr>
            <w:tcW w:w="5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0"/>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Contract costs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456,838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88.1</w:t>
            </w: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7"/>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43"/>
        </w:trPr>
        <w:tc>
          <w:tcPr>
            <w:tcW w:w="5800" w:type="dxa"/>
            <w:vAlign w:val="bottom"/>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$592.5 million for the three months ended March 31, 2021 compared to $518.5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The increase of $74.0 million, or 14.3%, was primarily due to an increase in revenue on large-sized T&amp;D projects as well as an increase in revenue on medium-sized C&amp;I projects. Additionally, revenues during the three months ended March 31, 2020 were negatively impacted by a slight slowdown of C&amp;I work in certain geographic areas related to the COVID-19 pandemic.</w:t>
      </w:r>
    </w:p>
    <w:p>
      <w:pPr>
        <w:spacing w:after="0" w:line="13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13.0% for the three months ended March 31, 2021 compared to 11.9%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increase in gross margin was primarily due to better-than-anticipated productivity on certain projects and a favorable job close-out. These improvements were partially offset by inclement weather experienced on a project, unfavorable pending change order adjustments on certain projects and labor inefficiencies on certain projects. Changes in estimates of gross profit on certain projects resulted in a gross margin increase of 0.1% for each of the three months ended March 31, 2021 and 2020.</w:t>
      </w:r>
    </w:p>
    <w:p>
      <w:pPr>
        <w:spacing w:after="0" w:line="134" w:lineRule="exact"/>
        <w:rPr>
          <w:sz w:val="20"/>
          <w:szCs w:val="20"/>
          <w:color w:val="auto"/>
        </w:rPr>
      </w:pPr>
    </w:p>
    <w:p>
      <w:pPr>
        <w:jc w:val="both"/>
        <w:ind w:right="34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$77.0 million for the three months ended March 31, 2021 compared to $61.6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The increase of $15.4 million, or 24.9%, was due to higher revenues and margins.</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was $49.6 million for the three months ended</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March 31, 2021 compared to $45.0 million for the three months ended March 31, 2020. The period-over-period increase of $4.6 million was primarily due to an increase in employee incentive compensation costs and an increase in contingent compensation expense related to a prior acquisition.</w:t>
      </w:r>
    </w:p>
    <w:p>
      <w:pPr>
        <w:spacing w:after="0" w:line="10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Gain on sale of property and equipment</w:t>
      </w:r>
      <w:r>
        <w:rPr>
          <w:rFonts w:ascii="Arial" w:cs="Arial" w:eastAsia="Arial" w:hAnsi="Arial"/>
          <w:sz w:val="18"/>
          <w:szCs w:val="18"/>
          <w:color w:val="auto"/>
        </w:rPr>
        <w:t>. Gains from the sale of property and equipment for the three months ended March 31, 2021 were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$1.1 million for the three months ended March 31, 2020. Gains from the sale of property and equipment are attributable to routine sales of property and equipment no longer useful or valuable to our ongoing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$0.5 million for the three months ended March 31, 2021 compared to $1.5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The period-over-period decrease of $1.0 million was primarily due to the decrease in our outstanding debt during the three months ended March 31, 2021 as compared to the three months ended March 31, 2020.</w:t>
      </w:r>
    </w:p>
    <w:p>
      <w:pPr>
        <w:spacing w:after="0" w:line="13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$7.1 million for the three months ended March 31, 2021, with an effective tax rate of 26.2%,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expense of $4.1 million for the three months ended March 31, 2020, with an effective tax rate of 29.1%. The decrease in the tax rate for the three months ended March 31, 2021 was primarily due to a favorable impact from stock compensation excess tax benefits.</w:t>
      </w:r>
    </w:p>
    <w:p>
      <w:pPr>
        <w:spacing w:after="0" w:line="1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$19.9 million for the three months ended March 31, 2021 compared to $9.9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The increase was primarily due to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6"/>
        </w:trPr>
        <w:tc>
          <w:tcPr>
            <w:tcW w:w="5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259,270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259,200</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518,470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28,673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17,964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27,276</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Revenues for our T&amp;D segment for the three months ended March 31, 2021 were $314.9 million compared to $259.3 million for the three months ended March 31, 2020, an increase of $55.6 million, or 21.5%. The increase in revenue was primarily related to an increase in revenue on large-sized projects.</w:t>
      </w:r>
    </w:p>
    <w:p>
      <w:pPr>
        <w:spacing w:after="0" w:line="13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Revenues from transmission projects represented 67.1% and 66.2% of T&amp;D segment revenue for the three months ended March 31, 2021 and 2020, respectively. Additionally, for the three months ended March 31, 2021, measured by revenue in our T&amp;D segment, we provided 48.2% of our T&amp;D services under fixed-price contracts, as compared to 46.7% for the three months ended March 31, 2020.</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Operating income for our T&amp;D segment for the three months ended March 31, 2021 was $28.7 million, an increase of $10.7 million, or 59.6%, from the three months ended March 31, 2020. The increase in T&amp;D operating income from the prior year was primarily due to higher revenues, better-than-anticipated productivity on certain projects and a favorable job close-out. These increases were partially offset by inclement weather experienced on a project. As a percentage of revenues, operating income for our T&amp;D segment was 9.1% for the three months ended March 31, 2021 compared to 6.9%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for our C&amp;I segment for the three months ended March 31, 2021 were $277.6 million compared to $259.2 million for the three months ended March 31, 2020, an increase of $18.4 million, or 7.1%, primarily due to an increase in revenue on medium-sized projects. Additionally, revenues during the three months ended March 31, 2020 were negatively impacted by a slight slowdown of work in certain geographic areas related to the COVID-19 pandemic. Measured by revenue in our C&amp;I segment, we provided 82.0% of our services under fixed-price contracts for the three months ended March 31, 2021, compared to 84.3% for the three months ended March 31, 2020.</w:t>
      </w:r>
    </w:p>
    <w:p>
      <w:pPr>
        <w:spacing w:after="0" w:line="13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Operating income for our C&amp;I segment for the three months ended March 31, 2021 was $14.3 million, an increase of $5.0 million, over the three months ended March 31, 2020. The period-over-period increase in operating income was due to higher revenues and better-than-anticipated productivity on certain projects. These increases were partially offset by unfavorable pending change order adjustments on certain projects and labor inefficiencies on certain projects. As a percentage of revenues, operating income for our C&amp;I segment was 5.1% for the three months ended March 31, 2021 compared to 3.6% for the three months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net income from noncontrolling interest,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6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Arial" w:cs="Arial" w:eastAsia="Arial" w:hAnsi="Arial"/>
                <w:sz w:val="18"/>
                <w:szCs w:val="18"/>
                <w:i w:val="1"/>
                <w:iCs w:val="1"/>
                <w:color w:val="auto"/>
              </w:rPr>
              <w:t>Add: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63"/>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27,382</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59,390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35,243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March 31, 2021, we had working capital of $217.5 million. We define working capital as current assets less current liabilities. During the three months ended March 31, 2021, operating activities of our business provided net cash of $59.4 million, compared to $35.2 million of cash provided for the three months ended March 31, 2020. Cash flow from operations is primarily influenced by demand for our services, operating margins, timing of contract performance and the type of services we provide to our customers. The $24.1 million year-over-year increase in cash provided by operating activities was primarily due to favorable net changes in operating assets and liabilities of $12.8 million and an increase in net income of $10.0 million. The favorable change in operating assets and liabilities was primarily due to the net favorable year-over-year increases in various working capital accounts that relate primarily to construction activities (accounts receivable, contract assets, accounts payable and contract liabilities) of $8.9 million and an unfavorable change of $7.5 million in other liabilities. The increase in cash provided by working capital accounts, primarily related to construction activities, was primarily due to favorable changes in contract assets and contract liabilities due to the timing of billings and payments under our contracts. The unfavorable change of $7.5 million in other liabilities was primarily due to higher bonus accruals and the timing of employee related wage and tax payments.</w:t>
      </w:r>
    </w:p>
    <w:p>
      <w:pPr>
        <w:spacing w:after="0" w:line="16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the three months ended March 31, 2021, we used net cash of $6.4 million in investing activities of consisting of $7.0 million for capital expenditures, partially offset by $0.7 million of proceeds from the sale of equipment.</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the three months ended March 31, 2021, financing activities used net cash of $2.8 million, consisting primarily of share repurchases of $2.6 million, all of which represented shares surrendered to satisfy tax obligations under our stock compensation programs.</w:t>
      </w:r>
    </w:p>
    <w:p>
      <w:pPr>
        <w:spacing w:after="0" w:line="14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anticipate that our borrowing availability of $362.7 million at March 31, 2021 under our revolving line of credit and future cash flow from operations will provide sufficient cash to enable us to meet our future operating needs, debt service requirements, capital expenditures, acquisition and joint venture opportunities, share repurchases, and $25.2 million of remaining payroll tax deferrals provided under the Coronavirus Aid, Relief, and Economic Security Act ("CARES Act") which will be paid within the next two years. Although we believe that we have adequate cash and borrowing capacity to meet our liquidity needs, any large projects or acquisitions may require additional capital. We continue to invest in developing key management and craft personnel in both our T&amp;D and C&amp;I markets and in procuring the specific specialty equipment and tooling needed to win and execute projects of all sizes and complexity.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4"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8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March 31, 2021.</w:t>
      </w:r>
    </w:p>
    <w:p>
      <w:pPr>
        <w:spacing w:after="0" w:line="10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had no debt outstanding under the Facility as of March 31, 2021 and December 31, 2020, and letters of credit outstanding of approximately $12.3 million and $10.4 million as of March 31,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w:t>
      </w:r>
    </w:p>
    <w:p>
      <w:pPr>
        <w:spacing w:after="0" w:line="17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2021, we had four executed and outstanding Equipment Notes that are collateralized by equipment and vehicles owned by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these Equipment Notes was $29.4 million as of March 31, 2021 and December 31, 2020.</w:t>
      </w:r>
    </w:p>
    <w:p>
      <w:pPr>
        <w:spacing w:after="0" w:line="15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April 13, 2021, the we prepaid our $7.0 million Equipment Note 7 using cash on hand. This prepayment included an insignificant amount of accrued interest and there was no associated prepayment penalty.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8–Commitments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2021 and 2020, none of our customers individually exceeded 10% of consolidated accounts receivable. Management believes the terms and conditions in its contracts, billing and collection policies are adequate to minimize the potential credit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2020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2020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Negative economic and market conditions may adversely impact our customers’ future spending and, as a result, our operations and growth.</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63"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successfully execute or integrate acquisitions or joint ventures may have an adverse impact on our growth strategy and business.</w:t>
      </w:r>
    </w:p>
    <w:p>
      <w:pPr>
        <w:spacing w:after="0" w:line="8"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attract and retain qualified personnel.</w:t>
      </w:r>
    </w:p>
    <w:p>
      <w:pPr>
        <w:spacing w:after="0" w:line="63"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contracts and termination of existing contracts may result in unpredictable fluctuations in our cash flows and financial results.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63" w:lineRule="exact"/>
        <w:rPr>
          <w:rFonts w:ascii="Arial" w:cs="Arial" w:eastAsia="Arial" w:hAnsi="Arial"/>
          <w:sz w:val="18"/>
          <w:szCs w:val="18"/>
          <w:color w:val="auto"/>
        </w:rPr>
      </w:pPr>
    </w:p>
    <w:p>
      <w:pPr>
        <w:ind w:left="980" w:right="280" w:hanging="324"/>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has limits and exclusions that may not fully indemnify us against certain claims or losses, including claims resulting from wildfires or other natural disasters, and the unavailability or cancellation of third party insurance coverages would increase our overall risk exposure and could disrupt our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or our interpretations of tax laws could materially impact our income tax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operating in the Canadian market could restrict our ability to expand and harm our business and prospects.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dependence on suppliers, subcontractors and equipment manufacturers could expose us to the risk of loss in our operations.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63"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may be affected by seasonal and other variations, including severe weather conditions and the nature of our work environment.</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63" w:lineRule="exact"/>
        <w:rPr>
          <w:rFonts w:ascii="Arial" w:cs="Arial" w:eastAsia="Arial" w:hAnsi="Arial"/>
          <w:sz w:val="18"/>
          <w:szCs w:val="18"/>
          <w:color w:val="auto"/>
        </w:rPr>
      </w:pPr>
    </w:p>
    <w:p>
      <w:pPr>
        <w:ind w:left="980" w:right="400" w:hanging="324"/>
        <w:spacing w:after="0" w:line="298"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use of percentage-of-completion accounting could result in a reduction or reversal of previously recognized revenues and profits.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63"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necessary bonds, letters of credit, bank guarantees or other financial assurances.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COVID-19 may have an adverse impact on our business, employees, liquidity, financial condition, results of operations and cash flows.</w:t>
      </w:r>
    </w:p>
    <w:p>
      <w:pPr>
        <w:spacing w:after="0" w:line="74" w:lineRule="exact"/>
        <w:rPr>
          <w:rFonts w:ascii="Arial" w:cs="Arial" w:eastAsia="Arial" w:hAnsi="Arial"/>
          <w:sz w:val="17"/>
          <w:szCs w:val="17"/>
          <w:color w:val="auto"/>
        </w:rPr>
      </w:pPr>
    </w:p>
    <w:p>
      <w:pPr>
        <w:ind w:left="980" w:right="94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 and we may be subject to unionization attempts.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63" w:lineRule="exact"/>
        <w:rPr>
          <w:rFonts w:ascii="Arial" w:cs="Arial" w:eastAsia="Arial" w:hAnsi="Arial"/>
          <w:sz w:val="18"/>
          <w:szCs w:val="18"/>
          <w:color w:val="auto"/>
        </w:rPr>
      </w:pPr>
    </w:p>
    <w:p>
      <w:pPr>
        <w:ind w:left="980" w:right="42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31, 2021, we were not party to any derivative instruments. We did not use any material derivative financial instruments during the three months ended March 31, 2021 and 2020, including instruments for trading, hedging or speculating on changes in interest rates or commodity prices of materials used in our business.</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Any borrowings under our Facility are based upon interest rates that will vary depending upon the prime rate, Canadian prime rate, federal funds effective rate, the NYFRB overnight bank funding rate, CDOR, and LIBOR. If the prime rate, Canadian prime rate, federal funds effective rate, the NYFRB overnight bank funding rate, CDOR, or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March 31, 2021, we did not have any borrowings under our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face a number of risks that could materially and adversely affect our business, employees, liquidity, financial condition, results of operations and cash flows. A discussion of our risk factors can be found in Item 1A. “Risk Factors” in our 2020 Annual Report. As of the date of this filing, there have been no material changes to the risk factors previously discussed in Item 1A. “Risk Factors” in our 2020 Annual Report. An investment in our common stock involves various risks. When considering an investment in our company, you should carefully consider all of the risk factors described in our 2020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our company.</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b w:val="1"/>
          <w:bCs w:val="1"/>
          <w:i w:val="1"/>
          <w:iCs w:val="1"/>
          <w:color w:val="auto"/>
        </w:rPr>
        <w:t xml:space="preserve">Issuances of Common Stock. </w:t>
      </w:r>
      <w:r>
        <w:rPr>
          <w:rFonts w:ascii="Arial" w:cs="Arial" w:eastAsia="Arial" w:hAnsi="Arial"/>
          <w:sz w:val="16"/>
          <w:szCs w:val="16"/>
          <w:color w:val="auto"/>
        </w:rPr>
        <w:t>On February 25, 2021, 201 unregistered shares of our common stock, valued in the aggregate at $12,000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to a director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Purchases of Common Stock. </w:t>
      </w:r>
      <w:r>
        <w:rPr>
          <w:rFonts w:ascii="Arial" w:cs="Arial" w:eastAsia="Arial" w:hAnsi="Arial"/>
          <w:sz w:val="17"/>
          <w:szCs w:val="17"/>
          <w:color w:val="auto"/>
        </w:rPr>
        <w:t>The following table includes all of the Company’s repurchases of common stock for the periods shown.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are retired and returned to authorized but unissued common stock.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Approximate Dollar Value of</w:t>
            </w: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Shares That May Yet Be</w:t>
            </w: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Purchased Under the Plans or</w:t>
            </w:r>
          </w:p>
        </w:tc>
      </w:tr>
      <w:tr>
        <w:trPr>
          <w:trHeight w:val="186"/>
        </w:trPr>
        <w:tc>
          <w:tcPr>
            <w:tcW w:w="3780" w:type="dxa"/>
            <w:vAlign w:val="bottom"/>
            <w:gridSpan w:val="2"/>
          </w:tcPr>
          <w:p>
            <w:pPr>
              <w:ind w:left="1640"/>
              <w:spacing w:after="0"/>
              <w:rPr>
                <w:sz w:val="20"/>
                <w:szCs w:val="20"/>
                <w:color w:val="auto"/>
              </w:rPr>
            </w:pPr>
            <w:r>
              <w:rPr>
                <w:rFonts w:ascii="Arial" w:cs="Arial" w:eastAsia="Arial" w:hAnsi="Arial"/>
                <w:sz w:val="14"/>
                <w:szCs w:val="14"/>
                <w:b w:val="1"/>
                <w:bCs w:val="1"/>
                <w:color w:val="auto"/>
              </w:rPr>
              <w:t>Period</w:t>
            </w:r>
          </w:p>
        </w:tc>
        <w:tc>
          <w:tcPr>
            <w:tcW w:w="1900" w:type="dxa"/>
            <w:vAlign w:val="bottom"/>
          </w:tcPr>
          <w:p>
            <w:pPr>
              <w:jc w:val="right"/>
              <w:ind w:right="436"/>
              <w:spacing w:after="0"/>
              <w:rPr>
                <w:sz w:val="20"/>
                <w:szCs w:val="20"/>
                <w:color w:val="auto"/>
              </w:rPr>
            </w:pPr>
            <w:r>
              <w:rPr>
                <w:rFonts w:ascii="Arial" w:cs="Arial" w:eastAsia="Arial" w:hAnsi="Arial"/>
                <w:sz w:val="14"/>
                <w:szCs w:val="14"/>
                <w:b w:val="1"/>
                <w:bCs w:val="1"/>
                <w:color w:val="auto"/>
              </w:rPr>
              <w:t>Purchased (1)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Programs (2)</w:t>
            </w:r>
          </w:p>
        </w:tc>
      </w:tr>
      <w:tr>
        <w:trPr>
          <w:trHeight w:val="25"/>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February 1, 2021 - February 28, 2021</w:t>
            </w:r>
          </w:p>
        </w:tc>
        <w:tc>
          <w:tcPr>
            <w:tcW w:w="1900" w:type="dxa"/>
            <w:vAlign w:val="bottom"/>
          </w:tcPr>
          <w:p>
            <w:pPr>
              <w:jc w:val="right"/>
              <w:spacing w:after="0"/>
              <w:rPr>
                <w:sz w:val="20"/>
                <w:szCs w:val="20"/>
                <w:color w:val="auto"/>
              </w:rPr>
            </w:pPr>
            <w:r>
              <w:rPr>
                <w:rFonts w:ascii="Arial" w:cs="Arial" w:eastAsia="Arial" w:hAnsi="Arial"/>
                <w:sz w:val="18"/>
                <w:szCs w:val="18"/>
                <w:color w:val="auto"/>
              </w:rPr>
              <w:t>25,448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21"/>
                <w:szCs w:val="21"/>
                <w:color w:val="auto"/>
              </w:rPr>
            </w:pPr>
          </w:p>
        </w:tc>
        <w:tc>
          <w:tcPr>
            <w:tcW w:w="2000" w:type="dxa"/>
            <w:vAlign w:val="bottom"/>
          </w:tcPr>
          <w:p>
            <w:pPr>
              <w:ind w:left="17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50,000,000</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2021 - March 31, 2021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r>
      <w:tr>
        <w:trPr>
          <w:trHeight w:val="26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40,867</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64.06</w:t>
            </w:r>
          </w:p>
        </w:tc>
        <w:tc>
          <w:tcPr>
            <w:tcW w:w="120" w:type="dxa"/>
            <w:vAlign w:val="bottom"/>
          </w:tcPr>
          <w:p>
            <w:pPr>
              <w:spacing w:after="0"/>
              <w:rPr>
                <w:sz w:val="22"/>
                <w:szCs w:val="22"/>
                <w:color w:val="auto"/>
              </w:rPr>
            </w:pPr>
          </w:p>
        </w:tc>
        <w:tc>
          <w:tcPr>
            <w:tcW w:w="2000" w:type="dxa"/>
            <w:vAlign w:val="bottom"/>
            <w:tcBorders>
              <w:top w:val="single" w:sz="8" w:color="auto"/>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contains repurchases of common stock to satisfy tax obligations on the vesting of restricted stock under the 2017 Long-Term Incentive Plan (as amended).</w:t>
      </w:r>
    </w:p>
    <w:p>
      <w:pPr>
        <w:spacing w:after="0" w:line="62" w:lineRule="exact"/>
        <w:rPr>
          <w:rFonts w:ascii="Arial" w:cs="Arial" w:eastAsia="Arial" w:hAnsi="Arial"/>
          <w:sz w:val="18"/>
          <w:szCs w:val="18"/>
          <w:color w:val="auto"/>
        </w:rPr>
      </w:pPr>
    </w:p>
    <w:p>
      <w:pPr>
        <w:ind w:right="320" w:firstLine="8"/>
        <w:spacing w:after="0" w:line="259"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22, 2020 the Company’s Board of Directors authorized a new $50.0 million share repurchase program effective November 2, 2020. The Company intends to fund the share repurchase program from cash on hand and through borrowings under its credit facility. The new share repurchase program will expire on November 2, 2021, or when the authorized funds are exhausted, whichever is earlier. No shares were repurchased under the program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58"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0000FF"/>
            </w:tcBorders>
            <w:shd w:val="clear" w:color="auto" w:fill="CCEEFF"/>
          </w:tcPr>
          <w:p>
            <w:pPr>
              <w:jc w:val="right"/>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60" w:type="dxa"/>
            <w:vAlign w:val="bottom"/>
            <w:tcBorders>
              <w:bottom w:val="single" w:sz="8" w:color="0000FF"/>
            </w:tcBorders>
            <w:gridSpan w:val="5"/>
            <w:shd w:val="clear" w:color="auto" w:fill="CCEEFF"/>
          </w:tcPr>
          <w:p>
            <w:pPr>
              <w:spacing w:after="0"/>
              <w:rPr>
                <w:rFonts w:ascii="Arial" w:cs="Arial" w:eastAsia="Arial" w:hAnsi="Arial"/>
                <w:sz w:val="20"/>
                <w:szCs w:val="20"/>
                <w:color w:val="0000FF"/>
                <w:w w:val="89"/>
              </w:rPr>
            </w:pPr>
            <w:hyperlink w:anchor="page37">
              <w:r>
                <w:rPr>
                  <w:rFonts w:ascii="Arial" w:cs="Arial" w:eastAsia="Arial" w:hAnsi="Arial"/>
                  <w:sz w:val="20"/>
                  <w:szCs w:val="20"/>
                  <w:color w:val="0000FF"/>
                  <w:w w:val="89"/>
                </w:rPr>
                <w:t>Form of Performance Shares Award Agreement (Named Executive Officer) under the 2017 Long-Term Incentive Plan†</w:t>
              </w:r>
            </w:hyperlink>
          </w:p>
        </w:tc>
        <w:tc>
          <w:tcPr>
            <w:tcW w:w="580" w:type="dxa"/>
            <w:vAlign w:val="bottom"/>
            <w:tcBorders>
              <w:bottom w:val="single" w:sz="8" w:color="CCEEFF"/>
            </w:tcBorders>
            <w:shd w:val="clear" w:color="auto" w:fill="CCEEFF"/>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940" w:type="dxa"/>
            <w:vAlign w:val="bottom"/>
            <w:gridSpan w:val="3"/>
          </w:tcPr>
          <w:p>
            <w:pPr>
              <w:jc w:val="right"/>
              <w:ind w:right="60"/>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120" w:type="dxa"/>
            <w:vAlign w:val="bottom"/>
            <w:gridSpan w:val="7"/>
          </w:tcPr>
          <w:p>
            <w:pPr>
              <w:ind w:left="80"/>
              <w:spacing w:after="0" w:line="183" w:lineRule="exact"/>
              <w:rPr>
                <w:rFonts w:ascii="Arial" w:cs="Arial" w:eastAsia="Arial" w:hAnsi="Arial"/>
                <w:sz w:val="20"/>
                <w:szCs w:val="20"/>
                <w:color w:val="0000FF"/>
              </w:rPr>
            </w:pPr>
            <w:hyperlink w:anchor="page47">
              <w:r>
                <w:rPr>
                  <w:rFonts w:ascii="Arial" w:cs="Arial" w:eastAsia="Arial" w:hAnsi="Arial"/>
                  <w:sz w:val="20"/>
                  <w:szCs w:val="20"/>
                  <w:color w:val="0000FF"/>
                </w:rPr>
                <w:t>Certification of Chief Executive Officer pursuant to SEC Rule 13a-14(a)/15d-14(a)†</w:t>
              </w:r>
            </w:hyperlink>
          </w:p>
        </w:tc>
      </w:tr>
      <w:tr>
        <w:trPr>
          <w:trHeight w:val="41"/>
        </w:trPr>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7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63"/>
        </w:trPr>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line="182" w:lineRule="exact"/>
              <w:rPr>
                <w:rFonts w:ascii="Arial" w:cs="Arial" w:eastAsia="Arial" w:hAnsi="Arial"/>
                <w:sz w:val="18"/>
                <w:szCs w:val="18"/>
                <w:color w:val="0000FF"/>
                <w:w w:val="85"/>
              </w:rPr>
            </w:pPr>
            <w:hyperlink w:anchor="page4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40" w:type="dxa"/>
            <w:vAlign w:val="bottom"/>
            <w:gridSpan w:val="6"/>
            <w:shd w:val="clear" w:color="auto" w:fill="CCEEFF"/>
          </w:tcPr>
          <w:p>
            <w:pPr>
              <w:spacing w:after="0" w:line="183" w:lineRule="exact"/>
              <w:rPr>
                <w:rFonts w:ascii="Arial" w:cs="Arial" w:eastAsia="Arial" w:hAnsi="Arial"/>
                <w:sz w:val="20"/>
                <w:szCs w:val="20"/>
                <w:color w:val="0000FF"/>
              </w:rPr>
            </w:pPr>
            <w:hyperlink w:anchor="page48">
              <w:r>
                <w:rPr>
                  <w:rFonts w:ascii="Arial" w:cs="Arial" w:eastAsia="Arial" w:hAnsi="Arial"/>
                  <w:sz w:val="20"/>
                  <w:szCs w:val="20"/>
                  <w:color w:val="0000FF"/>
                </w:rPr>
                <w:t>Certification of Chief Financial Officer pursuant to SEC Rule 13a-14(a)/15d-14(a)†</w:t>
              </w:r>
            </w:hyperlink>
          </w:p>
        </w:tc>
      </w:tr>
      <w:tr>
        <w:trPr>
          <w:trHeight w:val="223"/>
        </w:trPr>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20" w:type="dxa"/>
            <w:vAlign w:val="bottom"/>
            <w:tcBorders>
              <w:top w:val="single" w:sz="8" w:color="0000FF"/>
              <w:bottom w:val="single" w:sz="8" w:color="0000FF"/>
            </w:tcBorders>
          </w:tcPr>
          <w:p>
            <w:pPr>
              <w:jc w:val="right"/>
              <w:spacing w:after="0" w:line="182" w:lineRule="exact"/>
              <w:rPr>
                <w:rFonts w:ascii="Arial" w:cs="Arial" w:eastAsia="Arial" w:hAnsi="Arial"/>
                <w:sz w:val="18"/>
                <w:szCs w:val="18"/>
                <w:color w:val="0000FF"/>
                <w:w w:val="85"/>
              </w:rPr>
            </w:pPr>
            <w:hyperlink w:anchor="page4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20" w:type="dxa"/>
            <w:vAlign w:val="bottom"/>
            <w:tcBorders>
              <w:top w:val="single" w:sz="8" w:color="0000FF"/>
            </w:tcBorders>
            <w:gridSpan w:val="3"/>
          </w:tcPr>
          <w:p>
            <w:pPr>
              <w:spacing w:after="0" w:line="183" w:lineRule="exact"/>
              <w:rPr>
                <w:rFonts w:ascii="Arial" w:cs="Arial" w:eastAsia="Arial" w:hAnsi="Arial"/>
                <w:sz w:val="20"/>
                <w:szCs w:val="20"/>
                <w:color w:val="0000FF"/>
              </w:rPr>
            </w:pPr>
            <w:hyperlink w:anchor="page49">
              <w:r>
                <w:rPr>
                  <w:rFonts w:ascii="Arial" w:cs="Arial" w:eastAsia="Arial" w:hAnsi="Arial"/>
                  <w:sz w:val="20"/>
                  <w:szCs w:val="20"/>
                  <w:color w:val="0000FF"/>
                </w:rPr>
                <w:t>Certification of Chief Executive Officer pursuant to 18 U.S.C. §1350†</w:t>
              </w:r>
            </w:hyperlink>
          </w:p>
        </w:tc>
        <w:tc>
          <w:tcPr>
            <w:tcW w:w="3420" w:type="dxa"/>
            <w:vAlign w:val="bottom"/>
            <w:tcBorders>
              <w:top w:val="single" w:sz="8" w:color="CCEEFF"/>
            </w:tcBorders>
            <w:gridSpan w:val="3"/>
          </w:tcPr>
          <w:p>
            <w:pPr>
              <w:spacing w:after="0"/>
              <w:rPr>
                <w:sz w:val="19"/>
                <w:szCs w:val="19"/>
                <w:color w:val="auto"/>
              </w:rPr>
            </w:pPr>
          </w:p>
        </w:tc>
      </w:tr>
      <w:tr>
        <w:trPr>
          <w:trHeight w:val="41"/>
        </w:trPr>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63"/>
        </w:trPr>
        <w:tc>
          <w:tcPr>
            <w:tcW w:w="18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60"/>
              <w:spacing w:after="0" w:line="182" w:lineRule="exact"/>
              <w:rPr>
                <w:rFonts w:ascii="Arial" w:cs="Arial" w:eastAsia="Arial" w:hAnsi="Arial"/>
                <w:sz w:val="18"/>
                <w:szCs w:val="18"/>
                <w:color w:val="0000FF"/>
              </w:rPr>
            </w:pPr>
            <w:hyperlink w:anchor="page50">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120" w:type="dxa"/>
            <w:vAlign w:val="bottom"/>
            <w:gridSpan w:val="7"/>
            <w:shd w:val="clear" w:color="auto" w:fill="CCEEFF"/>
          </w:tcPr>
          <w:p>
            <w:pPr>
              <w:ind w:left="80"/>
              <w:spacing w:after="0" w:line="183" w:lineRule="exact"/>
              <w:rPr>
                <w:rFonts w:ascii="Arial" w:cs="Arial" w:eastAsia="Arial" w:hAnsi="Arial"/>
                <w:sz w:val="20"/>
                <w:szCs w:val="20"/>
                <w:color w:val="0000FF"/>
              </w:rPr>
            </w:pPr>
            <w:hyperlink w:anchor="page50">
              <w:r>
                <w:rPr>
                  <w:rFonts w:ascii="Arial" w:cs="Arial" w:eastAsia="Arial" w:hAnsi="Arial"/>
                  <w:sz w:val="20"/>
                  <w:szCs w:val="20"/>
                  <w:color w:val="0000FF"/>
                </w:rPr>
                <w:t>Certification of Chief Financial Officer pursuant to 18 U.S.C. §1350†</w:t>
              </w:r>
            </w:hyperlink>
          </w:p>
        </w:tc>
      </w:tr>
      <w:tr>
        <w:trPr>
          <w:trHeight w:val="270"/>
        </w:trPr>
        <w:tc>
          <w:tcPr>
            <w:tcW w:w="1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5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7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101.INS</w:t>
            </w:r>
          </w:p>
        </w:tc>
        <w:tc>
          <w:tcPr>
            <w:tcW w:w="1012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101.SCH</w:t>
            </w:r>
          </w:p>
        </w:tc>
        <w:tc>
          <w:tcPr>
            <w:tcW w:w="10120" w:type="dxa"/>
            <w:vAlign w:val="bottom"/>
            <w:gridSpan w:val="7"/>
          </w:tcPr>
          <w:p>
            <w:pPr>
              <w:ind w:left="80"/>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101.CAL</w:t>
            </w:r>
          </w:p>
        </w:tc>
        <w:tc>
          <w:tcPr>
            <w:tcW w:w="1012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101.DEF</w:t>
            </w:r>
          </w:p>
        </w:tc>
        <w:tc>
          <w:tcPr>
            <w:tcW w:w="10120" w:type="dxa"/>
            <w:vAlign w:val="bottom"/>
            <w:gridSpan w:val="7"/>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101.LAB</w:t>
            </w:r>
          </w:p>
        </w:tc>
        <w:tc>
          <w:tcPr>
            <w:tcW w:w="1012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101.PRE</w:t>
            </w:r>
          </w:p>
        </w:tc>
        <w:tc>
          <w:tcPr>
            <w:tcW w:w="10120" w:type="dxa"/>
            <w:vAlign w:val="bottom"/>
            <w:gridSpan w:val="7"/>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012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3"/>
        </w:trPr>
        <w:tc>
          <w:tcPr>
            <w:tcW w:w="6720" w:type="dxa"/>
            <w:vAlign w:val="bottom"/>
            <w:gridSpan w:val="6"/>
          </w:tcPr>
          <w:p>
            <w:pPr>
              <w:spacing w:after="0"/>
              <w:rPr>
                <w:sz w:val="20"/>
                <w:szCs w:val="20"/>
                <w:color w:val="auto"/>
              </w:rPr>
            </w:pPr>
            <w:r>
              <w:rPr>
                <w:rFonts w:ascii="Arial" w:cs="Arial" w:eastAsia="Arial" w:hAnsi="Arial"/>
                <w:sz w:val="18"/>
                <w:szCs w:val="18"/>
                <w:color w:val="auto"/>
              </w:rPr>
              <w:t>______________________________________</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60" w:type="dxa"/>
            <w:vAlign w:val="bottom"/>
            <w:gridSpan w:val="10"/>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60" w:type="dxa"/>
            <w:vAlign w:val="bottom"/>
            <w:gridSpan w:val="10"/>
          </w:tcPr>
          <w:p>
            <w:pPr>
              <w:ind w:left="100"/>
              <w:spacing w:after="0"/>
              <w:rPr>
                <w:sz w:val="20"/>
                <w:szCs w:val="20"/>
                <w:color w:val="auto"/>
              </w:rPr>
            </w:pPr>
            <w:r>
              <w:rPr>
                <w:rFonts w:ascii="Arial" w:cs="Arial" w:eastAsia="Arial" w:hAnsi="Arial"/>
                <w:sz w:val="18"/>
                <w:szCs w:val="18"/>
                <w:color w:val="auto"/>
              </w:rPr>
              <w:t>Electronically filed</w:t>
            </w:r>
          </w:p>
        </w:tc>
      </w:tr>
      <w:tr>
        <w:trPr>
          <w:trHeight w:val="891"/>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gridSpan w:val="2"/>
          </w:tcPr>
          <w:p>
            <w:pPr>
              <w:jc w:val="right"/>
              <w:ind w:right="90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MYR GROUP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10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April 28, 2021</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Betty R. Johnson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320" w:top="125" w:right="65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MYR GROUP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PERFORMANCE SHARES AWARD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Officer)</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This AGREEMENT (this “Agreement”) is made as of [__________________], by and between MYR Group Inc., a Delaware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corporation (the “Company”), and [______________] (the “Participant”).</w:t>
      </w:r>
    </w:p>
    <w:p>
      <w:pPr>
        <w:spacing w:after="0" w:line="94" w:lineRule="exact"/>
        <w:rPr>
          <w:sz w:val="20"/>
          <w:szCs w:val="20"/>
          <w:color w:val="auto"/>
        </w:rPr>
      </w:pPr>
    </w:p>
    <w:p>
      <w:pPr>
        <w:ind w:left="660" w:right="100" w:hanging="652"/>
        <w:spacing w:after="0" w:line="289"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Grant of Performance Shares. Pursuant to the MYR Group Inc. 2017 Long-Term Incentive Plan (the “Plan”) and subject to the terms and conditions thereof and the terms and conditions hereinafter set forth, the Company has granted to the Participant, as of [________________] (the “Date of Grant”), [________] target Performance Shares, a percentage of which may be earned in accordance with the terms of this Agreement and contingent on the Company’s Return On Invested Capital (“ROIC”) over the ROIC Performance Period (as defined below) (such target amount, the “ROIC Target Performance Shares”), and [____] target Performance Shares, a percentage of which may be earned in accordance with the terms of this Agreement and contingent on the Company’s relative Total Stockholder Return (“TSR”) over the TSR Performance Period (as defined below) (such target amount, the “TSR Target Performance Shares”). The Performance Shares are not intended to be a Qualified-Performance Based Award under the Plan.</w:t>
      </w:r>
    </w:p>
    <w:p>
      <w:pPr>
        <w:spacing w:after="0" w:line="48" w:lineRule="exact"/>
        <w:rPr>
          <w:rFonts w:ascii="Arial" w:cs="Arial" w:eastAsia="Arial" w:hAnsi="Arial"/>
          <w:sz w:val="19"/>
          <w:szCs w:val="19"/>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Earning of Target Performance Shares.</w:t>
      </w:r>
    </w:p>
    <w:p>
      <w:pPr>
        <w:spacing w:after="0" w:line="111" w:lineRule="exact"/>
        <w:rPr>
          <w:rFonts w:ascii="Arial" w:cs="Arial" w:eastAsia="Arial" w:hAnsi="Arial"/>
          <w:sz w:val="22"/>
          <w:szCs w:val="22"/>
          <w:color w:val="auto"/>
        </w:rPr>
      </w:pPr>
    </w:p>
    <w:p>
      <w:pPr>
        <w:ind w:left="1300" w:right="20" w:hanging="644"/>
        <w:spacing w:after="0" w:line="288" w:lineRule="auto"/>
        <w:tabs>
          <w:tab w:leader="none" w:pos="1297" w:val="left"/>
        </w:tabs>
        <w:numPr>
          <w:ilvl w:val="1"/>
          <w:numId w:val="10"/>
        </w:numPr>
        <w:rPr>
          <w:rFonts w:ascii="Arial" w:cs="Arial" w:eastAsia="Arial" w:hAnsi="Arial"/>
          <w:sz w:val="19"/>
          <w:szCs w:val="19"/>
          <w:color w:val="auto"/>
        </w:rPr>
      </w:pPr>
      <w:r>
        <w:rPr>
          <w:rFonts w:ascii="Arial" w:cs="Arial" w:eastAsia="Arial" w:hAnsi="Arial"/>
          <w:sz w:val="19"/>
          <w:szCs w:val="19"/>
          <w:color w:val="auto"/>
        </w:rPr>
        <w:t>Performance Measure: The Participant’s right to receive all of, any portion of, or more than, the number of ROIC Target Performance Shares or TSR Target Performance Shares generally will be contingent upon the achievement of specified levels of the Company’s ROIC and relative TSR, as set forth in the “Statement of Performance Goals” established by the Committee in connection with the Awards granted by this Agreement, and will be measured over each fiscal year in the period from January 1, 20__ through December 31, 20__ for ROIC performance (the “ROIC Performance Period”) and the arithmetic average of the ROIC for the ROIC Performance Period, which shall be calculated by dividing the sum of the Company’s ROIC for each fiscal year in the ROIC Performance Period by the number of years in the ROIC Performance Period (the “Three-Year Average”), and the Date of Grant through December 31, 20__ for TSR performance (the “TSR Performance Period” and together with the ROIC Performance Period, the “Performance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2" w:right="339" w:bottom="1440" w:gutter="0" w:footer="0" w:header="0"/>
        </w:sectPr>
      </w:pPr>
    </w:p>
    <w:bookmarkStart w:id="37" w:name="page38"/>
    <w:bookmarkEnd w:id="37"/>
    <w:p>
      <w:pPr>
        <w:spacing w:after="0" w:line="96" w:lineRule="exact"/>
        <w:rPr>
          <w:sz w:val="20"/>
          <w:szCs w:val="20"/>
          <w:color w:val="auto"/>
        </w:rPr>
      </w:pPr>
    </w:p>
    <w:p>
      <w:pPr>
        <w:ind w:left="644" w:hanging="644"/>
        <w:spacing w:after="0"/>
        <w:tabs>
          <w:tab w:leader="none" w:pos="6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Below Threshold:</w:t>
      </w:r>
    </w:p>
    <w:p>
      <w:pPr>
        <w:spacing w:after="0" w:line="111" w:lineRule="exact"/>
        <w:rPr>
          <w:rFonts w:ascii="Arial" w:cs="Arial" w:eastAsia="Arial" w:hAnsi="Arial"/>
          <w:sz w:val="22"/>
          <w:szCs w:val="22"/>
          <w:color w:val="auto"/>
        </w:rPr>
      </w:pPr>
    </w:p>
    <w:p>
      <w:pPr>
        <w:jc w:val="both"/>
        <w:ind w:left="1304" w:right="160" w:hanging="860"/>
        <w:spacing w:after="0" w:line="248" w:lineRule="auto"/>
        <w:tabs>
          <w:tab w:leader="none" w:pos="1304" w:val="left"/>
        </w:tabs>
        <w:numPr>
          <w:ilvl w:val="1"/>
          <w:numId w:val="11"/>
        </w:numPr>
        <w:rPr>
          <w:rFonts w:ascii="Arial" w:cs="Arial" w:eastAsia="Arial" w:hAnsi="Arial"/>
          <w:sz w:val="22"/>
          <w:szCs w:val="22"/>
          <w:color w:val="auto"/>
        </w:rPr>
      </w:pPr>
      <w:r>
        <w:rPr>
          <w:rFonts w:ascii="Arial" w:cs="Arial" w:eastAsia="Arial" w:hAnsi="Arial"/>
          <w:sz w:val="22"/>
          <w:szCs w:val="22"/>
          <w:color w:val="auto"/>
        </w:rPr>
        <w:t>ROIC: If, upon the conclusion of the ROIC Performance Period, ROIC for any fiscal year in the ROIC Performance Period or the Three-Year Average ROIC for the ROIC Performance Period falls below the threshold level, as set forth in the ROIC Performance Matrix contained in the Statement of Performance Goals, no Performance Shares for ROIC performance shall become earned for that fiscal year and/or the Three-Year Average, as applicable.</w:t>
      </w:r>
    </w:p>
    <w:p>
      <w:pPr>
        <w:spacing w:after="0" w:line="83" w:lineRule="exact"/>
        <w:rPr>
          <w:rFonts w:ascii="Arial" w:cs="Arial" w:eastAsia="Arial" w:hAnsi="Arial"/>
          <w:sz w:val="22"/>
          <w:szCs w:val="22"/>
          <w:color w:val="auto"/>
        </w:rPr>
      </w:pPr>
    </w:p>
    <w:p>
      <w:pPr>
        <w:ind w:left="1304" w:hanging="919"/>
        <w:spacing w:after="0" w:line="238" w:lineRule="auto"/>
        <w:tabs>
          <w:tab w:leader="none" w:pos="1304" w:val="left"/>
        </w:tabs>
        <w:numPr>
          <w:ilvl w:val="1"/>
          <w:numId w:val="11"/>
        </w:numPr>
        <w:rPr>
          <w:rFonts w:ascii="Arial" w:cs="Arial" w:eastAsia="Arial" w:hAnsi="Arial"/>
          <w:sz w:val="21"/>
          <w:szCs w:val="21"/>
          <w:color w:val="auto"/>
        </w:rPr>
      </w:pPr>
      <w:r>
        <w:rPr>
          <w:rFonts w:ascii="Arial" w:cs="Arial" w:eastAsia="Arial" w:hAnsi="Arial"/>
          <w:sz w:val="21"/>
          <w:szCs w:val="21"/>
          <w:color w:val="auto"/>
        </w:rPr>
        <w:t>TSR: If, upon conclusion of the TSR Performance Period, the Company’s relative TSR for the TSR Performance Period falls below the 25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percentile of TSR for the TSR Peer Group Companies (as defined below), no Performance Shares for TSR performance shall become earned.</w:t>
      </w:r>
    </w:p>
    <w:p>
      <w:pPr>
        <w:spacing w:after="0" w:line="90" w:lineRule="exact"/>
        <w:rPr>
          <w:rFonts w:ascii="Arial" w:cs="Arial" w:eastAsia="Arial" w:hAnsi="Arial"/>
          <w:sz w:val="21"/>
          <w:szCs w:val="21"/>
          <w:color w:val="auto"/>
        </w:rPr>
      </w:pPr>
    </w:p>
    <w:p>
      <w:pPr>
        <w:ind w:left="644" w:hanging="644"/>
        <w:spacing w:after="0"/>
        <w:tabs>
          <w:tab w:leader="none" w:pos="6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Threshold:</w:t>
      </w:r>
    </w:p>
    <w:p>
      <w:pPr>
        <w:spacing w:after="0" w:line="111" w:lineRule="exact"/>
        <w:rPr>
          <w:rFonts w:ascii="Arial" w:cs="Arial" w:eastAsia="Arial" w:hAnsi="Arial"/>
          <w:sz w:val="22"/>
          <w:szCs w:val="22"/>
          <w:color w:val="auto"/>
        </w:rPr>
      </w:pPr>
    </w:p>
    <w:p>
      <w:pPr>
        <w:ind w:left="1304" w:right="100" w:hanging="860"/>
        <w:spacing w:after="0" w:line="294" w:lineRule="auto"/>
        <w:tabs>
          <w:tab w:leader="none" w:pos="1304" w:val="left"/>
        </w:tabs>
        <w:numPr>
          <w:ilvl w:val="1"/>
          <w:numId w:val="11"/>
        </w:numPr>
        <w:rPr>
          <w:rFonts w:ascii="Arial" w:cs="Arial" w:eastAsia="Arial" w:hAnsi="Arial"/>
          <w:sz w:val="19"/>
          <w:szCs w:val="19"/>
          <w:color w:val="auto"/>
        </w:rPr>
      </w:pPr>
      <w:r>
        <w:rPr>
          <w:rFonts w:ascii="Arial" w:cs="Arial" w:eastAsia="Arial" w:hAnsi="Arial"/>
          <w:sz w:val="19"/>
          <w:szCs w:val="19"/>
          <w:color w:val="auto"/>
        </w:rPr>
        <w:t>ROIC: If, upon the conclusion of the ROIC Performance Period, ROIC for any fiscal year in the ROIC Performance Period and/or the Three-Year Average ROIC for the ROIC Performance Period equals the threshold level, as set forth in the ROIC Performance Matrix contained in the Statement of Performance Goals, 10% of the ROIC Target Performance Shares shall be earned for each such fiscal year and 20% of the ROIC Target Performance Shares shall be earned for the Three Year Average ROIC, with a fractional share from the total earned ROIC Target Performance Shares rounded down to the next whole share.</w:t>
      </w:r>
    </w:p>
    <w:p>
      <w:pPr>
        <w:spacing w:after="0" w:line="41" w:lineRule="exact"/>
        <w:rPr>
          <w:rFonts w:ascii="Arial" w:cs="Arial" w:eastAsia="Arial" w:hAnsi="Arial"/>
          <w:sz w:val="19"/>
          <w:szCs w:val="19"/>
          <w:color w:val="auto"/>
        </w:rPr>
      </w:pPr>
    </w:p>
    <w:p>
      <w:pPr>
        <w:ind w:left="1304" w:right="100" w:hanging="919"/>
        <w:spacing w:after="0" w:line="231" w:lineRule="auto"/>
        <w:tabs>
          <w:tab w:leader="none" w:pos="1304" w:val="left"/>
        </w:tabs>
        <w:numPr>
          <w:ilvl w:val="1"/>
          <w:numId w:val="11"/>
        </w:numPr>
        <w:rPr>
          <w:rFonts w:ascii="Arial" w:cs="Arial" w:eastAsia="Arial" w:hAnsi="Arial"/>
          <w:sz w:val="22"/>
          <w:szCs w:val="22"/>
          <w:color w:val="auto"/>
        </w:rPr>
      </w:pPr>
      <w:r>
        <w:rPr>
          <w:rFonts w:ascii="Arial" w:cs="Arial" w:eastAsia="Arial" w:hAnsi="Arial"/>
          <w:sz w:val="22"/>
          <w:szCs w:val="22"/>
          <w:color w:val="auto"/>
        </w:rPr>
        <w:t>TSR: If, upon conclusion of the TSR Performance Period, the Company’s relative TSR for the TSR Performance Period is at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TSR for the TSR Peer Group Companies, 25% of the TSR Target Performance Shares shall become earned, with a fractional share rounded down to the next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16"/>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64"/>
          </w:cols>
          <w:pgMar w:left="976" w:top="1440" w:right="459" w:bottom="1440" w:gutter="0" w:footer="0" w:header="0"/>
        </w:sectPr>
      </w:pPr>
    </w:p>
    <w:bookmarkStart w:id="38" w:name="page39"/>
    <w:bookmarkEnd w:id="38"/>
    <w:p>
      <w:pPr>
        <w:spacing w:after="0" w:line="96"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Between Threshold and Target:</w:t>
      </w:r>
    </w:p>
    <w:p>
      <w:pPr>
        <w:spacing w:after="0" w:line="111" w:lineRule="exact"/>
        <w:rPr>
          <w:rFonts w:ascii="Arial" w:cs="Arial" w:eastAsia="Arial" w:hAnsi="Arial"/>
          <w:sz w:val="22"/>
          <w:szCs w:val="22"/>
          <w:color w:val="auto"/>
        </w:rPr>
      </w:pPr>
    </w:p>
    <w:p>
      <w:pPr>
        <w:ind w:left="1304" w:right="20" w:hanging="860"/>
        <w:spacing w:after="0" w:line="288" w:lineRule="auto"/>
        <w:tabs>
          <w:tab w:leader="none" w:pos="1304" w:val="left"/>
        </w:tabs>
        <w:numPr>
          <w:ilvl w:val="1"/>
          <w:numId w:val="12"/>
        </w:numPr>
        <w:rPr>
          <w:rFonts w:ascii="Arial" w:cs="Arial" w:eastAsia="Arial" w:hAnsi="Arial"/>
          <w:sz w:val="19"/>
          <w:szCs w:val="19"/>
          <w:color w:val="auto"/>
        </w:rPr>
      </w:pPr>
      <w:r>
        <w:rPr>
          <w:rFonts w:ascii="Arial" w:cs="Arial" w:eastAsia="Arial" w:hAnsi="Arial"/>
          <w:sz w:val="19"/>
          <w:szCs w:val="19"/>
          <w:color w:val="auto"/>
        </w:rPr>
        <w:t>ROIC: If, upon the conclusion of the ROIC Performance Period, ROIC for any fiscal year in the ROIC Performance Period and/or the Three-Year Average exceeds the threshold level, but is less than the target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50% (threshold) payout of the ROIC Target Performance Shares and 100% (target) payout of the ROIC Target Performance Shares, with a fractional share from the total earned ROIC Target Performance Shares rounded down to the next whole share.</w:t>
      </w:r>
    </w:p>
    <w:p>
      <w:pPr>
        <w:spacing w:after="0" w:line="43" w:lineRule="exact"/>
        <w:rPr>
          <w:rFonts w:ascii="Arial" w:cs="Arial" w:eastAsia="Arial" w:hAnsi="Arial"/>
          <w:sz w:val="19"/>
          <w:szCs w:val="19"/>
          <w:color w:val="auto"/>
        </w:rPr>
      </w:pPr>
    </w:p>
    <w:p>
      <w:pPr>
        <w:ind w:left="1304" w:hanging="919"/>
        <w:spacing w:after="0" w:line="261" w:lineRule="auto"/>
        <w:tabs>
          <w:tab w:leader="none" w:pos="1304" w:val="left"/>
        </w:tabs>
        <w:numPr>
          <w:ilvl w:val="1"/>
          <w:numId w:val="12"/>
        </w:numPr>
        <w:rPr>
          <w:rFonts w:ascii="Arial" w:cs="Arial" w:eastAsia="Arial" w:hAnsi="Arial"/>
          <w:sz w:val="20"/>
          <w:szCs w:val="20"/>
          <w:color w:val="auto"/>
        </w:rPr>
      </w:pPr>
      <w:r>
        <w:rPr>
          <w:rFonts w:ascii="Arial" w:cs="Arial" w:eastAsia="Arial" w:hAnsi="Arial"/>
          <w:sz w:val="20"/>
          <w:szCs w:val="20"/>
          <w:color w:val="auto"/>
        </w:rPr>
        <w:t>TSR: If, upon the conclusion of the TSR Performance Period, the Company’s relative TSR exceeds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 but is less than the 50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 of TSR of the TSR Peer Group Companies, the percentage of TSR Target Performance Shares that shall become earned shall be determined by mathematical straight-line interpolation between 25% of the TSR Target Performance Shares and 100% of the TSR Target Performance Shares, with a fractional share rounded down to the next whole share.</w:t>
      </w:r>
    </w:p>
    <w:p>
      <w:pPr>
        <w:spacing w:after="0" w:line="72" w:lineRule="exact"/>
        <w:rPr>
          <w:rFonts w:ascii="Arial" w:cs="Arial" w:eastAsia="Arial" w:hAnsi="Arial"/>
          <w:sz w:val="20"/>
          <w:szCs w:val="20"/>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Target:</w:t>
      </w:r>
    </w:p>
    <w:p>
      <w:pPr>
        <w:spacing w:after="0" w:line="111" w:lineRule="exact"/>
        <w:rPr>
          <w:rFonts w:ascii="Arial" w:cs="Arial" w:eastAsia="Arial" w:hAnsi="Arial"/>
          <w:sz w:val="22"/>
          <w:szCs w:val="22"/>
          <w:color w:val="auto"/>
        </w:rPr>
      </w:pPr>
    </w:p>
    <w:p>
      <w:pPr>
        <w:ind w:left="1304" w:right="340" w:hanging="860"/>
        <w:spacing w:after="0" w:line="294" w:lineRule="auto"/>
        <w:tabs>
          <w:tab w:leader="none" w:pos="1304" w:val="left"/>
        </w:tabs>
        <w:numPr>
          <w:ilvl w:val="1"/>
          <w:numId w:val="12"/>
        </w:numPr>
        <w:rPr>
          <w:rFonts w:ascii="Arial" w:cs="Arial" w:eastAsia="Arial" w:hAnsi="Arial"/>
          <w:sz w:val="19"/>
          <w:szCs w:val="19"/>
          <w:color w:val="auto"/>
        </w:rPr>
      </w:pPr>
      <w:r>
        <w:rPr>
          <w:rFonts w:ascii="Arial" w:cs="Arial" w:eastAsia="Arial" w:hAnsi="Arial"/>
          <w:sz w:val="19"/>
          <w:szCs w:val="19"/>
          <w:color w:val="auto"/>
        </w:rPr>
        <w:t>ROIC: If, upon the conclusion of the ROIC Performance Period, ROIC for any fiscal year in the ROIC Performance Period and/or the Three-Year Average equals the target level, as set forth in the ROIC Performance Matrix contained in the Statement of Performance Goals, 20% of the ROIC Target Performance Shares shall be earned for each such fiscal year and 40% of the ROIC Target Performance Shares shall be earned for the Three Year Average ROIC, with a fractional share from the total earned ROIC Target Performance Shares rounded down to the next whole share.</w:t>
      </w:r>
    </w:p>
    <w:p>
      <w:pPr>
        <w:spacing w:after="0" w:line="41" w:lineRule="exact"/>
        <w:rPr>
          <w:rFonts w:ascii="Arial" w:cs="Arial" w:eastAsia="Arial" w:hAnsi="Arial"/>
          <w:sz w:val="19"/>
          <w:szCs w:val="19"/>
          <w:color w:val="auto"/>
        </w:rPr>
      </w:pPr>
    </w:p>
    <w:p>
      <w:pPr>
        <w:ind w:left="1304" w:right="100" w:hanging="919"/>
        <w:spacing w:after="0" w:line="231" w:lineRule="auto"/>
        <w:tabs>
          <w:tab w:leader="none" w:pos="1304" w:val="left"/>
        </w:tabs>
        <w:numPr>
          <w:ilvl w:val="1"/>
          <w:numId w:val="12"/>
        </w:numPr>
        <w:rPr>
          <w:rFonts w:ascii="Arial" w:cs="Arial" w:eastAsia="Arial" w:hAnsi="Arial"/>
          <w:sz w:val="22"/>
          <w:szCs w:val="22"/>
          <w:color w:val="auto"/>
        </w:rPr>
      </w:pPr>
      <w:r>
        <w:rPr>
          <w:rFonts w:ascii="Arial" w:cs="Arial" w:eastAsia="Arial" w:hAnsi="Arial"/>
          <w:sz w:val="22"/>
          <w:szCs w:val="22"/>
          <w:color w:val="auto"/>
        </w:rPr>
        <w:t>TSR: If, upon conclusion of the TSR Performance Period, the Company’s relative TSR for the TSR Performance Period is at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TSR for the TSR Peer Group Companies, 100% of the TSR Target Performance Shares shall become earned, with a fractional share rounded down to the next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64"/>
          </w:cols>
          <w:pgMar w:left="976" w:top="1440" w:right="359" w:bottom="1440" w:gutter="0" w:footer="0" w:header="0"/>
        </w:sectPr>
      </w:pPr>
    </w:p>
    <w:bookmarkStart w:id="39" w:name="page40"/>
    <w:bookmarkEnd w:id="39"/>
    <w:p>
      <w:pPr>
        <w:spacing w:after="0" w:line="96" w:lineRule="exact"/>
        <w:rPr>
          <w:sz w:val="20"/>
          <w:szCs w:val="20"/>
          <w:color w:val="auto"/>
        </w:rPr>
      </w:pPr>
    </w:p>
    <w:p>
      <w:pPr>
        <w:ind w:left="644" w:hanging="644"/>
        <w:spacing w:after="0"/>
        <w:tabs>
          <w:tab w:leader="none" w:pos="644" w:val="left"/>
        </w:tabs>
        <w:numPr>
          <w:ilvl w:val="0"/>
          <w:numId w:val="13"/>
        </w:numPr>
        <w:rPr>
          <w:rFonts w:ascii="Arial" w:cs="Arial" w:eastAsia="Arial" w:hAnsi="Arial"/>
          <w:sz w:val="22"/>
          <w:szCs w:val="22"/>
          <w:color w:val="auto"/>
        </w:rPr>
      </w:pPr>
      <w:r>
        <w:rPr>
          <w:rFonts w:ascii="Arial" w:cs="Arial" w:eastAsia="Arial" w:hAnsi="Arial"/>
          <w:sz w:val="22"/>
          <w:szCs w:val="22"/>
          <w:color w:val="auto"/>
        </w:rPr>
        <w:t>Between Target and Maximum:</w:t>
      </w:r>
    </w:p>
    <w:p>
      <w:pPr>
        <w:spacing w:after="0" w:line="111" w:lineRule="exact"/>
        <w:rPr>
          <w:rFonts w:ascii="Arial" w:cs="Arial" w:eastAsia="Arial" w:hAnsi="Arial"/>
          <w:sz w:val="22"/>
          <w:szCs w:val="22"/>
          <w:color w:val="auto"/>
        </w:rPr>
      </w:pPr>
    </w:p>
    <w:p>
      <w:pPr>
        <w:ind w:left="1304" w:right="80" w:hanging="860"/>
        <w:spacing w:after="0" w:line="288" w:lineRule="auto"/>
        <w:tabs>
          <w:tab w:leader="none" w:pos="1304" w:val="left"/>
        </w:tabs>
        <w:numPr>
          <w:ilvl w:val="1"/>
          <w:numId w:val="13"/>
        </w:numPr>
        <w:rPr>
          <w:rFonts w:ascii="Arial" w:cs="Arial" w:eastAsia="Arial" w:hAnsi="Arial"/>
          <w:sz w:val="19"/>
          <w:szCs w:val="19"/>
          <w:color w:val="auto"/>
        </w:rPr>
      </w:pPr>
      <w:r>
        <w:rPr>
          <w:rFonts w:ascii="Arial" w:cs="Arial" w:eastAsia="Arial" w:hAnsi="Arial"/>
          <w:sz w:val="19"/>
          <w:szCs w:val="19"/>
          <w:color w:val="auto"/>
        </w:rPr>
        <w:t>ROIC: If, upon the conclusion of the ROIC Performance Period, ROIC for any fiscal year in the ROIC Performance Period and/or the Three-Year Average exceeds the target level, but is less than the maximum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100% (target) payout of the ROIC Target Performance Shares and 200% (maximum) payout of the ROIC Target Performance Shares, with a fractional share from the total earned ROIC Target Performance Shares rounded down to the next whole share.</w:t>
      </w:r>
    </w:p>
    <w:p>
      <w:pPr>
        <w:spacing w:after="0" w:line="43" w:lineRule="exact"/>
        <w:rPr>
          <w:rFonts w:ascii="Arial" w:cs="Arial" w:eastAsia="Arial" w:hAnsi="Arial"/>
          <w:sz w:val="19"/>
          <w:szCs w:val="19"/>
          <w:color w:val="auto"/>
        </w:rPr>
      </w:pPr>
    </w:p>
    <w:p>
      <w:pPr>
        <w:ind w:left="1304" w:hanging="919"/>
        <w:spacing w:after="0" w:line="258" w:lineRule="auto"/>
        <w:tabs>
          <w:tab w:leader="none" w:pos="130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TSR: If, upon the conclusion of the TSR Performance Period, the Company’s relative TSR exceeds the 50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but is less than the 75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of TSR for the TSR Peer Group Companies, the percentage of TSR Target Performance Shares that shall become earned shall be determined by mathematical straight-line interpolation between 100% of the TSR Target Performance Shares and 200% of the TSR Target Performance Shares, with a fractional share rounded down to the next whole share.</w:t>
      </w:r>
    </w:p>
    <w:p>
      <w:pPr>
        <w:spacing w:after="0" w:line="75" w:lineRule="exact"/>
        <w:rPr>
          <w:rFonts w:ascii="Arial" w:cs="Arial" w:eastAsia="Arial" w:hAnsi="Arial"/>
          <w:sz w:val="19"/>
          <w:szCs w:val="19"/>
          <w:color w:val="auto"/>
        </w:rPr>
      </w:pPr>
    </w:p>
    <w:p>
      <w:pPr>
        <w:ind w:left="644" w:hanging="644"/>
        <w:spacing w:after="0"/>
        <w:tabs>
          <w:tab w:leader="none" w:pos="644" w:val="left"/>
        </w:tabs>
        <w:numPr>
          <w:ilvl w:val="0"/>
          <w:numId w:val="13"/>
        </w:numPr>
        <w:rPr>
          <w:rFonts w:ascii="Arial" w:cs="Arial" w:eastAsia="Arial" w:hAnsi="Arial"/>
          <w:sz w:val="22"/>
          <w:szCs w:val="22"/>
          <w:color w:val="auto"/>
        </w:rPr>
      </w:pPr>
      <w:r>
        <w:rPr>
          <w:rFonts w:ascii="Arial" w:cs="Arial" w:eastAsia="Arial" w:hAnsi="Arial"/>
          <w:sz w:val="22"/>
          <w:szCs w:val="22"/>
          <w:color w:val="auto"/>
        </w:rPr>
        <w:t>Equals or Exceeds Maximum:</w:t>
      </w:r>
    </w:p>
    <w:p>
      <w:pPr>
        <w:spacing w:after="0" w:line="111" w:lineRule="exact"/>
        <w:rPr>
          <w:rFonts w:ascii="Arial" w:cs="Arial" w:eastAsia="Arial" w:hAnsi="Arial"/>
          <w:sz w:val="22"/>
          <w:szCs w:val="22"/>
          <w:color w:val="auto"/>
        </w:rPr>
      </w:pPr>
    </w:p>
    <w:p>
      <w:pPr>
        <w:ind w:left="1304" w:right="100" w:hanging="860"/>
        <w:spacing w:after="0" w:line="294" w:lineRule="auto"/>
        <w:tabs>
          <w:tab w:leader="none" w:pos="1304" w:val="left"/>
        </w:tabs>
        <w:numPr>
          <w:ilvl w:val="1"/>
          <w:numId w:val="13"/>
        </w:numPr>
        <w:rPr>
          <w:rFonts w:ascii="Arial" w:cs="Arial" w:eastAsia="Arial" w:hAnsi="Arial"/>
          <w:sz w:val="19"/>
          <w:szCs w:val="19"/>
          <w:color w:val="auto"/>
        </w:rPr>
      </w:pPr>
      <w:r>
        <w:rPr>
          <w:rFonts w:ascii="Arial" w:cs="Arial" w:eastAsia="Arial" w:hAnsi="Arial"/>
          <w:sz w:val="19"/>
          <w:szCs w:val="19"/>
          <w:color w:val="auto"/>
        </w:rPr>
        <w:t>ROIC: If, upon the conclusion of the ROIC Performance Period, ROIC for any fiscal year in the ROIC Performance Period and/or the Three-Year Average equals or exceeds the maximum level, as set forth in the ROIC Performance Matrix contained in the Statement of Performance Goals, 40% of the ROIC Target Performance Shares shall be earned for each such fiscal year and 80% of the ROIC Target Performance Shares shall be earned for the Three Year Average ROIC, with a fractional share from the total earned ROIC Target Performance Shares rounded down to the next whole share.</w:t>
      </w:r>
    </w:p>
    <w:p>
      <w:pPr>
        <w:spacing w:after="0" w:line="41" w:lineRule="exact"/>
        <w:rPr>
          <w:rFonts w:ascii="Arial" w:cs="Arial" w:eastAsia="Arial" w:hAnsi="Arial"/>
          <w:sz w:val="19"/>
          <w:szCs w:val="19"/>
          <w:color w:val="auto"/>
        </w:rPr>
      </w:pPr>
    </w:p>
    <w:p>
      <w:pPr>
        <w:ind w:left="1304" w:hanging="919"/>
        <w:spacing w:after="0" w:line="231" w:lineRule="auto"/>
        <w:tabs>
          <w:tab w:leader="none" w:pos="1304" w:val="left"/>
        </w:tabs>
        <w:numPr>
          <w:ilvl w:val="1"/>
          <w:numId w:val="13"/>
        </w:numPr>
        <w:rPr>
          <w:rFonts w:ascii="Arial" w:cs="Arial" w:eastAsia="Arial" w:hAnsi="Arial"/>
          <w:sz w:val="22"/>
          <w:szCs w:val="22"/>
          <w:color w:val="auto"/>
        </w:rPr>
      </w:pPr>
      <w:r>
        <w:rPr>
          <w:rFonts w:ascii="Arial" w:cs="Arial" w:eastAsia="Arial" w:hAnsi="Arial"/>
          <w:sz w:val="22"/>
          <w:szCs w:val="22"/>
          <w:color w:val="auto"/>
        </w:rPr>
        <w:t>TSR: If, upon conclusion of the TSR Performance Period, the Company’s relative TSR for the TSR Performance Period equals or exceeds the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TSR for the TSR Peer Group Companies, 200% of the TSR Target Performance Shares shall become earned, with a fractional share rounded down to the next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64"/>
          </w:cols>
          <w:pgMar w:left="976" w:top="1440" w:right="359" w:bottom="1440" w:gutter="0" w:footer="0" w:header="0"/>
        </w:sectPr>
      </w:pPr>
    </w:p>
    <w:bookmarkStart w:id="40" w:name="page41"/>
    <w:bookmarkEnd w:id="40"/>
    <w:p>
      <w:pPr>
        <w:spacing w:after="0" w:line="96" w:lineRule="exact"/>
        <w:rPr>
          <w:sz w:val="20"/>
          <w:szCs w:val="20"/>
          <w:color w:val="auto"/>
        </w:rPr>
      </w:pPr>
    </w:p>
    <w:p>
      <w:pPr>
        <w:ind w:left="644" w:hanging="644"/>
        <w:spacing w:after="0" w:line="294" w:lineRule="auto"/>
        <w:tabs>
          <w:tab w:leader="none" w:pos="639"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Conditions; Determination of Earned Award: Except as otherwise provided herein, the Participant’s right to receive any Performance Shares is contingent upon his or her remaining in the continuous employ of the Company or a Subsidiary through the end of the Performance Periods. Following the Performance Periods, the Committee shall determine whether and to what extent the goals relating to ROIC and TSR have been satisfied for the Performance Periods and shall determine the percent of ROIC Target Performance Shares and TSR Target Performance Shares, if any, that may have become earned hereunder.</w:t>
      </w:r>
    </w:p>
    <w:p>
      <w:pPr>
        <w:spacing w:after="0" w:line="41" w:lineRule="exact"/>
        <w:rPr>
          <w:rFonts w:ascii="Arial" w:cs="Arial" w:eastAsia="Arial" w:hAnsi="Arial"/>
          <w:sz w:val="19"/>
          <w:szCs w:val="19"/>
          <w:color w:val="auto"/>
        </w:rPr>
      </w:pPr>
    </w:p>
    <w:p>
      <w:pPr>
        <w:ind w:left="644" w:right="240" w:hanging="644"/>
        <w:spacing w:after="0" w:line="265" w:lineRule="auto"/>
        <w:tabs>
          <w:tab w:leader="none" w:pos="632" w:val="left"/>
        </w:tabs>
        <w:numPr>
          <w:ilvl w:val="0"/>
          <w:numId w:val="14"/>
        </w:numPr>
        <w:rPr>
          <w:rFonts w:ascii="Arial" w:cs="Arial" w:eastAsia="Arial" w:hAnsi="Arial"/>
          <w:sz w:val="21"/>
          <w:szCs w:val="21"/>
          <w:color w:val="auto"/>
        </w:rPr>
      </w:pPr>
      <w:r>
        <w:rPr>
          <w:rFonts w:ascii="Arial" w:cs="Arial" w:eastAsia="Arial" w:hAnsi="Arial"/>
          <w:sz w:val="21"/>
          <w:szCs w:val="21"/>
          <w:color w:val="auto"/>
        </w:rPr>
        <w:t>Determination Regarding ROIC: ROIC for each fiscal year in the ROIC Performance Period is defined as net income plus interest, net of taxes, plus amortization, net of taxes, less dividends divided by the average invested capital (funded debt less cash and marketable securities plus total stockholders’ equity) at the beginning of each fiscal year in the performance period, computed as follows:</w:t>
      </w:r>
    </w:p>
    <w:p>
      <w:pPr>
        <w:spacing w:after="0" w:line="115" w:lineRule="exact"/>
        <w:rPr>
          <w:sz w:val="20"/>
          <w:szCs w:val="20"/>
          <w:color w:val="auto"/>
        </w:rPr>
      </w:pPr>
    </w:p>
    <w:tbl>
      <w:tblPr>
        <w:tblLayout w:type="fixed"/>
        <w:tblInd w:w="304"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8620" w:type="dxa"/>
            <w:vAlign w:val="bottom"/>
          </w:tcPr>
          <w:p>
            <w:pPr>
              <w:jc w:val="center"/>
              <w:spacing w:after="0"/>
              <w:rPr>
                <w:sz w:val="20"/>
                <w:szCs w:val="20"/>
                <w:color w:val="auto"/>
              </w:rPr>
            </w:pPr>
            <w:r>
              <w:rPr>
                <w:rFonts w:ascii="Arial" w:cs="Arial" w:eastAsia="Arial" w:hAnsi="Arial"/>
                <w:sz w:val="18"/>
                <w:szCs w:val="18"/>
                <w:color w:val="auto"/>
                <w:w w:val="92"/>
              </w:rPr>
              <w:t>Net Income + ((Net Interest + Amortization) x (1 – Tax Rate)) – Dividends</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ROIC =</w:t>
            </w: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80" w:type="dxa"/>
            <w:vAlign w:val="bottom"/>
            <w:vMerge w:val="continue"/>
          </w:tcPr>
          <w:p>
            <w:pPr>
              <w:spacing w:after="0"/>
              <w:rPr>
                <w:sz w:val="19"/>
                <w:szCs w:val="19"/>
                <w:color w:val="auto"/>
              </w:rPr>
            </w:pPr>
          </w:p>
        </w:tc>
        <w:tc>
          <w:tcPr>
            <w:tcW w:w="8620" w:type="dxa"/>
            <w:vAlign w:val="bottom"/>
          </w:tcPr>
          <w:p>
            <w:pPr>
              <w:jc w:val="center"/>
              <w:spacing w:after="0"/>
              <w:rPr>
                <w:sz w:val="20"/>
                <w:szCs w:val="20"/>
                <w:color w:val="auto"/>
              </w:rPr>
            </w:pPr>
            <w:r>
              <w:rPr>
                <w:rFonts w:ascii="Arial" w:cs="Arial" w:eastAsia="Arial" w:hAnsi="Arial"/>
                <w:sz w:val="18"/>
                <w:szCs w:val="18"/>
                <w:color w:val="auto"/>
                <w:w w:val="90"/>
              </w:rPr>
              <w:t>Average of (Funded Debt – Cash and Marketable Securities + Total Stockholders’ Equity) at the beginning and the end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620" w:type="dxa"/>
            <w:vAlign w:val="bottom"/>
          </w:tcPr>
          <w:p>
            <w:pPr>
              <w:jc w:val="center"/>
              <w:spacing w:after="0"/>
              <w:rPr>
                <w:sz w:val="20"/>
                <w:szCs w:val="20"/>
                <w:color w:val="auto"/>
              </w:rPr>
            </w:pPr>
            <w:r>
              <w:rPr>
                <w:rFonts w:ascii="Arial" w:cs="Arial" w:eastAsia="Arial" w:hAnsi="Arial"/>
                <w:sz w:val="18"/>
                <w:szCs w:val="18"/>
                <w:color w:val="auto"/>
                <w:w w:val="89"/>
              </w:rPr>
              <w:t>of each year in the performance period</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44" w:right="180"/>
        <w:spacing w:after="0" w:line="287" w:lineRule="auto"/>
        <w:rPr>
          <w:sz w:val="20"/>
          <w:szCs w:val="20"/>
          <w:color w:val="auto"/>
        </w:rPr>
      </w:pPr>
      <w:r>
        <w:rPr>
          <w:rFonts w:ascii="Arial" w:cs="Arial" w:eastAsia="Arial" w:hAnsi="Arial"/>
          <w:sz w:val="21"/>
          <w:szCs w:val="21"/>
          <w:color w:val="auto"/>
        </w:rPr>
        <w:t>with all financial measures as determined from the Company’s consolidated financial statements for each year in the ROIC Performance Period, subject to any adjustment as determined by the Committee.</w:t>
      </w:r>
    </w:p>
    <w:p>
      <w:pPr>
        <w:spacing w:after="0" w:line="43" w:lineRule="exact"/>
        <w:rPr>
          <w:sz w:val="20"/>
          <w:szCs w:val="20"/>
          <w:color w:val="auto"/>
        </w:rPr>
      </w:pPr>
    </w:p>
    <w:p>
      <w:pPr>
        <w:ind w:left="644" w:right="20" w:hanging="644"/>
        <w:spacing w:after="0" w:line="289" w:lineRule="auto"/>
        <w:tabs>
          <w:tab w:leader="none" w:pos="632"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Determination Regarding TSR: At the end of the TSR Performance Period, the percentile rank of the Company’s TSR in respect to the TSR of the TSR Peer Companies will be calculated. TSR with respect to the Company and each of the TSR Peer Companies means the change in the fair market value of common stock of the Company and the TSR Peer Companies, assuming reinvestment of dividends, over the TSR Performance Period. The measurement of change in fair market value over the Performance Period shall be based on the average closing prices of the common stock for the last 20 trading days preceding the Date of Grant and the last 20 trading days preceding the end of the TSR Performance Period (December 31, 20__), assuming reinvestment of dividends in common stock. Any TSR Peer Company that is no longer publicly traded at any time during or at the end of the TSR Performance Period shall be excluded from this calculation.</w:t>
      </w:r>
    </w:p>
    <w:p>
      <w:pPr>
        <w:spacing w:after="0" w:line="48" w:lineRule="exact"/>
        <w:rPr>
          <w:rFonts w:ascii="Arial" w:cs="Arial" w:eastAsia="Arial" w:hAnsi="Arial"/>
          <w:sz w:val="19"/>
          <w:szCs w:val="19"/>
          <w:color w:val="auto"/>
        </w:rPr>
      </w:pPr>
    </w:p>
    <w:p>
      <w:pPr>
        <w:ind w:left="644" w:right="280" w:hanging="644"/>
        <w:spacing w:after="0" w:line="287" w:lineRule="auto"/>
        <w:tabs>
          <w:tab w:leader="none" w:pos="639" w:val="left"/>
        </w:tabs>
        <w:numPr>
          <w:ilvl w:val="0"/>
          <w:numId w:val="15"/>
        </w:numPr>
        <w:rPr>
          <w:rFonts w:ascii="Arial" w:cs="Arial" w:eastAsia="Arial" w:hAnsi="Arial"/>
          <w:sz w:val="21"/>
          <w:szCs w:val="21"/>
          <w:color w:val="auto"/>
        </w:rPr>
      </w:pPr>
      <w:r>
        <w:rPr>
          <w:rFonts w:ascii="Arial" w:cs="Arial" w:eastAsia="Arial" w:hAnsi="Arial"/>
          <w:sz w:val="21"/>
          <w:szCs w:val="21"/>
          <w:color w:val="auto"/>
        </w:rPr>
        <w:t>TSR Peer Companies: The public companies against which the Company’s TSR performance will be compared (the “TSR Peer Group Companies”) are identified in the Statement of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64"/>
          </w:cols>
          <w:pgMar w:left="976" w:top="1440" w:right="359" w:bottom="1440" w:gutter="0" w:footer="0" w:header="0"/>
        </w:sectPr>
      </w:pPr>
    </w:p>
    <w:bookmarkStart w:id="41" w:name="page42"/>
    <w:bookmarkEnd w:id="41"/>
    <w:p>
      <w:pPr>
        <w:spacing w:after="0" w:line="96"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color w:val="auto"/>
        </w:rPr>
        <w:t>Pro Rata Earning of Target Performance Shares.</w:t>
      </w:r>
    </w:p>
    <w:p>
      <w:pPr>
        <w:spacing w:after="0" w:line="111" w:lineRule="exact"/>
        <w:rPr>
          <w:rFonts w:ascii="Arial" w:cs="Arial" w:eastAsia="Arial" w:hAnsi="Arial"/>
          <w:sz w:val="22"/>
          <w:szCs w:val="22"/>
          <w:color w:val="auto"/>
        </w:rPr>
      </w:pPr>
    </w:p>
    <w:p>
      <w:pPr>
        <w:ind w:left="1292" w:hanging="644"/>
        <w:spacing w:after="0" w:line="286"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Termination without Cause or Good Reason, Death, Disability or Retirement: Notwithstanding Section 2(h), if, during the Performance Period, but before the payment of any Performance Shares as set forth in Section 5, the Participant’s employment is terminated without “Cause” or with “Good Reason” (as each term is defined in the Participant’s current Employment Agreement with the Company, as may be amended from time to time (the “Employment Agreement”)), the Participant dies or in the event of his “Disability” (as such term is defined in the Employment Agreement) while in the employ of the Company or in the event of the retirement of the Participant after having attained “normal retirement age” (defined as the earlier of age 62 or 55 years old and 10 years of service)), then the Participant shall be entitled to receive such percent of the ROIC Target Performance Shares and TSR Target Performance Shares, if any, as is determined pursuant to Section 2 at the conclusion of the Performance Periods as if the Participant had remained in the continuous employ of the Company through the end of the Performance Periods, based on the Company’s ROIC and TSR performance during the Performance Periods, prorated, based on the number of whole months that the Participant was employed by the Company during the Performance Periods.</w:t>
      </w:r>
    </w:p>
    <w:p>
      <w:pPr>
        <w:spacing w:after="0" w:line="57" w:lineRule="exact"/>
        <w:rPr>
          <w:rFonts w:ascii="Arial" w:cs="Arial" w:eastAsia="Arial" w:hAnsi="Arial"/>
          <w:sz w:val="19"/>
          <w:szCs w:val="19"/>
          <w:color w:val="auto"/>
        </w:rPr>
      </w:pPr>
    </w:p>
    <w:p>
      <w:pPr>
        <w:ind w:left="1292" w:right="20" w:hanging="644"/>
        <w:spacing w:after="0" w:line="302" w:lineRule="auto"/>
        <w:tabs>
          <w:tab w:leader="none" w:pos="1287" w:val="left"/>
        </w:tabs>
        <w:numPr>
          <w:ilvl w:val="1"/>
          <w:numId w:val="16"/>
        </w:numPr>
        <w:rPr>
          <w:rFonts w:ascii="Arial" w:cs="Arial" w:eastAsia="Arial" w:hAnsi="Arial"/>
          <w:sz w:val="19"/>
          <w:szCs w:val="19"/>
          <w:color w:val="auto"/>
        </w:rPr>
      </w:pPr>
      <w:r>
        <w:rPr>
          <w:rFonts w:ascii="Arial" w:cs="Arial" w:eastAsia="Arial" w:hAnsi="Arial"/>
          <w:sz w:val="19"/>
          <w:szCs w:val="19"/>
          <w:color w:val="auto"/>
        </w:rPr>
        <w:t>Change in Control: Notwithstanding Section 2(h), if, during the Performance Periods, but before the payment of any Performance Shares as set forth in Section 5, a Change in Control occurs while the Participant is an employee of the Company, then the Participant shall be entitled to receive the number of ROIC Target Performance Shares and the number of TSR Target Performance Shares set out in Section 1.</w:t>
      </w:r>
    </w:p>
    <w:p>
      <w:pPr>
        <w:spacing w:after="0" w:line="34" w:lineRule="exact"/>
        <w:rPr>
          <w:rFonts w:ascii="Arial" w:cs="Arial" w:eastAsia="Arial" w:hAnsi="Arial"/>
          <w:sz w:val="19"/>
          <w:szCs w:val="19"/>
          <w:color w:val="auto"/>
        </w:rPr>
      </w:pPr>
    </w:p>
    <w:p>
      <w:pPr>
        <w:ind w:left="652" w:right="20" w:hanging="652"/>
        <w:spacing w:after="0" w:line="302" w:lineRule="auto"/>
        <w:tabs>
          <w:tab w:leader="none" w:pos="652"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Forfeiture of Award. Except to the extent the Participant has earned the right to receive Performance Shares pursuant to Section 2 or 3 hereof, the Participant’s right to receive Performance Shares shall be forfeited automatically and without further notice on the date that the Participant ceases to be an employee of the Company or a Subsidiary prior to the last day of the Performance Periods or, in the event that Section 3(b) applies, the date on which the Change in Control occurs.</w:t>
      </w:r>
    </w:p>
    <w:p>
      <w:pPr>
        <w:spacing w:after="0" w:line="34" w:lineRule="exact"/>
        <w:rPr>
          <w:rFonts w:ascii="Arial" w:cs="Arial" w:eastAsia="Arial" w:hAnsi="Arial"/>
          <w:sz w:val="19"/>
          <w:szCs w:val="19"/>
          <w:color w:val="auto"/>
        </w:rPr>
      </w:pPr>
    </w:p>
    <w:p>
      <w:pPr>
        <w:ind w:left="652" w:hanging="652"/>
        <w:spacing w:after="0"/>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Payment of Performance Shares.</w:t>
      </w:r>
    </w:p>
    <w:p>
      <w:pPr>
        <w:spacing w:after="0" w:line="111" w:lineRule="exact"/>
        <w:rPr>
          <w:rFonts w:ascii="Arial" w:cs="Arial" w:eastAsia="Arial" w:hAnsi="Arial"/>
          <w:sz w:val="22"/>
          <w:szCs w:val="22"/>
          <w:color w:val="auto"/>
        </w:rPr>
      </w:pPr>
    </w:p>
    <w:p>
      <w:pPr>
        <w:ind w:left="1292" w:right="40" w:hanging="644"/>
        <w:spacing w:after="0" w:line="302"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Subject to Section 5(c), Performance Shares earned as provided in Section 2 or pursuant to Section 3(a) shall be paid to the Participant or his or her executor or administrator, as the case may be, in shares of Common Stock in the calendar year immediately following the close of the Performance Period to which the award relates, but in no event later than two and one-half (2 1/2) months after the close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72"/>
          </w:cols>
          <w:pgMar w:left="328" w:top="1440" w:right="399" w:bottom="1440" w:gutter="0" w:footer="0" w:header="0"/>
        </w:sectPr>
      </w:pPr>
    </w:p>
    <w:bookmarkStart w:id="42" w:name="page43"/>
    <w:bookmarkEnd w:id="42"/>
    <w:p>
      <w:pPr>
        <w:spacing w:after="0" w:line="96" w:lineRule="exact"/>
        <w:rPr>
          <w:sz w:val="20"/>
          <w:szCs w:val="20"/>
          <w:color w:val="auto"/>
        </w:rPr>
      </w:pPr>
    </w:p>
    <w:p>
      <w:pPr>
        <w:ind w:left="1292" w:right="140" w:hanging="644"/>
        <w:spacing w:after="0" w:line="250" w:lineRule="auto"/>
        <w:tabs>
          <w:tab w:leader="none" w:pos="1287"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ROIC Target Performance Shares and TSR Target Performance Shares earned pursuant to Section 3(b) shall be paid to the Participant in shares of Common Stock as soon as practicable following the Change in Control, but in no event later than two and one-half (2 1/2) months following the end of the year in which the Change in Control occurs.</w:t>
      </w:r>
    </w:p>
    <w:p>
      <w:pPr>
        <w:spacing w:after="0" w:line="79" w:lineRule="exact"/>
        <w:rPr>
          <w:rFonts w:ascii="Arial" w:cs="Arial" w:eastAsia="Arial" w:hAnsi="Arial"/>
          <w:sz w:val="22"/>
          <w:szCs w:val="22"/>
          <w:color w:val="auto"/>
        </w:rPr>
      </w:pPr>
    </w:p>
    <w:p>
      <w:pPr>
        <w:ind w:left="1292" w:right="140" w:hanging="644"/>
        <w:spacing w:after="0" w:line="259" w:lineRule="auto"/>
        <w:tabs>
          <w:tab w:leader="none" w:pos="1289" w:val="left"/>
        </w:tabs>
        <w:numPr>
          <w:ilvl w:val="1"/>
          <w:numId w:val="17"/>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if the Participant is a “specified employee” as determined pursuant to procedures adopted by the Company in compliance with Section 409A of the Code, the ROIC Target Performance Shares and TSR Target Performance Shares become payable on the Participant’s “separation from service” with the Company and its Subsidiaries within the meaning of Section 409A(a)(2)(A)(i) of the Code, and the amount payable hereunder constitutes a “deferral of compensation” (within the meaning of Section 409A of the Code), then payment of the ROIC Target Performance Shares and TSR Target Performance Shares shall be made on the earlier of the first day of the seventh month after the date of the Participant’s “separation from service” with the Company and its Subsidiaries within the meaning of Section 409A(a)(2)(A)(i) of the Code or the Participant’s death.</w:t>
      </w:r>
    </w:p>
    <w:p>
      <w:pPr>
        <w:spacing w:after="0" w:line="71" w:lineRule="exact"/>
        <w:rPr>
          <w:rFonts w:ascii="Arial" w:cs="Arial" w:eastAsia="Arial" w:hAnsi="Arial"/>
          <w:sz w:val="21"/>
          <w:szCs w:val="21"/>
          <w:color w:val="auto"/>
        </w:rPr>
      </w:pPr>
    </w:p>
    <w:p>
      <w:pPr>
        <w:ind w:left="652" w:hanging="652"/>
        <w:spacing w:after="0"/>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Transferability. Transferability shall be as set forth in the Plan.</w:t>
      </w:r>
    </w:p>
    <w:p>
      <w:pPr>
        <w:spacing w:after="0" w:line="111" w:lineRule="exact"/>
        <w:rPr>
          <w:rFonts w:ascii="Arial" w:cs="Arial" w:eastAsia="Arial" w:hAnsi="Arial"/>
          <w:sz w:val="22"/>
          <w:szCs w:val="22"/>
          <w:color w:val="auto"/>
        </w:rPr>
      </w:pPr>
    </w:p>
    <w:p>
      <w:pPr>
        <w:jc w:val="both"/>
        <w:ind w:left="652" w:right="580" w:hanging="652"/>
        <w:spacing w:after="0" w:line="253"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 Employment Contract. Nothing contained in this Agreement shall (a) confer upon the Participant any right to be employed by or remain employed by the Company, or (b) limit or affect in any manner the right of the Company to terminate the employment of the Participant at any time.</w:t>
      </w:r>
    </w:p>
    <w:p>
      <w:pPr>
        <w:spacing w:after="0" w:line="77" w:lineRule="exact"/>
        <w:rPr>
          <w:rFonts w:ascii="Arial" w:cs="Arial" w:eastAsia="Arial" w:hAnsi="Arial"/>
          <w:sz w:val="22"/>
          <w:szCs w:val="22"/>
          <w:color w:val="auto"/>
        </w:rPr>
      </w:pPr>
    </w:p>
    <w:p>
      <w:pPr>
        <w:ind w:left="652" w:hanging="652"/>
        <w:spacing w:after="0" w:line="246"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Taxes and Withholding. To the extent that the Company is required to withhold any federal, state, local or foreign taxes in connection with the payment of any Performance Shares, it shall be a condition to the payment of any Performance Shares that the Participant shall pay such taxes by the Company’s retention of a portion of the shares of Common Stock otherwise payable to the Participant. The shares so retained shall be credited against such withholding requirement at the Fair Market Value on the date of such delivery. In no event, however, shall the Company accept shares for payment of taxes in excess of minimum required tax withholding rates; therefore, the Participant agrees to a payroll deduction for the amount of the withholding requirement that may be greater than the value of the whole number of shares retained for such purpose.</w:t>
      </w:r>
    </w:p>
    <w:p>
      <w:pPr>
        <w:spacing w:after="0" w:line="85" w:lineRule="exact"/>
        <w:rPr>
          <w:rFonts w:ascii="Arial" w:cs="Arial" w:eastAsia="Arial" w:hAnsi="Arial"/>
          <w:sz w:val="22"/>
          <w:szCs w:val="22"/>
          <w:color w:val="auto"/>
        </w:rPr>
      </w:pPr>
    </w:p>
    <w:p>
      <w:pPr>
        <w:ind w:left="652" w:right="80" w:hanging="652"/>
        <w:spacing w:after="0" w:line="263"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Rights of a Stockholder. The Participant shall not have any rights of a stockholder with respect to the Performance Shares prior to the date such shares are earned.</w:t>
      </w:r>
    </w:p>
    <w:p>
      <w:pPr>
        <w:spacing w:after="0" w:line="66" w:lineRule="exact"/>
        <w:rPr>
          <w:rFonts w:ascii="Arial" w:cs="Arial" w:eastAsia="Arial" w:hAnsi="Arial"/>
          <w:sz w:val="22"/>
          <w:szCs w:val="22"/>
          <w:color w:val="auto"/>
        </w:rPr>
      </w:pPr>
    </w:p>
    <w:p>
      <w:pPr>
        <w:ind w:left="652" w:right="140" w:hanging="652"/>
        <w:spacing w:after="0" w:line="343"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color w:val="auto"/>
        </w:rPr>
        <w:t>Payment of Dividends. No dividends or dividend equivalents shall be accrued or earned with respect to any Performance Shares until such Performance Shares are earned by the Participant as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32"/>
          </w:cols>
          <w:pgMar w:left="328" w:top="1440" w:right="339" w:bottom="1440" w:gutter="0" w:footer="0" w:header="0"/>
        </w:sectPr>
      </w:pPr>
    </w:p>
    <w:bookmarkStart w:id="43" w:name="page44"/>
    <w:bookmarkEnd w:id="43"/>
    <w:p>
      <w:pPr>
        <w:spacing w:after="0" w:line="96" w:lineRule="exact"/>
        <w:rPr>
          <w:sz w:val="20"/>
          <w:szCs w:val="20"/>
          <w:color w:val="auto"/>
        </w:rPr>
      </w:pPr>
    </w:p>
    <w:p>
      <w:pPr>
        <w:ind w:left="652" w:right="180" w:hanging="652"/>
        <w:spacing w:after="0" w:line="253" w:lineRule="auto"/>
        <w:tabs>
          <w:tab w:leader="none" w:pos="644" w:val="left"/>
        </w:tabs>
        <w:numPr>
          <w:ilvl w:val="0"/>
          <w:numId w:val="19"/>
        </w:numPr>
        <w:rPr>
          <w:rFonts w:ascii="Arial" w:cs="Arial" w:eastAsia="Arial" w:hAnsi="Arial"/>
          <w:sz w:val="22"/>
          <w:szCs w:val="22"/>
          <w:color w:val="auto"/>
        </w:rPr>
      </w:pPr>
      <w:r>
        <w:rPr>
          <w:rFonts w:ascii="Arial" w:cs="Arial" w:eastAsia="Arial" w:hAnsi="Arial"/>
          <w:sz w:val="22"/>
          <w:szCs w:val="22"/>
          <w:color w:val="auto"/>
        </w:rPr>
        <w:t>Adjustments. Notwithstanding any other provision hereof, the number of Performance Shares subject to this Agreement, and the other terms and conditions of this award, are subject to mandatory adjustment as provided in Section 3.2 of the Plan.</w:t>
      </w:r>
    </w:p>
    <w:p>
      <w:pPr>
        <w:spacing w:after="0" w:line="77" w:lineRule="exact"/>
        <w:rPr>
          <w:rFonts w:ascii="Arial" w:cs="Arial" w:eastAsia="Arial" w:hAnsi="Arial"/>
          <w:sz w:val="22"/>
          <w:szCs w:val="22"/>
          <w:color w:val="auto"/>
        </w:rPr>
      </w:pPr>
    </w:p>
    <w:p>
      <w:pPr>
        <w:ind w:left="652" w:right="100" w:hanging="652"/>
        <w:spacing w:after="0" w:line="287" w:lineRule="auto"/>
        <w:tabs>
          <w:tab w:leader="none" w:pos="652"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Restrictive Covenants.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receive Performance Shares covered by this Agreement shall be forfeited automatically and without further notice and to the extent that the Participant has received shares of Common Stock pursuant to Section 5 within a period of 18 months prior to such breach, the Participant shall be required to return to the Company, upon demand, such shares or the net proceeds of any sales. For purposes of this Section 12,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50" w:lineRule="exact"/>
        <w:rPr>
          <w:rFonts w:ascii="Arial" w:cs="Arial" w:eastAsia="Arial" w:hAnsi="Arial"/>
          <w:sz w:val="19"/>
          <w:szCs w:val="19"/>
          <w:color w:val="auto"/>
        </w:rPr>
      </w:pPr>
    </w:p>
    <w:p>
      <w:pPr>
        <w:ind w:left="652" w:hanging="652"/>
        <w:spacing w:after="0" w:line="286" w:lineRule="auto"/>
        <w:tabs>
          <w:tab w:leader="none" w:pos="652"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Recovery of Performance Shares. If (a) the Company restates any part of its financial statements for any fiscal year or years covered by the Performance Periods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Company to recover all or any portion (but no more than 100%) of the shares of Common Stock paid or payable to the Participant for the Performance Periods. The amount of any cash or shares recovered by the Company under this Section 13 shall be limited to the amount by which such shares payment exceeded the amount that would have been paid to or received by the Participant had the Company’s financial statements for the applicable restated fiscal year or years been initially filed as restated, as reasonably determined by the Committee.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440" w:right="339" w:bottom="1440" w:gutter="0" w:footer="0" w:header="0"/>
        </w:sectPr>
      </w:pPr>
    </w:p>
    <w:bookmarkStart w:id="44" w:name="page45"/>
    <w:bookmarkEnd w:id="44"/>
    <w:p>
      <w:pPr>
        <w:ind w:left="652" w:hanging="652"/>
        <w:spacing w:after="0" w:line="297"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Relation to Plan.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ROIC Target Performance Shares and TSR Target Performance Shares.</w:t>
      </w:r>
    </w:p>
    <w:p>
      <w:pPr>
        <w:spacing w:after="0" w:line="38" w:lineRule="exact"/>
        <w:rPr>
          <w:rFonts w:ascii="Arial" w:cs="Arial" w:eastAsia="Arial" w:hAnsi="Arial"/>
          <w:sz w:val="19"/>
          <w:szCs w:val="19"/>
          <w:color w:val="auto"/>
        </w:rPr>
      </w:pPr>
    </w:p>
    <w:p>
      <w:pPr>
        <w:ind w:left="652" w:right="240" w:hanging="652"/>
        <w:spacing w:after="0" w:line="263" w:lineRule="auto"/>
        <w:tabs>
          <w:tab w:leader="none" w:pos="652" w:val="left"/>
        </w:tabs>
        <w:numPr>
          <w:ilvl w:val="0"/>
          <w:numId w:val="20"/>
        </w:numPr>
        <w:rPr>
          <w:rFonts w:ascii="Arial" w:cs="Arial" w:eastAsia="Arial" w:hAnsi="Arial"/>
          <w:sz w:val="21"/>
          <w:szCs w:val="21"/>
          <w:color w:val="auto"/>
        </w:rPr>
      </w:pPr>
      <w:r>
        <w:rPr>
          <w:rFonts w:ascii="Arial" w:cs="Arial" w:eastAsia="Arial" w:hAnsi="Arial"/>
          <w:sz w:val="21"/>
          <w:szCs w:val="21"/>
          <w:color w:val="auto"/>
        </w:rPr>
        <w:t>Miscellaneous.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w:t>
      </w:r>
    </w:p>
    <w:p>
      <w:pPr>
        <w:spacing w:after="0" w:line="67" w:lineRule="exact"/>
        <w:rPr>
          <w:rFonts w:ascii="Arial" w:cs="Arial" w:eastAsia="Arial" w:hAnsi="Arial"/>
          <w:sz w:val="21"/>
          <w:szCs w:val="21"/>
          <w:color w:val="auto"/>
        </w:rPr>
      </w:pPr>
    </w:p>
    <w:p>
      <w:pPr>
        <w:ind w:left="652" w:right="80" w:hanging="652"/>
        <w:spacing w:after="0" w:line="253" w:lineRule="auto"/>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Capitalized Terms.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77" w:lineRule="exact"/>
        <w:rPr>
          <w:rFonts w:ascii="Arial" w:cs="Arial" w:eastAsia="Arial" w:hAnsi="Arial"/>
          <w:sz w:val="22"/>
          <w:szCs w:val="22"/>
          <w:color w:val="auto"/>
        </w:rPr>
      </w:pPr>
    </w:p>
    <w:p>
      <w:pPr>
        <w:ind w:left="652" w:right="20" w:hanging="652"/>
        <w:spacing w:after="0" w:line="290"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Section 409A of the Code.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428" w:right="339" w:bottom="1440" w:gutter="0" w:footer="0" w:header="0"/>
        </w:sectPr>
      </w:pPr>
    </w:p>
    <w:bookmarkStart w:id="45" w:name="page46"/>
    <w:bookmarkEnd w:id="45"/>
    <w:p>
      <w:pPr>
        <w:spacing w:after="0" w:line="96" w:lineRule="exact"/>
        <w:rPr>
          <w:sz w:val="20"/>
          <w:szCs w:val="20"/>
          <w:color w:val="auto"/>
        </w:rPr>
      </w:pPr>
    </w:p>
    <w:p>
      <w:pPr>
        <w:ind w:firstLine="235"/>
        <w:spacing w:after="0" w:line="26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the Participant has executed this Agreement, as of the day and year first above written.</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MYR GROUP INC.</w:t>
      </w:r>
    </w:p>
    <w:p>
      <w:pPr>
        <w:spacing w:after="0" w:line="16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By:______________________________________</w:t>
      </w:r>
    </w:p>
    <w:p>
      <w:pPr>
        <w:spacing w:after="0" w:line="16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 Kenneth M. Hartwick</w:t>
      </w:r>
    </w:p>
    <w:p>
      <w:pPr>
        <w:spacing w:after="0" w:line="16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Title: Chairman of the Board</w:t>
      </w:r>
    </w:p>
    <w:p>
      <w:pPr>
        <w:spacing w:after="0" w:line="233" w:lineRule="exact"/>
        <w:rPr>
          <w:sz w:val="20"/>
          <w:szCs w:val="20"/>
          <w:color w:val="auto"/>
        </w:rPr>
      </w:pPr>
    </w:p>
    <w:p>
      <w:pPr>
        <w:ind w:right="160" w:firstLine="212"/>
        <w:spacing w:after="0" w:line="253" w:lineRule="auto"/>
        <w:rPr>
          <w:sz w:val="20"/>
          <w:szCs w:val="20"/>
          <w:color w:val="auto"/>
        </w:rPr>
      </w:pPr>
      <w:r>
        <w:rPr>
          <w:rFonts w:ascii="Arial" w:cs="Arial" w:eastAsia="Arial" w:hAnsi="Arial"/>
          <w:sz w:val="22"/>
          <w:szCs w:val="22"/>
          <w:color w:val="auto"/>
        </w:rPr>
        <w:t>The undersigned Participant hereby acknowledges receipt of an executed copy of this Agreement and accepts the right to receive any Performance Shares or other securities covered hereby, subject to the terms and conditions of the Plan and the terms and conditions herein above set forth.</w:t>
      </w:r>
    </w:p>
    <w:p>
      <w:pPr>
        <w:spacing w:after="0" w:line="200" w:lineRule="exact"/>
        <w:rPr>
          <w:sz w:val="20"/>
          <w:szCs w:val="20"/>
          <w:color w:val="auto"/>
        </w:rPr>
      </w:pPr>
    </w:p>
    <w:p>
      <w:pPr>
        <w:spacing w:after="0" w:line="39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______________________________________</w:t>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3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Date: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April 28, 2021</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110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40" w:hanging="652"/>
        <w:spacing w:after="0" w:line="308" w:lineRule="auto"/>
        <w:tabs>
          <w:tab w:leader="none" w:pos="327"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340" w:hanging="652"/>
        <w:spacing w:after="0" w:line="342"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April 28, 2021</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10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160" w:hanging="652"/>
        <w:spacing w:after="0" w:line="277"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2021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April 28, 2021</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240"/>
          </w:cols>
          <w:pgMar w:left="320" w:top="110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 Betty R. Johnson, Senior Vice President and Chief Financial Officer of MYR Group, Inc. (the “Company”), certify, pursuant to 18 U.S.C. § 1350, as adopted pursuant to § 906 of the Sarbanes-Oxley Act of 2002, that:</w:t>
      </w:r>
    </w:p>
    <w:p>
      <w:pPr>
        <w:spacing w:after="0" w:line="170" w:lineRule="exact"/>
        <w:rPr>
          <w:sz w:val="20"/>
          <w:szCs w:val="20"/>
          <w:color w:val="auto"/>
        </w:rPr>
      </w:pPr>
    </w:p>
    <w:p>
      <w:pPr>
        <w:ind w:left="660" w:right="160" w:hanging="652"/>
        <w:spacing w:after="0" w:line="277"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2021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April 28, 2021</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9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4"/>
    </w:lvl>
  </w:abstractNum>
  <w:abstractNum w:abstractNumId="4">
    <w:nsid w:val="7FDCC233"/>
    <w:multiLevelType w:val="hybridMultilevel"/>
    <w:lvl w:ilvl="0">
      <w:lvlJc w:val="left"/>
      <w:lvlText w:val="(%1)"/>
      <w:numFmt w:val="lowerLetter"/>
      <w:start w:val="10"/>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lowerLetter"/>
      <w:start w:val="2"/>
    </w:lvl>
    <w:lvl w:ilvl="1">
      <w:lvlJc w:val="left"/>
      <w:lvlText w:val="(%2)"/>
      <w:numFmt w:val="lowerRoman"/>
      <w:start w:val="1"/>
    </w:lvl>
  </w:abstractNum>
  <w:abstractNum w:abstractNumId="11">
    <w:nsid w:val="431BD7B7"/>
    <w:multiLevelType w:val="hybridMultilevel"/>
    <w:lvl w:ilvl="0">
      <w:lvlJc w:val="left"/>
      <w:lvlText w:val="(%1)"/>
      <w:numFmt w:val="lowerLetter"/>
      <w:start w:val="4"/>
    </w:lvl>
    <w:lvl w:ilvl="1">
      <w:lvlJc w:val="left"/>
      <w:lvlText w:val="(%2)"/>
      <w:numFmt w:val="lowerRoman"/>
      <w:start w:val="1"/>
    </w:lvl>
  </w:abstractNum>
  <w:abstractNum w:abstractNumId="12">
    <w:nsid w:val="3F2DBA31"/>
    <w:multiLevelType w:val="hybridMultilevel"/>
    <w:lvl w:ilvl="0">
      <w:lvlJc w:val="left"/>
      <w:lvlText w:val="(%1)"/>
      <w:numFmt w:val="lowerLetter"/>
      <w:start w:val="6"/>
    </w:lvl>
    <w:lvl w:ilvl="1">
      <w:lvlJc w:val="left"/>
      <w:lvlText w:val="(%2)"/>
      <w:numFmt w:val="lowerRoman"/>
      <w:start w:val="1"/>
    </w:lvl>
  </w:abstractNum>
  <w:abstractNum w:abstractNumId="13">
    <w:nsid w:val="7C83E458"/>
    <w:multiLevelType w:val="hybridMultilevel"/>
    <w:lvl w:ilvl="0">
      <w:lvlJc w:val="left"/>
      <w:lvlText w:val="(%1)"/>
      <w:numFmt w:val="lowerLetter"/>
      <w:start w:val="8"/>
    </w:lvl>
  </w:abstractNum>
  <w:abstractNum w:abstractNumId="14">
    <w:nsid w:val="257130A3"/>
    <w:multiLevelType w:val="hybridMultilevel"/>
    <w:lvl w:ilvl="0">
      <w:lvlJc w:val="left"/>
      <w:lvlText w:val="(%1)"/>
      <w:numFmt w:val="lowerLetter"/>
      <w:start w:val="10"/>
    </w:lvl>
  </w:abstractNum>
  <w:abstractNum w:abstractNumId="15">
    <w:nsid w:val="62BBD95A"/>
    <w:multiLevelType w:val="hybridMultilevel"/>
    <w:lvl w:ilvl="0">
      <w:lvlJc w:val="left"/>
      <w:lvlText w:val="%1."/>
      <w:numFmt w:val="decimal"/>
      <w:start w:val="3"/>
    </w:lvl>
    <w:lvl w:ilvl="1">
      <w:lvlJc w:val="left"/>
      <w:lvlText w:val="(%2)"/>
      <w:numFmt w:val="lowerLetter"/>
      <w:start w:val="1"/>
    </w:lvl>
  </w:abstractNum>
  <w:abstractNum w:abstractNumId="16">
    <w:nsid w:val="436C6125"/>
    <w:multiLevelType w:val="hybridMultilevel"/>
    <w:lvl w:ilvl="0">
      <w:lvlJc w:val="left"/>
      <w:lvlText w:val="%1"/>
      <w:numFmt w:val="decimal"/>
      <w:start w:val="1"/>
    </w:lvl>
    <w:lvl w:ilvl="1">
      <w:lvlJc w:val="left"/>
      <w:lvlText w:val="(%2)"/>
      <w:numFmt w:val="lowerLetter"/>
      <w:start w:val="2"/>
    </w:lvl>
  </w:abstractNum>
  <w:abstractNum w:abstractNumId="17">
    <w:nsid w:val="628C895D"/>
    <w:multiLevelType w:val="hybridMultilevel"/>
    <w:lvl w:ilvl="0">
      <w:lvlJc w:val="left"/>
      <w:lvlText w:val="%1."/>
      <w:numFmt w:val="decimal"/>
      <w:start w:val="6"/>
    </w:lvl>
    <w:lvl w:ilvl="1">
      <w:lvlJc w:val="left"/>
      <w:lvlText w:val="%2"/>
      <w:numFmt w:val="lowerLetter"/>
      <w:start w:val="1"/>
    </w:lvl>
  </w:abstractNum>
  <w:abstractNum w:abstractNumId="18">
    <w:nsid w:val="333AB105"/>
    <w:multiLevelType w:val="hybridMultilevel"/>
    <w:lvl w:ilvl="0">
      <w:lvlJc w:val="left"/>
      <w:lvlText w:val="%1."/>
      <w:numFmt w:val="decimal"/>
      <w:start w:val="11"/>
    </w:lvl>
  </w:abstractNum>
  <w:abstractNum w:abstractNumId="19">
    <w:nsid w:val="721DA317"/>
    <w:multiLevelType w:val="hybridMultilevel"/>
    <w:lvl w:ilvl="0">
      <w:lvlJc w:val="left"/>
      <w:lvlText w:val="%1."/>
      <w:numFmt w:val="decimal"/>
      <w:start w:val="1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2021-04-28T15:47:37Z</dcterms:created>
  <dcterms:modified xsi:type="dcterms:W3CDTF">2021-04-28T15:47:37Z</dcterms:modified>
</cp:coreProperties>
</file>