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15"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86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1-08325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MYR GROUP INC.</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3300" w:type="dxa"/>
            <w:vAlign w:val="bottom"/>
          </w:tcPr>
          <w:p>
            <w:pPr>
              <w:jc w:val="center"/>
              <w:ind w:right="350"/>
              <w:spacing w:after="0"/>
              <w:rPr>
                <w:sz w:val="20"/>
                <w:szCs w:val="20"/>
                <w:color w:val="auto"/>
              </w:rPr>
            </w:pPr>
            <w:r>
              <w:rPr>
                <w:rFonts w:ascii="Arial" w:cs="Arial" w:eastAsia="Arial" w:hAnsi="Arial"/>
                <w:sz w:val="18"/>
                <w:szCs w:val="18"/>
                <w:b w:val="1"/>
                <w:bCs w:val="1"/>
                <w:color w:val="auto"/>
                <w:w w:val="93"/>
              </w:rPr>
              <w:t>Delaware</w:t>
            </w:r>
          </w:p>
        </w:tc>
        <w:tc>
          <w:tcPr>
            <w:tcW w:w="5260" w:type="dxa"/>
            <w:vAlign w:val="bottom"/>
          </w:tcPr>
          <w:p>
            <w:pPr>
              <w:jc w:val="right"/>
              <w:ind w:right="790"/>
              <w:spacing w:after="0"/>
              <w:rPr>
                <w:sz w:val="20"/>
                <w:szCs w:val="20"/>
                <w:color w:val="auto"/>
              </w:rPr>
            </w:pPr>
            <w:r>
              <w:rPr>
                <w:rFonts w:ascii="Arial" w:cs="Arial" w:eastAsia="Arial" w:hAnsi="Arial"/>
                <w:sz w:val="18"/>
                <w:szCs w:val="18"/>
                <w:b w:val="1"/>
                <w:bCs w:val="1"/>
                <w:color w:val="auto"/>
              </w:rPr>
              <w:t>36-3158643</w:t>
            </w:r>
          </w:p>
        </w:tc>
      </w:tr>
      <w:tr>
        <w:trPr>
          <w:trHeight w:val="216"/>
        </w:trPr>
        <w:tc>
          <w:tcPr>
            <w:tcW w:w="3300" w:type="dxa"/>
            <w:vAlign w:val="bottom"/>
          </w:tcPr>
          <w:p>
            <w:pPr>
              <w:jc w:val="center"/>
              <w:ind w:right="350"/>
              <w:spacing w:after="0"/>
              <w:rPr>
                <w:sz w:val="20"/>
                <w:szCs w:val="20"/>
                <w:color w:val="auto"/>
              </w:rPr>
            </w:pPr>
            <w:r>
              <w:rPr>
                <w:rFonts w:ascii="Arial" w:cs="Arial" w:eastAsia="Arial" w:hAnsi="Arial"/>
                <w:sz w:val="18"/>
                <w:szCs w:val="18"/>
                <w:color w:val="auto"/>
                <w:w w:val="93"/>
              </w:rPr>
              <w:t>(State or other jurisdiction of</w:t>
            </w:r>
          </w:p>
        </w:tc>
        <w:tc>
          <w:tcPr>
            <w:tcW w:w="5260" w:type="dxa"/>
            <w:vAlign w:val="bottom"/>
          </w:tcPr>
          <w:p>
            <w:pPr>
              <w:jc w:val="center"/>
              <w:ind w:left="25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300" w:type="dxa"/>
            <w:vAlign w:val="bottom"/>
          </w:tcPr>
          <w:p>
            <w:pPr>
              <w:jc w:val="center"/>
              <w:ind w:right="390"/>
              <w:spacing w:after="0"/>
              <w:rPr>
                <w:sz w:val="20"/>
                <w:szCs w:val="20"/>
                <w:color w:val="auto"/>
              </w:rPr>
            </w:pPr>
            <w:r>
              <w:rPr>
                <w:rFonts w:ascii="Arial" w:cs="Arial" w:eastAsia="Arial" w:hAnsi="Arial"/>
                <w:sz w:val="18"/>
                <w:szCs w:val="18"/>
                <w:color w:val="auto"/>
                <w:w w:val="93"/>
              </w:rPr>
              <w:t>incorporation or organization)</w:t>
            </w:r>
          </w:p>
        </w:tc>
        <w:tc>
          <w:tcPr>
            <w:tcW w:w="5260" w:type="dxa"/>
            <w:vAlign w:val="bottom"/>
          </w:tcPr>
          <w:p>
            <w:pPr>
              <w:spacing w:after="0"/>
              <w:rPr>
                <w:sz w:val="20"/>
                <w:szCs w:val="20"/>
                <w:color w:val="auto"/>
              </w:rPr>
            </w:pPr>
          </w:p>
        </w:tc>
      </w:tr>
      <w:tr>
        <w:trPr>
          <w:trHeight w:val="414"/>
        </w:trPr>
        <w:tc>
          <w:tcPr>
            <w:tcW w:w="330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1701 Golf Road, Suite 3-1012</w:t>
            </w:r>
          </w:p>
        </w:tc>
        <w:tc>
          <w:tcPr>
            <w:tcW w:w="5260" w:type="dxa"/>
            <w:vAlign w:val="bottom"/>
          </w:tcPr>
          <w:p>
            <w:pPr>
              <w:spacing w:after="0"/>
              <w:rPr>
                <w:sz w:val="24"/>
                <w:szCs w:val="24"/>
                <w:color w:val="auto"/>
              </w:rPr>
            </w:pPr>
          </w:p>
        </w:tc>
      </w:tr>
      <w:tr>
        <w:trPr>
          <w:trHeight w:val="220"/>
        </w:trPr>
        <w:tc>
          <w:tcPr>
            <w:tcW w:w="3300" w:type="dxa"/>
            <w:vAlign w:val="bottom"/>
          </w:tcPr>
          <w:p>
            <w:pPr>
              <w:jc w:val="center"/>
              <w:ind w:right="350"/>
              <w:spacing w:after="0"/>
              <w:rPr>
                <w:sz w:val="20"/>
                <w:szCs w:val="20"/>
                <w:color w:val="auto"/>
              </w:rPr>
            </w:pPr>
            <w:r>
              <w:rPr>
                <w:rFonts w:ascii="Arial" w:cs="Arial" w:eastAsia="Arial" w:hAnsi="Arial"/>
                <w:sz w:val="18"/>
                <w:szCs w:val="18"/>
                <w:b w:val="1"/>
                <w:bCs w:val="1"/>
                <w:color w:val="auto"/>
                <w:w w:val="93"/>
              </w:rPr>
              <w:t>Rolling Meadows, IL</w:t>
            </w:r>
          </w:p>
        </w:tc>
        <w:tc>
          <w:tcPr>
            <w:tcW w:w="5260" w:type="dxa"/>
            <w:vAlign w:val="bottom"/>
          </w:tcPr>
          <w:p>
            <w:pPr>
              <w:jc w:val="right"/>
              <w:ind w:right="1010"/>
              <w:spacing w:after="0"/>
              <w:rPr>
                <w:sz w:val="20"/>
                <w:szCs w:val="20"/>
                <w:color w:val="auto"/>
              </w:rPr>
            </w:pPr>
            <w:r>
              <w:rPr>
                <w:rFonts w:ascii="Arial" w:cs="Arial" w:eastAsia="Arial" w:hAnsi="Arial"/>
                <w:sz w:val="18"/>
                <w:szCs w:val="18"/>
                <w:b w:val="1"/>
                <w:bCs w:val="1"/>
                <w:color w:val="auto"/>
              </w:rPr>
              <w:t>60008</w:t>
            </w:r>
          </w:p>
        </w:tc>
      </w:tr>
      <w:tr>
        <w:trPr>
          <w:trHeight w:val="230"/>
        </w:trPr>
        <w:tc>
          <w:tcPr>
            <w:tcW w:w="3300" w:type="dxa"/>
            <w:vAlign w:val="bottom"/>
          </w:tcPr>
          <w:p>
            <w:pPr>
              <w:jc w:val="center"/>
              <w:ind w:right="350"/>
              <w:spacing w:after="0"/>
              <w:rPr>
                <w:sz w:val="20"/>
                <w:szCs w:val="20"/>
                <w:color w:val="auto"/>
              </w:rPr>
            </w:pPr>
            <w:r>
              <w:rPr>
                <w:rFonts w:ascii="Arial" w:cs="Arial" w:eastAsia="Arial" w:hAnsi="Arial"/>
                <w:sz w:val="18"/>
                <w:szCs w:val="18"/>
                <w:color w:val="auto"/>
                <w:w w:val="92"/>
              </w:rPr>
              <w:t>(Address of principal executive offices)</w:t>
            </w:r>
          </w:p>
        </w:tc>
        <w:tc>
          <w:tcPr>
            <w:tcW w:w="5260" w:type="dxa"/>
            <w:vAlign w:val="bottom"/>
          </w:tcPr>
          <w:p>
            <w:pPr>
              <w:jc w:val="center"/>
              <w:ind w:left="2530"/>
              <w:spacing w:after="0"/>
              <w:rPr>
                <w:sz w:val="20"/>
                <w:szCs w:val="20"/>
                <w:color w:val="auto"/>
              </w:rPr>
            </w:pPr>
            <w:r>
              <w:rPr>
                <w:rFonts w:ascii="Arial" w:cs="Arial" w:eastAsia="Arial" w:hAnsi="Arial"/>
                <w:sz w:val="18"/>
                <w:szCs w:val="18"/>
                <w:color w:val="auto"/>
                <w:w w:val="94"/>
              </w:rPr>
              <w:t>(Zip Code)</w:t>
            </w:r>
          </w:p>
        </w:tc>
      </w:tr>
      <w:tr>
        <w:trPr>
          <w:trHeight w:val="432"/>
        </w:trPr>
        <w:tc>
          <w:tcPr>
            <w:tcW w:w="3300" w:type="dxa"/>
            <w:vAlign w:val="bottom"/>
          </w:tcPr>
          <w:p>
            <w:pPr>
              <w:spacing w:after="0"/>
              <w:rPr>
                <w:sz w:val="24"/>
                <w:szCs w:val="24"/>
                <w:color w:val="auto"/>
              </w:rPr>
            </w:pPr>
          </w:p>
        </w:tc>
        <w:tc>
          <w:tcPr>
            <w:tcW w:w="5260" w:type="dxa"/>
            <w:vAlign w:val="bottom"/>
          </w:tcPr>
          <w:p>
            <w:pPr>
              <w:jc w:val="right"/>
              <w:ind w:right="3590"/>
              <w:spacing w:after="0"/>
              <w:rPr>
                <w:sz w:val="20"/>
                <w:szCs w:val="20"/>
                <w:color w:val="auto"/>
              </w:rPr>
            </w:pPr>
            <w:r>
              <w:rPr>
                <w:rFonts w:ascii="Arial" w:cs="Arial" w:eastAsia="Arial" w:hAnsi="Arial"/>
                <w:sz w:val="18"/>
                <w:szCs w:val="18"/>
                <w:b w:val="1"/>
                <w:bCs w:val="1"/>
                <w:color w:val="auto"/>
              </w:rPr>
              <w:t>(847) 290-1891</w:t>
            </w:r>
          </w:p>
        </w:tc>
      </w:tr>
    </w:tbl>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1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783" w:right="259" w:bottom="1440" w:gutter="0" w:footer="0" w:header="0"/>
        </w:sectPr>
      </w:pPr>
    </w:p>
    <w:p>
      <w:pPr>
        <w:spacing w:after="0" w:line="149" w:lineRule="exact"/>
        <w:rPr>
          <w:sz w:val="24"/>
          <w:szCs w:val="24"/>
          <w:color w:val="auto"/>
        </w:rPr>
      </w:pPr>
    </w:p>
    <w:p>
      <w:pPr>
        <w:ind w:left="19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19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16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right="168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jc w:val="center"/>
        <w:ind w:right="16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820" w:space="720"/>
            <w:col w:w="3860"/>
          </w:cols>
          <w:pgMar w:left="240" w:top="783" w:right="259" w:bottom="1440" w:gutter="0" w:footer="0" w:header="0"/>
          <w:type w:val="continuous"/>
        </w:sectPr>
      </w:pPr>
    </w:p>
    <w:p>
      <w:pPr>
        <w:spacing w:after="0" w:line="32"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24, 2019, there were 16,610,032 outstanding shares of the registrant’s $0.01 par value common stock.</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WEBSITE ACCESS TO COMPANY’S REPORTS</w:t>
      </w:r>
    </w:p>
    <w:p>
      <w:pPr>
        <w:spacing w:after="0" w:line="229" w:lineRule="exact"/>
        <w:rPr>
          <w:sz w:val="24"/>
          <w:szCs w:val="24"/>
          <w:color w:val="auto"/>
        </w:rPr>
      </w:pPr>
    </w:p>
    <w:p>
      <w:pPr>
        <w:ind w:firstLine="324"/>
        <w:spacing w:after="0" w:line="259" w:lineRule="auto"/>
        <w:rPr>
          <w:sz w:val="20"/>
          <w:szCs w:val="20"/>
          <w:color w:val="auto"/>
        </w:rPr>
      </w:pPr>
      <w:r>
        <w:rPr>
          <w:rFonts w:ascii="Arial" w:cs="Arial" w:eastAsia="Arial" w:hAnsi="Arial"/>
          <w:sz w:val="18"/>
          <w:szCs w:val="18"/>
          <w:color w:val="auto"/>
        </w:rPr>
        <w:t>MYR Group Inc.’s internet website address is www.myrgroup.com. Our annual reports on Form 10-K, quarterly reports on Form 10-Q, current reports on Form 8-K, and amendments to those reports filed or furnished pursuant to Section 13(a) or 15(d) of the Securities Exchange Act of 1934 (the “Exchange Act”) will be available free of charge through our website as soon as reasonably practicable after they are electronically filed with, or furnished to, the Securities and Exchange Commission (“SEC”).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83"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60" w:type="dxa"/>
            <w:vAlign w:val="bottom"/>
            <w:gridSpan w:val="9"/>
          </w:tcPr>
          <w:p>
            <w:pPr>
              <w:ind w:left="18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800" w:type="dxa"/>
            <w:vAlign w:val="bottom"/>
            <w:tcBorders>
              <w:top w:val="single" w:sz="8" w:color="CCEEFF"/>
            </w:tcBorders>
            <w:gridSpan w:val="11"/>
            <w:shd w:val="clear" w:color="auto" w:fill="CCEEFF"/>
          </w:tcPr>
          <w:p>
            <w:pPr>
              <w:jc w:val="center"/>
              <w:ind w:right="2300"/>
              <w:spacing w:after="0"/>
              <w:rPr>
                <w:sz w:val="20"/>
                <w:szCs w:val="20"/>
                <w:color w:val="auto"/>
              </w:rPr>
            </w:pPr>
            <w:r>
              <w:rPr>
                <w:rFonts w:ascii="Arial" w:cs="Arial" w:eastAsia="Arial" w:hAnsi="Arial"/>
                <w:sz w:val="18"/>
                <w:szCs w:val="18"/>
                <w:b w:val="1"/>
                <w:bCs w:val="1"/>
                <w:color w:val="auto"/>
                <w:w w:val="95"/>
              </w:rPr>
              <w:t>Part I—Financial Information</w:t>
            </w: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120" w:type="dxa"/>
            <w:vAlign w:val="bottom"/>
            <w:gridSpan w:val="18"/>
          </w:tcPr>
          <w:p>
            <w:pPr>
              <w:spacing w:after="0"/>
              <w:rPr>
                <w:sz w:val="20"/>
                <w:szCs w:val="20"/>
                <w:color w:val="auto"/>
              </w:rPr>
            </w:pPr>
            <w:r>
              <w:rPr>
                <w:rFonts w:ascii="Arial" w:cs="Arial" w:eastAsia="Arial" w:hAnsi="Arial"/>
                <w:sz w:val="18"/>
                <w:szCs w:val="18"/>
                <w:color w:val="auto"/>
              </w:rPr>
              <w:t>Financial Statements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March 31, 2019 (unaudited) and December 31, 2018</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120" w:type="dxa"/>
            <w:vAlign w:val="bottom"/>
            <w:gridSpan w:val="18"/>
          </w:tcPr>
          <w:p>
            <w:pPr>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Unaudited Consolidated Statements of Operations and Comprehensive Income for the Three Months Ended March 31, 2019</w:t>
              </w:r>
            </w:hyperlink>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9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2018</w:t>
              </w:r>
            </w:hyperlink>
          </w:p>
        </w:tc>
        <w:tc>
          <w:tcPr>
            <w:tcW w:w="180" w:type="dxa"/>
            <w:vAlign w:val="bottom"/>
          </w:tcPr>
          <w:p>
            <w:pPr>
              <w:spacing w:after="0"/>
              <w:rPr>
                <w:sz w:val="17"/>
                <w:szCs w:val="17"/>
                <w:color w:val="auto"/>
              </w:rPr>
            </w:pPr>
          </w:p>
        </w:tc>
        <w:tc>
          <w:tcPr>
            <w:tcW w:w="1160" w:type="dxa"/>
            <w:vAlign w:val="bottom"/>
            <w:gridSpan w:val="4"/>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120" w:type="dxa"/>
            <w:vAlign w:val="bottom"/>
            <w:gridSpan w:val="18"/>
            <w:shd w:val="clear" w:color="auto" w:fill="CCEEFF"/>
          </w:tcPr>
          <w:p>
            <w:pP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Unaudited Consolidated Statements of Stockholders’ Equity for the Three Months Ended March 31, 2019 and 2018</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320" w:type="dxa"/>
            <w:vAlign w:val="bottom"/>
            <w:gridSpan w:val="16"/>
          </w:tcPr>
          <w:p>
            <w:pPr>
              <w:spacing w:after="0" w:line="176"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Unaudited Consolidated Statements of Cash Flows for the Three Months Ended March 31, 2019 and 2018</w:t>
              </w:r>
            </w:hyperlink>
          </w:p>
        </w:tc>
        <w:tc>
          <w:tcPr>
            <w:tcW w:w="800" w:type="dxa"/>
            <w:vAlign w:val="bottom"/>
            <w:gridSpan w:val="2"/>
          </w:tcPr>
          <w:p>
            <w:pPr>
              <w:spacing w:after="0"/>
              <w:rPr>
                <w:sz w:val="15"/>
                <w:szCs w:val="15"/>
                <w:color w:val="auto"/>
              </w:rPr>
            </w:pPr>
          </w:p>
        </w:tc>
        <w:tc>
          <w:tcPr>
            <w:tcW w:w="1140" w:type="dxa"/>
            <w:vAlign w:val="bottom"/>
            <w:gridSpan w:val="3"/>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2.</w:t>
              </w:r>
            </w:hyperlink>
          </w:p>
        </w:tc>
        <w:tc>
          <w:tcPr>
            <w:tcW w:w="9120" w:type="dxa"/>
            <w:vAlign w:val="bottom"/>
            <w:gridSpan w:val="18"/>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19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Item 3.</w:t>
              </w:r>
            </w:hyperlink>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43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4760" w:type="dxa"/>
            <w:vAlign w:val="bottom"/>
            <w:tcBorders>
              <w:bottom w:val="single" w:sz="8" w:color="CCEEFF"/>
            </w:tcBorders>
            <w:gridSpan w:val="7"/>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4.</w:t>
              </w:r>
            </w:hyperlink>
          </w:p>
        </w:tc>
        <w:tc>
          <w:tcPr>
            <w:tcW w:w="9120" w:type="dxa"/>
            <w:vAlign w:val="bottom"/>
            <w:gridSpan w:val="18"/>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0" w:type="dxa"/>
            <w:vAlign w:val="bottom"/>
            <w:gridSpan w:val="11"/>
            <w:shd w:val="clear" w:color="auto" w:fill="CCEEFF"/>
          </w:tcPr>
          <w:p>
            <w:pPr>
              <w:jc w:val="center"/>
              <w:ind w:right="2340"/>
              <w:spacing w:after="0" w:line="176" w:lineRule="exact"/>
              <w:rPr>
                <w:rFonts w:ascii="Arial" w:cs="Arial" w:eastAsia="Arial" w:hAnsi="Arial"/>
                <w:sz w:val="18"/>
                <w:szCs w:val="18"/>
                <w:b w:val="1"/>
                <w:bCs w:val="1"/>
                <w:color w:val="0000EE"/>
                <w:w w:val="97"/>
              </w:rPr>
            </w:pPr>
            <w:hyperlink w:anchor="page32">
              <w:r>
                <w:rPr>
                  <w:rFonts w:ascii="Arial" w:cs="Arial" w:eastAsia="Arial" w:hAnsi="Arial"/>
                  <w:sz w:val="18"/>
                  <w:szCs w:val="18"/>
                  <w:b w:val="1"/>
                  <w:bCs w:val="1"/>
                  <w:color w:val="0000EE"/>
                  <w:w w:val="97"/>
                </w:rPr>
                <w:t>Part II—Other Information</w:t>
              </w:r>
            </w:hyperlink>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3"/>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1.</w:t>
              </w:r>
            </w:hyperlink>
          </w:p>
        </w:tc>
        <w:tc>
          <w:tcPr>
            <w:tcW w:w="3480" w:type="dxa"/>
            <w:vAlign w:val="bottom"/>
            <w:tcBorders>
              <w:top w:val="single" w:sz="8" w:color="CCEEFF"/>
            </w:tcBorders>
            <w:gridSpan w:val="8"/>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2140" w:type="dxa"/>
            <w:vAlign w:val="bottom"/>
            <w:tcBorders>
              <w:top w:val="single" w:sz="8" w:color="0000EE"/>
            </w:tcBorders>
            <w:gridSpan w:val="4"/>
          </w:tcPr>
          <w:p>
            <w:pPr>
              <w:spacing w:after="0"/>
              <w:rPr>
                <w:sz w:val="15"/>
                <w:szCs w:val="15"/>
                <w:color w:val="auto"/>
              </w:rPr>
            </w:pPr>
          </w:p>
        </w:tc>
        <w:tc>
          <w:tcPr>
            <w:tcW w:w="3500" w:type="dxa"/>
            <w:vAlign w:val="bottom"/>
            <w:tcBorders>
              <w:top w:val="single" w:sz="8" w:color="CCEEFF"/>
            </w:tcBorders>
            <w:gridSpan w:val="6"/>
          </w:tcPr>
          <w:p>
            <w:pPr>
              <w:spacing w:after="0"/>
              <w:rPr>
                <w:sz w:val="15"/>
                <w:szCs w:val="15"/>
                <w:color w:val="auto"/>
              </w:rPr>
            </w:pPr>
          </w:p>
        </w:tc>
        <w:tc>
          <w:tcPr>
            <w:tcW w:w="1140" w:type="dxa"/>
            <w:vAlign w:val="bottom"/>
            <w:tcBorders>
              <w:top w:val="single" w:sz="8" w:color="CCEEFF"/>
            </w:tcBorders>
            <w:gridSpan w:val="3"/>
          </w:tcPr>
          <w:p>
            <w:pPr>
              <w:jc w:val="right"/>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1A.</w:t>
              </w:r>
            </w:hyperlink>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2.</w:t>
              </w:r>
            </w:hyperlink>
          </w:p>
        </w:tc>
        <w:tc>
          <w:tcPr>
            <w:tcW w:w="520" w:type="dxa"/>
            <w:vAlign w:val="bottom"/>
          </w:tcPr>
          <w:p>
            <w:pPr>
              <w:spacing w:after="0"/>
              <w:rPr>
                <w:sz w:val="15"/>
                <w:szCs w:val="15"/>
                <w:color w:val="auto"/>
              </w:rPr>
            </w:pPr>
          </w:p>
        </w:tc>
        <w:tc>
          <w:tcPr>
            <w:tcW w:w="9120" w:type="dxa"/>
            <w:vAlign w:val="bottom"/>
            <w:gridSpan w:val="18"/>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Item 3.</w:t>
              </w:r>
            </w:hyperlink>
          </w:p>
        </w:tc>
        <w:tc>
          <w:tcPr>
            <w:tcW w:w="640" w:type="dxa"/>
            <w:vAlign w:val="bottom"/>
            <w:gridSpan w:val="2"/>
            <w:shd w:val="clear" w:color="auto" w:fill="CCEEFF"/>
          </w:tcPr>
          <w:p>
            <w:pPr>
              <w:spacing w:after="0"/>
              <w:rPr>
                <w:sz w:val="17"/>
                <w:szCs w:val="17"/>
                <w:color w:val="auto"/>
              </w:rPr>
            </w:pPr>
          </w:p>
        </w:tc>
        <w:tc>
          <w:tcPr>
            <w:tcW w:w="9120" w:type="dxa"/>
            <w:vAlign w:val="bottom"/>
            <w:gridSpan w:val="18"/>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Defaults Upon Senior Securities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Item 4.</w:t>
              </w:r>
            </w:hyperlink>
          </w:p>
        </w:tc>
        <w:tc>
          <w:tcPr>
            <w:tcW w:w="640" w:type="dxa"/>
            <w:vAlign w:val="bottom"/>
            <w:tcBorders>
              <w:top w:val="single" w:sz="8" w:color="CCEEFF"/>
            </w:tcBorders>
            <w:gridSpan w:val="2"/>
          </w:tcPr>
          <w:p>
            <w:pPr>
              <w:spacing w:after="0"/>
              <w:rPr>
                <w:sz w:val="15"/>
                <w:szCs w:val="15"/>
                <w:color w:val="auto"/>
              </w:rPr>
            </w:pPr>
          </w:p>
        </w:tc>
        <w:tc>
          <w:tcPr>
            <w:tcW w:w="232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6800" w:type="dxa"/>
            <w:vAlign w:val="bottom"/>
            <w:tcBorders>
              <w:top w:val="single" w:sz="8" w:color="CCEEFF"/>
            </w:tcBorders>
            <w:gridSpan w:val="11"/>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30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Item 5.</w:t>
              </w:r>
            </w:hyperlink>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13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Other Information</w:t>
              </w:r>
            </w:hyperlink>
          </w:p>
        </w:tc>
        <w:tc>
          <w:tcPr>
            <w:tcW w:w="7800" w:type="dxa"/>
            <w:vAlign w:val="bottom"/>
            <w:tcBorders>
              <w:bottom w:val="single" w:sz="8" w:color="CCEEFF"/>
            </w:tcBorders>
            <w:gridSpan w:val="14"/>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30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500" w:type="dxa"/>
            <w:vAlign w:val="bottom"/>
            <w:tcBorders>
              <w:bottom w:val="single" w:sz="8" w:color="0000EE"/>
            </w:tcBorders>
          </w:tcPr>
          <w:p>
            <w:pPr>
              <w:spacing w:after="0" w:line="17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Item 6.</w:t>
              </w:r>
            </w:hyperlink>
          </w:p>
        </w:tc>
        <w:tc>
          <w:tcPr>
            <w:tcW w:w="640" w:type="dxa"/>
            <w:vAlign w:val="bottom"/>
            <w:gridSpan w:val="2"/>
          </w:tcPr>
          <w:p>
            <w:pPr>
              <w:spacing w:after="0"/>
              <w:rPr>
                <w:sz w:val="15"/>
                <w:szCs w:val="15"/>
                <w:color w:val="auto"/>
              </w:rPr>
            </w:pPr>
          </w:p>
        </w:tc>
        <w:tc>
          <w:tcPr>
            <w:tcW w:w="600" w:type="dxa"/>
            <w:vAlign w:val="bottom"/>
            <w:tcBorders>
              <w:bottom w:val="single" w:sz="8" w:color="0000EE"/>
            </w:tcBorders>
          </w:tcPr>
          <w:p>
            <w:pPr>
              <w:spacing w:after="0" w:line="17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Exhibits</w:t>
              </w:r>
            </w:hyperlink>
          </w:p>
        </w:tc>
        <w:tc>
          <w:tcPr>
            <w:tcW w:w="8520" w:type="dxa"/>
            <w:vAlign w:val="bottom"/>
            <w:gridSpan w:val="17"/>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Borders>
              <w:bottom w:val="single" w:sz="8" w:color="0000EE"/>
            </w:tcBorders>
            <w:gridSpan w:val="2"/>
          </w:tcPr>
          <w:p>
            <w:pPr>
              <w:jc w:val="right"/>
              <w:spacing w:after="0" w:line="17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Throughout this report, references to “MYR Group,” the “Company,” “we,” “us” and “our” refer to MYR Group Inc. and its consolidated subsidiaries, except as otherwise indicated or as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460" w:type="dxa"/>
            <w:vAlign w:val="bottom"/>
          </w:tcPr>
          <w:p>
            <w:pPr>
              <w:ind w:left="4940"/>
              <w:spacing w:after="0"/>
              <w:rPr>
                <w:sz w:val="20"/>
                <w:szCs w:val="20"/>
                <w:color w:val="auto"/>
              </w:rPr>
            </w:pPr>
            <w:r>
              <w:rPr>
                <w:rFonts w:ascii="Arial" w:cs="Arial" w:eastAsia="Arial" w:hAnsi="Arial"/>
                <w:sz w:val="18"/>
                <w:szCs w:val="18"/>
                <w:b w:val="1"/>
                <w:bCs w:val="1"/>
                <w:color w:val="auto"/>
              </w:rPr>
              <w:t>MYR GROUP INC.</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460" w:type="dxa"/>
            <w:vAlign w:val="bottom"/>
          </w:tcPr>
          <w:p>
            <w:pPr>
              <w:ind w:left="4140"/>
              <w:spacing w:after="0"/>
              <w:rPr>
                <w:sz w:val="20"/>
                <w:szCs w:val="20"/>
                <w:color w:val="auto"/>
              </w:rPr>
            </w:pPr>
            <w:r>
              <w:rPr>
                <w:rFonts w:ascii="Arial" w:cs="Arial" w:eastAsia="Arial" w:hAnsi="Arial"/>
                <w:sz w:val="18"/>
                <w:szCs w:val="18"/>
                <w:b w:val="1"/>
                <w:bCs w:val="1"/>
                <w:color w:val="auto"/>
              </w:rPr>
              <w:t>CONSOLIDATED BALANCE SHEETS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ind w:left="390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7,507</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Accounts receivable, net of allowances of $2,020 and $1,331, respectively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297,967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288,427</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188,069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160,281</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Current portion of receivable for insurance claims in excess of deductibles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10,003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10,572</w:t>
            </w:r>
          </w:p>
        </w:tc>
        <w:tc>
          <w:tcPr>
            <w:tcW w:w="80" w:type="dxa"/>
            <w:vAlign w:val="bottom"/>
          </w:tcPr>
          <w:p>
            <w:pPr>
              <w:spacing w:after="0"/>
              <w:rPr>
                <w:sz w:val="18"/>
                <w:szCs w:val="18"/>
                <w:color w:val="auto"/>
              </w:rPr>
            </w:pPr>
          </w:p>
        </w:tc>
      </w:tr>
      <w:tr>
        <w:trPr>
          <w:trHeight w:val="23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8,847</w:t>
            </w:r>
          </w:p>
        </w:tc>
        <w:tc>
          <w:tcPr>
            <w:tcW w:w="80" w:type="dxa"/>
            <w:vAlign w:val="bottom"/>
            <w:shd w:val="clear" w:color="auto" w:fill="CCEEFF"/>
          </w:tcPr>
          <w:p>
            <w:pPr>
              <w:spacing w:after="0"/>
              <w:rPr>
                <w:sz w:val="19"/>
                <w:szCs w:val="19"/>
                <w:color w:val="auto"/>
              </w:rPr>
            </w:pPr>
          </w:p>
        </w:tc>
      </w:tr>
      <w:tr>
        <w:trPr>
          <w:trHeight w:val="210"/>
        </w:trPr>
        <w:tc>
          <w:tcPr>
            <w:tcW w:w="846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505,756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475,634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of $260,743 and $253,495, respectively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162,565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161,892</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16,266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56,592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56,588</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$7,765 and $7,031, respectively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32,542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33,266</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insurance claims in excess of deductibles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17,173</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Investment in joint ventures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2,342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1,324</w:t>
            </w:r>
          </w:p>
        </w:tc>
        <w:tc>
          <w:tcPr>
            <w:tcW w:w="80" w:type="dxa"/>
            <w:vAlign w:val="bottom"/>
          </w:tcPr>
          <w:p>
            <w:pPr>
              <w:spacing w:after="0"/>
              <w:rPr>
                <w:sz w:val="18"/>
                <w:szCs w:val="18"/>
                <w:color w:val="auto"/>
              </w:rPr>
            </w:pPr>
          </w:p>
        </w:tc>
      </w:tr>
      <w:tr>
        <w:trPr>
          <w:trHeight w:val="23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2,878</w:t>
            </w:r>
          </w:p>
        </w:tc>
        <w:tc>
          <w:tcPr>
            <w:tcW w:w="80" w:type="dxa"/>
            <w:vAlign w:val="bottom"/>
            <w:shd w:val="clear" w:color="auto" w:fill="CCEEFF"/>
          </w:tcPr>
          <w:p>
            <w:pPr>
              <w:spacing w:after="0"/>
              <w:rPr>
                <w:sz w:val="19"/>
                <w:szCs w:val="19"/>
                <w:color w:val="auto"/>
              </w:rPr>
            </w:pPr>
          </w:p>
        </w:tc>
      </w:tr>
      <w:tr>
        <w:trPr>
          <w:trHeight w:val="263"/>
        </w:trPr>
        <w:tc>
          <w:tcPr>
            <w:tcW w:w="84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795,218</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748,755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8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60" w:type="dxa"/>
            <w:vAlign w:val="bottom"/>
          </w:tcPr>
          <w:p>
            <w:pPr>
              <w:ind w:left="228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3,742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3,681</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obligations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Current portion of finance lease obligations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1,119</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170,352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139,480</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Contract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28,519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58,534</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accrued self-insurance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19,633</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Income taxes payable,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3,109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61,409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61,358</w:t>
            </w:r>
          </w:p>
        </w:tc>
        <w:tc>
          <w:tcPr>
            <w:tcW w:w="80" w:type="dxa"/>
            <w:vAlign w:val="bottom"/>
            <w:shd w:val="clear" w:color="auto" w:fill="CCEEFF"/>
          </w:tcPr>
          <w:p>
            <w:pPr>
              <w:spacing w:after="0"/>
              <w:rPr>
                <w:sz w:val="19"/>
                <w:szCs w:val="19"/>
                <w:color w:val="auto"/>
              </w:rPr>
            </w:pPr>
          </w:p>
        </w:tc>
      </w:tr>
      <w:tr>
        <w:trPr>
          <w:trHeight w:val="210"/>
        </w:trPr>
        <w:tc>
          <w:tcPr>
            <w:tcW w:w="84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293,560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283,805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17,398</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106,204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86,111</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Accrued self-insurance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34,406</w:t>
            </w: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Operating lease obligations, net of current maturities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11,600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 net of current maturities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1,514</w:t>
            </w:r>
          </w:p>
        </w:tc>
        <w:tc>
          <w:tcPr>
            <w:tcW w:w="80" w:type="dxa"/>
            <w:vAlign w:val="bottom"/>
            <w:shd w:val="clear" w:color="auto" w:fill="CCEEFF"/>
          </w:tcPr>
          <w:p>
            <w:pPr>
              <w:spacing w:after="0"/>
              <w:rPr>
                <w:sz w:val="18"/>
                <w:szCs w:val="18"/>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1,057</w:t>
            </w:r>
          </w:p>
        </w:tc>
        <w:tc>
          <w:tcPr>
            <w:tcW w:w="80" w:type="dxa"/>
            <w:vAlign w:val="bottom"/>
          </w:tcPr>
          <w:p>
            <w:pPr>
              <w:spacing w:after="0"/>
              <w:rPr>
                <w:sz w:val="19"/>
                <w:szCs w:val="19"/>
                <w:color w:val="auto"/>
              </w:rPr>
            </w:pPr>
          </w:p>
        </w:tc>
      </w:tr>
      <w:tr>
        <w:trPr>
          <w:trHeight w:val="210"/>
        </w:trPr>
        <w:tc>
          <w:tcPr>
            <w:tcW w:w="84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463,744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424,291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4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460" w:type="dxa"/>
            <w:vAlign w:val="bottom"/>
          </w:tcPr>
          <w:p>
            <w:pPr>
              <w:ind w:left="180"/>
              <w:spacing w:after="0" w:line="201" w:lineRule="exact"/>
              <w:rPr>
                <w:sz w:val="20"/>
                <w:szCs w:val="20"/>
                <w:color w:val="auto"/>
              </w:rPr>
            </w:pPr>
            <w:r>
              <w:rPr>
                <w:rFonts w:ascii="Arial" w:cs="Arial" w:eastAsia="Arial" w:hAnsi="Arial"/>
                <w:sz w:val="18"/>
                <w:szCs w:val="18"/>
                <w:color w:val="auto"/>
                <w:w w:val="91"/>
              </w:rPr>
              <w:t>Preferred stock—$0.01 par value per share; 4,000,000 authorized shares; none issued and outstanding at March</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460" w:type="dxa"/>
            <w:vAlign w:val="bottom"/>
          </w:tcPr>
          <w:p>
            <w:pPr>
              <w:ind w:left="340"/>
              <w:spacing w:after="0"/>
              <w:rPr>
                <w:sz w:val="20"/>
                <w:szCs w:val="20"/>
                <w:color w:val="auto"/>
              </w:rPr>
            </w:pPr>
            <w:r>
              <w:rPr>
                <w:rFonts w:ascii="Arial" w:cs="Arial" w:eastAsia="Arial" w:hAnsi="Arial"/>
                <w:sz w:val="18"/>
                <w:szCs w:val="18"/>
                <w:color w:val="auto"/>
              </w:rPr>
              <w:t>31, 2019 and December 31, 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4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Common stock—$0.01 par value per share; 100,000,000 authorized shares; 16,610,032 and 16,564,961 shares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 and outstanding at March 31, 2019 and December 31, 2018, respectively</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20"/>
                <w:szCs w:val="20"/>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148,938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148,276</w:t>
            </w: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181,882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174,736</w:t>
            </w:r>
          </w:p>
        </w:tc>
        <w:tc>
          <w:tcPr>
            <w:tcW w:w="80" w:type="dxa"/>
            <w:vAlign w:val="bottom"/>
          </w:tcPr>
          <w:p>
            <w:pPr>
              <w:spacing w:after="0"/>
              <w:rPr>
                <w:sz w:val="19"/>
                <w:szCs w:val="19"/>
                <w:color w:val="auto"/>
              </w:rPr>
            </w:pPr>
          </w:p>
        </w:tc>
      </w:tr>
      <w:tr>
        <w:trPr>
          <w:trHeight w:val="210"/>
        </w:trPr>
        <w:tc>
          <w:tcPr>
            <w:tcW w:w="84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 attributable to MYR Group Inc.</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330,727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1,480</w:t>
            </w:r>
          </w:p>
        </w:tc>
        <w:tc>
          <w:tcPr>
            <w:tcW w:w="80" w:type="dxa"/>
            <w:vAlign w:val="bottom"/>
          </w:tcPr>
          <w:p>
            <w:pPr>
              <w:spacing w:after="0"/>
              <w:rPr>
                <w:sz w:val="19"/>
                <w:szCs w:val="19"/>
                <w:color w:val="auto"/>
              </w:rPr>
            </w:pPr>
          </w:p>
        </w:tc>
      </w:tr>
      <w:tr>
        <w:trPr>
          <w:trHeight w:val="210"/>
        </w:trPr>
        <w:tc>
          <w:tcPr>
            <w:tcW w:w="84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331,474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324,464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46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795,218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748,755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460" w:type="dxa"/>
            <w:vAlign w:val="bottom"/>
          </w:tcPr>
          <w:p>
            <w:pPr>
              <w:ind w:left="4940"/>
              <w:spacing w:after="0"/>
              <w:rPr>
                <w:sz w:val="20"/>
                <w:szCs w:val="20"/>
                <w:color w:val="auto"/>
              </w:rPr>
            </w:pPr>
            <w:r>
              <w:rPr>
                <w:rFonts w:ascii="Arial" w:cs="Arial" w:eastAsia="Arial" w:hAnsi="Arial"/>
                <w:sz w:val="18"/>
                <w:szCs w:val="18"/>
                <w:b w:val="1"/>
                <w:bCs w:val="1"/>
                <w:color w:val="auto"/>
              </w:rPr>
              <w:t>MYR GROUP INC.</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00" w:type="dxa"/>
            <w:vAlign w:val="bottom"/>
            <w:gridSpan w:val="5"/>
          </w:tcPr>
          <w:p>
            <w:pPr>
              <w:ind w:left="1580"/>
              <w:spacing w:after="0"/>
              <w:rPr>
                <w:sz w:val="20"/>
                <w:szCs w:val="20"/>
                <w:color w:val="auto"/>
              </w:rPr>
            </w:pPr>
            <w:r>
              <w:rPr>
                <w:rFonts w:ascii="Arial" w:cs="Arial" w:eastAsia="Arial" w:hAnsi="Arial"/>
                <w:sz w:val="18"/>
                <w:szCs w:val="18"/>
                <w:b w:val="1"/>
                <w:bCs w:val="1"/>
                <w:color w:val="auto"/>
              </w:rPr>
              <w:t>UNAUDITED CONSOLIDATED STATEMENTS OF OPERATIONS AND COMPREHENSIVE INCOME</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revenues</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468,094</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345,611</w:t>
            </w:r>
          </w:p>
        </w:tc>
        <w:tc>
          <w:tcPr>
            <w:tcW w:w="0" w:type="dxa"/>
            <w:vAlign w:val="bottom"/>
          </w:tcPr>
          <w:p>
            <w:pPr>
              <w:spacing w:after="0"/>
              <w:rPr>
                <w:sz w:val="1"/>
                <w:szCs w:val="1"/>
                <w:color w:val="auto"/>
              </w:rPr>
            </w:pP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Contract costs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425,218</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309,858</w:t>
            </w:r>
          </w:p>
        </w:tc>
        <w:tc>
          <w:tcPr>
            <w:tcW w:w="0" w:type="dxa"/>
            <w:vAlign w:val="bottom"/>
          </w:tcPr>
          <w:p>
            <w:pPr>
              <w:spacing w:after="0"/>
              <w:rPr>
                <w:sz w:val="1"/>
                <w:szCs w:val="1"/>
                <w:color w:val="auto"/>
              </w:rPr>
            </w:pPr>
          </w:p>
        </w:tc>
      </w:tr>
      <w:tr>
        <w:trPr>
          <w:trHeight w:val="210"/>
        </w:trPr>
        <w:tc>
          <w:tcPr>
            <w:tcW w:w="84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42,876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32,987</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28,280</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734</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Gain on sale of property and equipment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(471)</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0"/>
        </w:trPr>
        <w:tc>
          <w:tcPr>
            <w:tcW w:w="84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30"/>
        </w:trPr>
        <w:tc>
          <w:tcPr>
            <w:tcW w:w="8460" w:type="dxa"/>
            <w:vAlign w:val="bottom"/>
          </w:tcPr>
          <w:p>
            <w:pPr>
              <w:ind w:left="340"/>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746</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0"/>
        </w:trPr>
        <w:tc>
          <w:tcPr>
            <w:tcW w:w="84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before provision for income taxes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2,547</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10"/>
        </w:trPr>
        <w:tc>
          <w:tcPr>
            <w:tcW w:w="8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Less: net loss attributable to noncontrolling interest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MYR Group Inc.</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ind w:left="180"/>
              <w:spacing w:after="0"/>
              <w:rPr>
                <w:sz w:val="20"/>
                <w:szCs w:val="20"/>
                <w:color w:val="auto"/>
              </w:rPr>
            </w:pPr>
            <w:r>
              <w:rPr>
                <w:rFonts w:ascii="Arial" w:cs="Arial" w:eastAsia="Arial" w:hAnsi="Arial"/>
                <w:sz w:val="18"/>
                <w:szCs w:val="18"/>
                <w:color w:val="auto"/>
              </w:rPr>
              <w:t>Income per common share attributable to MYR Group Inc.:</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0.45</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—Diluted</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0.44</w:t>
            </w: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number of common shares and potential common shares outstanding:</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16,514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16,321</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16,658</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16,520</w:t>
            </w:r>
          </w:p>
        </w:tc>
        <w:tc>
          <w:tcPr>
            <w:tcW w:w="0" w:type="dxa"/>
            <w:vAlign w:val="bottom"/>
          </w:tcPr>
          <w:p>
            <w:pPr>
              <w:spacing w:after="0"/>
              <w:rPr>
                <w:sz w:val="1"/>
                <w:szCs w:val="1"/>
                <w:color w:val="auto"/>
              </w:rPr>
            </w:pPr>
          </w:p>
        </w:tc>
      </w:tr>
      <w:tr>
        <w:trPr>
          <w:trHeight w:val="216"/>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6,620</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8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comprehensive income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Less: net loss attributable to noncontrolling interest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(733)</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comprehensive income attributable to MYR Group Inc.</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STATEMENTS OF STOCKHOLDERS’ EQUITY</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center"/>
              <w:ind w:right="79"/>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MYR</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Group Inc.</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Preferred</w:t>
            </w:r>
          </w:p>
        </w:tc>
        <w:tc>
          <w:tcPr>
            <w:tcW w:w="1880" w:type="dxa"/>
            <w:vAlign w:val="bottom"/>
            <w:gridSpan w:val="6"/>
          </w:tcPr>
          <w:p>
            <w:pPr>
              <w:ind w:lef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center"/>
              <w:ind w:right="8"/>
              <w:spacing w:after="0" w:line="155"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center"/>
              <w:ind w:right="47"/>
              <w:spacing w:after="0" w:line="155" w:lineRule="exact"/>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88"/>
              </w:rPr>
              <w:t>Income (loss)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center"/>
              <w:ind w:right="8"/>
              <w:spacing w:after="0" w:line="155"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center"/>
              <w:ind w:right="67"/>
              <w:spacing w:after="0" w:line="155" w:lineRule="exact"/>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180" w:type="dxa"/>
            <w:vAlign w:val="bottom"/>
            <w:gridSpan w:val="2"/>
            <w:vMerge w:val="continue"/>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18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16,465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143,934</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(299)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143,241</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287,039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287,039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5,644</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5,644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Pr>
          <w:p>
            <w:pPr>
              <w:spacing w:after="0" w:line="130" w:lineRule="exact"/>
              <w:rPr>
                <w:sz w:val="20"/>
                <w:szCs w:val="20"/>
                <w:color w:val="auto"/>
              </w:rPr>
            </w:pPr>
            <w:r>
              <w:rPr>
                <w:rFonts w:ascii="Arial" w:cs="Arial" w:eastAsia="Arial" w:hAnsi="Arial"/>
                <w:sz w:val="14"/>
                <w:szCs w:val="14"/>
                <w:color w:val="auto"/>
              </w:rPr>
              <w:t>Adjustment to adopt ASU No.</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gridSpan w:val="2"/>
          </w:tcPr>
          <w:p>
            <w:pPr>
              <w:ind w:left="180"/>
              <w:spacing w:after="0"/>
              <w:rPr>
                <w:sz w:val="20"/>
                <w:szCs w:val="20"/>
                <w:color w:val="auto"/>
              </w:rPr>
            </w:pPr>
            <w:r>
              <w:rPr>
                <w:rFonts w:ascii="Arial" w:cs="Arial" w:eastAsia="Arial" w:hAnsi="Arial"/>
                <w:sz w:val="14"/>
                <w:szCs w:val="14"/>
                <w:color w:val="auto"/>
              </w:rPr>
              <w:t>2016-09</w:t>
            </w:r>
          </w:p>
        </w:tc>
        <w:tc>
          <w:tcPr>
            <w:tcW w:w="80" w:type="dxa"/>
            <w:vAlign w:val="bottom"/>
          </w:tcPr>
          <w:p>
            <w:pPr>
              <w:spacing w:after="0"/>
              <w:rPr>
                <w:sz w:val="14"/>
                <w:szCs w:val="14"/>
                <w:color w:val="auto"/>
              </w:rPr>
            </w:pP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695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695</w:t>
            </w: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 issued under compensation</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plans, net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581</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w w:val="94"/>
              </w:rPr>
              <w:t>Stock-based compensation expense</w:t>
            </w:r>
          </w:p>
        </w:tc>
        <w:tc>
          <w:tcPr>
            <w:tcW w:w="8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420</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repurchased</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(674)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(934)</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80" w:type="dxa"/>
            <w:vAlign w:val="bottom"/>
          </w:tcPr>
          <w:p>
            <w:pPr>
              <w:spacing w:after="0"/>
              <w:rPr>
                <w:sz w:val="14"/>
                <w:szCs w:val="14"/>
                <w:color w:val="auto"/>
              </w:rPr>
            </w:pP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6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at March 31, 2018</w:t>
            </w: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ind w:left="560"/>
              <w:spacing w:after="0" w:line="155"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16,492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144,260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(316</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149,320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293,428</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293,428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24"/>
                <w:szCs w:val="24"/>
                <w:color w:val="auto"/>
              </w:rPr>
            </w:pPr>
          </w:p>
        </w:tc>
        <w:tc>
          <w:tcPr>
            <w:tcW w:w="1080" w:type="dxa"/>
            <w:vAlign w:val="bottom"/>
            <w:gridSpan w:val="3"/>
          </w:tcPr>
          <w:p>
            <w:pPr>
              <w:jc w:val="center"/>
              <w:ind w:right="79"/>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MYR</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Preferred</w:t>
            </w:r>
          </w:p>
        </w:tc>
        <w:tc>
          <w:tcPr>
            <w:tcW w:w="1880" w:type="dxa"/>
            <w:vAlign w:val="bottom"/>
            <w:gridSpan w:val="6"/>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59"/>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Group Inc.</w:t>
            </w:r>
          </w:p>
        </w:tc>
        <w:tc>
          <w:tcPr>
            <w:tcW w:w="10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8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160" w:type="dxa"/>
            <w:vAlign w:val="bottom"/>
            <w:gridSpan w:val="4"/>
          </w:tcPr>
          <w:p>
            <w:pPr>
              <w:ind w:left="80"/>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c>
          <w:tcPr>
            <w:tcW w:w="10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92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tcBorders>
              <w:top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1080" w:type="dxa"/>
            <w:vAlign w:val="bottom"/>
            <w:gridSpan w:val="3"/>
          </w:tcPr>
          <w:p>
            <w:pPr>
              <w:jc w:val="center"/>
              <w:ind w:right="79"/>
              <w:spacing w:after="0" w:line="155" w:lineRule="exact"/>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3"/>
                <w:szCs w:val="13"/>
                <w:color w:val="auto"/>
              </w:rPr>
            </w:pPr>
          </w:p>
        </w:tc>
        <w:tc>
          <w:tcPr>
            <w:tcW w:w="9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4"/>
              </w:rPr>
              <w:t>Interest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7"/>
        </w:trPr>
        <w:tc>
          <w:tcPr>
            <w:tcW w:w="2180" w:type="dxa"/>
            <w:vAlign w:val="bottom"/>
            <w:gridSpan w:val="2"/>
            <w:vMerge w:val="continue"/>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spacing w:after="0"/>
              <w:rPr>
                <w:sz w:val="11"/>
                <w:szCs w:val="11"/>
                <w:color w:val="auto"/>
              </w:rPr>
            </w:pPr>
          </w:p>
        </w:tc>
        <w:tc>
          <w:tcPr>
            <w:tcW w:w="900" w:type="dxa"/>
            <w:vAlign w:val="bottom"/>
            <w:gridSpan w:val="2"/>
          </w:tcPr>
          <w:p>
            <w:pPr>
              <w:spacing w:after="0"/>
              <w:rPr>
                <w:sz w:val="11"/>
                <w:szCs w:val="11"/>
                <w:color w:val="auto"/>
              </w:rPr>
            </w:pPr>
          </w:p>
        </w:tc>
        <w:tc>
          <w:tcPr>
            <w:tcW w:w="200" w:type="dxa"/>
            <w:vAlign w:val="bottom"/>
            <w:gridSpan w:val="2"/>
          </w:tcPr>
          <w:p>
            <w:pPr>
              <w:spacing w:after="0"/>
              <w:rPr>
                <w:sz w:val="11"/>
                <w:szCs w:val="11"/>
                <w:color w:val="auto"/>
              </w:rPr>
            </w:pPr>
          </w:p>
        </w:tc>
        <w:tc>
          <w:tcPr>
            <w:tcW w:w="780" w:type="dxa"/>
            <w:vAlign w:val="bottom"/>
            <w:gridSpan w:val="2"/>
          </w:tcPr>
          <w:p>
            <w:pPr>
              <w:spacing w:after="0"/>
              <w:rPr>
                <w:sz w:val="11"/>
                <w:szCs w:val="11"/>
                <w:color w:val="auto"/>
              </w:rPr>
            </w:pPr>
          </w:p>
        </w:tc>
        <w:tc>
          <w:tcPr>
            <w:tcW w:w="220" w:type="dxa"/>
            <w:vAlign w:val="bottom"/>
            <w:gridSpan w:val="2"/>
          </w:tcPr>
          <w:p>
            <w:pPr>
              <w:spacing w:after="0"/>
              <w:rPr>
                <w:sz w:val="11"/>
                <w:szCs w:val="11"/>
                <w:color w:val="auto"/>
              </w:rPr>
            </w:pPr>
          </w:p>
        </w:tc>
        <w:tc>
          <w:tcPr>
            <w:tcW w:w="800" w:type="dxa"/>
            <w:vAlign w:val="bottom"/>
            <w:gridSpan w:val="2"/>
          </w:tcPr>
          <w:p>
            <w:pPr>
              <w:spacing w:after="0"/>
              <w:rPr>
                <w:sz w:val="11"/>
                <w:szCs w:val="11"/>
                <w:color w:val="auto"/>
              </w:rPr>
            </w:pPr>
          </w:p>
        </w:tc>
        <w:tc>
          <w:tcPr>
            <w:tcW w:w="260" w:type="dxa"/>
            <w:vAlign w:val="bottom"/>
            <w:gridSpan w:val="2"/>
          </w:tcPr>
          <w:p>
            <w:pPr>
              <w:spacing w:after="0"/>
              <w:rPr>
                <w:sz w:val="11"/>
                <w:szCs w:val="11"/>
                <w:color w:val="auto"/>
              </w:rPr>
            </w:pPr>
          </w:p>
        </w:tc>
        <w:tc>
          <w:tcPr>
            <w:tcW w:w="900" w:type="dxa"/>
            <w:vAlign w:val="bottom"/>
            <w:gridSpan w:val="2"/>
          </w:tcPr>
          <w:p>
            <w:pPr>
              <w:spacing w:after="0"/>
              <w:rPr>
                <w:sz w:val="11"/>
                <w:szCs w:val="11"/>
                <w:color w:val="auto"/>
              </w:rPr>
            </w:pPr>
          </w:p>
        </w:tc>
        <w:tc>
          <w:tcPr>
            <w:tcW w:w="180" w:type="dxa"/>
            <w:vAlign w:val="bottom"/>
            <w:gridSpan w:val="2"/>
          </w:tcPr>
          <w:p>
            <w:pPr>
              <w:spacing w:after="0"/>
              <w:rPr>
                <w:sz w:val="11"/>
                <w:szCs w:val="11"/>
                <w:color w:val="auto"/>
              </w:rPr>
            </w:pPr>
          </w:p>
        </w:tc>
        <w:tc>
          <w:tcPr>
            <w:tcW w:w="820" w:type="dxa"/>
            <w:vAlign w:val="bottom"/>
            <w:gridSpan w:val="2"/>
          </w:tcPr>
          <w:p>
            <w:pPr>
              <w:spacing w:after="0"/>
              <w:rPr>
                <w:sz w:val="11"/>
                <w:szCs w:val="11"/>
                <w:color w:val="auto"/>
              </w:rPr>
            </w:pPr>
          </w:p>
        </w:tc>
        <w:tc>
          <w:tcPr>
            <w:tcW w:w="160" w:type="dxa"/>
            <w:vAlign w:val="bottom"/>
            <w:gridSpan w:val="2"/>
          </w:tcPr>
          <w:p>
            <w:pPr>
              <w:spacing w:after="0"/>
              <w:rPr>
                <w:sz w:val="11"/>
                <w:szCs w:val="11"/>
                <w:color w:val="auto"/>
              </w:rPr>
            </w:pPr>
          </w:p>
        </w:tc>
        <w:tc>
          <w:tcPr>
            <w:tcW w:w="100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spacing w:after="0"/>
              <w:rPr>
                <w:sz w:val="11"/>
                <w:szCs w:val="11"/>
                <w:color w:val="auto"/>
              </w:rPr>
            </w:pPr>
          </w:p>
        </w:tc>
        <w:tc>
          <w:tcPr>
            <w:tcW w:w="240" w:type="dxa"/>
            <w:vAlign w:val="bottom"/>
            <w:gridSpan w:val="2"/>
          </w:tcPr>
          <w:p>
            <w:pPr>
              <w:spacing w:after="0"/>
              <w:rPr>
                <w:sz w:val="11"/>
                <w:szCs w:val="11"/>
                <w:color w:val="auto"/>
              </w:rPr>
            </w:pPr>
          </w:p>
        </w:tc>
        <w:tc>
          <w:tcPr>
            <w:tcW w:w="7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16,565</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165</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148,276</w:t>
            </w: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(193)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174,736</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322,984</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1,480</w:t>
            </w:r>
          </w:p>
        </w:tc>
        <w:tc>
          <w:tcPr>
            <w:tcW w:w="24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324,464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7,353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7,353</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Pr>
          <w:p>
            <w:pPr>
              <w:spacing w:after="0" w:line="130" w:lineRule="exact"/>
              <w:rPr>
                <w:sz w:val="20"/>
                <w:szCs w:val="20"/>
                <w:color w:val="auto"/>
              </w:rPr>
            </w:pPr>
            <w:r>
              <w:rPr>
                <w:rFonts w:ascii="Arial" w:cs="Arial" w:eastAsia="Arial" w:hAnsi="Arial"/>
                <w:sz w:val="14"/>
                <w:szCs w:val="14"/>
                <w:color w:val="auto"/>
              </w:rPr>
              <w:t>Stock issued under compensation</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ind w:left="160"/>
              <w:spacing w:after="0"/>
              <w:rPr>
                <w:sz w:val="20"/>
                <w:szCs w:val="20"/>
                <w:color w:val="auto"/>
              </w:rPr>
            </w:pPr>
            <w:r>
              <w:rPr>
                <w:rFonts w:ascii="Arial" w:cs="Arial" w:eastAsia="Arial" w:hAnsi="Arial"/>
                <w:sz w:val="14"/>
                <w:szCs w:val="14"/>
                <w:color w:val="auto"/>
              </w:rPr>
              <w:t>plans, net</w:t>
            </w:r>
          </w:p>
        </w:tc>
        <w:tc>
          <w:tcPr>
            <w:tcW w:w="80" w:type="dxa"/>
            <w:vAlign w:val="bottom"/>
          </w:tcPr>
          <w:p>
            <w:pPr>
              <w:spacing w:after="0"/>
              <w:rPr>
                <w:sz w:val="14"/>
                <w:szCs w:val="14"/>
                <w:color w:val="auto"/>
              </w:rPr>
            </w:pP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282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282</w:t>
            </w: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Stock-based compensation expense</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951</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Shares repurchased</w:t>
            </w:r>
          </w:p>
        </w:tc>
        <w:tc>
          <w:tcPr>
            <w:tcW w:w="8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(778)</w:t>
            </w:r>
          </w:p>
        </w:tc>
        <w:tc>
          <w:tcPr>
            <w:tcW w:w="14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Stock issued - other</w:t>
            </w:r>
          </w:p>
        </w:tc>
        <w:tc>
          <w:tcPr>
            <w:tcW w:w="80" w:type="dxa"/>
            <w:vAlign w:val="bottom"/>
          </w:tcPr>
          <w:p>
            <w:pPr>
              <w:spacing w:after="0"/>
              <w:rPr>
                <w:sz w:val="14"/>
                <w:szCs w:val="14"/>
                <w:color w:val="auto"/>
              </w:rPr>
            </w:pP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6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at March 31, 2019</w:t>
            </w: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ind w:left="560"/>
              <w:spacing w:after="0" w:line="155"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16,610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148,938</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(270</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181,882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330,727</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747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331,474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27"/>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40" w:type="dxa"/>
            <w:vAlign w:val="bottom"/>
          </w:tcPr>
          <w:p>
            <w:pPr>
              <w:ind w:left="4920"/>
              <w:spacing w:after="0"/>
              <w:rPr>
                <w:sz w:val="20"/>
                <w:szCs w:val="20"/>
                <w:color w:val="auto"/>
              </w:rPr>
            </w:pPr>
            <w:r>
              <w:rPr>
                <w:rFonts w:ascii="Arial" w:cs="Arial" w:eastAsia="Arial" w:hAnsi="Arial"/>
                <w:sz w:val="18"/>
                <w:szCs w:val="18"/>
                <w:b w:val="1"/>
                <w:bCs w:val="1"/>
                <w:color w:val="auto"/>
              </w:rPr>
              <w:t>MYR GROUP INC.</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40" w:type="dxa"/>
            <w:vAlign w:val="bottom"/>
          </w:tcPr>
          <w:p>
            <w:pPr>
              <w:ind w:left="2980"/>
              <w:spacing w:after="0"/>
              <w:rPr>
                <w:sz w:val="20"/>
                <w:szCs w:val="20"/>
                <w:color w:val="auto"/>
              </w:rPr>
            </w:pPr>
            <w:r>
              <w:rPr>
                <w:rFonts w:ascii="Arial" w:cs="Arial" w:eastAsia="Arial" w:hAnsi="Arial"/>
                <w:sz w:val="18"/>
                <w:szCs w:val="18"/>
                <w:b w:val="1"/>
                <w:bCs w:val="1"/>
                <w:color w:val="auto"/>
              </w:rPr>
              <w:t>UNAUDITED CONSOLIDATED STATEMENTS OF CASH FLOWS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6,620</w:t>
            </w:r>
          </w:p>
        </w:tc>
        <w:tc>
          <w:tcPr>
            <w:tcW w:w="360" w:type="dxa"/>
            <w:vAlign w:val="bottom"/>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5,644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flows provided by (used in)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Depreciation and amortization of property and equipment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9,815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9,275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951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Gain on sale of property and equipment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(471)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non-cash items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(9,380)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Contract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(27,615)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Receivable for insurance claims in excess of deductibles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38,220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Contract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(30,033)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(12,333)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self insurance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3,576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11,808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flows provided by (used in)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(8,205</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(9,911)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(14,497)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flows used in investing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(9,079</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borrowings (repayments) under revolving lines of credit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21,609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Payment of principal obligations under equipment notes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(1,455)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principal obligations under capital leases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shares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Other financing activities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(8,364)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flows provided by (used in) financing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decrease in cash and cash equivalents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of period</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7,507</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End of period</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right="7400" w:firstLine="8"/>
        <w:spacing w:after="0" w:line="503"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spacing w:after="0" w:line="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MYR Group Inc. (the “Company”) is a holding company of specialty electrical construction service providers and conducts operations through its wholly owned subsidiaries, including: The L. E. Myers Co., a Delaware corporation; Harlan Electric Company, a Michigan corporation; Great Southwestern Construction, Inc., a Colorado corporation; Sturgeon Electric Company, Inc., a Michigan corporation; MYR Transmission Services, Inc., a Delaware corporation; E.S. Boulos Company, a Delaware corporation; High Country Line Construction, Inc., a Nevada corporation; Sturgeon Electric California, LLC, a Delaware limited liability company; GSW Integrated Services, LLC, a Delaware limited liability company; Huen Electric, Inc., a Delaware corporation; MYR Transmission Services Canada, Ltd., a British Columbia corporation; Northern Transmission Services, Ltd., a British Columbia corporation and Western Pacific Enterprises Ltd., a British Columbia corporation.</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which include design, engineering, procurement, construction, upgrade, maintenance and repair services, with a particular focus on construction, maintenance and repair. C&amp;I customers include general contractors, commercial and industrial facility owners, local governments and developers. C&amp;I provides a broad range of services, which include the design, installation, maintenance and repair of commercial and industrial wiring, the installation of traffic networks and the installation of bridge, roadway and tunnel lighting.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Consolidated Financial Information</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accompanying unaudited consolidated financial statements of the Company have been prepared in accordance with accounting principles generally accepted in the United States of America (“U.S. GAAP”) for interim financial reporting and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stockholders’ equity and cash flows with respect to the interim consolidated financial statements, have been included. Certain reclassifications were made to prior year amounts to conform to the current year presentation. The consolidated balance sheet as of December 31, 2018 has been derived from the audited financial statements as of that date. The results of operations and comprehensive income are not necessarily indicative of the results for the full year or the results for any future periods. These financial statements should be read in conjunction with the audited financial statements and related notes for the year ended December 31, 2018, included in the Company’s Annual Report on Form 10-K, which was filed with the SEC on March 6,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in shareholders’ equity. Foreign currency transaction gains and losses, arising primarily from changes in exchange rates on short-term monetary assets and liabilities, and ineffective long-term monetary assets and liabilities are recorded in the “other income, net” line on the consolidated statements of operations. Foreign currency losses for the three months ended March 31, 2019 and 2018, were not significant. Effective foreign currency transaction gains and losses, arising primarily from long-term monetary assets and liabilities, are recorded in the foreign currency translation adjustment line on the consolidated statements of comprehensive income.</w:t>
      </w: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As of March 31, 2019 and December 31, 2018, the Company held its cash in checking accounts or in highly liquid money market funds. The Company’s banking arrangements allow the Company to fund outstanding checks when presented to financial institutions for payment. The Company funds all intraday bank balances overdrafts during the same business day. Checks issued and outstanding in excess of bank balance are recorded in accounts payable in the Consolidated Balance Sheets and are reflected as other financing activities in the Consolidated Statements of Cash Flows. As of March 31, 2019, the Company had checks issued and outstanding in excess of our bank balance of $8.4 million. The Company had no checks issued and outstanding in excess of our bank balance as of December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most significant estimates are related to estimates of costs to complete contracts, pending change orders and claims, shared savings, insurance reserves, income tax reserves, estimates surrounding stock-based compensation, the recoverability of goodwill and intangibles and accounts receivable reserves. The Company estimates a cost accrual every quarter that represents costs incurred but not invoiced for services performed or goods delivered during the period, and estimates revenue from the contract cost portion of this accrual based on current gross margin rates to be consistent with its cost method of revenue recognition.</w:t>
      </w:r>
    </w:p>
    <w:p>
      <w:pPr>
        <w:spacing w:after="0" w:line="18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the three months ended March 31, 2019 and 2018, the Company recognized revenues of $6.8 million and $16.1 million, respectively, related to significant change orders and/or claims that had been included as contract price adjustments on certain contracts which were in the process of being negotiated in the normal course of business.</w:t>
      </w:r>
    </w:p>
    <w:p>
      <w:pPr>
        <w:spacing w:after="0" w:line="18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cost-to-cost method of accounting requires the Company to make estimates about the expected revenue and gross profit on each of its contracts in process. During the three months ended March 31, 2019, changes in estimates pertaining to certain projects decreased consolidated gross margin by 0.8%, which resulted in decreases in operating income of $4.0 million, net income attributable to MYR Group Inc. of $1.5 million and diluted earnings per common share attributable to MYR Group Inc. of $0.09.</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During the three months ended March 31, 2018, changes in estimates pertaining to certain projects decreased consolidated gross margin by 0.1%, which resulted in decreases in operating income of $0.3 million, net income attributable to MYR Group Inc. of $0.2 million and diluted earnings per common share attributable to MYR Group Inc. of $0.01.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540" w:firstLine="648"/>
        <w:spacing w:after="0" w:line="259" w:lineRule="auto"/>
        <w:rPr>
          <w:sz w:val="20"/>
          <w:szCs w:val="20"/>
          <w:color w:val="auto"/>
        </w:rPr>
      </w:pPr>
      <w:r>
        <w:rPr>
          <w:rFonts w:ascii="Arial" w:cs="Arial" w:eastAsia="Arial" w:hAnsi="Arial"/>
          <w:sz w:val="18"/>
          <w:szCs w:val="18"/>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adoption will have minimal impact on its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amendments under this pronouncement changed the way all leases with durations in excess of one year are treated. Under this guidance, lessees are required to recognize virtually all leases on the balance sheet as a right-of-use asset and an associated financing lease liability or operating lease liability. The right-of-use asset represents the lessee’s right to use, or control the use of, a specified asset for the specified lease term. The lease liability represents the lessee’s obligation to make lease payments arising from the lease, measured on a discounted basis. Based on certain characteristics, leases are classified as financing leases or operating leases. Financing lease liabilities, which contain provisions similar to capitalized leases, are amortized like capital leases under current accounting, as amortization expense and interest expense in the statement of operations. Operating lease liabilities are amortized on a straight-line basis over the life of the lease as lease expense in the statement of operations. On January 1, 2019, the Company adopted ASU No. 2016-02, Leases (Topic 842) using the modified retrospective method. The modified retrospective basis provides a method for recording existing leases at adoption and in comparative periods that approximates the results of a full retrospective approach. See Note 4– Lease Obligations for further information related to the Company’s accounting policy and transition disclosures associated with the adoption of this pronouncement.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which simplifies the subsequent measurement of goodwill, through the elimination of Step 2 from the goodwill impairment test. Instead, an entity should perform its annual, or interim, goodwill impairment test by comparing the fair value of a reporting unit with its carrying amount. The update is effective for any annual or interim goodwill impairment tests in fiscal years beginning after December 15, 2019. Early adoption is permitted for interim or annual goodwill impairment tests performed on testing dates after January 1, 2017. The guidance requires application on a prospective basis. The Company does not expect that this pronouncement will have a significant impact on its financial statements.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896"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Acquisition</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July 2, 2018, the Company completed the acquisition of substantially all of the assets of Huen Electric, Inc., an electrical contracting firm based in Illinois, Huen Electric New Jersey Inc., an electrical contracting firm based in New Jersey, and Huen New York, Inc., an electrical contracting firm based in New York (collectively, the “Huen Companies”). The Huen Companies provide a wide range of commercial and industrial electrical construction capabilities under the Company’s C&amp;I segment in Illinois, New Jersey and New York. The total consideration paid was approximately $47.1 million, subject to working capital and net asset adjustments, which was funded through borrowings under our credit facility. Total consideration paid will also include a portion associated with the net asset adjustments which were finalized in March of 2019 and will be paid in 2019. The Company’s final net asset adjustments was $10.8 million and increased the total consideration to $57.9 million. The final net asset adjustment was recorded in accounts payable on the consolidated balance sheet as of March 31, 2019. The Company has finalized the purchase price accounting relating to the acquisition of the Huen Companies. All goodwill and identifiable intangible assets are expected to be tax deductible per applicable Internal Revenue Service regulations.</w:t>
      </w:r>
    </w:p>
    <w:p>
      <w:pPr>
        <w:spacing w:after="0" w:line="16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purchase agreement also includes contingent consideration provisions for margin guarantee adjustments based upon performance subsequent to the acquisition on certain contracts. The contracts were valued at fair value at the acquisition date, causing no margin guarantee estimate or adjustments for fair value. Changes in contract estimates, such as modified costs to complete or change order recognition, have resulted and will continue to result in changes to these margin guarantee estimates. Changes in contingent consideration, subsequent to the acquisition, related to the margin guarantee adjustments on certain contracts of approximately $0.8 million were recorded in other income for the three months ended March 31, 2019. Future margin guarantee adjustments, if any, are expected to be recognized through 2019. The Company could also be required to make compensation payments contingent on the successful achievement of certain performance targets and continued employment of certain key executives of the Huen Companies. These payments are recognized as compensation expense in the consolidated statements of operations as incurred. For the three months ended March 31, 2019, the Company recognized $0.3 million of compensation expense associated with these contingent payments.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allocation of the opening balance sheet from the date of the Huen Companies acquisition through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(as of</w:t>
            </w:r>
          </w:p>
        </w:tc>
        <w:tc>
          <w:tcPr>
            <w:tcW w:w="6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Measurement</w:t>
            </w:r>
          </w:p>
        </w:tc>
        <w:tc>
          <w:tcPr>
            <w:tcW w:w="60" w:type="dxa"/>
            <w:vAlign w:val="bottom"/>
          </w:tcPr>
          <w:p>
            <w:pPr>
              <w:spacing w:after="0"/>
              <w:rPr>
                <w:sz w:val="18"/>
                <w:szCs w:val="18"/>
                <w:color w:val="auto"/>
              </w:rPr>
            </w:pPr>
          </w:p>
        </w:tc>
        <w:tc>
          <w:tcPr>
            <w:tcW w:w="17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Adjusted acquisition</w:t>
            </w:r>
          </w:p>
        </w:tc>
        <w:tc>
          <w:tcPr>
            <w:tcW w:w="0" w:type="dxa"/>
            <w:vAlign w:val="bottom"/>
          </w:tcPr>
          <w:p>
            <w:pPr>
              <w:spacing w:after="0"/>
              <w:rPr>
                <w:sz w:val="1"/>
                <w:szCs w:val="1"/>
                <w:color w:val="auto"/>
              </w:rPr>
            </w:pPr>
          </w:p>
        </w:tc>
      </w:tr>
      <w:tr>
        <w:trPr>
          <w:trHeight w:val="216"/>
        </w:trPr>
        <w:tc>
          <w:tcPr>
            <w:tcW w:w="4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54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acquisition date)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Period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amounts as of</w:t>
            </w:r>
          </w:p>
        </w:tc>
        <w:tc>
          <w:tcPr>
            <w:tcW w:w="0" w:type="dxa"/>
            <w:vAlign w:val="bottom"/>
          </w:tcPr>
          <w:p>
            <w:pPr>
              <w:spacing w:after="0"/>
              <w:rPr>
                <w:sz w:val="1"/>
                <w:szCs w:val="1"/>
                <w:color w:val="auto"/>
              </w:rPr>
            </w:pPr>
          </w:p>
        </w:tc>
      </w:tr>
      <w:tr>
        <w:trPr>
          <w:trHeight w:val="234"/>
        </w:trPr>
        <w:tc>
          <w:tcPr>
            <w:tcW w:w="414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July 2, 2018</w:t>
            </w:r>
          </w:p>
        </w:tc>
        <w:tc>
          <w:tcPr>
            <w:tcW w:w="60" w:type="dxa"/>
            <w:vAlign w:val="bottom"/>
          </w:tcPr>
          <w:p>
            <w:pPr>
              <w:spacing w:after="0"/>
              <w:rPr>
                <w:sz w:val="20"/>
                <w:szCs w:val="20"/>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3"/>
              </w:rPr>
              <w:t>Adjustments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March 31, 2019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Consideration paid</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47,082</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Preliminary estimated net asset adjustments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10,749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10,834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consideration, net of net asset adjustments</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57,916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33,903</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Contract assets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10,570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1,010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long term assets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Accounts payable</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(9,592)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(1,274)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(6,570)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(6,521)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identifiable assets and liabilities</w:t>
            </w: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25,193</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24,392</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Unallocated intangible assets</w:t>
            </w:r>
          </w:p>
        </w:tc>
        <w:tc>
          <w:tcPr>
            <w:tcW w:w="5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9,800</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(9,800</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acquired assets and liabilities</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of acquired noncontrolling interest</w:t>
            </w:r>
          </w:p>
        </w:tc>
        <w:tc>
          <w:tcPr>
            <w:tcW w:w="5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24,111</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Contract Assets and Liabilities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which frequently include retention provisions contained in each contract.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ind w:right="60"/>
        <w:spacing w:after="0" w:line="264" w:lineRule="auto"/>
        <w:rPr>
          <w:sz w:val="20"/>
          <w:szCs w:val="20"/>
          <w:color w:val="auto"/>
        </w:rPr>
      </w:pPr>
      <w:r>
        <w:rPr>
          <w:rFonts w:ascii="Arial" w:cs="Arial" w:eastAsia="Arial" w:hAnsi="Arial"/>
          <w:sz w:val="18"/>
          <w:szCs w:val="18"/>
          <w:color w:val="auto"/>
        </w:rPr>
        <w:t>The Company’s consolidated balance sheets present contract assets which contain unbilled revenue and contract retainages associated with contract work that has been completed and billed but not paid by customers, pursuant to retainage provisions, which are generally due once the job is completed and approved. The allowance for collection of contract retainage was not significant as of March 31, 2019 and 2018.</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Contract assets consisted of the following:</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40" w:type="dxa"/>
            <w:vAlign w:val="bottom"/>
          </w:tcPr>
          <w:p>
            <w:pPr>
              <w:spacing w:after="0"/>
              <w:rPr>
                <w:sz w:val="24"/>
                <w:szCs w:val="24"/>
                <w:color w:val="auto"/>
              </w:rPr>
            </w:pPr>
          </w:p>
        </w:tc>
        <w:tc>
          <w:tcPr>
            <w:tcW w:w="37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37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111,153</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18,697</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Contract retainages, net</w:t>
            </w: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58,219</w:t>
            </w: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49,128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188,069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160,281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Company’s consolidated balance sheets present contract liabilities which contain deferred revenue and an accrual for contracts in a loss provision.</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Contract liabilities consisted of the following:</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40" w:type="dxa"/>
            <w:vAlign w:val="bottom"/>
          </w:tcPr>
          <w:p>
            <w:pPr>
              <w:spacing w:after="0"/>
              <w:rPr>
                <w:sz w:val="24"/>
                <w:szCs w:val="24"/>
                <w:color w:val="auto"/>
              </w:rPr>
            </w:pPr>
          </w:p>
        </w:tc>
        <w:tc>
          <w:tcPr>
            <w:tcW w:w="37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37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57,051</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(29,986)</w:t>
            </w: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Accrued loss provision</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58,534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(30,015</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37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19"/>
                <w:szCs w:val="19"/>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December 31,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37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160,281</w:t>
            </w:r>
          </w:p>
        </w:tc>
        <w:tc>
          <w:tcPr>
            <w:tcW w:w="2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27,788</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(28,519)</w:t>
            </w:r>
          </w:p>
        </w:tc>
        <w:tc>
          <w:tcPr>
            <w:tcW w:w="1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(58,534)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30,015</w:t>
            </w:r>
          </w:p>
        </w:tc>
        <w:tc>
          <w:tcPr>
            <w:tcW w:w="0" w:type="dxa"/>
            <w:vAlign w:val="bottom"/>
          </w:tcPr>
          <w:p>
            <w:pPr>
              <w:spacing w:after="0"/>
              <w:rPr>
                <w:sz w:val="1"/>
                <w:szCs w:val="1"/>
                <w:color w:val="auto"/>
              </w:rPr>
            </w:pPr>
          </w:p>
        </w:tc>
      </w:tr>
      <w:tr>
        <w:trPr>
          <w:trHeight w:val="223"/>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contract assets (liabilities)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159,550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57,803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difference between the opening and closing balances of the Company’s contract assets and contract liabilities primarily results from the timing of the Company’s billings in relation to performance of work. The amounts of revenue recognized in the period that was included in the opening contract liability balances were $49.4 million for the three months ended March 31, 2019 and $25.4 million for the three months ended March 31, 2018. This revenue consists primarily of work performed on previous billings to customers.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w w:val="96"/>
              </w:rPr>
              <w:t>The net asset position for contracts in process consisted of the following:</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58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55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on uncompleted contracts</w:t>
            </w:r>
          </w:p>
        </w:tc>
        <w:tc>
          <w:tcPr>
            <w:tcW w:w="5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2,448,984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2,718,713</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Less: Billings to date</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2,346,199</w:t>
            </w: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2,664,611</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2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102,785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net asset position for contracts in process is included within the contract asset and contract liability in the accompanying consolidated balance sheets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gridSpan w:val="2"/>
            <w:vMerge w:val="restart"/>
          </w:tcPr>
          <w:p>
            <w:pPr>
              <w:ind w:left="980"/>
              <w:spacing w:after="0"/>
              <w:rPr>
                <w:sz w:val="20"/>
                <w:szCs w:val="20"/>
                <w:color w:val="auto"/>
              </w:rPr>
            </w:pPr>
            <w:r>
              <w:rPr>
                <w:rFonts w:ascii="Arial" w:cs="Arial" w:eastAsia="Arial" w:hAnsi="Arial"/>
                <w:sz w:val="18"/>
                <w:szCs w:val="18"/>
                <w:b w:val="1"/>
                <w:bCs w:val="1"/>
                <w:color w:val="auto"/>
              </w:rPr>
              <w:t>(in thousands)</w:t>
            </w:r>
          </w:p>
        </w:tc>
        <w:tc>
          <w:tcPr>
            <w:tcW w:w="2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December 31,</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60" w:type="dxa"/>
            <w:vAlign w:val="bottom"/>
            <w:gridSpan w:val="2"/>
            <w:vMerge w:val="continue"/>
          </w:tcPr>
          <w:p>
            <w:pPr>
              <w:spacing w:after="0"/>
              <w:rPr>
                <w:sz w:val="20"/>
                <w:szCs w:val="20"/>
                <w:color w:val="auto"/>
              </w:rPr>
            </w:pPr>
          </w:p>
        </w:tc>
        <w:tc>
          <w:tcPr>
            <w:tcW w:w="2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27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129,850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111,153</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Deferred revenue</w:t>
            </w:r>
          </w:p>
        </w:tc>
        <w:tc>
          <w:tcPr>
            <w:tcW w:w="2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(27,065)</w:t>
            </w:r>
          </w:p>
        </w:tc>
        <w:tc>
          <w:tcPr>
            <w:tcW w:w="1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(57,051)</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2980" w:type="dxa"/>
            <w:vAlign w:val="bottom"/>
            <w:tcBorders>
              <w:top w:val="single" w:sz="8" w:color="CCEEFF"/>
              <w:bottom w:val="single" w:sz="8" w:color="CCEEFF"/>
            </w:tcBorders>
            <w:shd w:val="clear" w:color="auto" w:fill="CCEEFF"/>
          </w:tcPr>
          <w:p>
            <w:pPr>
              <w:spacing w:after="0"/>
              <w:rPr>
                <w:sz w:val="19"/>
                <w:szCs w:val="19"/>
                <w:color w:val="auto"/>
              </w:rPr>
            </w:pPr>
          </w:p>
        </w:tc>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102,785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0" w:type="dxa"/>
            <w:vAlign w:val="bottom"/>
            <w:vMerge w:val="restart"/>
          </w:tcPr>
          <w:p>
            <w:pPr>
              <w:jc w:val="right"/>
              <w:ind w:right="71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9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Lease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Policy</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On January 1, 2019, the Company adopted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using the modified retrospective method. Under this guidance, the net present value of future lease payments are recorded as right-of-use assets and liabilities. In addition, the Company elected the ‘package of practical expedients’ permitted under the transition guidance within the new standard, which among other things, allowed the Company to carry forward the historical lease classification. In addition, the Company elected not to utilize the hindsight practical expedient to determine the lease term for existing leases. The Company elected the short-term lease recognition exemption for all leases that qualify. This means, for those leases that qualify, the Company did not recognize right-of-use assets or lease liabilities, including not recognizing right-of-use assets or lease liabilities for existing short-term leases of those assets in transition. The Company also elected the practical expedient to not separate lease and non-lease components for our real estate and vehicle leases. Adoption of the new standard resulted in the recording of additional operating right-of-use assets and operating lease liabilities of approximately $16.3 million and $16.0 million, respectively, as of January 1, 2019. The adoption of Topic 842 did not impact the Company’s retained earnings, consolidated net earnings or cash flows.</w:t>
      </w:r>
    </w:p>
    <w:p>
      <w:pPr>
        <w:spacing w:after="0" w:line="19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eight years, some of which may include options to extend the leases for up to five years, and some of which may include options to terminate the leases within one year. Currently, all of the Company’s leases contain fixed payment terms. The Company may decide to cancel or terminate a lease before the end of its term, in which case we are typically liable to the lessor for the remaining lease payments under the term of the lease. Additionally, all of our month-to-month leases are cancelable by the Company or the lessor, at any time and are not included in our right-of-use asset or liability. At March 31, 2019, the Company had no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Nonperformance-related default covenants, cross-default provisions, subjective default provisions and material adverse change clauses contained in material lease agreements, if any, are also evaluated to determine whether those clauses affect lease classification in accordance with “ASC” Topic 842-10-25. Leases are accounted for as operating or financing leases, depending on the terms of the 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Leases</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 leases some vehicles and certain equipment under financing leases. The economic substance of the leases is a financing transaction for acquisition of the vehicles and equipment. Accordingly, the right-of-use assets for these leases are included in the balance sheets in property and equipment, net of accumulated depreciation, with a corresponding amount recorded in current portion of financing lease obligations or financing lease obligations, net of current maturities, as appropriate. The financing lease assets are amortized over the life of the lease or, if shorter, the life of the leased asset, on a straight-line basis and included in depreciation expense. The interest associated with financing lease obligations is included in interest expense.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Right-of-Use Leases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Operating right-of-use leases are included in operating lease right-of-use assets, and current portion of operating lease obligations and operating lease obligations, net of current maturities, as appropriate. Operating lease right-of-use assets and operating lease liabilities are recognized based on the present value of the future minimum lease payments over the lease term at commencement date. As most of the Company’s leases do not provide an implicit rate to calculate present value, the Company determines this rate, by estimating the Company’s incremental borrowing rate, at the lease commencement date. The operating lease right-of-use asset also includes any lease payments made and initial direct costs incurred and excludes lease incentives. Our lease terms may include options to extend or terminate the lease when it is reasonably certain that we will exercise that option. Lease expense for minimum lease payments is recognized on a straight-line basis over the lease term.</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6"/>
          <w:szCs w:val="16"/>
          <w:color w:val="auto"/>
        </w:rPr>
        <w:t>The following is a summary of the lease-related assets and liabilities recorded as of March 31, 2019:</w:t>
      </w:r>
    </w:p>
    <w:p>
      <w:pPr>
        <w:sectPr>
          <w:pgSz w:w="11900" w:h="16838" w:orient="portrait"/>
          <w:cols w:equalWidth="0" w:num="1">
            <w:col w:w="11420"/>
          </w:cols>
          <w:pgMar w:left="240" w:top="908" w:right="239" w:bottom="1440" w:gutter="0" w:footer="0" w:header="0"/>
        </w:sectPr>
      </w:pP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(in thousands)</w:t>
            </w: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3880" w:type="dxa"/>
            <w:vAlign w:val="bottom"/>
          </w:tcPr>
          <w:p>
            <w:pPr>
              <w:spacing w:after="0"/>
              <w:rPr>
                <w:sz w:val="20"/>
                <w:szCs w:val="20"/>
                <w:color w:val="auto"/>
              </w:rPr>
            </w:pPr>
            <w:r>
              <w:rPr>
                <w:rFonts w:ascii="Arial" w:cs="Arial" w:eastAsia="Arial" w:hAnsi="Arial"/>
                <w:sz w:val="18"/>
                <w:szCs w:val="18"/>
                <w:b w:val="1"/>
                <w:bCs w:val="1"/>
                <w:color w:val="auto"/>
                <w:w w:val="91"/>
              </w:rPr>
              <w:t>Classification on the Consolidated Balance Sheet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4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Operating lease right-of-use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Finance lease right-of-use assets</w:t>
            </w:r>
          </w:p>
        </w:tc>
        <w:tc>
          <w:tcPr>
            <w:tcW w:w="3880" w:type="dxa"/>
            <w:vAlign w:val="bottom"/>
          </w:tcPr>
          <w:p>
            <w:pPr>
              <w:spacing w:after="0"/>
              <w:rPr>
                <w:sz w:val="20"/>
                <w:szCs w:val="20"/>
                <w:color w:val="auto"/>
              </w:rPr>
            </w:pPr>
            <w:r>
              <w:rPr>
                <w:rFonts w:ascii="Arial" w:cs="Arial" w:eastAsia="Arial" w:hAnsi="Arial"/>
                <w:sz w:val="18"/>
                <w:szCs w:val="18"/>
                <w:color w:val="auto"/>
              </w:rPr>
              <w:t>Property and equipment, net of accumulated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vMerge w:val="restart"/>
          </w:tcPr>
          <w:p>
            <w:pPr>
              <w:ind w:left="160"/>
              <w:spacing w:after="0"/>
              <w:rPr>
                <w:sz w:val="20"/>
                <w:szCs w:val="20"/>
                <w:color w:val="auto"/>
              </w:rPr>
            </w:pPr>
            <w:r>
              <w:rPr>
                <w:rFonts w:ascii="Arial" w:cs="Arial" w:eastAsia="Arial" w:hAnsi="Arial"/>
                <w:sz w:val="18"/>
                <w:szCs w:val="18"/>
                <w:color w:val="auto"/>
              </w:rPr>
              <w:t>Total right-of-use lease assets</w:t>
            </w:r>
          </w:p>
        </w:tc>
        <w:tc>
          <w:tcPr>
            <w:tcW w:w="3880" w:type="dxa"/>
            <w:vAlign w:val="bottom"/>
          </w:tcPr>
          <w:p>
            <w:pPr>
              <w:spacing w:after="0"/>
              <w:rPr>
                <w:sz w:val="20"/>
                <w:szCs w:val="20"/>
                <w:color w:val="auto"/>
              </w:rPr>
            </w:pPr>
            <w:r>
              <w:rPr>
                <w:rFonts w:ascii="Arial" w:cs="Arial" w:eastAsia="Arial" w:hAnsi="Arial"/>
                <w:sz w:val="18"/>
                <w:szCs w:val="18"/>
                <w:color w:val="auto"/>
              </w:rPr>
              <w:t>depreciation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gridSpan w:val="2"/>
            <w:vMerge w:val="continue"/>
          </w:tcPr>
          <w:p>
            <w:pPr>
              <w:spacing w:after="0"/>
              <w:rPr>
                <w:sz w:val="19"/>
                <w:szCs w:val="19"/>
                <w:color w:val="auto"/>
              </w:rPr>
            </w:pPr>
          </w:p>
        </w:tc>
        <w:tc>
          <w:tcPr>
            <w:tcW w:w="3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-565150</wp:posOffset>
            </wp:positionV>
            <wp:extent cx="615759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57595" cy="14605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-136525</wp:posOffset>
            </wp:positionV>
            <wp:extent cx="615759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FFFFFF"/>
        </w:rPr>
        <w:t>March 31,</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FFFFFF"/>
        </w:rPr>
        <w:t>2019</w:t>
      </w:r>
    </w:p>
    <w:p>
      <w:pPr>
        <w:spacing w:after="0" w:line="22" w:lineRule="exact"/>
        <w:rPr>
          <w:sz w:val="20"/>
          <w:szCs w:val="20"/>
          <w:color w:val="auto"/>
        </w:rPr>
      </w:pPr>
    </w:p>
    <w:p>
      <w:pPr>
        <w:ind w:left="560" w:hanging="555"/>
        <w:spacing w:after="0"/>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16,266</w:t>
      </w:r>
    </w:p>
    <w:p>
      <w:pPr>
        <w:spacing w:after="0" w:line="262"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2,327</w:t>
      </w:r>
    </w:p>
    <w:p>
      <w:pPr>
        <w:spacing w:after="0" w:line="36" w:lineRule="exact"/>
        <w:rPr>
          <w:sz w:val="20"/>
          <w:szCs w:val="20"/>
          <w:color w:val="auto"/>
        </w:rPr>
      </w:pPr>
    </w:p>
    <w:p>
      <w:pPr>
        <w:ind w:left="560" w:hanging="555"/>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18,593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668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2">
            <w:col w:w="9120" w:space="80"/>
            <w:col w:w="2220"/>
          </w:cols>
          <w:pgMar w:left="240" w:top="908" w:right="239" w:bottom="1440" w:gutter="0" w:footer="0" w:header="0"/>
          <w:type w:val="continuous"/>
        </w:sectPr>
      </w:pPr>
    </w:p>
    <w:p>
      <w:pPr>
        <w:spacing w:after="0" w:line="8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Current</w:t>
            </w:r>
          </w:p>
        </w:tc>
        <w:tc>
          <w:tcPr>
            <w:tcW w:w="5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obligations</w:t>
            </w:r>
          </w:p>
        </w:tc>
        <w:tc>
          <w:tcPr>
            <w:tcW w:w="51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Current portion of operating lease obligations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4,401</w:t>
            </w:r>
          </w:p>
        </w:tc>
        <w:tc>
          <w:tcPr>
            <w:tcW w:w="80" w:type="dxa"/>
            <w:vAlign w:val="bottom"/>
            <w:shd w:val="clear" w:color="auto" w:fill="CCEEFF"/>
          </w:tcPr>
          <w:p>
            <w:pPr>
              <w:spacing w:after="0"/>
              <w:rPr>
                <w:sz w:val="19"/>
                <w:szCs w:val="19"/>
                <w:color w:val="auto"/>
              </w:rPr>
            </w:pPr>
          </w:p>
        </w:tc>
      </w:tr>
      <w:tr>
        <w:trPr>
          <w:trHeight w:val="230"/>
        </w:trPr>
        <w:tc>
          <w:tcPr>
            <w:tcW w:w="3420" w:type="dxa"/>
            <w:vAlign w:val="bottom"/>
          </w:tcPr>
          <w:p>
            <w:pPr>
              <w:ind w:left="180"/>
              <w:spacing w:after="0"/>
              <w:rPr>
                <w:sz w:val="20"/>
                <w:szCs w:val="20"/>
                <w:color w:val="auto"/>
              </w:rPr>
            </w:pPr>
            <w:r>
              <w:rPr>
                <w:rFonts w:ascii="Arial" w:cs="Arial" w:eastAsia="Arial" w:hAnsi="Arial"/>
                <w:sz w:val="18"/>
                <w:szCs w:val="18"/>
                <w:color w:val="auto"/>
              </w:rPr>
              <w:t>Finance lease obligations</w:t>
            </w:r>
          </w:p>
        </w:tc>
        <w:tc>
          <w:tcPr>
            <w:tcW w:w="5120" w:type="dxa"/>
            <w:vAlign w:val="bottom"/>
          </w:tcPr>
          <w:p>
            <w:pPr>
              <w:ind w:left="1160"/>
              <w:spacing w:after="0"/>
              <w:rPr>
                <w:sz w:val="20"/>
                <w:szCs w:val="20"/>
                <w:color w:val="auto"/>
              </w:rPr>
            </w:pPr>
            <w:r>
              <w:rPr>
                <w:rFonts w:ascii="Arial" w:cs="Arial" w:eastAsia="Arial" w:hAnsi="Arial"/>
                <w:sz w:val="18"/>
                <w:szCs w:val="18"/>
                <w:color w:val="auto"/>
              </w:rPr>
              <w:t>Current portion of finance lease obligations</w:t>
            </w:r>
          </w:p>
        </w:tc>
        <w:tc>
          <w:tcPr>
            <w:tcW w:w="3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1,127</w:t>
            </w:r>
          </w:p>
        </w:tc>
        <w:tc>
          <w:tcPr>
            <w:tcW w:w="80" w:type="dxa"/>
            <w:vAlign w:val="bottom"/>
          </w:tcPr>
          <w:p>
            <w:pPr>
              <w:spacing w:after="0"/>
              <w:rPr>
                <w:sz w:val="19"/>
                <w:szCs w:val="19"/>
                <w:color w:val="auto"/>
              </w:rPr>
            </w:pPr>
          </w:p>
        </w:tc>
      </w:tr>
      <w:tr>
        <w:trPr>
          <w:trHeight w:val="210"/>
        </w:trPr>
        <w:tc>
          <w:tcPr>
            <w:tcW w:w="34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obligations</w:t>
            </w:r>
          </w:p>
        </w:tc>
        <w:tc>
          <w:tcPr>
            <w:tcW w:w="5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Non-current</w:t>
            </w:r>
          </w:p>
        </w:tc>
        <w:tc>
          <w:tcPr>
            <w:tcW w:w="5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obligations</w:t>
            </w:r>
          </w:p>
        </w:tc>
        <w:tc>
          <w:tcPr>
            <w:tcW w:w="512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4"/>
              </w:rPr>
              <w:t>Operating lease obligations, net of current maturities</w:t>
            </w:r>
          </w:p>
        </w:tc>
        <w:tc>
          <w:tcPr>
            <w:tcW w:w="3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11,600</w:t>
            </w:r>
          </w:p>
        </w:tc>
        <w:tc>
          <w:tcPr>
            <w:tcW w:w="80" w:type="dxa"/>
            <w:vAlign w:val="bottom"/>
            <w:shd w:val="clear" w:color="auto" w:fill="CCEEFF"/>
          </w:tcPr>
          <w:p>
            <w:pPr>
              <w:spacing w:after="0"/>
              <w:rPr>
                <w:sz w:val="19"/>
                <w:szCs w:val="19"/>
                <w:color w:val="auto"/>
              </w:rPr>
            </w:pPr>
          </w:p>
        </w:tc>
      </w:tr>
      <w:tr>
        <w:trPr>
          <w:trHeight w:val="230"/>
        </w:trPr>
        <w:tc>
          <w:tcPr>
            <w:tcW w:w="3420" w:type="dxa"/>
            <w:vAlign w:val="bottom"/>
          </w:tcPr>
          <w:p>
            <w:pPr>
              <w:ind w:left="180"/>
              <w:spacing w:after="0"/>
              <w:rPr>
                <w:sz w:val="20"/>
                <w:szCs w:val="20"/>
                <w:color w:val="auto"/>
              </w:rPr>
            </w:pPr>
            <w:r>
              <w:rPr>
                <w:rFonts w:ascii="Arial" w:cs="Arial" w:eastAsia="Arial" w:hAnsi="Arial"/>
                <w:sz w:val="18"/>
                <w:szCs w:val="18"/>
                <w:color w:val="auto"/>
              </w:rPr>
              <w:t>Finance lease obligations</w:t>
            </w:r>
          </w:p>
        </w:tc>
        <w:tc>
          <w:tcPr>
            <w:tcW w:w="5120" w:type="dxa"/>
            <w:vAlign w:val="bottom"/>
          </w:tcPr>
          <w:p>
            <w:pPr>
              <w:ind w:left="1160"/>
              <w:spacing w:after="0"/>
              <w:rPr>
                <w:sz w:val="20"/>
                <w:szCs w:val="20"/>
                <w:color w:val="auto"/>
              </w:rPr>
            </w:pPr>
            <w:r>
              <w:rPr>
                <w:rFonts w:ascii="Arial" w:cs="Arial" w:eastAsia="Arial" w:hAnsi="Arial"/>
                <w:sz w:val="18"/>
                <w:szCs w:val="18"/>
                <w:color w:val="auto"/>
                <w:w w:val="97"/>
              </w:rPr>
              <w:t>Finance lease obligations, net of current maturities</w:t>
            </w:r>
          </w:p>
        </w:tc>
        <w:tc>
          <w:tcPr>
            <w:tcW w:w="3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1,275</w:t>
            </w:r>
          </w:p>
        </w:tc>
        <w:tc>
          <w:tcPr>
            <w:tcW w:w="80" w:type="dxa"/>
            <w:vAlign w:val="bottom"/>
          </w:tcPr>
          <w:p>
            <w:pPr>
              <w:spacing w:after="0"/>
              <w:rPr>
                <w:sz w:val="19"/>
                <w:szCs w:val="19"/>
                <w:color w:val="auto"/>
              </w:rPr>
            </w:pPr>
          </w:p>
        </w:tc>
      </w:tr>
      <w:tr>
        <w:trPr>
          <w:trHeight w:val="210"/>
        </w:trPr>
        <w:tc>
          <w:tcPr>
            <w:tcW w:w="34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non-current obligations</w:t>
            </w:r>
          </w:p>
        </w:tc>
        <w:tc>
          <w:tcPr>
            <w:tcW w:w="5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3420" w:type="dxa"/>
            <w:vAlign w:val="bottom"/>
          </w:tcPr>
          <w:p>
            <w:pPr>
              <w:ind w:left="360"/>
              <w:spacing w:after="0"/>
              <w:rPr>
                <w:sz w:val="20"/>
                <w:szCs w:val="20"/>
                <w:color w:val="auto"/>
              </w:rPr>
            </w:pPr>
            <w:r>
              <w:rPr>
                <w:rFonts w:ascii="Arial" w:cs="Arial" w:eastAsia="Arial" w:hAnsi="Arial"/>
                <w:sz w:val="18"/>
                <w:szCs w:val="18"/>
                <w:color w:val="auto"/>
              </w:rPr>
              <w:t>Total lease obligations</w:t>
            </w:r>
          </w:p>
        </w:tc>
        <w:tc>
          <w:tcPr>
            <w:tcW w:w="5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The following is a summary of the lease terms and discount rates as of March 31, 2019:</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 finance leases</w:t>
            </w:r>
          </w:p>
        </w:tc>
        <w:tc>
          <w:tcPr>
            <w:tcW w:w="2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2.14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2140" w:type="dxa"/>
            <w:vAlign w:val="bottom"/>
          </w:tcPr>
          <w:p>
            <w:pPr>
              <w:jc w:val="right"/>
              <w:ind w:right="70"/>
              <w:spacing w:after="0"/>
              <w:rPr>
                <w:sz w:val="20"/>
                <w:szCs w:val="20"/>
                <w:color w:val="auto"/>
              </w:rPr>
            </w:pPr>
            <w:r>
              <w:rPr>
                <w:rFonts w:ascii="Arial" w:cs="Arial" w:eastAsia="Arial" w:hAnsi="Arial"/>
                <w:sz w:val="18"/>
                <w:szCs w:val="18"/>
                <w:color w:val="auto"/>
              </w:rPr>
              <w:t>4.31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 - finance leases</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21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certain information related to the lease costs for finance and operating leases for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 cost: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580" w:type="dxa"/>
            <w:vAlign w:val="bottom"/>
          </w:tcPr>
          <w:p>
            <w:pPr>
              <w:ind w:left="160"/>
              <w:spacing w:after="0"/>
              <w:rPr>
                <w:sz w:val="20"/>
                <w:szCs w:val="20"/>
                <w:color w:val="auto"/>
              </w:rPr>
            </w:pPr>
            <w:r>
              <w:rPr>
                <w:rFonts w:ascii="Arial" w:cs="Arial" w:eastAsia="Arial" w:hAnsi="Arial"/>
                <w:sz w:val="18"/>
                <w:szCs w:val="18"/>
                <w:color w:val="auto"/>
              </w:rPr>
              <w:t>Finance lease cost: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right-of-use assets</w:t>
            </w:r>
          </w:p>
        </w:tc>
        <w:tc>
          <w:tcPr>
            <w:tcW w:w="58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273</w:t>
            </w:r>
          </w:p>
        </w:tc>
      </w:tr>
      <w:tr>
        <w:trPr>
          <w:trHeight w:val="216"/>
        </w:trPr>
        <w:tc>
          <w:tcPr>
            <w:tcW w:w="7580" w:type="dxa"/>
            <w:vAlign w:val="bottom"/>
          </w:tcPr>
          <w:p>
            <w:pPr>
              <w:ind w:left="320"/>
              <w:spacing w:after="0"/>
              <w:rPr>
                <w:sz w:val="20"/>
                <w:szCs w:val="20"/>
                <w:color w:val="auto"/>
              </w:rPr>
            </w:pPr>
            <w:r>
              <w:rPr>
                <w:rFonts w:ascii="Arial" w:cs="Arial" w:eastAsia="Arial" w:hAnsi="Arial"/>
                <w:sz w:val="18"/>
                <w:szCs w:val="18"/>
                <w:color w:val="auto"/>
              </w:rPr>
              <w:t>Interest on lease liabilities</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r>
      <w:tr>
        <w:trPr>
          <w:trHeight w:val="216"/>
        </w:trPr>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cost</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1,594</w:t>
            </w:r>
          </w:p>
        </w:tc>
        <w:tc>
          <w:tcPr>
            <w:tcW w:w="60" w:type="dxa"/>
            <w:vAlign w:val="bottom"/>
            <w:shd w:val="clear" w:color="auto" w:fill="CCEEFF"/>
          </w:tcPr>
          <w:p>
            <w:pPr>
              <w:spacing w:after="0"/>
              <w:rPr>
                <w:sz w:val="18"/>
                <w:szCs w:val="18"/>
                <w:color w:val="auto"/>
              </w:rPr>
            </w:pPr>
          </w:p>
        </w:tc>
      </w:tr>
      <w:tr>
        <w:trPr>
          <w:trHeight w:val="216"/>
        </w:trPr>
        <w:tc>
          <w:tcPr>
            <w:tcW w:w="7580" w:type="dxa"/>
            <w:vAlign w:val="bottom"/>
          </w:tcPr>
          <w:p>
            <w:pPr>
              <w:ind w:left="160"/>
              <w:spacing w:after="0"/>
              <w:rPr>
                <w:sz w:val="20"/>
                <w:szCs w:val="20"/>
                <w:color w:val="auto"/>
              </w:rPr>
            </w:pPr>
            <w:r>
              <w:rPr>
                <w:rFonts w:ascii="Arial" w:cs="Arial" w:eastAsia="Arial" w:hAnsi="Arial"/>
                <w:sz w:val="18"/>
                <w:szCs w:val="18"/>
                <w:color w:val="auto"/>
              </w:rPr>
              <w:t>Short-term lease cost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r>
      <w:tr>
        <w:trPr>
          <w:trHeight w:val="230"/>
        </w:trPr>
        <w:tc>
          <w:tcPr>
            <w:tcW w:w="7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Variable lease costs</w:t>
            </w: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9"/>
                <w:szCs w:val="19"/>
                <w:color w:val="auto"/>
              </w:rPr>
            </w:pPr>
          </w:p>
        </w:tc>
      </w:tr>
      <w:tr>
        <w:trPr>
          <w:trHeight w:val="223"/>
        </w:trPr>
        <w:tc>
          <w:tcPr>
            <w:tcW w:w="7580" w:type="dxa"/>
            <w:vAlign w:val="bottom"/>
          </w:tcPr>
          <w:p>
            <w:pPr>
              <w:ind w:left="160"/>
              <w:spacing w:after="0"/>
              <w:rPr>
                <w:sz w:val="20"/>
                <w:szCs w:val="20"/>
                <w:color w:val="auto"/>
              </w:rPr>
            </w:pPr>
            <w:r>
              <w:rPr>
                <w:rFonts w:ascii="Arial" w:cs="Arial" w:eastAsia="Arial" w:hAnsi="Arial"/>
                <w:sz w:val="18"/>
                <w:szCs w:val="18"/>
                <w:color w:val="auto"/>
              </w:rPr>
              <w:t>Total lease cost</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is a summary of other information and supplemental cash flow information related to finance and operating leases for three months ended March 31,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gridSpan w:val="2"/>
          </w:tcPr>
          <w:p>
            <w:pPr>
              <w:ind w:left="660"/>
              <w:spacing w:after="0"/>
              <w:rPr>
                <w:sz w:val="20"/>
                <w:szCs w:val="20"/>
                <w:color w:val="auto"/>
              </w:rPr>
            </w:pPr>
            <w:r>
              <w:rPr>
                <w:rFonts w:ascii="Arial" w:cs="Arial" w:eastAsia="Arial" w:hAnsi="Arial"/>
                <w:sz w:val="18"/>
                <w:szCs w:val="18"/>
                <w:b w:val="1"/>
                <w:bCs w:val="1"/>
                <w:color w:val="auto"/>
              </w:rPr>
              <w:t>(in thousands)</w:t>
            </w:r>
          </w:p>
        </w:tc>
        <w:tc>
          <w:tcPr>
            <w:tcW w:w="1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cash flows from operating leases</w:t>
            </w:r>
          </w:p>
        </w:tc>
        <w:tc>
          <w:tcPr>
            <w:tcW w:w="1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64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6600" w:type="dxa"/>
            <w:vAlign w:val="bottom"/>
          </w:tcPr>
          <w:p>
            <w:pPr>
              <w:ind w:left="160"/>
              <w:spacing w:after="0"/>
              <w:rPr>
                <w:sz w:val="20"/>
                <w:szCs w:val="20"/>
                <w:color w:val="auto"/>
              </w:rPr>
            </w:pPr>
            <w:r>
              <w:rPr>
                <w:rFonts w:ascii="Arial" w:cs="Arial" w:eastAsia="Arial" w:hAnsi="Arial"/>
                <w:sz w:val="18"/>
                <w:szCs w:val="18"/>
                <w:color w:val="auto"/>
              </w:rPr>
              <w:t>Right-of-use asset obtained in exchange for new operating lease obligations</w:t>
            </w:r>
          </w:p>
        </w:tc>
        <w:tc>
          <w:tcPr>
            <w:tcW w:w="15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17,200</w:t>
            </w:r>
          </w:p>
        </w:tc>
        <w:tc>
          <w:tcPr>
            <w:tcW w:w="1640" w:type="dxa"/>
            <w:vAlign w:val="bottom"/>
          </w:tcPr>
          <w:p>
            <w:pPr>
              <w:spacing w:after="0"/>
              <w:rPr>
                <w:sz w:val="20"/>
                <w:szCs w:val="20"/>
                <w:color w:val="auto"/>
              </w:rPr>
            </w:pPr>
          </w:p>
        </w:tc>
      </w:tr>
      <w:tr>
        <w:trPr>
          <w:trHeight w:val="634"/>
        </w:trPr>
        <w:tc>
          <w:tcPr>
            <w:tcW w:w="7260" w:type="dxa"/>
            <w:vAlign w:val="bottom"/>
            <w:tcBorders>
              <w:bottom w:val="single" w:sz="8" w:color="auto"/>
            </w:tcBorders>
            <w:gridSpan w:val="2"/>
          </w:tcPr>
          <w:p>
            <w:pPr>
              <w:jc w:val="right"/>
              <w:ind w:right="1350"/>
              <w:spacing w:after="0"/>
              <w:rPr>
                <w:sz w:val="20"/>
                <w:szCs w:val="20"/>
                <w:color w:val="auto"/>
              </w:rPr>
            </w:pPr>
            <w:r>
              <w:rPr>
                <w:rFonts w:ascii="Arial" w:cs="Arial" w:eastAsia="Arial" w:hAnsi="Arial"/>
                <w:sz w:val="18"/>
                <w:szCs w:val="18"/>
                <w:color w:val="auto"/>
              </w:rPr>
              <w:t>10</w:t>
            </w:r>
          </w:p>
        </w:tc>
        <w:tc>
          <w:tcPr>
            <w:tcW w:w="1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type w:val="continuous"/>
        </w:sectPr>
      </w:pPr>
    </w:p>
    <w:bookmarkStart w:id="12" w:name="page13"/>
    <w:bookmarkEnd w:id="12"/>
    <w:p>
      <w:pPr>
        <w:ind w:right="460" w:firstLine="648"/>
        <w:spacing w:after="0" w:line="308" w:lineRule="auto"/>
        <w:rPr>
          <w:sz w:val="20"/>
          <w:szCs w:val="20"/>
          <w:color w:val="auto"/>
        </w:rPr>
      </w:pPr>
      <w:r>
        <w:rPr>
          <w:rFonts w:ascii="Arial" w:cs="Arial" w:eastAsia="Arial" w:hAnsi="Arial"/>
          <w:sz w:val="17"/>
          <w:szCs w:val="17"/>
          <w:color w:val="auto"/>
        </w:rPr>
        <w:t>The future undiscounted minimum lease payments, as reconciled to the discounted minimum indicated on the Company’s consolidated balance sheets, under financial leases, less interest, and under operating leases, less interest, as of March 31, 2019 were as follows:</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Finance</w:t>
            </w: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Operating</w:t>
            </w: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Lease</w:t>
            </w:r>
          </w:p>
        </w:tc>
        <w:tc>
          <w:tcPr>
            <w:tcW w:w="1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Lease</w:t>
            </w:r>
          </w:p>
        </w:tc>
        <w:tc>
          <w:tcPr>
            <w:tcW w:w="1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Lease</w:t>
            </w:r>
          </w:p>
        </w:tc>
      </w:tr>
      <w:tr>
        <w:trPr>
          <w:trHeight w:val="234"/>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Obligations</w:t>
            </w:r>
          </w:p>
        </w:tc>
        <w:tc>
          <w:tcPr>
            <w:tcW w:w="10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Obligations</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Obligations</w:t>
            </w:r>
          </w:p>
        </w:tc>
      </w:tr>
      <w:tr>
        <w:trPr>
          <w:trHeight w:val="210"/>
        </w:trPr>
        <w:tc>
          <w:tcPr>
            <w:tcW w:w="6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Remainder of 2019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5,582</w:t>
            </w:r>
          </w:p>
        </w:tc>
      </w:tr>
      <w:tr>
        <w:trPr>
          <w:trHeight w:val="216"/>
        </w:trPr>
        <w:tc>
          <w:tcPr>
            <w:tcW w:w="6260" w:type="dxa"/>
            <w:vAlign w:val="bottom"/>
          </w:tcPr>
          <w:p>
            <w:pPr>
              <w:ind w:left="16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4,859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6,044</w:t>
            </w:r>
          </w:p>
        </w:tc>
      </w:tr>
      <w:tr>
        <w:trPr>
          <w:trHeight w:val="216"/>
        </w:trPr>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4,162</w:t>
            </w:r>
          </w:p>
        </w:tc>
      </w:tr>
      <w:tr>
        <w:trPr>
          <w:trHeight w:val="216"/>
        </w:trPr>
        <w:tc>
          <w:tcPr>
            <w:tcW w:w="6260" w:type="dxa"/>
            <w:vAlign w:val="bottom"/>
          </w:tcPr>
          <w:p>
            <w:pPr>
              <w:ind w:left="16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2,822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2,822</w:t>
            </w:r>
          </w:p>
        </w:tc>
      </w:tr>
      <w:tr>
        <w:trPr>
          <w:trHeight w:val="216"/>
        </w:trPr>
        <w:tc>
          <w:tcPr>
            <w:tcW w:w="6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1,533</w:t>
            </w:r>
          </w:p>
        </w:tc>
      </w:tr>
      <w:tr>
        <w:trPr>
          <w:trHeight w:val="230"/>
        </w:trPr>
        <w:tc>
          <w:tcPr>
            <w:tcW w:w="6380" w:type="dxa"/>
            <w:vAlign w:val="bottom"/>
            <w:gridSpan w:val="2"/>
          </w:tcPr>
          <w:p>
            <w:pPr>
              <w:ind w:left="160"/>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2,481</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2,481</w:t>
            </w:r>
          </w:p>
        </w:tc>
      </w:tr>
      <w:tr>
        <w:trPr>
          <w:trHeight w:val="210"/>
        </w:trPr>
        <w:tc>
          <w:tcPr>
            <w:tcW w:w="63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minimum lease payments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380" w:type="dxa"/>
            <w:vAlign w:val="bottom"/>
            <w:gridSpan w:val="2"/>
          </w:tcPr>
          <w:p>
            <w:pPr>
              <w:ind w:left="160"/>
              <w:spacing w:after="0"/>
              <w:rPr>
                <w:sz w:val="20"/>
                <w:szCs w:val="20"/>
                <w:color w:val="auto"/>
              </w:rPr>
            </w:pPr>
            <w:r>
              <w:rPr>
                <w:rFonts w:ascii="Arial" w:cs="Arial" w:eastAsia="Arial" w:hAnsi="Arial"/>
                <w:sz w:val="18"/>
                <w:szCs w:val="18"/>
                <w:color w:val="auto"/>
              </w:rPr>
              <w:t>Financing component</w:t>
            </w: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(4,139)</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(4,221)</w:t>
            </w:r>
          </w:p>
        </w:tc>
      </w:tr>
      <w:tr>
        <w:trPr>
          <w:trHeight w:val="210"/>
        </w:trPr>
        <w:tc>
          <w:tcPr>
            <w:tcW w:w="63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present value of minimum lease payments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380" w:type="dxa"/>
            <w:vAlign w:val="bottom"/>
            <w:gridSpan w:val="2"/>
          </w:tcPr>
          <w:p>
            <w:pPr>
              <w:ind w:left="160"/>
              <w:spacing w:after="0"/>
              <w:rPr>
                <w:sz w:val="20"/>
                <w:szCs w:val="20"/>
                <w:color w:val="auto"/>
              </w:rPr>
            </w:pPr>
            <w:r>
              <w:rPr>
                <w:rFonts w:ascii="Arial" w:cs="Arial" w:eastAsia="Arial" w:hAnsi="Arial"/>
                <w:sz w:val="18"/>
                <w:szCs w:val="18"/>
                <w:color w:val="auto"/>
              </w:rPr>
              <w:t>Less: Current portion of financing and operating lease obligations</w:t>
            </w: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(4,401)</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(5,528)</w:t>
            </w:r>
          </w:p>
        </w:tc>
      </w:tr>
      <w:tr>
        <w:trPr>
          <w:trHeight w:val="223"/>
        </w:trPr>
        <w:tc>
          <w:tcPr>
            <w:tcW w:w="63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Long-term financing and operating lease obligations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financing component for finance lease obligations represents the interest component of capital leases that will be recognized as interest expense in future periods. The financing component for operating lease obligations represents the difference between the future operating lease obligations and their unamortized fair value.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Certain subsidiaries of the Company have operating leases for facilities from third party companies that are owned, in whole or part, by employees of the subsidiaries. The terms and rental rates of these leases are at market rental rates. As of March 31, 2019, the minimum lease payments required under these leases totaled $2.8 million, which is to be paid over the next 4.3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Prior to the adoption of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the Company leased vehicles and certain equipment under capital leases. The economic substance of these leases was a financing transaction for acquisition of the vehicles and equipment and, accordingly, the leases were included in the balance sheets in property and equipment, net of accumulated depreciation, with a corresponding amount recorded in current portion of lease obligations or lease obligations, net of current maturities, as appropriate. The capital lease assets were amortized on a straight-line basis over the life of the lease or, if shorter, the life of the leased asset, and were included in depreciation expense in the statements of operations. The interest associated with capital leases was included in interest expense in the statements of operations.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2018, the Company had $2.7 million of capital lease obligations outstanding, $1.1 million of which was classified as a current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liability.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$2.6 million of leased assets were capitalized in property and equipment, net of accumulated depreciation.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154"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As of March 31, 2019 and December 31, 2018, the Company determined that the carrying value of cash and cash equivalents approximated fair value based on Level 1 inputs. As of March 31, 2019 and December 31, 2018, the fair values of the Company’s long-term debt and finance lease obligations were based on Level 2 inputs. The Company’s long-term debt was based on variable and fixed interest rates at March 31, 2019 and December 31, 2018, for new issues with similar remaining maturities, and approximated carrying value. In addition, based on borrowing rates currently available to the Company for borrowings with similar terms, the carrying values of the Company's finance lease obligations also approximated fair value.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reflects the Company's total debt, including borrowings under its credit agreement and master loan agreement for equipment notes: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Balance as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Balance as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Stated Interest</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Payment</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Term</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640" w:type="dxa"/>
            <w:vAlign w:val="bottom"/>
            <w:gridSpan w:val="3"/>
          </w:tcPr>
          <w:p>
            <w:pPr>
              <w:spacing w:after="0"/>
              <w:rPr>
                <w:sz w:val="20"/>
                <w:szCs w:val="20"/>
                <w:color w:val="auto"/>
              </w:rPr>
            </w:pPr>
            <w:r>
              <w:rPr>
                <w:rFonts w:ascii="Arial" w:cs="Arial" w:eastAsia="Arial" w:hAnsi="Arial"/>
                <w:sz w:val="18"/>
                <w:szCs w:val="18"/>
                <w:b w:val="1"/>
                <w:bCs w:val="1"/>
                <w:color w:val="auto"/>
              </w:rPr>
              <w:t>(dollar amounts in thousands)</w:t>
            </w:r>
          </w:p>
        </w:tc>
        <w:tc>
          <w:tcPr>
            <w:tcW w:w="1500" w:type="dxa"/>
            <w:vAlign w:val="bottom"/>
            <w:gridSpan w:val="2"/>
          </w:tcPr>
          <w:p>
            <w:pPr>
              <w:ind w:left="120"/>
              <w:spacing w:after="0"/>
              <w:rPr>
                <w:sz w:val="20"/>
                <w:szCs w:val="20"/>
                <w:color w:val="auto"/>
              </w:rPr>
            </w:pPr>
            <w:r>
              <w:rPr>
                <w:rFonts w:ascii="Arial" w:cs="Arial" w:eastAsia="Arial" w:hAnsi="Arial"/>
                <w:sz w:val="18"/>
                <w:szCs w:val="18"/>
                <w:b w:val="1"/>
                <w:bCs w:val="1"/>
                <w:color w:val="auto"/>
              </w:rPr>
              <w:t>Inception Date</w:t>
            </w: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Rate (per annum)</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Frequency</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Credit Agreement</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340"/>
              <w:spacing w:after="0"/>
              <w:rPr>
                <w:sz w:val="20"/>
                <w:szCs w:val="20"/>
                <w:color w:val="auto"/>
              </w:rPr>
            </w:pPr>
            <w:r>
              <w:rPr>
                <w:rFonts w:ascii="Arial" w:cs="Arial" w:eastAsia="Arial" w:hAnsi="Arial"/>
                <w:sz w:val="18"/>
                <w:szCs w:val="18"/>
                <w:color w:val="auto"/>
              </w:rPr>
              <w:t>Revolving loans</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6/30/2016</w:t>
            </w:r>
          </w:p>
        </w:tc>
        <w:tc>
          <w:tcPr>
            <w:tcW w:w="1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Variable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Variable</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79,915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58,306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i w:val="1"/>
                <w:iCs w:val="1"/>
                <w:color w:val="auto"/>
              </w:rPr>
              <w:t>Equipment Notes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Equipment Note 1</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9/28/2018</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Semi-annual</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340"/>
              <w:spacing w:after="0"/>
              <w:rPr>
                <w:sz w:val="20"/>
                <w:szCs w:val="20"/>
                <w:color w:val="auto"/>
              </w:rPr>
            </w:pPr>
            <w:r>
              <w:rPr>
                <w:rFonts w:ascii="Arial" w:cs="Arial" w:eastAsia="Arial" w:hAnsi="Arial"/>
                <w:sz w:val="18"/>
                <w:szCs w:val="18"/>
                <w:color w:val="auto"/>
              </w:rPr>
              <w:t>Equipment Note 2</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9/28/2018</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4.23%</w:t>
            </w: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Semi-annual</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11,745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Equipment Note 3</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12/31/2018</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3.97%</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Semi-annual</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340"/>
              <w:spacing w:after="0"/>
              <w:rPr>
                <w:sz w:val="20"/>
                <w:szCs w:val="20"/>
                <w:color w:val="auto"/>
              </w:rPr>
            </w:pPr>
            <w:r>
              <w:rPr>
                <w:rFonts w:ascii="Arial" w:cs="Arial" w:eastAsia="Arial" w:hAnsi="Arial"/>
                <w:sz w:val="18"/>
                <w:szCs w:val="18"/>
                <w:color w:val="auto"/>
              </w:rPr>
              <w:t>Equipment Note 4</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12/31/2018</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4.02%</w:t>
            </w: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Semi-annual</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Equipment Note 5</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12/31/2018</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4.01%</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Semi-annual</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30,031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31,486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2"/>
          </w:tcPr>
          <w:p>
            <w:pPr>
              <w:spacing w:after="0" w:line="201" w:lineRule="exact"/>
              <w:rPr>
                <w:sz w:val="20"/>
                <w:szCs w:val="20"/>
                <w:color w:val="auto"/>
              </w:rPr>
            </w:pPr>
            <w:r>
              <w:rPr>
                <w:rFonts w:ascii="Arial" w:cs="Arial" w:eastAsia="Arial" w:hAnsi="Arial"/>
                <w:sz w:val="18"/>
                <w:szCs w:val="18"/>
                <w:color w:val="auto"/>
                <w:w w:val="96"/>
              </w:rPr>
              <w:t>Less: Current portion of long-term</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640" w:type="dxa"/>
            <w:vAlign w:val="bottom"/>
            <w:gridSpan w:val="3"/>
          </w:tcPr>
          <w:p>
            <w:pPr>
              <w:spacing w:after="0"/>
              <w:rPr>
                <w:sz w:val="20"/>
                <w:szCs w:val="20"/>
                <w:color w:val="auto"/>
              </w:rPr>
            </w:pPr>
            <w:r>
              <w:rPr>
                <w:rFonts w:ascii="Arial" w:cs="Arial" w:eastAsia="Arial" w:hAnsi="Arial"/>
                <w:sz w:val="18"/>
                <w:szCs w:val="18"/>
                <w:color w:val="auto"/>
              </w:rPr>
              <w:t>debt</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(3,742)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106,204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June 30, 2016, the Company entered into a five-year amended and restated credit agreement as amended from time to time, (the “Credit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Agreement”) with a syndicate of banks led by JPMorgan Chase Bank, N.A. and Bank of America, N.A, that provided for a $250 million facility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“Facility”), which could be used for revolving loans and letters of credit. On September 28, 2018, the Company amended the Credit Agreement.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amendment, among other things, reduces the amount of the Facility available to be used for letters of credit to a maximum of $150 million. The Facility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allows for revolving loans and letters of credit in Canadian dollars and other currencies, up to the U.S. dollar equivalent of $50 million. The Company has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expansion option to increase the commitments under the Facility or enter into incremental term loans, subject to certain conditions, by up to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million upon receipt of additional commitments from new or existing lenders. Subject to certain exceptions, the Facility is secured by substantially all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assets of the Company and its domestic subsidiaries, and by a pledge of substantially all of the capital stock of the Company’s domestic subsidiaries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65% of the capital stock of the direct foreign subsidiaries of the Company. Additionally, subject to certain exceptions, the Company’s domestic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also guarantee the repayment of all amounts due under the Credit Agreement. If an event of default occurs and is continuing, on the terms and subject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set forth in the Credit Agreement, amounts outstanding under the Facility may be accelerated and may become or be declared immediately due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payable. Borrowings under the Credit Agreement are used for working capital, capital expenditures, acquisitions, stock repurchases and other general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corporate purposes.</w:t>
      </w:r>
    </w:p>
    <w:p>
      <w:pPr>
        <w:spacing w:after="0" w:line="211" w:lineRule="exact"/>
        <w:rPr>
          <w:sz w:val="20"/>
          <w:szCs w:val="20"/>
          <w:color w:val="auto"/>
        </w:rPr>
      </w:pPr>
    </w:p>
    <w:p>
      <w:pPr>
        <w:ind w:right="160" w:firstLine="648"/>
        <w:spacing w:after="0" w:line="285" w:lineRule="auto"/>
        <w:rPr>
          <w:sz w:val="20"/>
          <w:szCs w:val="20"/>
          <w:color w:val="auto"/>
        </w:rPr>
      </w:pPr>
      <w:r>
        <w:rPr>
          <w:rFonts w:ascii="Arial" w:cs="Arial" w:eastAsia="Arial" w:hAnsi="Arial"/>
          <w:sz w:val="16"/>
          <w:szCs w:val="16"/>
          <w:color w:val="auto"/>
        </w:rPr>
        <w:t>Amounts borrowed under the Credit Agreement bear interest, at the Company’s option, at a rate equal to either (1) the Alternate Base Rate (as defined in the Credit Agreement), plus an applicable margin ranging from 0.00% to 1.00%; or (2) Adjusted LIBO Rate (as defined in the Credit Agreement) plus an applicable margin ranging from 1.00% to 2.00%. The applicable margin is determined based on the Company’s consolidated leverage ratio (the “Leverage Ratio”) which is defined in the Credit Agreement as Consolidated Total Indebtedness divided by Consolidated EBITDA (as defined in the Credit Agreement). Letters of credit issued under the Facility are subject to a letter of credit fee of 1.125% to 2.125% for non-performance letters of credit 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0.625% to 1.125% for performance letters of credit, based on the Company’s consolidated Leverage Ratio. The Company is subject to a commitment fee of</w:t>
      </w:r>
    </w:p>
    <w:p>
      <w:pPr>
        <w:spacing w:after="0" w:line="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0.20% to 0.375%, based on the Company’s consolidated Leverage Ratio, on any unused portion of the Facility. The Credit Agreement restricts certain types of payments when the Company’s consolidated Leverage Ratio exceeds 2.25. The weighted average interest rate on borrowings outstanding on the Facility for the three months ended March 31, 2019 was 3.51% per annum.</w:t>
      </w:r>
    </w:p>
    <w:p>
      <w:pPr>
        <w:spacing w:after="0" w:line="19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Under the Credit Agreement, the Company is subject to certain financial covenants and must maintain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In connection with any permitted acquisition where the total consideration exceeds $50 million, the Company may request that the maximum permitted consolidated Leverage Ratio increase from 3.0 to 3.5. Any such increase shall begin in the quarter in which such permitted acquisition is consummated and shall continue in effect for four consecutive fiscal quarters. The Company was in compliance with all of its financial covenants under the Credit Agreement as of March 31, 2019.</w:t>
      </w:r>
    </w:p>
    <w:p>
      <w:pPr>
        <w:spacing w:after="0" w:line="178"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As of March 31, 2019 and December 31, 2018, the Company had letters of credit outstanding under the Facility of approximately $21.2 million, including $17.6 million related to the Company’s payment obligation under its insurance programs and approximately $3.6 million related to contract performance obligations.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ind w:firstLine="648"/>
        <w:spacing w:after="0" w:line="264" w:lineRule="auto"/>
        <w:rPr>
          <w:sz w:val="20"/>
          <w:szCs w:val="20"/>
          <w:color w:val="auto"/>
        </w:rPr>
      </w:pPr>
      <w:r>
        <w:rPr>
          <w:rFonts w:ascii="Arial" w:cs="Arial" w:eastAsia="Arial" w:hAnsi="Arial"/>
          <w:sz w:val="18"/>
          <w:szCs w:val="18"/>
          <w:color w:val="auto"/>
        </w:rPr>
        <w:t>The Company had remaining deferred debt issuance costs totaling $0.6 million as of March 31, 2019, related to the line of credit. As permitted under ASU No. 2015-15, debt issuance costs have been deferred and are presented as an asset within other assets, which is amortized as interest expense over the term of the line of credit.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Notes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On September 28, 2018, the Company entered into a Master Equipment Loan and Security Agreement (the “Master Loan Agreement”) with Banc of America Leasing &amp; Capital, LLC (“BofA”). The Master Loan Agreement may be used for the financing of equipment between the Company and BofA pursuant to one or more equipment notes ("Equipment Notes"). Each Equipment Note executed under the Master Loan Agreement constitutes a separate, distinct and independent financing of equipment and a contractual obligation of the Company, which may contain prepayment clauses.</w:t>
      </w:r>
    </w:p>
    <w:p>
      <w:pPr>
        <w:spacing w:after="0" w:line="17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As of March 31, 2019, the Company had five Equipment Notes outstanding under the Master Loan Agreement that are collateralized by equipment and vehicles owned by the Company. The following table sets forth our remaining principal payments for the Company’s outstanding Equipment Notes as of March 31, 2019:</w:t>
      </w:r>
    </w:p>
    <w:p>
      <w:pPr>
        <w:spacing w:after="0" w:line="177"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Future</w:t>
            </w:r>
          </w:p>
        </w:tc>
      </w:tr>
      <w:tr>
        <w:trPr>
          <w:trHeight w:val="230"/>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Equipment Notes</w:t>
            </w:r>
          </w:p>
        </w:tc>
      </w:t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(In thousands)</w:t>
            </w:r>
          </w:p>
        </w:tc>
        <w:tc>
          <w:tcPr>
            <w:tcW w:w="1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Principal Payments</w:t>
            </w:r>
          </w:p>
        </w:tc>
      </w:tr>
      <w:tr>
        <w:trPr>
          <w:trHeight w:val="210"/>
        </w:trPr>
        <w:tc>
          <w:tcPr>
            <w:tcW w:w="20" w:type="dxa"/>
            <w:vAlign w:val="bottom"/>
          </w:tcPr>
          <w:p>
            <w:pPr>
              <w:spacing w:after="0"/>
              <w:rPr>
                <w:sz w:val="18"/>
                <w:szCs w:val="18"/>
                <w:color w:val="auto"/>
              </w:rPr>
            </w:pPr>
          </w:p>
        </w:tc>
        <w:tc>
          <w:tcPr>
            <w:tcW w:w="40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Remainder of 2019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3,835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4,164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40"/>
              <w:spacing w:after="0"/>
              <w:rPr>
                <w:sz w:val="20"/>
                <w:szCs w:val="20"/>
                <w:color w:val="auto"/>
              </w:rPr>
            </w:pPr>
            <w:r>
              <w:rPr>
                <w:rFonts w:ascii="Arial" w:cs="Arial" w:eastAsia="Arial" w:hAnsi="Arial"/>
                <w:sz w:val="18"/>
                <w:szCs w:val="18"/>
                <w:color w:val="auto"/>
              </w:rPr>
              <w:t>2024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1,820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6,664</w:t>
            </w:r>
          </w:p>
        </w:tc>
        <w:tc>
          <w:tcPr>
            <w:tcW w:w="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Total future principal payments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30,031</w:t>
            </w:r>
          </w:p>
        </w:tc>
        <w:tc>
          <w:tcPr>
            <w:tcW w:w="8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Less: Current portion of equipment notes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20" w:type="dxa"/>
            <w:vAlign w:val="bottom"/>
          </w:tcPr>
          <w:p>
            <w:pPr>
              <w:spacing w:after="0"/>
              <w:rPr>
                <w:sz w:val="19"/>
                <w:szCs w:val="19"/>
                <w:color w:val="auto"/>
              </w:rPr>
            </w:pPr>
          </w:p>
        </w:tc>
        <w:tc>
          <w:tcPr>
            <w:tcW w:w="4100" w:type="dxa"/>
            <w:vAlign w:val="bottom"/>
            <w:gridSpan w:val="2"/>
          </w:tcPr>
          <w:p>
            <w:pPr>
              <w:ind w:left="140"/>
              <w:spacing w:after="0"/>
              <w:rPr>
                <w:sz w:val="20"/>
                <w:szCs w:val="20"/>
                <w:color w:val="auto"/>
              </w:rPr>
            </w:pPr>
            <w:r>
              <w:rPr>
                <w:rFonts w:ascii="Arial" w:cs="Arial" w:eastAsia="Arial" w:hAnsi="Arial"/>
                <w:sz w:val="18"/>
                <w:szCs w:val="18"/>
                <w:color w:val="auto"/>
              </w:rPr>
              <w:t>Long-term principal obligations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guaranteed not-to-exceed maximum price.</w:t>
      </w:r>
    </w:p>
    <w:p>
      <w:pPr>
        <w:spacing w:after="0" w:line="16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11–Segment Information.</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The components of the Company’s revenue by contract type for the three months ended March 31, 2019 and 2018 were as follows:</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12"/>
          </w:tcPr>
          <w:p>
            <w:pPr>
              <w:jc w:val="center"/>
              <w:ind w:right="400"/>
              <w:spacing w:after="0"/>
              <w:rPr>
                <w:sz w:val="20"/>
                <w:szCs w:val="20"/>
                <w:color w:val="auto"/>
              </w:rPr>
            </w:pPr>
            <w:r>
              <w:rPr>
                <w:rFonts w:ascii="Arial" w:cs="Arial" w:eastAsia="Arial" w:hAnsi="Arial"/>
                <w:sz w:val="18"/>
                <w:szCs w:val="18"/>
                <w:b w:val="1"/>
                <w:bCs w:val="1"/>
                <w:color w:val="auto"/>
                <w:w w:val="92"/>
              </w:rPr>
              <w:t>Three months ended March 31, 2019</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T&amp;D</w:t>
            </w:r>
          </w:p>
        </w:tc>
        <w:tc>
          <w:tcPr>
            <w:tcW w:w="6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rPr>
              <w:t>C&amp;I</w:t>
            </w:r>
          </w:p>
        </w:tc>
        <w:tc>
          <w:tcPr>
            <w:tcW w:w="7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83"/>
              </w:rPr>
              <w:t>Total</w:t>
            </w:r>
          </w:p>
        </w:tc>
        <w:tc>
          <w:tcPr>
            <w:tcW w:w="7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CCEEFF"/>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4"/>
              </w:rPr>
              <w:t>Percent</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Percent</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Percent</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Fixed price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6"/>
              </w:rPr>
              <w:t>57.0%</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Unit price</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51,194</w:t>
            </w:r>
          </w:p>
        </w:tc>
        <w:tc>
          <w:tcPr>
            <w:tcW w:w="120" w:type="dxa"/>
            <w:vAlign w:val="bottom"/>
          </w:tcPr>
          <w:p>
            <w:pPr>
              <w:spacing w:after="0"/>
              <w:rPr>
                <w:sz w:val="18"/>
                <w:szCs w:val="18"/>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61,182</w:t>
            </w:r>
          </w:p>
        </w:tc>
        <w:tc>
          <w:tcPr>
            <w:tcW w:w="10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T&amp;E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76,308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12,531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88,839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11,722</w:t>
            </w:r>
          </w:p>
        </w:tc>
        <w:tc>
          <w:tcPr>
            <w:tcW w:w="120" w:type="dxa"/>
            <w:vAlign w:val="bottom"/>
          </w:tcPr>
          <w:p>
            <w:pPr>
              <w:spacing w:after="0"/>
              <w:rPr>
                <w:sz w:val="19"/>
                <w:szCs w:val="19"/>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39,316</w:t>
            </w:r>
          </w:p>
        </w:tc>
        <w:tc>
          <w:tcPr>
            <w:tcW w:w="100" w:type="dxa"/>
            <w:vAlign w:val="bottom"/>
          </w:tcPr>
          <w:p>
            <w:pPr>
              <w:spacing w:after="0"/>
              <w:rPr>
                <w:sz w:val="19"/>
                <w:szCs w:val="19"/>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51,038</w:t>
            </w:r>
          </w:p>
        </w:tc>
        <w:tc>
          <w:tcPr>
            <w:tcW w:w="100" w:type="dxa"/>
            <w:vAlign w:val="bottom"/>
          </w:tcPr>
          <w:p>
            <w:pPr>
              <w:spacing w:after="0"/>
              <w:rPr>
                <w:sz w:val="19"/>
                <w:szCs w:val="19"/>
                <w:color w:val="auto"/>
              </w:rPr>
            </w:pPr>
          </w:p>
        </w:tc>
        <w:tc>
          <w:tcPr>
            <w:tcW w:w="860" w:type="dxa"/>
            <w:vAlign w:val="bottom"/>
            <w:gridSpan w:val="2"/>
          </w:tcPr>
          <w:p>
            <w:pPr>
              <w:ind w:left="4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272,548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195,546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468,094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4"/>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12"/>
          </w:tcPr>
          <w:p>
            <w:pPr>
              <w:jc w:val="center"/>
              <w:ind w:right="400"/>
              <w:spacing w:after="0"/>
              <w:rPr>
                <w:sz w:val="20"/>
                <w:szCs w:val="20"/>
                <w:color w:val="auto"/>
              </w:rPr>
            </w:pPr>
            <w:r>
              <w:rPr>
                <w:rFonts w:ascii="Arial" w:cs="Arial" w:eastAsia="Arial" w:hAnsi="Arial"/>
                <w:sz w:val="18"/>
                <w:szCs w:val="18"/>
                <w:b w:val="1"/>
                <w:bCs w:val="1"/>
                <w:color w:val="auto"/>
                <w:w w:val="90"/>
              </w:rPr>
              <w:t>Three months ended March 31, 2018</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T&amp;D</w:t>
            </w:r>
          </w:p>
        </w:tc>
        <w:tc>
          <w:tcPr>
            <w:tcW w:w="6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rPr>
              <w:t>C&amp;I</w:t>
            </w:r>
          </w:p>
        </w:tc>
        <w:tc>
          <w:tcPr>
            <w:tcW w:w="7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83"/>
              </w:rPr>
              <w:t>Total</w:t>
            </w:r>
          </w:p>
        </w:tc>
        <w:tc>
          <w:tcPr>
            <w:tcW w:w="7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CCEEFF"/>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4"/>
              </w:rPr>
              <w:t>Percent</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Percent</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Percent</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Fixed price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Unit price</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45,676</w:t>
            </w:r>
          </w:p>
        </w:tc>
        <w:tc>
          <w:tcPr>
            <w:tcW w:w="120" w:type="dxa"/>
            <w:vAlign w:val="bottom"/>
          </w:tcPr>
          <w:p>
            <w:pPr>
              <w:spacing w:after="0"/>
              <w:rPr>
                <w:sz w:val="18"/>
                <w:szCs w:val="18"/>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55,326</w:t>
            </w:r>
          </w:p>
        </w:tc>
        <w:tc>
          <w:tcPr>
            <w:tcW w:w="100" w:type="dxa"/>
            <w:vAlign w:val="bottom"/>
          </w:tcPr>
          <w:p>
            <w:pPr>
              <w:spacing w:after="0"/>
              <w:rPr>
                <w:sz w:val="18"/>
                <w:szCs w:val="18"/>
                <w:color w:val="auto"/>
              </w:rPr>
            </w:pPr>
          </w:p>
        </w:tc>
        <w:tc>
          <w:tcPr>
            <w:tcW w:w="860" w:type="dxa"/>
            <w:vAlign w:val="bottom"/>
            <w:gridSpan w:val="2"/>
          </w:tcPr>
          <w:p>
            <w:pPr>
              <w:jc w:val="right"/>
              <w:ind w:right="7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T&amp;E</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80,345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89,802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10,930</w:t>
            </w:r>
          </w:p>
        </w:tc>
        <w:tc>
          <w:tcPr>
            <w:tcW w:w="120" w:type="dxa"/>
            <w:vAlign w:val="bottom"/>
          </w:tcPr>
          <w:p>
            <w:pPr>
              <w:spacing w:after="0"/>
              <w:rPr>
                <w:sz w:val="19"/>
                <w:szCs w:val="19"/>
                <w:color w:val="auto"/>
              </w:rPr>
            </w:pP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20,963</w:t>
            </w:r>
          </w:p>
        </w:tc>
        <w:tc>
          <w:tcPr>
            <w:tcW w:w="100" w:type="dxa"/>
            <w:vAlign w:val="bottom"/>
          </w:tcPr>
          <w:p>
            <w:pPr>
              <w:spacing w:after="0"/>
              <w:rPr>
                <w:sz w:val="19"/>
                <w:szCs w:val="19"/>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31,893</w:t>
            </w:r>
          </w:p>
        </w:tc>
        <w:tc>
          <w:tcPr>
            <w:tcW w:w="100" w:type="dxa"/>
            <w:vAlign w:val="bottom"/>
          </w:tcPr>
          <w:p>
            <w:pPr>
              <w:spacing w:after="0"/>
              <w:rPr>
                <w:sz w:val="19"/>
                <w:szCs w:val="19"/>
                <w:color w:val="auto"/>
              </w:rPr>
            </w:pPr>
          </w:p>
        </w:tc>
        <w:tc>
          <w:tcPr>
            <w:tcW w:w="860" w:type="dxa"/>
            <w:vAlign w:val="bottom"/>
            <w:gridSpan w:val="2"/>
          </w:tcPr>
          <w:p>
            <w:pPr>
              <w:jc w:val="right"/>
              <w:ind w:right="7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216,386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129,225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345,611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revenue by market type for the three months ended March 31, 2019 and 2018 were as follows:</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720" w:type="dxa"/>
            <w:vAlign w:val="bottom"/>
            <w:gridSpan w:val="8"/>
          </w:tcPr>
          <w:p>
            <w:pPr>
              <w:ind w:left="700"/>
              <w:spacing w:after="0"/>
              <w:rPr>
                <w:sz w:val="20"/>
                <w:szCs w:val="20"/>
                <w:color w:val="auto"/>
              </w:rPr>
            </w:pPr>
            <w:r>
              <w:rPr>
                <w:rFonts w:ascii="Arial" w:cs="Arial" w:eastAsia="Arial" w:hAnsi="Arial"/>
                <w:sz w:val="18"/>
                <w:szCs w:val="18"/>
                <w:b w:val="1"/>
                <w:bCs w:val="1"/>
                <w:color w:val="auto"/>
                <w:w w:val="96"/>
              </w:rPr>
              <w:t>Three months ended March 31, 2019</w:t>
            </w:r>
          </w:p>
        </w:tc>
        <w:tc>
          <w:tcPr>
            <w:tcW w:w="2920" w:type="dxa"/>
            <w:vAlign w:val="bottom"/>
            <w:gridSpan w:val="8"/>
          </w:tcPr>
          <w:p>
            <w:pPr>
              <w:ind w:left="20"/>
              <w:spacing w:after="0"/>
              <w:rPr>
                <w:sz w:val="20"/>
                <w:szCs w:val="20"/>
                <w:color w:val="auto"/>
              </w:rPr>
            </w:pPr>
            <w:r>
              <w:rPr>
                <w:rFonts w:ascii="Arial" w:cs="Arial" w:eastAsia="Arial" w:hAnsi="Arial"/>
                <w:sz w:val="18"/>
                <w:szCs w:val="18"/>
                <w:b w:val="1"/>
                <w:bCs w:val="1"/>
                <w:color w:val="auto"/>
                <w:w w:val="92"/>
              </w:rPr>
              <w:t>Three months ended March 31, 2018</w:t>
            </w:r>
          </w:p>
        </w:tc>
        <w:tc>
          <w:tcPr>
            <w:tcW w:w="0" w:type="dxa"/>
            <w:vAlign w:val="bottom"/>
          </w:tcPr>
          <w:p>
            <w:pPr>
              <w:spacing w:after="0"/>
              <w:rPr>
                <w:sz w:val="1"/>
                <w:szCs w:val="1"/>
                <w:color w:val="auto"/>
              </w:rPr>
            </w:pPr>
          </w:p>
        </w:tc>
      </w:tr>
      <w:tr>
        <w:trPr>
          <w:trHeight w:val="223"/>
        </w:trPr>
        <w:tc>
          <w:tcPr>
            <w:tcW w:w="2480" w:type="dxa"/>
            <w:vAlign w:val="bottom"/>
            <w:tcBorders>
              <w:bottom w:val="single" w:sz="8" w:color="CCEEFF"/>
            </w:tcBorders>
            <w:vMerge w:val="continue"/>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Borders>
              <w:top w:val="single" w:sz="8" w:color="auto"/>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Percent</w:t>
            </w:r>
          </w:p>
        </w:tc>
        <w:tc>
          <w:tcPr>
            <w:tcW w:w="240" w:type="dxa"/>
            <w:vAlign w:val="bottom"/>
            <w:tcBorders>
              <w:top w:val="single" w:sz="8" w:color="auto"/>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94"/>
              </w:rPr>
              <w:t>Segment</w:t>
            </w:r>
          </w:p>
        </w:tc>
        <w:tc>
          <w:tcPr>
            <w:tcW w:w="1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Amount</w:t>
            </w:r>
          </w:p>
        </w:tc>
        <w:tc>
          <w:tcPr>
            <w:tcW w:w="160" w:type="dxa"/>
            <w:vAlign w:val="bottom"/>
            <w:tcBorders>
              <w:top w:val="single" w:sz="8" w:color="auto"/>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Percent</w:t>
            </w:r>
          </w:p>
        </w:tc>
        <w:tc>
          <w:tcPr>
            <w:tcW w:w="240" w:type="dxa"/>
            <w:vAlign w:val="bottom"/>
            <w:tcBorders>
              <w:top w:val="single" w:sz="8" w:color="auto"/>
              <w:bottom w:val="single" w:sz="8" w:color="CCEEFF"/>
            </w:tcBorders>
            <w:gridSpan w:val="2"/>
          </w:tcPr>
          <w:p>
            <w:pPr>
              <w:spacing w:after="0"/>
              <w:rPr>
                <w:sz w:val="19"/>
                <w:szCs w:val="19"/>
                <w:color w:val="auto"/>
              </w:rPr>
            </w:pPr>
          </w:p>
        </w:tc>
        <w:tc>
          <w:tcPr>
            <w:tcW w:w="8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92"/>
              </w:rPr>
              <w:t>Segment</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Transmission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187,765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T&amp;D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134,452</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8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T&amp;D</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160"/>
              <w:spacing w:after="0"/>
              <w:rPr>
                <w:sz w:val="20"/>
                <w:szCs w:val="20"/>
                <w:color w:val="auto"/>
              </w:rPr>
            </w:pPr>
            <w:r>
              <w:rPr>
                <w:rFonts w:ascii="Arial" w:cs="Arial" w:eastAsia="Arial" w:hAnsi="Arial"/>
                <w:sz w:val="18"/>
                <w:szCs w:val="18"/>
                <w:color w:val="auto"/>
              </w:rPr>
              <w:t>Distribution</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84,783</w:t>
            </w: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18.1</w:t>
            </w: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rPr>
              <w:t>T&amp;D</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81,934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T&amp;D</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Electrical construction</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195,546</w:t>
            </w:r>
          </w:p>
        </w:tc>
        <w:tc>
          <w:tcPr>
            <w:tcW w:w="10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41.8</w:t>
            </w:r>
          </w:p>
        </w:tc>
        <w:tc>
          <w:tcPr>
            <w:tcW w:w="9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rPr>
              <w:t>C&amp;I</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129,225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C&amp;I</w:t>
            </w:r>
          </w:p>
        </w:tc>
        <w:tc>
          <w:tcPr>
            <w:tcW w:w="0" w:type="dxa"/>
            <w:vAlign w:val="bottom"/>
          </w:tcPr>
          <w:p>
            <w:pPr>
              <w:spacing w:after="0"/>
              <w:rPr>
                <w:sz w:val="1"/>
                <w:szCs w:val="1"/>
                <w:color w:val="auto"/>
              </w:rPr>
            </w:pPr>
          </w:p>
        </w:tc>
      </w:tr>
      <w:tr>
        <w:trPr>
          <w:trHeight w:val="223"/>
        </w:trPr>
        <w:tc>
          <w:tcPr>
            <w:tcW w:w="2480" w:type="dxa"/>
            <w:vAlign w:val="bottom"/>
          </w:tcPr>
          <w:p>
            <w:pPr>
              <w:spacing w:after="0"/>
              <w:rPr>
                <w:sz w:val="20"/>
                <w:szCs w:val="20"/>
                <w:color w:val="auto"/>
              </w:rPr>
            </w:pPr>
            <w:r>
              <w:rPr>
                <w:rFonts w:ascii="Arial" w:cs="Arial" w:eastAsia="Arial" w:hAnsi="Arial"/>
                <w:sz w:val="18"/>
                <w:szCs w:val="18"/>
                <w:color w:val="auto"/>
              </w:rPr>
              <w:t>Total Revenue</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468,094</w:t>
            </w:r>
          </w:p>
        </w:tc>
        <w:tc>
          <w:tcPr>
            <w:tcW w:w="1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345,611</w:t>
            </w:r>
          </w:p>
        </w:tc>
        <w:tc>
          <w:tcPr>
            <w:tcW w:w="1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w w:val="74"/>
              </w:rPr>
              <w:t>%</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As of March 31, 2019, the Company had $1.06 billion of remaining performance obligations. The Company’s remaining performance obligations includes projects that have a written award, a letter of intent, a notice to proceed or an agreed upon work order to perform work on mutually accepted terms and conditions.</w:t>
      </w:r>
    </w:p>
    <w:p>
      <w:pPr>
        <w:spacing w:after="0" w:line="181"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following table summarizes the amount of remaining performance obligations that the Company expects to be realized as of March 31, 2019 and the amount of the remaining performance obligations that the Company reasonably estimates will not be recognized within the next twelve months.</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left="196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31750</wp:posOffset>
            </wp:positionV>
            <wp:extent cx="18008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46"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T&amp;D</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C&amp;I</w:t>
      </w:r>
    </w:p>
    <w:p>
      <w:pPr>
        <w:spacing w:after="0" w:line="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w w:val="91"/>
              </w:rPr>
              <w:t>Remaining Performance Obligations as of March 31, 2019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Total at</w:t>
            </w:r>
          </w:p>
        </w:tc>
        <w:tc>
          <w:tcPr>
            <w:tcW w:w="0" w:type="dxa"/>
            <w:vAlign w:val="bottom"/>
          </w:tcPr>
          <w:p>
            <w:pPr>
              <w:spacing w:after="0"/>
              <w:rPr>
                <w:sz w:val="1"/>
                <w:szCs w:val="1"/>
                <w:color w:val="auto"/>
              </w:rPr>
            </w:pPr>
          </w:p>
        </w:tc>
      </w:tr>
      <w:tr>
        <w:trPr>
          <w:trHeight w:val="191"/>
        </w:trPr>
        <w:tc>
          <w:tcPr>
            <w:tcW w:w="4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90"/>
              </w:rPr>
              <w:t>Amount estimated to not be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Arial" w:cs="Arial" w:eastAsia="Arial" w:hAnsi="Arial"/>
                <w:sz w:val="18"/>
                <w:szCs w:val="18"/>
                <w:b w:val="1"/>
                <w:bCs w:val="1"/>
                <w:color w:val="auto"/>
                <w:w w:val="93"/>
              </w:rPr>
              <w:t>recognized within 12 months</w:t>
            </w:r>
          </w:p>
        </w:tc>
        <w:tc>
          <w:tcPr>
            <w:tcW w:w="1460" w:type="dxa"/>
            <w:vAlign w:val="bottom"/>
            <w:gridSpan w:val="4"/>
          </w:tcPr>
          <w:p>
            <w:pPr>
              <w:spacing w:after="0"/>
              <w:rPr>
                <w:sz w:val="20"/>
                <w:szCs w:val="20"/>
                <w:color w:val="auto"/>
              </w:rPr>
            </w:pPr>
            <w:r>
              <w:rPr>
                <w:rFonts w:ascii="Arial" w:cs="Arial" w:eastAsia="Arial" w:hAnsi="Arial"/>
                <w:sz w:val="18"/>
                <w:szCs w:val="18"/>
                <w:b w:val="1"/>
                <w:bCs w:val="1"/>
                <w:color w:val="auto"/>
                <w:w w:val="88"/>
              </w:rPr>
              <w:t>December 31, 2018</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398,382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40,445</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418,178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657,741</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123,611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644,547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1,056,123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164,056</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1,062,725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-1837690</wp:posOffset>
            </wp:positionH>
            <wp:positionV relativeFrom="paragraph">
              <wp:posOffset>-462280</wp:posOffset>
            </wp:positionV>
            <wp:extent cx="579755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-1837690</wp:posOffset>
            </wp:positionH>
            <wp:positionV relativeFrom="paragraph">
              <wp:posOffset>-179705</wp:posOffset>
            </wp:positionV>
            <wp:extent cx="579755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720"/>
            <w:col w:w="7220"/>
          </w:cols>
          <w:pgMar w:left="240" w:top="908" w:right="239" w:bottom="1440" w:gutter="0" w:footer="0" w:header="0"/>
          <w:type w:val="continuous"/>
        </w:sectPr>
      </w:pPr>
    </w:p>
    <w:p>
      <w:pPr>
        <w:spacing w:after="0" w:line="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 expects a vast majority of the remaining performance obligations to be recognized within twenty-four months, although the timing of the Company’s performance is not always under its control.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The U.S. federal statutory tax rate was 21% for the three months ended March 31, 2019 and 2018. The Company’s effective tax rate for the three months ended March 31, 2019 was 27.8% of pretax income compared to the effective tax rate for the three months ended March 31, 2018 of 28.9%.</w:t>
      </w:r>
    </w:p>
    <w:p>
      <w:pPr>
        <w:spacing w:after="0" w:line="12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difference between the U.S. federal statutory tax rate and the Company’s effective tax rate for the three months ended March 31, 2019 was primarily due to state income taxes offset by the impact of the Company’s noncontrolling interest.</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difference between the U.S. federal statutory tax rate and the Company’s effective tax rate for the three months ended March 31, 2018 was primarily due to state income taxes and the inability to utilize losses experienced in certain Canadian operations.</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had unrecognized tax benefits of approximately $0.4 million as of March 31, 2019 and December 31, 2018, which were included in other liabilities in the accompanying consolidated balance sheets.</w:t>
      </w:r>
    </w:p>
    <w:p>
      <w:pPr>
        <w:spacing w:after="0" w:line="170"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The Company’s policy is to recognize interest and penalties related to income tax liabilities as a component of income tax expense in the consolidated statements of operations. The amount of interest and penalties charged to income tax expense related to unrecognized tax benefits was not significant for the three months ended March 31, 2019 and 2018.</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is subject to taxation in various jurisdictions. The Company is currently under examination by U. S. federal authorities for its 2016 tax returns and its 2017 tax return is subject to examination by U. S. federal authorities. The Company’s tax returns are subject to examination by various state authorities for the years 2014 through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March 31, 2019, the Company had approximately $10.0 million in outstanding purchase orders for certain construction equipment, with cash outlay scheduled to occur over the next four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and Claims Accruals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Company carries insurance policies, which are subject to certain deductibles, for workers’ compensation, general liability, automobile liability and other insurance coverage. The deductible per occurrence for each line of coverage is up to $1.0 million, except for wildfire coverage which has a deductible of $2.0 million. The Company’s health benefit plans are subject to deductibles of up to $0.2 million for qualified individuals. Losses up to the deductible amounts are accrued based upon the Company’s estimates of the ultimate liability for claims reported and an estimate of claims incurred but not yet reported.</w:t>
      </w:r>
    </w:p>
    <w:p>
      <w:pPr>
        <w:spacing w:after="0" w:line="188"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and Payment Bonds and Parent Guarantees</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March 31, 2019, an aggregate of approximately $646.1 million in original face amount of bonds issued by the Company’s sureties were outstanding. The Company estimated the remaining cost to complete these bonded projects was approximately $320.0 million as of March 31, 2019.</w:t>
      </w:r>
    </w:p>
    <w:p>
      <w:pPr>
        <w:spacing w:after="0" w:line="17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Indemnities</w:t>
      </w:r>
    </w:p>
    <w:p>
      <w:pPr>
        <w:spacing w:after="0" w:line="22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From time to time, pursuant to its service arrangements, the Company indemnifies its customers for claims related to the services it provides under those service arrangements. These indemnification obligations may subject the Company to indemnity claims and liabilities and related litigation. The Company is not aware of any material unrecorded liabilities for asserted claims in connection with these indemnification obligations.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Many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underfunding of some of the multi-employer pension plans to which its subsidiaries contribute have been classified as “critical” status, the Company is not currently aware of any potential liabilities related to this issue.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Matters</w:t>
      </w:r>
    </w:p>
    <w:p>
      <w:pPr>
        <w:spacing w:after="0" w:line="225"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Company is from time-to-time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is routinely subject to other civil claims, litigation and arbitration, and regulatory investigations arising in the ordinary course of our business, as well as in respect of our divested businesses. These claims, lawsuits and other proceedings include claims related to the Company’s current services and operations, as well as our historic operations.</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Company maintains two equity compensation plans under which stock-based compensation has been granted: the 2017 Long-Term Incentive Plan, (the “LTIP”) and the 2007 Long-Term Incentive Plan (the “2007 Plan”). Upon the adoption of the LTIP, awards were no longer granted under the 2007 Plan. The LTIP provides for grants of (a) incentive stock options qualified as such under U.S. federal income tax laws, (b) stock options that do not qualify as incentive stock options, (c) stock appreciation rights, (d) restricted stock awards, (e) restricted stock units, (f) performance share awards, (g) phantom stock units, (h) stock bonuses, (i) dividend equivalents, and (j) any combination of such grants.</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grants time-vested stock awards in the form of restricted stock awards, restricted stock units or equity-settled phantom stock. During the three months ended March 31, 2019, the Company granted 68,104 shares of time-vested stock awards under the LTIP, which vest ratably over three years, at a weighted average grant date fair value of $33.67. Additionally, 56,912 shares of time-vested stock awards vested during the three months ended March 31, 2019, at a weighted average grant date fair value of $30.87.</w:t>
      </w:r>
    </w:p>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During the three months ended March 31, 2019, the Company granted 72,932 performance share awards under the LTIP at target, which cliff vest on December 31, 2021, at a weighted average grant date fair value of $39.26. The number of shares actually earned under a performance award may vary from zero to 200% of the target shares awarded, based upon the Company’s performance compared to certain metrics. The metrics used were determined at the time of the grant by the Compensation Committee of the Board of Directors and were either based on internal measures, such as the Company’s financial performance compared to target, or on a market-based metric, such as the Company’s stock performance compared to a peer group. Performance awards cliff vest upon attainment of the stated performance targets and minimum service requirements, and are paid in shares of the Company’s common stock.</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months ended March 31, 2019, plan participants exercised 11,465 stock options with a weighted average exercise price of $24.68.</w:t>
      </w:r>
    </w:p>
    <w:p>
      <w:pPr>
        <w:spacing w:after="0" w:line="24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recognizes stock-based compensation expense related to restricted stock awards, phantom stock awards and restricted stock units based on the grant date fair value, which was the closing price of the Company’s stock on the date of grant. The fair value is expensed over the service period. The Company recognizes stock-based compensation expense related to market-based performance awards based on the grant date fair value, which is computed using a Monte Carlo simulation. The fair value is expensed over the service period, which is approximately 2.8 years. The Company recognizes stock-based compensation expense related to internal measure-based performance awards based on the grant date fair value, which was the closing price of the Company’s stock on the date of grant. The fair value is expensed over the service period of approximately 2.8 years, and the Company adjusts the stock-based compensation expense related to internal metric-based performance awards according to its determination of the potential achievement of the performance target at each reporting date.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11. Segment Information</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MYR Group is a holding company of specialty contractors serving electrical utility infrastructure and commercial construction markets in the United States and western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 safety costs, professional fees, IT expenses, management fees, and intangible amortization. The accounting policies of the segments are the same as those described in the Note 1– Organization, Business and Significant Accounting Policies to the Financial Statements in the Company’s Annual Report on Form 10-K for the year ended December 31, 2018.</w:t>
      </w:r>
    </w:p>
    <w:p>
      <w:pPr>
        <w:spacing w:after="0" w:line="17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The T&amp;D segment also provides emergency restoration services in response to hurricane, ice or other storm-related damage. T&amp;D customers include investor-owned utilities, cooperatives, private developers, government-funded utilities, independent power producers, independent transmission companies, industrial facility owners and other contractors.</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Commercial and Industrial: The C&amp;I segment provides services such as the design, installation, maintenance and repair of commercial and industrial wiring, installation of traffic networks and the installation of bridge, roadway and tunnel lighting. Typical C&amp;I contracts cover electrical contracting services for airports, hospitals, data centers, hotels, stadiums, convention centers, manufacturing plants, processing facilities, 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in the following table is derived from the segment’s internal financial reports used for corporate management purposes:</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8"/>
              </w:rPr>
              <w:t>Three months ended</w:t>
            </w:r>
          </w:p>
        </w:tc>
      </w:tr>
      <w:tr>
        <w:trPr>
          <w:trHeight w:val="234"/>
        </w:trPr>
        <w:tc>
          <w:tcPr>
            <w:tcW w:w="4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2018</w:t>
            </w:r>
          </w:p>
        </w:tc>
        <w:tc>
          <w:tcPr>
            <w:tcW w:w="60" w:type="dxa"/>
            <w:vAlign w:val="bottom"/>
          </w:tcPr>
          <w:p>
            <w:pPr>
              <w:spacing w:after="0"/>
              <w:rPr>
                <w:sz w:val="19"/>
                <w:szCs w:val="19"/>
                <w:color w:val="auto"/>
              </w:rPr>
            </w:pPr>
          </w:p>
        </w:tc>
      </w:tr>
      <w:tr>
        <w:trPr>
          <w:trHeight w:val="210"/>
        </w:trPr>
        <w:tc>
          <w:tcPr>
            <w:tcW w:w="4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Contract revenues: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00" w:type="dxa"/>
            <w:vAlign w:val="bottom"/>
            <w:gridSpan w:val="2"/>
          </w:tcPr>
          <w:p>
            <w:pPr>
              <w:ind w:left="360"/>
              <w:spacing w:after="0"/>
              <w:rPr>
                <w:sz w:val="20"/>
                <w:szCs w:val="20"/>
                <w:color w:val="auto"/>
              </w:rPr>
            </w:pPr>
            <w:r>
              <w:rPr>
                <w:rFonts w:ascii="Arial" w:cs="Arial" w:eastAsia="Arial" w:hAnsi="Arial"/>
                <w:sz w:val="18"/>
                <w:szCs w:val="18"/>
                <w:color w:val="auto"/>
              </w:rPr>
              <w:t>T&amp;D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272,548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216,386</w:t>
            </w:r>
          </w:p>
        </w:tc>
      </w:tr>
      <w:tr>
        <w:trPr>
          <w:trHeight w:val="230"/>
        </w:trPr>
        <w:tc>
          <w:tcPr>
            <w:tcW w:w="4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C&amp;I</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195,546</w:t>
            </w:r>
          </w:p>
        </w:tc>
        <w:tc>
          <w:tcPr>
            <w:tcW w:w="3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129,225</w:t>
            </w:r>
          </w:p>
        </w:tc>
      </w:tr>
      <w:tr>
        <w:trPr>
          <w:trHeight w:val="263"/>
        </w:trPr>
        <w:tc>
          <w:tcPr>
            <w:tcW w:w="43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468,094</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345,611</w:t>
            </w:r>
          </w:p>
        </w:tc>
        <w:tc>
          <w:tcPr>
            <w:tcW w:w="60" w:type="dxa"/>
            <w:vAlign w:val="bottom"/>
            <w:tcBorders>
              <w:bottom w:val="single" w:sz="8" w:color="CCEEFF"/>
            </w:tcBorders>
          </w:tcPr>
          <w:p>
            <w:pPr>
              <w:spacing w:after="0"/>
              <w:rPr>
                <w:sz w:val="22"/>
                <w:szCs w:val="22"/>
                <w:color w:val="auto"/>
              </w:rPr>
            </w:pPr>
          </w:p>
        </w:tc>
      </w:tr>
      <w:tr>
        <w:trPr>
          <w:trHeight w:val="197"/>
        </w:trPr>
        <w:tc>
          <w:tcPr>
            <w:tcW w:w="440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Income from operations: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4400" w:type="dxa"/>
            <w:vAlign w:val="bottom"/>
            <w:gridSpan w:val="2"/>
          </w:tcPr>
          <w:p>
            <w:pPr>
              <w:ind w:left="360"/>
              <w:spacing w:after="0"/>
              <w:rPr>
                <w:sz w:val="20"/>
                <w:szCs w:val="20"/>
                <w:color w:val="auto"/>
              </w:rPr>
            </w:pPr>
            <w:r>
              <w:rPr>
                <w:rFonts w:ascii="Arial" w:cs="Arial" w:eastAsia="Arial" w:hAnsi="Arial"/>
                <w:sz w:val="18"/>
                <w:szCs w:val="18"/>
                <w:color w:val="auto"/>
              </w:rPr>
              <w:t>T&amp;D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14,930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13,541</w:t>
            </w:r>
          </w:p>
        </w:tc>
      </w:tr>
      <w:tr>
        <w:trPr>
          <w:trHeight w:val="216"/>
        </w:trPr>
        <w:tc>
          <w:tcPr>
            <w:tcW w:w="4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C&amp;I</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5,058</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5,336</w:t>
            </w:r>
          </w:p>
        </w:tc>
      </w:tr>
      <w:tr>
        <w:trPr>
          <w:trHeight w:val="230"/>
        </w:trPr>
        <w:tc>
          <w:tcPr>
            <w:tcW w:w="4400" w:type="dxa"/>
            <w:vAlign w:val="bottom"/>
            <w:gridSpan w:val="2"/>
          </w:tcPr>
          <w:p>
            <w:pPr>
              <w:ind w:left="360"/>
              <w:spacing w:after="0"/>
              <w:rPr>
                <w:sz w:val="20"/>
                <w:szCs w:val="20"/>
                <w:color w:val="auto"/>
              </w:rPr>
            </w:pPr>
            <w:r>
              <w:rPr>
                <w:rFonts w:ascii="Arial" w:cs="Arial" w:eastAsia="Arial" w:hAnsi="Arial"/>
                <w:sz w:val="18"/>
                <w:szCs w:val="18"/>
                <w:color w:val="auto"/>
              </w:rPr>
              <w:t>General Corporate</w:t>
            </w: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(10,362)</w:t>
            </w:r>
          </w:p>
        </w:tc>
        <w:tc>
          <w:tcPr>
            <w:tcW w:w="3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(10,470)</w:t>
            </w:r>
          </w:p>
        </w:tc>
      </w:tr>
      <w:tr>
        <w:trPr>
          <w:trHeight w:val="223"/>
        </w:trPr>
        <w:tc>
          <w:tcPr>
            <w:tcW w:w="43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For the three months ended March 31, 2019 and 2018, contract revenues attributable to the Company’s Canadian operations were $12.7 million and $14.7 million, respectively, predominantly in the C&amp;I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Noncontrolling Interest</w:t>
      </w: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On July 2, 2018, through the acquisition of certain assets of the Huen Companies, the Company became the majority controlling interest in a joint venture. As a result, the Company has consolidated the carrying value of the joint ventures’ assets and liabilities and results of operations in the Company’s consolidated financial statements. The equity owned by the other joint venture partners has been recorded as noncontrolling interest in the Company’s consolidated balance sheets, and their portions, if material, of net income (loss) and other comprehensive income shown as net income or other comprehensive income attributable to noncontrolling interest in the Company’s consolidated statements of operations and other comprehensive income. Additionally, the joint venture associated with the Company’s noncontrolling interest is a partnership, and consequently, the tax effect of only the Company’s share of the joint venture income is recognized by the Company.</w:t>
      </w:r>
    </w:p>
    <w:p>
      <w:pPr>
        <w:spacing w:after="0" w:line="17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acquired joint venture made no distributions to its partners, and the Company made no capital contributions to the joint venture during the three months ended March 31, 2019. Additionally, there have been no changes in ownership during the three months ended March 31, 2019. The project is expected to be completed in 2019. Net loss attributable to the noncontrolling interest, during the three months ended March 31, 2019, was $0.7 million.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13. Earnings Per Share</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computes earnings per share attributable to MYR Group Inc. using the treasury stock method. Under the treasury stock method, basic earnings per share attributable to MYR Group Inc. are computed by dividing net income available to stockholders by the weighted average number of common shares outstanding during the period, and diluted earnings per share are computed by dividing net income available to stockholders by the weighted average number of common shares outstanding during the period plus all potentially dilutive common stock equivalents, except in cases where the effect of the common stock equivalent would be anti-dilutive.</w:t>
      </w:r>
    </w:p>
    <w:p>
      <w:pPr>
        <w:spacing w:after="0" w:line="18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Net income attributable to MYR Group Inc. and the weighted average number of common shares used to compute basic and diluted earnings per share were as follows:</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gridSpan w:val="6"/>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28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Net income attributable to MYR Group Inc.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7,353</w:t>
            </w:r>
          </w:p>
        </w:tc>
        <w:tc>
          <w:tcPr>
            <w:tcW w:w="60" w:type="dxa"/>
            <w:vAlign w:val="bottom"/>
          </w:tcPr>
          <w:p>
            <w:pPr>
              <w:spacing w:after="0"/>
              <w:rPr>
                <w:sz w:val="18"/>
                <w:szCs w:val="18"/>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16,514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Weighted average dilutive securities</w:t>
            </w: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diluted</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per common share attributable to MYR Group Inc.:</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0.44</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For the three months ended March 31, 2019 and 2018, certain common stock equivalents were excluded from the calculation of dilutive securities because their inclusion would either have been anti-dilutive or, for stock options, the exercise prices of those stock options were greater than the average market price of the Company’s common stock for the period. All of the Company’s non-participating unvested restricted shares were included in the computation of weighted average dilutive securities.</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summarizes the shares of common stock underlying the Company’s unvested stock options and performance awards that were excluded from the calculation of dilutive securities: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8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88"/>
              </w:rPr>
              <w:t>Three months ended</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96"/>
              </w:rPr>
              <w:t>March 31,</w:t>
            </w: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1720"/>
              <w:spacing w:after="0"/>
              <w:rPr>
                <w:sz w:val="20"/>
                <w:szCs w:val="20"/>
                <w:color w:val="auto"/>
              </w:rPr>
            </w:pPr>
            <w:r>
              <w:rPr>
                <w:rFonts w:ascii="Arial" w:cs="Arial" w:eastAsia="Arial" w:hAnsi="Arial"/>
                <w:sz w:val="18"/>
                <w:szCs w:val="18"/>
                <w:b w:val="1"/>
                <w:bCs w:val="1"/>
                <w:color w:val="auto"/>
              </w:rPr>
              <w:t>(In thousands)</w:t>
            </w:r>
          </w:p>
        </w:tc>
        <w:tc>
          <w:tcPr>
            <w:tcW w:w="2500" w:type="dxa"/>
            <w:vAlign w:val="bottom"/>
            <w:gridSpan w:val="2"/>
          </w:tcPr>
          <w:p>
            <w:pPr>
              <w:spacing w:after="0"/>
              <w:rPr>
                <w:sz w:val="19"/>
                <w:szCs w:val="19"/>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39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Performance awards</w:t>
            </w:r>
          </w:p>
        </w:tc>
        <w:tc>
          <w:tcPr>
            <w:tcW w:w="3940" w:type="dxa"/>
            <w:vAlign w:val="bottom"/>
            <w:gridSpan w:val="4"/>
          </w:tcPr>
          <w:p>
            <w:pPr>
              <w:jc w:val="right"/>
              <w:ind w:right="160"/>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17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0" w:name="page21"/>
    <w:bookmarkEnd w:id="20"/>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the accompanying unaudited consolidated financial statements and with our Annual Report on Form 10-K for the year ended December 31, 2018 (the “2018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2018 Annual Report. We assume no obligation to update any of these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Outlook</w:t>
      </w:r>
    </w:p>
    <w:p>
      <w:pPr>
        <w:spacing w:after="0" w:line="229"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We are a holding company of specialty electrical construction service providers that was established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spacing w:after="0" w:line="14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have operated in the transmission and distribution industry since 1891. We are one of the largest contractors servicing the T&amp;D sector of the electric utility industry in the United States and provide T&amp;D services in western Canada. Our T&amp;D customers include many of the leading companies in the industry. We have operated in the commercial and industrial industry since 1912. We are one of the largest electrical contractors servicing the C&amp;I industry in the United States and in western Canada. Our C&amp;I customers include facility owners and general contractors.</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believe that we have a number of competitive advantages in both of our segments, including our project management team,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complex projects.</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had consolidated revenues for the three months ended March 31, 2019 of $468.1 million, of which 58.2% was attributable to our T&amp;D customers and 41.8% was attributable to our C&amp;I customers. Our consolidated revenues for the three months ended March 31, 2018 were $345.6 million. For the three</w:t>
      </w:r>
    </w:p>
    <w:p>
      <w:pPr>
        <w:ind w:right="120"/>
        <w:spacing w:after="0" w:line="205" w:lineRule="auto"/>
        <w:rPr>
          <w:sz w:val="20"/>
          <w:szCs w:val="20"/>
          <w:color w:val="auto"/>
        </w:rPr>
      </w:pPr>
      <w:r>
        <w:rPr>
          <w:rFonts w:ascii="Arial" w:cs="Arial" w:eastAsia="Arial" w:hAnsi="Arial"/>
          <w:sz w:val="18"/>
          <w:szCs w:val="18"/>
          <w:color w:val="auto"/>
        </w:rPr>
        <w:t>months ended March 31, 2019, our net income attributable to MYR Group Inc. and EBITDA</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were $7.4 million and $20.9 million, respectively, compared to $5.6 million and $18.0 million, respectively, for the three months ended March 31, 2018.</w:t>
      </w:r>
    </w:p>
    <w:p>
      <w:pPr>
        <w:spacing w:after="0" w:line="20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believe there is an ongoing need for utilities to sustain investment in their transmission systems to improve reliability, reduce congestion and connect to new sources of renewable generation. Consequently, we believe we will continue to see significant bidding activity on large transmission projects over the next two years. The timing of multi-year transmission project awards and substantial construction activity is difficult to predict due to regulatory requirements and the permitting needed to commence construction. Significant construction on any large, multi-year projects awarded in 2019 will not likely occur until 2020. Bidding and construction activity for small to medium-size transmission projects and upgrades remains strong, and we expect this trend to continue, primarily due to reliability and economic drivers.</w:t>
      </w:r>
    </w:p>
    <w:p>
      <w:pPr>
        <w:spacing w:after="0" w:line="193"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As a result of reduced spending by United States utilities on their distribution systems for several years, we believe there is a need for sustained investment by utilities on their distribution systems to properly maintain or meet reliability requirements. We believe that continued recovery in the United States economy, and in the housing market in particular, over the next few years could provide additional stimulus for spending by our customers on their distribution systems. We also believe the increased hurricane activity over the past several years and recent destruction caused by wildfires will cause a push to strengthen utility distribution systems against catastrophic damage. Several industry and market trends are also prompting customers in the electric utility industry to seek outsourcing partners rather than performing projects internally. These trends include an aging electric utility workforce, increasing costs and staffing constraints. We believe electric utility employee retirements could increase with further economic recovery, which may result in an increase in outsourcing opportunities. We expect to see an incremental increase in distribution opportunities in the United States in 2019, and we believe these opportunities will continue to be bid in a competitive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809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9" w:lineRule="exact"/>
        <w:rPr>
          <w:sz w:val="20"/>
          <w:szCs w:val="20"/>
          <w:color w:val="auto"/>
        </w:rPr>
      </w:pPr>
    </w:p>
    <w:p>
      <w:pPr>
        <w:ind w:left="5640" w:right="2680" w:hanging="5632"/>
        <w:spacing w:after="0" w:line="778" w:lineRule="auto"/>
        <w:tabs>
          <w:tab w:leader="none" w:pos="666" w:val="left"/>
        </w:tabs>
        <w:numPr>
          <w:ilvl w:val="0"/>
          <w:numId w:val="6"/>
        </w:numPr>
        <w:rPr>
          <w:rFonts w:ascii="Arial" w:cs="Arial" w:eastAsia="Arial" w:hAnsi="Arial"/>
          <w:sz w:val="18"/>
          <w:szCs w:val="18"/>
          <w:color w:val="auto"/>
        </w:rPr>
      </w:pPr>
      <w:r>
        <w:rPr>
          <w:rFonts w:ascii="Arial" w:cs="Arial" w:eastAsia="Arial" w:hAnsi="Arial"/>
          <w:sz w:val="18"/>
          <w:szCs w:val="18"/>
          <w:color w:val="auto"/>
        </w:rPr>
        <w:t>EBITDA is a non-GAAP measure. Refer to “Non-GAAP Measure—EBITDA” for a discussion of this measure.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1" w:name="page22"/>
    <w:bookmarkEnd w:id="21"/>
    <w:p>
      <w:pPr>
        <w:jc w:val="both"/>
        <w:ind w:right="440" w:firstLine="648"/>
        <w:spacing w:after="0" w:line="312" w:lineRule="auto"/>
        <w:rPr>
          <w:sz w:val="20"/>
          <w:szCs w:val="20"/>
          <w:color w:val="auto"/>
        </w:rPr>
      </w:pPr>
      <w:r>
        <w:rPr>
          <w:rFonts w:ascii="Arial" w:cs="Arial" w:eastAsia="Arial" w:hAnsi="Arial"/>
          <w:sz w:val="16"/>
          <w:szCs w:val="16"/>
          <w:color w:val="auto"/>
        </w:rPr>
        <w:t>We expect to see continued improvement in bidding opportunities in our C&amp;I segment during the remainder of 2019. FMI’s 2019 United States Construction Outlook forecasts an increase in spending levels over 2018. According to FMI, the primary growth sectors in 2019 are expected to include office, educational, public safety, transportation, conservation and development, and manufacturing, all with positive forecasted growth rates.</w:t>
      </w:r>
    </w:p>
    <w:p>
      <w:pPr>
        <w:spacing w:after="0" w:line="14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expect the long-term growth in our C&amp;I segment to generally track the economic growth of the regions we serve. We also expect to see increased bidding opportunities in the new C&amp;I markets we recently entered through strategic acquisitions and organic expansions.</w:t>
      </w:r>
    </w:p>
    <w:p>
      <w:pPr>
        <w:spacing w:after="0" w:line="170"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We strive to maintain our status as a preferred provider to our T&amp;D and C&amp;I customers. We continue to implement a three-pronged strategy of organic growth and strategic acquisitions that further expand our capabilities and prudent capital returns. On July 2, 2018, we completed the acquisition of substantially all of the assets of the Huen Companies, which expanded our C&amp;I operations in Illinois, New York and New Jersey. We continue to invest in developing key management and craft personnel in both our T&amp;D and C&amp;I markets and in procuring the specialty equipment and tooling needed to win and execute projects of all sizes and complexity. We ended the first quarter of 2019 with $148.9 million available under our credit facility. We believe that our financial position and operational strengths will enable us to manage the current challenges and uncertainties in the markets we serve and give us the flexibility to successfully execute our three-pronged strategy.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 Additionally, 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3–Revenue Recognition in the accompanying notes to our Consolidated Financial Statements.</w:t>
      </w:r>
    </w:p>
    <w:p>
      <w:pPr>
        <w:spacing w:after="0" w:line="18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backlog was $1.14 billion at March 31, 2019, compared to $1.15 billion at December 31, 2018 and $958.5 million at March 31, 2018. Our backlog at March 31, 2019 decreased 0.9% from December 31, 2018. Backlog in the T&amp;D segment decreased $21.3 million and C&amp;I backlog increased $10.6 million compared to December 31, 2018. Our backlog as of March 31, 2019 included our proportionate share of joint venture backlog totaling $30.2 million, compared to $33.7 million at December 31, 2018.</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summarizes that amount of our backlog that we believe to be firm as of the dates shown and the amount of our current backlog that we reasonably estimate will not be recognized within the next twelve months: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6"/>
              </w:rPr>
              <w:t>Backlog at March 31, 2019</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91"/>
        </w:trPr>
        <w:tc>
          <w:tcPr>
            <w:tcW w:w="14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60"/>
              <w:spacing w:after="0" w:line="191" w:lineRule="exact"/>
              <w:rPr>
                <w:sz w:val="20"/>
                <w:szCs w:val="20"/>
                <w:color w:val="auto"/>
              </w:rPr>
            </w:pPr>
            <w:r>
              <w:rPr>
                <w:rFonts w:ascii="Arial" w:cs="Arial" w:eastAsia="Arial" w:hAnsi="Arial"/>
                <w:sz w:val="18"/>
                <w:szCs w:val="18"/>
                <w:b w:val="1"/>
                <w:bCs w:val="1"/>
                <w:color w:val="auto"/>
                <w:w w:val="95"/>
              </w:rPr>
              <w:t>Amount estimated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6"/>
        </w:trPr>
        <w:tc>
          <w:tcPr>
            <w:tcW w:w="14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to not be recognized</w:t>
            </w:r>
          </w:p>
        </w:tc>
        <w:tc>
          <w:tcPr>
            <w:tcW w:w="1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Total backlog at</w:t>
            </w:r>
          </w:p>
        </w:tc>
        <w:tc>
          <w:tcPr>
            <w:tcW w:w="1440" w:type="dxa"/>
            <w:vAlign w:val="bottom"/>
          </w:tcPr>
          <w:p>
            <w:pPr>
              <w:spacing w:after="0"/>
              <w:rPr>
                <w:sz w:val="18"/>
                <w:szCs w:val="18"/>
                <w:color w:val="auto"/>
              </w:rPr>
            </w:pPr>
          </w:p>
        </w:tc>
      </w:tr>
      <w:tr>
        <w:trPr>
          <w:trHeight w:val="234"/>
        </w:trPr>
        <w:tc>
          <w:tcPr>
            <w:tcW w:w="144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within 12 months</w:t>
            </w: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2"/>
              </w:rPr>
              <w:t>December 31, 2018</w:t>
            </w:r>
          </w:p>
        </w:tc>
        <w:tc>
          <w:tcPr>
            <w:tcW w:w="1440" w:type="dxa"/>
            <w:vAlign w:val="bottom"/>
          </w:tcPr>
          <w:p>
            <w:pPr>
              <w:spacing w:after="0"/>
              <w:rPr>
                <w:sz w:val="20"/>
                <w:szCs w:val="20"/>
                <w:color w:val="auto"/>
              </w:rPr>
            </w:pPr>
          </w:p>
        </w:tc>
      </w:tr>
      <w:tr>
        <w:trPr>
          <w:trHeight w:val="426"/>
        </w:trPr>
        <w:tc>
          <w:tcPr>
            <w:tcW w:w="1440" w:type="dxa"/>
            <w:vAlign w:val="bottom"/>
          </w:tcPr>
          <w:p>
            <w:pPr>
              <w:spacing w:after="0"/>
              <w:rPr>
                <w:sz w:val="24"/>
                <w:szCs w:val="24"/>
                <w:color w:val="auto"/>
              </w:rPr>
            </w:pPr>
          </w:p>
        </w:tc>
        <w:tc>
          <w:tcPr>
            <w:tcW w:w="4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41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T&amp;D</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473,612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494,922</w:t>
            </w: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rPr>
              <w:t>C&amp;I</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662,304</w:t>
            </w:r>
          </w:p>
        </w:tc>
        <w:tc>
          <w:tcPr>
            <w:tcW w:w="10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123,611</w:t>
            </w:r>
          </w:p>
        </w:tc>
        <w:tc>
          <w:tcPr>
            <w:tcW w:w="10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651,715</w:t>
            </w:r>
          </w:p>
        </w:tc>
        <w:tc>
          <w:tcPr>
            <w:tcW w:w="1440" w:type="dxa"/>
            <w:vAlign w:val="bottom"/>
          </w:tcPr>
          <w:p>
            <w:pPr>
              <w:spacing w:after="0"/>
              <w:rPr>
                <w:sz w:val="19"/>
                <w:szCs w:val="19"/>
                <w:color w:val="auto"/>
              </w:rPr>
            </w:pPr>
          </w:p>
        </w:tc>
      </w:tr>
      <w:tr>
        <w:trPr>
          <w:trHeight w:val="223"/>
        </w:trPr>
        <w:tc>
          <w:tcPr>
            <w:tcW w:w="1440" w:type="dxa"/>
            <w:vAlign w:val="bottom"/>
          </w:tcPr>
          <w:p>
            <w:pPr>
              <w:spacing w:after="0"/>
              <w:rPr>
                <w:sz w:val="19"/>
                <w:szCs w:val="19"/>
                <w:color w:val="auto"/>
              </w:rPr>
            </w:pPr>
          </w:p>
        </w:tc>
        <w:tc>
          <w:tcPr>
            <w:tcW w:w="41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Total</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1,135,916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164,056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1,146,637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14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629"/>
        </w:trPr>
        <w:tc>
          <w:tcPr>
            <w:tcW w:w="14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79"/>
              </w:rPr>
              <w:t>20</w:t>
            </w: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Project Bonding Requirements and Parent Guarantees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 substantial portion of our business requires performance and payment bonds or other means of financial assurance to secure contractual performance. These bonds are typically issued at the face value of the contract awarded. If we fail to perform or pay our subcontractors or vendors, the customer may demand that the surety provide services or make payments under the bond. In such a case, we would likely be required to reimburse the surety for any expenses or outlays it incurs. To date, we have not been required to make any reimbursements to our sureties for claims against our surety bonds. As of March 31, 2019, we had approximately $646.1 million in original face amount of surety bonds outstanding. Our estimated remaining cost to complete these bonded projects was approximately $320.0 million as of March 31, 2019.</w:t>
      </w:r>
    </w:p>
    <w:p>
      <w:pPr>
        <w:spacing w:after="0" w:line="178"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selected consolidated statements of operations data and such data as a percentage of revenues for the periods indicated:</w:t>
      </w:r>
    </w:p>
    <w:p>
      <w:pPr>
        <w:spacing w:after="0" w:line="244"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3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Three months ended</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3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8"/>
                <w:szCs w:val="18"/>
                <w:b w:val="1"/>
                <w:bCs w:val="1"/>
                <w:color w:val="auto"/>
                <w:w w:val="93"/>
              </w:rPr>
              <w:t>March 31,</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8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4"/>
              </w:rPr>
              <w:t>Amount</w:t>
            </w: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Percent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4"/>
              </w:rPr>
              <w:t>Amount</w:t>
            </w:r>
          </w:p>
        </w:tc>
        <w:tc>
          <w:tcPr>
            <w:tcW w:w="80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Percent</w:t>
            </w:r>
          </w:p>
        </w:tc>
        <w:tc>
          <w:tcPr>
            <w:tcW w:w="160" w:type="dxa"/>
            <w:vAlign w:val="bottom"/>
          </w:tcPr>
          <w:p>
            <w:pPr>
              <w:spacing w:after="0"/>
              <w:rPr>
                <w:sz w:val="19"/>
                <w:szCs w:val="19"/>
                <w:color w:val="auto"/>
              </w:rPr>
            </w:pPr>
          </w:p>
        </w:tc>
      </w:tr>
      <w:tr>
        <w:trPr>
          <w:trHeight w:val="210"/>
        </w:trPr>
        <w:tc>
          <w:tcPr>
            <w:tcW w:w="3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468,094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345,611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Contract costs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425,218</w:t>
            </w:r>
          </w:p>
        </w:tc>
        <w:tc>
          <w:tcPr>
            <w:tcW w:w="120" w:type="dxa"/>
            <w:vAlign w:val="bottom"/>
          </w:tcPr>
          <w:p>
            <w:pPr>
              <w:spacing w:after="0"/>
              <w:rPr>
                <w:sz w:val="19"/>
                <w:szCs w:val="19"/>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309,858</w:t>
            </w:r>
          </w:p>
        </w:tc>
        <w:tc>
          <w:tcPr>
            <w:tcW w:w="140" w:type="dxa"/>
            <w:vAlign w:val="bottom"/>
          </w:tcPr>
          <w:p>
            <w:pPr>
              <w:spacing w:after="0"/>
              <w:rPr>
                <w:sz w:val="19"/>
                <w:szCs w:val="19"/>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89.7</w:t>
            </w:r>
          </w:p>
        </w:tc>
      </w:tr>
      <w:tr>
        <w:trPr>
          <w:trHeight w:val="210"/>
        </w:trPr>
        <w:tc>
          <w:tcPr>
            <w:tcW w:w="39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42,876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32,987</w:t>
            </w:r>
          </w:p>
        </w:tc>
        <w:tc>
          <w:tcPr>
            <w:tcW w:w="120" w:type="dxa"/>
            <w:vAlign w:val="bottom"/>
          </w:tcPr>
          <w:p>
            <w:pPr>
              <w:spacing w:after="0"/>
              <w:rPr>
                <w:sz w:val="18"/>
                <w:szCs w:val="18"/>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28,280</w:t>
            </w:r>
          </w:p>
        </w:tc>
        <w:tc>
          <w:tcPr>
            <w:tcW w:w="14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8.2</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Gain on sale of property and equipment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(1,051)</w:t>
            </w:r>
          </w:p>
        </w:tc>
        <w:tc>
          <w:tcPr>
            <w:tcW w:w="140" w:type="dxa"/>
            <w:vAlign w:val="bottom"/>
          </w:tcPr>
          <w:p>
            <w:pPr>
              <w:spacing w:after="0"/>
              <w:rPr>
                <w:sz w:val="19"/>
                <w:szCs w:val="19"/>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(0.3)</w:t>
            </w:r>
          </w:p>
        </w:tc>
      </w:tr>
      <w:tr>
        <w:trPr>
          <w:trHeight w:val="210"/>
        </w:trPr>
        <w:tc>
          <w:tcPr>
            <w:tcW w:w="39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from operations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30"/>
        </w:trPr>
        <w:tc>
          <w:tcPr>
            <w:tcW w:w="398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19"/>
                <w:szCs w:val="19"/>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9"/>
                <w:szCs w:val="19"/>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r>
      <w:tr>
        <w:trPr>
          <w:trHeight w:val="210"/>
        </w:trPr>
        <w:tc>
          <w:tcPr>
            <w:tcW w:w="39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Income before provision for income taxes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CEEFF"/>
            </w:tcBorders>
            <w:shd w:val="clear" w:color="auto" w:fill="CCEEFF"/>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2,547</w:t>
            </w:r>
          </w:p>
        </w:tc>
        <w:tc>
          <w:tcPr>
            <w:tcW w:w="120" w:type="dxa"/>
            <w:vAlign w:val="bottom"/>
          </w:tcPr>
          <w:p>
            <w:pPr>
              <w:spacing w:after="0"/>
              <w:rPr>
                <w:sz w:val="19"/>
                <w:szCs w:val="19"/>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2,291</w:t>
            </w:r>
          </w:p>
        </w:tc>
        <w:tc>
          <w:tcPr>
            <w:tcW w:w="140" w:type="dxa"/>
            <w:vAlign w:val="bottom"/>
          </w:tcPr>
          <w:p>
            <w:pPr>
              <w:spacing w:after="0"/>
              <w:rPr>
                <w:sz w:val="19"/>
                <w:szCs w:val="19"/>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0.7</w:t>
            </w: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CCEEFF"/>
            </w:tcBorders>
            <w:shd w:val="clear" w:color="auto" w:fill="CCEEFF"/>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w w:val="97"/>
              </w:rPr>
              <w:t>Less: net loss attributable to noncontrolling interest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9"/>
                <w:szCs w:val="19"/>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23"/>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MYR Group Inc.</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2019 Compared to Three Months Ended March 31, 2018</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were $468.1 million for the three months ended March 31, 2019 compared to $345.6 million for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2018. The increase of $122.5 million, or 35.4%, was primarily due to increases in volume across both our T&amp;D and C&amp;I segments and incremental revenues from the Huen Companies, which was acquired in the third quarter of 2018.</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Gross margin was 9.2% for the three months ended March 31, 2019 compared to 10.3% for the three months ended March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in gross margin was primarily due to inclement weather on certain projects and inefficiencies related to unanticipated overtime and material delays associated with a joint venture project in which we own the majority controlling interest, which were partially offset by net loss attributable to noncontrolling interest. The joint venture project is subject to margin guarantees, for which an offset is recognized in other income. Gross margin was also negatively impacted by an increase in non-reimbursable cost on a project. These margin decreases were partially offset by better than anticipated productivity on a project. Changes in estimates of gross profit on certain projects resulted in a gross margin decreases of 0.8% and 0.1% for the three months ended March 31, 2019 and 2018, respectively.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3" w:name="page24"/>
    <w:bookmarkEnd w:id="23"/>
    <w:p>
      <w:pPr>
        <w:ind w:right="500" w:firstLine="648"/>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was $42.9 million for the three months ended March 31, 2019 compared to $35.8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2018, the increase of $7.1 million, or 19.9% was due to higher revenues, partially offset by lower margins.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(“SG&amp;A”) was $33.0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2019 compared to $28.3 million for the three months ended March 31, 2018. The period-over-period increase of $4.7 million was primarily due to the acquisition of the Huen Companies and higher employee related expenses to support operations. As a percentage of revenues, SG&amp;A was 7.0% for the three months ended March 31, 2019 and 8.2% for the three months ended March 31, 2018.</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Gain on sale of property and equipment. </w:t>
      </w:r>
      <w:r>
        <w:rPr>
          <w:rFonts w:ascii="Arial" w:cs="Arial" w:eastAsia="Arial" w:hAnsi="Arial"/>
          <w:sz w:val="18"/>
          <w:szCs w:val="18"/>
          <w:color w:val="auto"/>
        </w:rPr>
        <w:t>Gains from the sale of property and equipment for the three months ended March 31, 2019 were $0.5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$1.1 million for the three months ended March 31, 2018. Gains from the sale of property and equipment are attributable to routine sales of property and equipment no longer useful or valuable to our ongoing operations.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$1.2 million for the three months ended March 31, 2019 compared to $0.7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2018. This increase was primarily attributable to increased borrowing related to the acquisition of the Huen Companies, an increase in our working capital needs and an increase in our weighted average interest rate during the three months ended March 31, 2019 as compared to the three months ended March 31, 2018.</w:t>
      </w:r>
    </w:p>
    <w:p>
      <w:pPr>
        <w:spacing w:after="0" w:line="18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Other income was $0.7 million for the three months ended March 31, 2019, primarily attributable to a reduction in contingent</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related to margin guarantees on certain contracts associated with the acquisition of the Huen Companies recognized in the three months ended March 31, 2019.</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was $2.5 million for the three months ended March 31, 2019, with an effective tax rate of 27.8%,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an expense of $2.3 million for the three months ended March 31, 2018, with an effective tax rate of 28.9%. The decrease in the tax rate in the three months ended March 31, 2019 was primarily due to state income taxes offset by the impact of our noncontrolling interest. Our inability to utilize losses experienced in certain Canadian operations negatively impacted the effective tax rate in the three months ended March 31, 2018.</w:t>
      </w:r>
    </w:p>
    <w:p>
      <w:pPr>
        <w:spacing w:after="0" w:line="17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i w:val="1"/>
          <w:iCs w:val="1"/>
          <w:color w:val="auto"/>
        </w:rPr>
        <w:t xml:space="preserve">Net income attributable to MYR Group Inc. </w:t>
      </w:r>
      <w:r>
        <w:rPr>
          <w:rFonts w:ascii="Arial" w:cs="Arial" w:eastAsia="Arial" w:hAnsi="Arial"/>
          <w:sz w:val="17"/>
          <w:szCs w:val="17"/>
          <w:color w:val="auto"/>
        </w:rPr>
        <w:t>Net income attributable to MYR Group Inc. was $7.4 million for the three months ended March 31, 2019</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$5.6 million for the three months ended March 31, 2018. The increase was primarily due to the reasons stated earlier.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8"/>
                <w:szCs w:val="18"/>
                <w:b w:val="1"/>
                <w:bCs w:val="1"/>
                <w:color w:val="auto"/>
                <w:w w:val="90"/>
              </w:rPr>
              <w:t>Three months ended March 31,</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3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8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4"/>
              </w:rPr>
              <w:t>Amount</w:t>
            </w: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Percent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4"/>
              </w:rPr>
              <w:t>Amount</w:t>
            </w:r>
          </w:p>
        </w:tc>
        <w:tc>
          <w:tcPr>
            <w:tcW w:w="80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Percent</w:t>
            </w:r>
          </w:p>
        </w:tc>
        <w:tc>
          <w:tcPr>
            <w:tcW w:w="160" w:type="dxa"/>
            <w:vAlign w:val="bottom"/>
            <w:gridSpan w:val="2"/>
          </w:tcPr>
          <w:p>
            <w:pPr>
              <w:spacing w:after="0"/>
              <w:rPr>
                <w:sz w:val="19"/>
                <w:szCs w:val="19"/>
                <w:color w:val="auto"/>
              </w:rPr>
            </w:pPr>
          </w:p>
        </w:tc>
      </w:tr>
      <w:tr>
        <w:trPr>
          <w:trHeight w:val="210"/>
        </w:trPr>
        <w:tc>
          <w:tcPr>
            <w:tcW w:w="3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Contract revenues: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Transmission &amp; Distribution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272,548</w:t>
            </w:r>
          </w:p>
        </w:tc>
        <w:tc>
          <w:tcPr>
            <w:tcW w:w="12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58.2%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216,386</w:t>
            </w:r>
          </w:p>
        </w:tc>
        <w:tc>
          <w:tcPr>
            <w:tcW w:w="1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62.6%</w:t>
            </w:r>
          </w:p>
        </w:tc>
      </w:tr>
      <w:tr>
        <w:trPr>
          <w:trHeight w:val="230"/>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195,546</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129,225</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CEEFF"/>
          </w:tcPr>
          <w:p>
            <w:pPr>
              <w:spacing w:after="0"/>
              <w:rPr>
                <w:sz w:val="19"/>
                <w:szCs w:val="19"/>
                <w:color w:val="auto"/>
              </w:rPr>
            </w:pPr>
          </w:p>
        </w:tc>
      </w:tr>
      <w:tr>
        <w:trPr>
          <w:trHeight w:val="263"/>
        </w:trPr>
        <w:tc>
          <w:tcPr>
            <w:tcW w:w="3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468,094</w:t>
            </w:r>
          </w:p>
        </w:tc>
        <w:tc>
          <w:tcPr>
            <w:tcW w:w="1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345,611</w:t>
            </w:r>
          </w:p>
        </w:tc>
        <w:tc>
          <w:tcPr>
            <w:tcW w:w="1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197"/>
        </w:trPr>
        <w:tc>
          <w:tcPr>
            <w:tcW w:w="39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b w:val="1"/>
                <w:bCs w:val="1"/>
                <w:color w:val="auto"/>
              </w:rPr>
              <w:t>Operating income (loss):</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3980" w:type="dxa"/>
            <w:vAlign w:val="bottom"/>
          </w:tcPr>
          <w:p>
            <w:pPr>
              <w:ind w:left="180"/>
              <w:spacing w:after="0"/>
              <w:rPr>
                <w:sz w:val="20"/>
                <w:szCs w:val="20"/>
                <w:color w:val="auto"/>
              </w:rPr>
            </w:pPr>
            <w:r>
              <w:rPr>
                <w:rFonts w:ascii="Arial" w:cs="Arial" w:eastAsia="Arial" w:hAnsi="Arial"/>
                <w:sz w:val="18"/>
                <w:szCs w:val="18"/>
                <w:color w:val="auto"/>
              </w:rPr>
              <w:t>Transmission &amp; Distribution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14,930</w:t>
            </w:r>
          </w:p>
        </w:tc>
        <w:tc>
          <w:tcPr>
            <w:tcW w:w="120" w:type="dxa"/>
            <w:vAlign w:val="bottom"/>
          </w:tcPr>
          <w:p>
            <w:pPr>
              <w:spacing w:after="0"/>
              <w:rPr>
                <w:sz w:val="18"/>
                <w:szCs w:val="18"/>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13,541</w:t>
            </w:r>
          </w:p>
        </w:tc>
        <w:tc>
          <w:tcPr>
            <w:tcW w:w="14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6.3%</w:t>
            </w:r>
          </w:p>
        </w:tc>
      </w:tr>
      <w:tr>
        <w:trPr>
          <w:trHeight w:val="230"/>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&amp; Industrial</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5,058</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5,336</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9"/>
                <w:szCs w:val="19"/>
                <w:color w:val="auto"/>
              </w:rPr>
            </w:pPr>
          </w:p>
        </w:tc>
      </w:tr>
      <w:tr>
        <w:trPr>
          <w:trHeight w:val="210"/>
        </w:trPr>
        <w:tc>
          <w:tcPr>
            <w:tcW w:w="3980" w:type="dxa"/>
            <w:vAlign w:val="bottom"/>
          </w:tcPr>
          <w:p>
            <w:pPr>
              <w:ind w:left="18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70"/>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r>
      <w:tr>
        <w:trPr>
          <w:trHeight w:val="230"/>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(10,362)</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(10,470)</w:t>
            </w:r>
          </w:p>
        </w:tc>
        <w:tc>
          <w:tcPr>
            <w:tcW w:w="1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23"/>
        </w:trPr>
        <w:tc>
          <w:tcPr>
            <w:tcW w:w="3980" w:type="dxa"/>
            <w:vAlign w:val="bottom"/>
          </w:tcPr>
          <w:p>
            <w:pPr>
              <w:ind w:left="180"/>
              <w:spacing w:after="0"/>
              <w:rPr>
                <w:sz w:val="20"/>
                <w:szCs w:val="20"/>
                <w:color w:val="auto"/>
              </w:rPr>
            </w:pPr>
            <w:r>
              <w:rPr>
                <w:rFonts w:ascii="Arial" w:cs="Arial" w:eastAsia="Arial" w:hAnsi="Arial"/>
                <w:sz w:val="18"/>
                <w:szCs w:val="18"/>
                <w:color w:val="auto"/>
              </w:rPr>
              <w:t>Consolidated</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9,626</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8,407</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3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Transmission &amp; Distribution</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Revenues for our T&amp;D segment for the three months ended March 31, 2019 were $272.5 million compared to $216.4 million for the three months ended March 31, 2018, an increase of $56.1 million, or 26.0%. The increase in revenue was primarily due to an increase in volume on transmission projects.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4" w:name="page25"/>
    <w:bookmarkEnd w:id="24"/>
    <w:p>
      <w:pPr>
        <w:jc w:val="both"/>
        <w:ind w:right="80" w:firstLine="648"/>
        <w:spacing w:after="0" w:line="264" w:lineRule="auto"/>
        <w:rPr>
          <w:sz w:val="20"/>
          <w:szCs w:val="20"/>
          <w:color w:val="auto"/>
        </w:rPr>
      </w:pPr>
      <w:r>
        <w:rPr>
          <w:rFonts w:ascii="Arial" w:cs="Arial" w:eastAsia="Arial" w:hAnsi="Arial"/>
          <w:sz w:val="18"/>
          <w:szCs w:val="18"/>
          <w:color w:val="auto"/>
        </w:rPr>
        <w:t>Revenues from transmission projects represented 68.9% and 62.1% of T&amp;D segment revenue for the three months ended March 31, 2019 and 2018, respectively. Additionally, for the three months ended March 31, 2019, measured by revenue in our T&amp;D segment, we provided 48.9% of our T&amp;D services under fixed-price contracts, as compared to 36.7% for the three months ended March 31, 2018.</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Operating income for our T&amp;D segment for the three months ended March 31, 2019 was $14.9 million, an increase of $1.4 million or 10.3% from the three months ended March 31, 2018. The increase in T&amp;D operating income from the prior year was primarily due to higher volume on transmission projects. This improvement from the prior year was partially offset by lower margins and changes in estimates of gross profit on certain projects. These estimate changes were primarily due to inclement weather on certain projects and an increase in non-reimbursable cost on a project. These impacts were partially offset by better than anticipated productivity on a certain project. As a percentage of revenues, operating income for our T&amp;D segment was 5.5% for the three months ended March 31, 2019 compared to 6.3% for the three months ended March 31,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&amp; Industrial</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Revenues for our C&amp;I segment for the three months ended March 31, 2019 were $195.5 million compared to $129.2 million for the three months ended March 31, 2018, an increase of $66.3 million, or 51.3%, primarily due to increases in volume across all project sizes and incremental revenues from the Huen Companies. Measured by revenue in our C&amp;I segment, we provided 68.4% of our services under fixed-price contracts for the three months ended March 31, 2019, compared to 69.0% for the three months ended March 31, 2018.</w:t>
      </w:r>
    </w:p>
    <w:p>
      <w:pPr>
        <w:spacing w:after="0" w:line="187" w:lineRule="exact"/>
        <w:rPr>
          <w:sz w:val="20"/>
          <w:szCs w:val="20"/>
          <w:color w:val="auto"/>
        </w:rPr>
      </w:pPr>
    </w:p>
    <w:p>
      <w:pPr>
        <w:ind w:right="240" w:firstLine="648"/>
        <w:spacing w:after="0" w:line="271" w:lineRule="auto"/>
        <w:rPr>
          <w:sz w:val="20"/>
          <w:szCs w:val="20"/>
          <w:color w:val="auto"/>
        </w:rPr>
      </w:pPr>
      <w:r>
        <w:rPr>
          <w:rFonts w:ascii="Arial" w:cs="Arial" w:eastAsia="Arial" w:hAnsi="Arial"/>
          <w:sz w:val="17"/>
          <w:szCs w:val="17"/>
          <w:color w:val="auto"/>
        </w:rPr>
        <w:t>Operating income for our C&amp;I segment for the three months ended March 31, 2019 was $5.1 million, a decrease of $0.2 million over the three months ended March 31, 2018. The period-over-period decrease in operating income was primarily due to changes in estimates of gross profit on certain projects. These estimate changes were primarily due to unanticipated overtime and material delays associated with a joint venture project in which we own the majority controlling interest, which were partially offset by net loss attributable to noncontrolling interest. The joint venture project is also subject to margin guarantees for which an offset is recognized in other income. The decrease in operating income was also due to amortization related to certain intangibles acquired with the Huen Companies and an increase in bad debt expense associated with a customer bankruptcy. These impacts were partially offset by higher revenues. As a percentage of revenues, operating income for our C&amp;I segment was 2.6% for the three months ended March 31, 2019 compared to 4.1% for the three months ended March 31,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Measure—EBITDA</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define EBITDA, a performance measure used by management, as net income attributable to MYR Group Inc. plus net income from noncontrolling interest, interest expense net of interest income, provision for income taxes and depreciation and amortization, as shown in the following table. EBITDA, a non-GAAP financial measure, does not purport to be an alternative to net income attributable to MYR Group Inc. as a measure of operating performance or to net cash flows provided by operating activities as a measure of liquidity.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w:t>
      </w:r>
    </w:p>
    <w:p>
      <w:pPr>
        <w:spacing w:after="0" w:line="17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Using EBITDA as a performance measure has material limitations as compared to net income, or other financial measures as defined under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stockholders.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5" w:name="page26"/>
    <w:bookmarkEnd w:id="25"/>
    <w:tbl>
      <w:tblPr>
        <w:tblLayout w:type="fixed"/>
        <w:tblInd w:w="660" w:type="dxa"/>
        <w:tblCellMar>
          <w:top w:w="0" w:type="dxa"/>
          <w:left w:w="0" w:type="dxa"/>
          <w:bottom w:w="0" w:type="dxa"/>
          <w:right w:w="0" w:type="dxa"/>
        </w:tblCellMar>
      </w:tblP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The following table provides a reconciliation of net income to EBITDA:</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27"/>
        </w:trPr>
        <w:tc>
          <w:tcPr>
            <w:tcW w:w="6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gridSpan w:val="7"/>
          </w:tcPr>
          <w:p>
            <w:pPr>
              <w:ind w:left="30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6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40" w:type="dxa"/>
            <w:vAlign w:val="bottom"/>
          </w:tcPr>
          <w:p>
            <w:pPr>
              <w:spacing w:after="0"/>
              <w:rPr>
                <w:sz w:val="19"/>
                <w:szCs w:val="19"/>
                <w:color w:val="auto"/>
              </w:rPr>
            </w:pP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6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MYR Group Inc.</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7,353</w:t>
            </w:r>
          </w:p>
        </w:tc>
        <w:tc>
          <w:tcPr>
            <w:tcW w:w="380" w:type="dxa"/>
            <w:vAlign w:val="bottom"/>
            <w:gridSpan w:val="2"/>
            <w:shd w:val="clear" w:color="auto" w:fill="CCEEFF"/>
          </w:tcPr>
          <w:p>
            <w:pPr>
              <w:jc w:val="right"/>
              <w:ind w:right="25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640" w:type="dxa"/>
            <w:vAlign w:val="bottom"/>
          </w:tcPr>
          <w:p>
            <w:pPr>
              <w:spacing w:after="0"/>
              <w:rPr>
                <w:sz w:val="19"/>
                <w:szCs w:val="19"/>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Net loss attributable to noncontrolling interests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(733)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0"/>
        </w:trPr>
        <w:tc>
          <w:tcPr>
            <w:tcW w:w="64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i w:val="1"/>
                <w:iCs w:val="1"/>
                <w:color w:val="auto"/>
              </w:rPr>
              <w:t>Add: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721</w:t>
            </w:r>
          </w:p>
        </w:tc>
        <w:tc>
          <w:tcPr>
            <w:tcW w:w="40" w:type="dxa"/>
            <w:vAlign w:val="bottom"/>
            <w:shd w:val="clear" w:color="auto" w:fill="CCEEFF"/>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2,547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40" w:type="dxa"/>
            <w:vAlign w:val="bottom"/>
          </w:tcPr>
          <w:p>
            <w:pPr>
              <w:spacing w:after="0"/>
              <w:rPr>
                <w:sz w:val="19"/>
                <w:szCs w:val="19"/>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&amp; amortization</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10,549</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3"/>
        </w:trPr>
        <w:tc>
          <w:tcPr>
            <w:tcW w:w="640" w:type="dxa"/>
            <w:vAlign w:val="bottom"/>
          </w:tcPr>
          <w:p>
            <w:pPr>
              <w:spacing w:after="0"/>
              <w:rPr>
                <w:sz w:val="19"/>
                <w:szCs w:val="19"/>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EBITDA</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20,921</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18,048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also use EBITDA as a liquidity measure. Certain material covenants contained within our credit agreement (the “Credit Agreement”) are based on EBITDA. Non-compliance with these financial covenants under the Credit Agreement — our interest coverage ratio which is defined in the Credit Agreement as Consolidated EBITDA (as defined in the Credit Agreement) divided by interest expense (as defined in the Credit Agreement) and our leverage ratio, which is defined in the Credit Agreement as Consolidated Total Indebtedness (as defined in the Credit Agreement), divided by Consolidated EBITDA (as defined in the Credit Agreement) — 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cash flows provided by operating activities to EBITDA:</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9"/>
                <w:szCs w:val="19"/>
                <w:color w:val="auto"/>
              </w:rPr>
            </w:pPr>
          </w:p>
        </w:tc>
      </w:tr>
      <w:tr>
        <w:trPr>
          <w:trHeight w:val="210"/>
        </w:trPr>
        <w:tc>
          <w:tcPr>
            <w:tcW w:w="5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Provided By (Used In) Operating Activities: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20" w:type="dxa"/>
            <w:vAlign w:val="bottom"/>
          </w:tcPr>
          <w:p>
            <w:pPr>
              <w:ind w:left="160"/>
              <w:spacing w:after="0"/>
              <w:rPr>
                <w:sz w:val="20"/>
                <w:szCs w:val="20"/>
                <w:color w:val="auto"/>
              </w:rPr>
            </w:pPr>
            <w:r>
              <w:rPr>
                <w:rFonts w:ascii="Arial" w:cs="Arial" w:eastAsia="Arial" w:hAnsi="Arial"/>
                <w:sz w:val="18"/>
                <w:szCs w:val="18"/>
                <w:color w:val="auto"/>
              </w:rPr>
              <w:t>Net cash flows provided by (used in) operating activities</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(8,205)</w:t>
            </w:r>
          </w:p>
        </w:tc>
        <w:tc>
          <w:tcPr>
            <w:tcW w:w="420" w:type="dxa"/>
            <w:vAlign w:val="bottom"/>
            <w:gridSpan w:val="2"/>
          </w:tcPr>
          <w:p>
            <w:pPr>
              <w:jc w:val="right"/>
              <w:ind w:right="225"/>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22,033</w:t>
            </w:r>
          </w:p>
        </w:tc>
      </w:tr>
      <w:tr>
        <w:trPr>
          <w:trHeight w:val="216"/>
        </w:trPr>
        <w:tc>
          <w:tcPr>
            <w:tcW w:w="512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Add/(subtract):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2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25,483</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(6,878)</w:t>
            </w:r>
          </w:p>
        </w:tc>
      </w:tr>
      <w:tr>
        <w:trPr>
          <w:trHeight w:val="202"/>
        </w:trPr>
        <w:tc>
          <w:tcPr>
            <w:tcW w:w="51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5"/>
              </w:rPr>
              <w:t>Adjustments to reconcile net income to net cash flows provided</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by (used in) operating activities</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(10,658)</w:t>
            </w:r>
          </w:p>
        </w:tc>
        <w:tc>
          <w:tcPr>
            <w:tcW w:w="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(9,511)</w:t>
            </w:r>
          </w:p>
        </w:tc>
      </w:tr>
      <w:tr>
        <w:trPr>
          <w:trHeight w:val="216"/>
        </w:trPr>
        <w:tc>
          <w:tcPr>
            <w:tcW w:w="5120" w:type="dxa"/>
            <w:vAlign w:val="bottom"/>
          </w:tcPr>
          <w:p>
            <w:pPr>
              <w:ind w:left="320"/>
              <w:spacing w:after="0"/>
              <w:rPr>
                <w:sz w:val="20"/>
                <w:szCs w:val="20"/>
                <w:color w:val="auto"/>
              </w:rPr>
            </w:pPr>
            <w:r>
              <w:rPr>
                <w:rFonts w:ascii="Arial" w:cs="Arial" w:eastAsia="Arial" w:hAnsi="Arial"/>
                <w:sz w:val="18"/>
                <w:szCs w:val="18"/>
                <w:color w:val="auto"/>
              </w:rPr>
              <w:t>Depreciation &amp; amortization</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10,549</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9,392</w:t>
            </w:r>
          </w:p>
        </w:tc>
        <w:tc>
          <w:tcPr>
            <w:tcW w:w="60" w:type="dxa"/>
            <w:vAlign w:val="bottom"/>
          </w:tcPr>
          <w:p>
            <w:pPr>
              <w:spacing w:after="0"/>
              <w:rPr>
                <w:sz w:val="18"/>
                <w:szCs w:val="18"/>
                <w:color w:val="auto"/>
              </w:rPr>
            </w:pPr>
          </w:p>
        </w:tc>
      </w:tr>
      <w:tr>
        <w:trPr>
          <w:trHeight w:val="216"/>
        </w:trPr>
        <w:tc>
          <w:tcPr>
            <w:tcW w:w="5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2,547</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60" w:type="dxa"/>
            <w:vAlign w:val="bottom"/>
            <w:shd w:val="clear" w:color="auto" w:fill="CCEEFF"/>
          </w:tcPr>
          <w:p>
            <w:pPr>
              <w:spacing w:after="0"/>
              <w:rPr>
                <w:sz w:val="18"/>
                <w:szCs w:val="18"/>
                <w:color w:val="auto"/>
              </w:rPr>
            </w:pPr>
          </w:p>
        </w:tc>
      </w:tr>
      <w:tr>
        <w:trPr>
          <w:trHeight w:val="230"/>
        </w:trPr>
        <w:tc>
          <w:tcPr>
            <w:tcW w:w="5120" w:type="dxa"/>
            <w:vAlign w:val="bottom"/>
          </w:tcPr>
          <w:p>
            <w:pPr>
              <w:ind w:left="320"/>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1,205</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721</w:t>
            </w:r>
          </w:p>
        </w:tc>
      </w:tr>
      <w:tr>
        <w:trPr>
          <w:trHeight w:val="223"/>
        </w:trPr>
        <w:tc>
          <w:tcPr>
            <w:tcW w:w="51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EBITDA</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of March 31, 2019, we had working capital of $212.2 million. We define working capital as current assets less current liabilities. During the three months ended March 31, 2019, operating activities of our business used net cash of $8.2 million, compared to $22.0 million of cash provided for the three months ended March 31, 2018. Cash flow from operations is primarily influenced by demand for our services, operating margins, timing of contract performance and the type of services we provide to our customers. The $30.2 million change from cash provided by operating activities last year to cash used in operating activities this year was primarily due to unfavorable net changes in operating assets and liabilities of $32.4 million, offset by an increase in depreciation and amortization of $1.2 million and a $1.0 million increase in net income. The unfavorable change in operating assets and liabilities was primarily due to the net unfavorable year-over-year increases in various working capital accounts that relate primarily to construction activities (accounts receivable, contract assets, accounts payable and contract liabilities), of $23.6 million and an unfavorable change of $8.2 million in other liabilities due primarily to the payout of bonuses earned in 2018 in the first three months of 2019. The increase in cash provided by other liabilities was due to the timing of wage and employment taxes and higher bonus and profit sharing accruals. The decline in cash provided by working capital accounts, primarily related to construction activities, was due to an increase in working capital requirements needed to support the increase in revenue.</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6" w:name="page27"/>
    <w:bookmarkEnd w:id="26"/>
    <w:p>
      <w:pPr>
        <w:ind w:right="980" w:firstLine="648"/>
        <w:spacing w:after="0" w:line="277" w:lineRule="auto"/>
        <w:rPr>
          <w:sz w:val="20"/>
          <w:szCs w:val="20"/>
          <w:color w:val="auto"/>
        </w:rPr>
      </w:pPr>
      <w:r>
        <w:rPr>
          <w:rFonts w:ascii="Arial" w:cs="Arial" w:eastAsia="Arial" w:hAnsi="Arial"/>
          <w:sz w:val="18"/>
          <w:szCs w:val="18"/>
          <w:color w:val="auto"/>
        </w:rPr>
        <w:t>In the three months ended March 31, 2019, we used net cash in investing activities of $9.1 million, consisting of $9.9 million for capital expenditures, partially offset by $0.8 million of proceeds from the sale of equipment.</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three months ended March 31, 2019, financing activities provided net cash of $11.1 million, consisting primarily of $21.6 million of borrowings under our revolving line of credit partially offset by $8.4 million of outstanding checks in excess of our bank balance, $1.5 million of payment of principal obligations under equipment notes and share repurchases of $0.8 million, all of which represented shares surrendered to satisfy tax obligations under our stock compensation programs during the three months ended March 31, 2019.</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anticipate that our borrowing availability of $148.9 million at March 31, 2019 under the credit facility and future cash flow from operations will provide sufficient cash to enable us to meet our future operating needs, debt service requirements, capital expenditures, acquisition and joint venture opportunities, and share repurchases. Although we believe that we have adequate cash and borrowing capacity to meet our liquidity needs, any large projects or acquisitions may require additional capital.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historically paid dividends and currently do not expect to pay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June 30, 2016, we entered into a five-year amended and restated credit agreement (the “Credit Agreement”) with a syndicate of banks led by JPMorgan Chase Bank, N.A. and Bank of America, N.A. On September 28, 2018 we amended the Credit Agreement. This amendment, among other things, reduced the amount available to be used for letters of credit. The Credit Agreement provides for a facility of $250 million (the “Facility”) that may be used for revolving loans of which $150 million may be used for letters of credit. The Facility also allows for revolving loans and letters of credit in Canadian dollars and other currencies, up to the U.S. dollar equivalent of $50 million. We have an expansion option to increase the commitments under the Facility or enter into incremental term loans, subject to certain conditions, by up to an additional $100 million upon receipt of additional commitments from new or existing lenders. Subject to certain exceptions, the Facility is secured by substantially all of our assets and the assets of our domestic subsidiaries and by a pledge of substantially all of the capital stock of our domestic subsidiaries and 65% of the capital stock of our direct foreign subsidiaries. Additionally, subject to certain exceptions, our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were used to refinance existing debt and are expected to be used for working capital, capital expenditures, acquisitions, stock repurchases and other general corporate purposes.</w:t>
      </w:r>
    </w:p>
    <w:p>
      <w:pPr>
        <w:spacing w:after="0" w:line="16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Amounts borrowed under the Credit Agreement bear interest, at our option, at a rate equal to either (1) the Alternate Base Rate (as defined in the Credit Agreement), plus an applicable margin ranging from 0.00% to 1.00%; or (2) Adjusted LIBO Rate (as defined in the Credit Agreement) plus an applicable margin ranging from 1.00% to 2.00%. The applicable margin is determined based on our consolidated leverage ratio (Leverage Ratio) which is defined in the Credit Agreement as Consolidated Total Indebtedness divided by Consolidated EBITDA (as defined in the Credit Agreement). Letters of credit issued under the Facility are subject to a letter of credit fee of 1.125% to 2.125% for non-performance letters of credit or 0.625% to 1.125% for performance letters of credit, based on the our consolidated Leverage Ratio. We are subject to a commitment fee of 0.20% to 0.375%, based on our consolidated Leverage Ratio, on any unused portion of the Facility. The Credit Agreement restricts certain types of payments when our consolidated Leverage Ratio exceeds 2.25.</w:t>
      </w:r>
    </w:p>
    <w:p>
      <w:pPr>
        <w:spacing w:after="0" w:line="16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Under the Credit Agreement, we are subject to certain financial covenants and must maintain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In connection with any permitted acquisition where the total consideration exceeds $50 million, we may request that the maximum permitted consolidated Leverage Ratio increase from 3.0 to 3.5. Any such increase, if given effect, shall begin in the quarter in which such permitted acquisition is consummated and shall continue in effect for four consecutive fiscal quarters. We were in compliance with all of the financial covenants under the Credit Agreement as of March 31, 2019.</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2019, we had $79.9 million of debt outstanding under the Facility and letters of credit outstanding of approximately $21.2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2018, we had $58.3 million of debt outstanding under the Facility and letters of credit outstanding of approximately $21.2 million.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Equipment Notes</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On September 28, 2018, we entered into the Master Loan Agreement with BofA. The Master Loan Agreement may be used for financing of equipment between us and BofA pursuant to one or more equipment notes ("Equipment Notes"). Each Equipment Note constitutes a separate, distinct and independent financing of equipment and contractual obligation.</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of March 31, 2019, we have executed five Equipment Notes that are collateralized by equipment and vehicles owned by us. The outstanding balance of these Equipment Notes was $30.0 million as of March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is common in our industry, we enter into certain off-balance sheet arrangements in the ordinary course of business that result in risks not directly reflected on our balance sheets. Our significant off-balance sheet transactions, such as liabilities associated with letter of credit obligations and surety guarantees related to performance bonds, could be entered into in the normal course of business. We have not engaged in any off-balance sheet financing arrangements through special purpose entities.</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a discussion regarding off-balance sheet transactions, please refer to Note 9–Commitments and Contingencies in the accompanying notes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Consequently, we are subject to potential credit risk related to changes in business and economic factors throughout the United States. However, we generally have certain statutory lien rights with respect to services provided. Under certain circumstances such as foreclosures or negotiated settlements, we may take title to the underlying assets in lieu of cash in settlement of receivables. As of March 31, 2019 and 2018, none of our customers individually exceeded 10.0% of consolidated accounts receivable. Management believes the terms and conditions in its contracts, billing and collection policies are adequate to minimize the potential credit risk.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For a discussion regarding new accounting pronouncements, please refer to Note 1–Organization, Business and Basis of Presentation—Recently Issued Accounting Pronouncements in the accompanying notes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2018 Annual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 and Information</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are including the following discussion to inform you of some of the risks and uncertainties that can affect our company and to take advantage of the protections for forward-looking statements that applicable federal securities law affords.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Statements in this Quarterly Report on Form 10-Q contain various forward-looking statements within the meaning of Section 27A of the Securities Act of 1933 (the “Securities Act”) and Section 21E of the Securities Exchange Act of 1934 (the “Exchange Act”), which represent our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“may,” “objective,” “outlook,” “plan,” “project,” “likely,” “unlikely,” “possible,” “potential,” “should” or other words that convey the uncertainty of future events or outcomes. The forward-looking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we consider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under the caption “Forward-Looking Statements” and in Item 1A. “Risk Factors” in our 2018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left="8"/>
        <w:spacing w:after="0"/>
        <w:rPr>
          <w:sz w:val="20"/>
          <w:szCs w:val="20"/>
          <w:color w:val="auto"/>
        </w:rPr>
      </w:pPr>
      <w:r>
        <w:rPr>
          <w:rFonts w:ascii="Arial" w:cs="Arial" w:eastAsia="Arial" w:hAnsi="Arial"/>
          <w:sz w:val="18"/>
          <w:szCs w:val="18"/>
          <w:color w:val="auto"/>
        </w:rPr>
        <w:t>These risks, contingencies and uncertainties include, but are not limited to, the following:</w:t>
      </w:r>
    </w:p>
    <w:p>
      <w:pPr>
        <w:spacing w:after="0" w:line="225" w:lineRule="exact"/>
        <w:rPr>
          <w:sz w:val="20"/>
          <w:szCs w:val="20"/>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operating results may vary significantly from period to period.</w:t>
      </w:r>
    </w:p>
    <w:p>
      <w:pPr>
        <w:spacing w:after="0" w:line="225" w:lineRule="exact"/>
        <w:rPr>
          <w:rFonts w:ascii="Arial" w:cs="Arial" w:eastAsia="Arial" w:hAnsi="Arial"/>
          <w:sz w:val="18"/>
          <w:szCs w:val="18"/>
          <w:color w:val="auto"/>
        </w:rPr>
      </w:pPr>
    </w:p>
    <w:p>
      <w:pPr>
        <w:ind w:left="328" w:right="380" w:hanging="328"/>
        <w:spacing w:after="0" w:line="277"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industry is highly competitive. Increased competition can place downward pressure on contract prices and profit margins and may limit the number of projects that we are awarded.</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 unsuccessful in generating internal growth, which could impact the projects available to the Company.</w:t>
      </w:r>
    </w:p>
    <w:p>
      <w:pPr>
        <w:spacing w:after="0" w:line="225" w:lineRule="exact"/>
        <w:rPr>
          <w:rFonts w:ascii="Arial" w:cs="Arial" w:eastAsia="Arial" w:hAnsi="Arial"/>
          <w:sz w:val="18"/>
          <w:szCs w:val="18"/>
          <w:color w:val="auto"/>
        </w:rPr>
      </w:pPr>
    </w:p>
    <w:p>
      <w:pPr>
        <w:ind w:left="328" w:right="480" w:hanging="328"/>
        <w:spacing w:after="0" w:line="277"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Negative economic and market conditions, as well as regulatory and environmental requirements, may adversely impact our customers’ future spending and, as a result, our operations and growth.</w:t>
      </w:r>
    </w:p>
    <w:p>
      <w:pPr>
        <w:spacing w:after="0" w:line="170" w:lineRule="exact"/>
        <w:rPr>
          <w:rFonts w:ascii="Arial" w:cs="Arial" w:eastAsia="Arial" w:hAnsi="Arial"/>
          <w:sz w:val="18"/>
          <w:szCs w:val="18"/>
          <w:color w:val="auto"/>
        </w:rPr>
      </w:pPr>
    </w:p>
    <w:p>
      <w:pPr>
        <w:ind w:left="328" w:right="80" w:hanging="328"/>
        <w:spacing w:after="0" w:line="277"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170" w:lineRule="exact"/>
        <w:rPr>
          <w:rFonts w:ascii="Arial" w:cs="Arial" w:eastAsia="Arial" w:hAnsi="Arial"/>
          <w:sz w:val="18"/>
          <w:szCs w:val="18"/>
          <w:color w:val="auto"/>
        </w:rPr>
      </w:pPr>
    </w:p>
    <w:p>
      <w:pPr>
        <w:ind w:left="328" w:right="600" w:hanging="328"/>
        <w:spacing w:after="0" w:line="277"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revenues may be exposed to potential risk if a project is terminated or canceled, if our customers encounter financial difficulties or if we encounter disputes with our customers.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is labor intensive and we may be unable to attract and retain qualified employees.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timing of new contracts and termination of existing contracts may result in unpredictable fluctuations in our cash flows and financial results.</w:t>
      </w:r>
    </w:p>
    <w:p>
      <w:pPr>
        <w:spacing w:after="0" w:line="248" w:lineRule="exact"/>
        <w:rPr>
          <w:rFonts w:ascii="Arial" w:cs="Arial" w:eastAsia="Arial" w:hAnsi="Arial"/>
          <w:sz w:val="16"/>
          <w:szCs w:val="16"/>
          <w:color w:val="auto"/>
        </w:rPr>
      </w:pPr>
    </w:p>
    <w:p>
      <w:pPr>
        <w:ind w:left="328" w:hanging="328"/>
        <w:spacing w:after="0" w:line="277"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ordinary course of our business, we may become subject to lawsuits or indemnity claims, which could materially and adversely affect our business and results of operations.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incur liabilities and suffer negative financial or reputational impacts relating to occupational health and safety matters.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Backlog may not be realized or may not result in profits and may not accurately represent future revenue.</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growth could outpace the capability of our internal resources and limit our ability to support growth.</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suppliers, subcontractors and equipment manufacturers could expose us to the risk of loss in our operations.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participation in joint ventures and other projects with third parties may expose us to liability for failures of our partners.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successfully execute our acquisition strategy may have an adverse impact on our growth strategy.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Legislative or regulatory actions relating to electricity transmission and renewable energy may impact demand for our services.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use of percentage-of-completion accounting could result in a reduction or reversal of previously recognized profits.</w:t>
      </w:r>
    </w:p>
    <w:p>
      <w:pPr>
        <w:spacing w:after="0" w:line="225" w:lineRule="exact"/>
        <w:rPr>
          <w:rFonts w:ascii="Arial" w:cs="Arial" w:eastAsia="Arial" w:hAnsi="Arial"/>
          <w:sz w:val="18"/>
          <w:szCs w:val="18"/>
          <w:color w:val="auto"/>
        </w:rPr>
      </w:pPr>
    </w:p>
    <w:p>
      <w:pPr>
        <w:ind w:left="328" w:right="440" w:hanging="328"/>
        <w:spacing w:after="0" w:line="277"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insurance coverage will not fully indemnify us against certain claims or losses. Further, our insurance has limits and exclusions and not all losses or claims are insured.</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actual costs may be greater than expected in performing our fixed-price and unit-price contracts.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results are based upon estimates and assumptions that may differ from actual results.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a key customer could have an adverse effect on us.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comply with environmental and other laws and regulations could result in significant liabilities.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7"/>
          <w:szCs w:val="17"/>
          <w:color w:val="auto"/>
        </w:rPr>
      </w:pPr>
      <w:r>
        <w:rPr>
          <w:rFonts w:ascii="Arial" w:cs="Arial" w:eastAsia="Arial" w:hAnsi="Arial"/>
          <w:sz w:val="17"/>
          <w:szCs w:val="17"/>
          <w:color w:val="auto"/>
        </w:rPr>
        <w:t>Unavailability or cancellation of third party insurance coverages would increase our overall risk exposure and could disrupt our operations.</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extend trade credit to customers for purchases of our services, and may have difficulty collecting receivables from them.</w:t>
      </w:r>
    </w:p>
    <w:p>
      <w:pPr>
        <w:spacing w:after="0" w:line="200" w:lineRule="exact"/>
        <w:rPr>
          <w:sz w:val="20"/>
          <w:szCs w:val="20"/>
          <w:color w:val="auto"/>
        </w:rPr>
      </w:pPr>
    </w:p>
    <w:p>
      <w:pPr>
        <w:spacing w:after="0" w:line="241"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48"/>
          </w:cols>
          <w:pgMar w:left="572" w:top="908" w:right="279" w:bottom="1440" w:gutter="0" w:footer="0" w:header="0"/>
        </w:sectPr>
      </w:pPr>
    </w:p>
    <w:bookmarkStart w:id="29" w:name="page30"/>
    <w:bookmarkEnd w:id="29"/>
    <w:p>
      <w:pPr>
        <w:ind w:left="328" w:right="80" w:hanging="328"/>
        <w:spacing w:after="0" w:line="277"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compete for, or work on, certain projects if we are not able to obtain the necessary bonds, letters of credit, bank guarantees or other financial assurances.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hire or retain key personnel could disrupt our business.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business may be affected by seasonal and other variations, including severe weather conditions and the nature of our work environment.</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fail to execute or integrate acquisitions or joint ventures successfully.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 stoppages or other labor issues with our unionized workforce could adversely affect our business.</w:t>
      </w:r>
    </w:p>
    <w:p>
      <w:pPr>
        <w:spacing w:after="0" w:line="225" w:lineRule="exact"/>
        <w:rPr>
          <w:rFonts w:ascii="Arial" w:cs="Arial" w:eastAsia="Arial" w:hAnsi="Arial"/>
          <w:sz w:val="18"/>
          <w:szCs w:val="18"/>
          <w:color w:val="auto"/>
        </w:rPr>
      </w:pPr>
    </w:p>
    <w:p>
      <w:pPr>
        <w:ind w:left="328" w:right="1120" w:hanging="328"/>
        <w:spacing w:after="0" w:line="308" w:lineRule="auto"/>
        <w:tabs>
          <w:tab w:leader="none" w:pos="328" w:val="left"/>
        </w:tabs>
        <w:numPr>
          <w:ilvl w:val="0"/>
          <w:numId w:val="8"/>
        </w:numPr>
        <w:rPr>
          <w:rFonts w:ascii="Arial" w:cs="Arial" w:eastAsia="Arial" w:hAnsi="Arial"/>
          <w:sz w:val="17"/>
          <w:szCs w:val="17"/>
          <w:color w:val="auto"/>
        </w:rPr>
      </w:pPr>
      <w:r>
        <w:rPr>
          <w:rFonts w:ascii="Arial" w:cs="Arial" w:eastAsia="Arial" w:hAnsi="Arial"/>
          <w:sz w:val="17"/>
          <w:szCs w:val="17"/>
          <w:color w:val="auto"/>
        </w:rPr>
        <w:t>Failure to obtain permitting, right-of-way access and other tactical considerations prior to the commencement of work could delay the commencement of work on projects or cause modifications of work plans, potentially resulting in lower margins.</w:t>
      </w:r>
    </w:p>
    <w:p>
      <w:pPr>
        <w:spacing w:after="0" w:line="146" w:lineRule="exact"/>
        <w:rPr>
          <w:rFonts w:ascii="Arial" w:cs="Arial" w:eastAsia="Arial" w:hAnsi="Arial"/>
          <w:sz w:val="17"/>
          <w:szCs w:val="17"/>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Multi-employer pension plan obligations related to our unionized workforce could adversely impact our earnings.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results of operations could be adversely affected as a result of asset impairments.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have access in the future to sufficient funding to finance desired growth and operations.</w:t>
      </w:r>
    </w:p>
    <w:p>
      <w:pPr>
        <w:spacing w:after="0" w:line="225" w:lineRule="exact"/>
        <w:rPr>
          <w:rFonts w:ascii="Arial" w:cs="Arial" w:eastAsia="Arial" w:hAnsi="Arial"/>
          <w:sz w:val="18"/>
          <w:szCs w:val="18"/>
          <w:color w:val="auto"/>
        </w:rPr>
      </w:pPr>
    </w:p>
    <w:p>
      <w:pPr>
        <w:ind w:left="328" w:right="640" w:hanging="328"/>
        <w:spacing w:after="0" w:line="277"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or our business partners, may be subject to failures, interruptions or breaches of information technology systems, which could affect our operations or our competitive position, expose sensitive information, or damage our reputation.</w:t>
      </w:r>
    </w:p>
    <w:p>
      <w:pPr>
        <w:spacing w:after="0" w:line="170" w:lineRule="exact"/>
        <w:rPr>
          <w:rFonts w:ascii="Arial" w:cs="Arial" w:eastAsia="Arial" w:hAnsi="Arial"/>
          <w:sz w:val="18"/>
          <w:szCs w:val="18"/>
          <w:color w:val="auto"/>
        </w:rPr>
      </w:pPr>
    </w:p>
    <w:p>
      <w:pPr>
        <w:ind w:left="328" w:right="260" w:hanging="328"/>
        <w:spacing w:after="0" w:line="277"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stock has experienced significant price and volume fluctuations and future sales of our common stock could lead to dilution of our issued and outstanding common stock.</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operations are subject to a number of operational risks which may result in unexpected costs or liabilities.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Opportunities associated with government contracts could lead to increased governmental regulation applicable to us.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interpretation of tax laws could impact the determination of our income tax liabilities for a tax year.</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operating in the Canadian market could restrict our ability to expand and harm our business and prospects.</w:t>
      </w:r>
    </w:p>
    <w:p>
      <w:pPr>
        <w:spacing w:after="0" w:line="225" w:lineRule="exact"/>
        <w:rPr>
          <w:rFonts w:ascii="Arial" w:cs="Arial" w:eastAsia="Arial" w:hAnsi="Arial"/>
          <w:sz w:val="18"/>
          <w:szCs w:val="18"/>
          <w:color w:val="auto"/>
        </w:rPr>
      </w:pPr>
    </w:p>
    <w:p>
      <w:pPr>
        <w:ind w:left="328" w:right="160" w:hanging="328"/>
        <w:spacing w:after="0" w:line="277"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comply with the laws applicable to our Canadian activities, including the U.S. Foreign Corrupt Practices Act and similar anti-bribery laws, could have an adverse effect on us.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nature of our business exposes us to potential liability for warranty claims and faulty engineering, which may reduce our profitability.</w:t>
      </w:r>
    </w:p>
    <w:p>
      <w:pPr>
        <w:spacing w:after="0" w:line="236" w:lineRule="exact"/>
        <w:rPr>
          <w:rFonts w:ascii="Arial" w:cs="Arial" w:eastAsia="Arial" w:hAnsi="Arial"/>
          <w:sz w:val="17"/>
          <w:szCs w:val="17"/>
          <w:color w:val="auto"/>
        </w:rPr>
      </w:pPr>
    </w:p>
    <w:p>
      <w:pPr>
        <w:jc w:val="both"/>
        <w:ind w:left="328" w:hanging="328"/>
        <w:spacing w:after="0" w:line="264" w:lineRule="auto"/>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internal controls over financial reporting and our disclosure controls and procedures may not prevent all possible errors that could occur. Internal controls over financial reporting and disclosure controls and procedures, no matter how well designed and operated, can provide only reasonable, not absolute, assurance that the control system’s objective will be met.</w:t>
      </w:r>
    </w:p>
    <w:p>
      <w:pPr>
        <w:spacing w:after="0" w:line="181"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the prices of certain materials and commodities used in our business could adversely affect our business.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variable rate indebtedness subjects us to interest rate risk, which could cause our debt service obligations to increase significantly.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provisions in our organizational documents and Delaware law could delay or prevent a change in control of our company.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risks associated with climate change.</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2019, we were not party to any derivative instruments. We did not use any material derivative financial instruments during the three months ended March 31, 2019 and 2018, including instruments for trading, hedging or speculating on changes in interest rates or commodity prices of materials used in our business.</w:t>
      </w:r>
    </w:p>
    <w:p>
      <w:pPr>
        <w:spacing w:after="0" w:line="18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As of March 31, 2019, we had $79.9 million of debt outstanding under the Facility. Borrowings under the Facility are based upon an interest rate that will vary depending upon the prime rate, federal funds rate and LIBOR. If the prime rate, federal funds rate or LIBOR increased, our interest payment obligations on outstanding borrowings would increase and have a negative effect on our cash flow and financial condition. We currently do not maintain any hedging contracts that would limit our exposure to variable rates of interest when we have outstanding borrowings. If market rates of interest on all our revolving debt as of March 31, 2019, which is subject to variable rates, permanently increased by 1%, the increase in interest expense on all revolving debt would decrease future income before provision for income taxes and cash flows by approximately $0.8 million annually. If market rates of interest on all our revolving debt, which is subject to variable rates as of March 31, 2019, permanently decreased by 1%, the decrease in interest expense on all debt would increase future income before provision for income taxes and cash flows by the same amount.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Borrowings under our Equipment Notes are at fixed rates established on the date the respective Equipment Note was executed.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March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that are reasonably likely to materially affect, our internal control over financial reporting.</w:t>
      </w:r>
    </w:p>
    <w:p>
      <w:pPr>
        <w:spacing w:after="0" w:line="170"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For the year ended December 31, 2018, management’s assessment of our internal control over financial reporting excluded the internal control over financial reporting of Huen Electric, Inc., which was acquired on July 2, 2018. Pursuant to the SEC’s general guidance that a recently acquired business may be omitted from the scope of an assessment in the year of the acquisition, the scope of our assessment does not include Huen Electric, Inc. As of March 31, 2019, Huen Electric, Inc. represented a total of approximately 8.8% and 8.6% of total assets and net assets, respectively, and 5.8% and 10.1% of contract revenues and income before income taxes, respectively, for the period then ended.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For discussion regarding legal proceedings, please refer to Note 9–Commitments and Contingencies—Litigation and Other Legal Matters in the accompanying notes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As of the date of this filing, there have been no material changes to the risk factors previously discussed in Item 1A. Risk Factors of our 2018 Annual Report. An investment in our common stock involves various risks. When considering an investment in our company, you should carefully consider all of the risk factors described in our 2018 Annual Report. These risks and uncertainties are not the only ones facing us and there may be additional matters that are not known to us or that we currently consider immaterial. These risks and uncertainties could adversely affect our business, financial condition or future results and, thus, the value of our common stock and any investment in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b w:val="1"/>
          <w:bCs w:val="1"/>
          <w:i w:val="1"/>
          <w:iCs w:val="1"/>
          <w:color w:val="auto"/>
        </w:rPr>
        <w:t xml:space="preserve">Issuances of Common Stock. </w:t>
      </w:r>
      <w:r>
        <w:rPr>
          <w:rFonts w:ascii="Arial" w:cs="Arial" w:eastAsia="Arial" w:hAnsi="Arial"/>
          <w:sz w:val="17"/>
          <w:szCs w:val="17"/>
          <w:color w:val="auto"/>
        </w:rPr>
        <w:t>On February 28, 2019, 357 unregistered shares of our common stock, valued in the aggregate at $11,974, were issued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 director of the Company who elected to receive a portion of their director retainer fee in stock in lieu of cash. The shares were issued pursuant to the exemption from registration provided by Section 4(a)(2) of the Securities Act of 1933 for an issuance not involving a public offering.</w:t>
      </w:r>
    </w:p>
    <w:p>
      <w:pPr>
        <w:spacing w:after="0" w:line="16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b w:val="1"/>
          <w:bCs w:val="1"/>
          <w:i w:val="1"/>
          <w:iCs w:val="1"/>
          <w:color w:val="auto"/>
        </w:rPr>
        <w:t xml:space="preserve">Purchases of Common Stock. </w:t>
      </w:r>
      <w:r>
        <w:rPr>
          <w:rFonts w:ascii="Arial" w:cs="Arial" w:eastAsia="Arial" w:hAnsi="Arial"/>
          <w:sz w:val="18"/>
          <w:szCs w:val="18"/>
          <w:color w:val="auto"/>
        </w:rPr>
        <w:t>The following table includes all of the Company’s repurchases of common stock for the periods shown,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made pursuant to publicly announced plans or programs and those not made pursuant to publicly announced plans or programs. Repurchased shares are retired and returned to authorized but unissued common stock.</w:t>
      </w:r>
    </w:p>
    <w:p>
      <w:pPr>
        <w:spacing w:after="0" w:line="177"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Average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5"/>
              </w:rPr>
              <w:t>Shares Purchased as</w:t>
            </w:r>
          </w:p>
        </w:tc>
        <w:tc>
          <w:tcPr>
            <w:tcW w:w="160" w:type="dxa"/>
            <w:vAlign w:val="bottom"/>
          </w:tcPr>
          <w:p>
            <w:pPr>
              <w:spacing w:after="0"/>
              <w:rPr>
                <w:sz w:val="18"/>
                <w:szCs w:val="18"/>
                <w:color w:val="auto"/>
              </w:rPr>
            </w:pPr>
          </w:p>
        </w:tc>
        <w:tc>
          <w:tcPr>
            <w:tcW w:w="18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60" w:type="dxa"/>
            <w:vAlign w:val="bottom"/>
          </w:tcPr>
          <w:p>
            <w:pPr>
              <w:spacing w:after="0"/>
              <w:rPr>
                <w:sz w:val="18"/>
                <w:szCs w:val="18"/>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160" w:type="dxa"/>
            <w:vAlign w:val="bottom"/>
          </w:tcPr>
          <w:p>
            <w:pPr>
              <w:spacing w:after="0"/>
              <w:rPr>
                <w:sz w:val="18"/>
                <w:szCs w:val="18"/>
                <w:color w:val="auto"/>
              </w:rPr>
            </w:pPr>
          </w:p>
        </w:tc>
        <w:tc>
          <w:tcPr>
            <w:tcW w:w="18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May Yet Be Purchased</w:t>
            </w:r>
          </w:p>
        </w:tc>
        <w:tc>
          <w:tcPr>
            <w:tcW w:w="0" w:type="dxa"/>
            <w:vAlign w:val="bottom"/>
          </w:tcPr>
          <w:p>
            <w:pPr>
              <w:spacing w:after="0"/>
              <w:rPr>
                <w:sz w:val="1"/>
                <w:szCs w:val="1"/>
                <w:color w:val="auto"/>
              </w:rPr>
            </w:pPr>
          </w:p>
        </w:tc>
      </w:tr>
      <w:tr>
        <w:trPr>
          <w:trHeight w:val="216"/>
        </w:trPr>
        <w:tc>
          <w:tcPr>
            <w:tcW w:w="2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Period</w:t>
            </w: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10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2"/>
              </w:rPr>
              <w:t>Paid per</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Announced Plans 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 the Plans or</w:t>
            </w:r>
          </w:p>
        </w:tc>
        <w:tc>
          <w:tcPr>
            <w:tcW w:w="0" w:type="dxa"/>
            <w:vAlign w:val="bottom"/>
          </w:tcPr>
          <w:p>
            <w:pPr>
              <w:spacing w:after="0"/>
              <w:rPr>
                <w:sz w:val="1"/>
                <w:szCs w:val="1"/>
                <w:color w:val="auto"/>
              </w:rPr>
            </w:pPr>
          </w:p>
        </w:tc>
      </w:tr>
      <w:tr>
        <w:trPr>
          <w:trHeight w:val="234"/>
        </w:trPr>
        <w:tc>
          <w:tcPr>
            <w:tcW w:w="2440" w:type="dxa"/>
            <w:vAlign w:val="bottom"/>
            <w:gridSpan w:val="2"/>
            <w:vMerge w:val="continue"/>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Repurchased (1)</w:t>
            </w:r>
          </w:p>
        </w:tc>
        <w:tc>
          <w:tcPr>
            <w:tcW w:w="160" w:type="dxa"/>
            <w:vAlign w:val="bottom"/>
          </w:tcPr>
          <w:p>
            <w:pPr>
              <w:spacing w:after="0"/>
              <w:rPr>
                <w:sz w:val="20"/>
                <w:szCs w:val="20"/>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Share</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Programs (2)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January 1, 2019 - January 31,</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ind w:left="146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20" w:type="dxa"/>
            <w:vAlign w:val="bottom"/>
          </w:tcPr>
          <w:p>
            <w:pPr>
              <w:spacing w:after="0" w:line="201" w:lineRule="exact"/>
              <w:rPr>
                <w:sz w:val="20"/>
                <w:szCs w:val="20"/>
                <w:color w:val="auto"/>
              </w:rPr>
            </w:pPr>
            <w:r>
              <w:rPr>
                <w:rFonts w:ascii="Arial" w:cs="Arial" w:eastAsia="Arial" w:hAnsi="Arial"/>
                <w:sz w:val="18"/>
                <w:szCs w:val="18"/>
                <w:color w:val="auto"/>
                <w:w w:val="94"/>
              </w:rPr>
              <w:t>February 1, 2019 - February 28,</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spacing w:after="0"/>
              <w:rPr>
                <w:sz w:val="20"/>
                <w:szCs w:val="20"/>
                <w:color w:val="auto"/>
              </w:rPr>
            </w:pPr>
            <w:r>
              <w:rPr>
                <w:rFonts w:ascii="Arial" w:cs="Arial" w:eastAsia="Arial" w:hAnsi="Arial"/>
                <w:sz w:val="18"/>
                <w:szCs w:val="18"/>
                <w:color w:val="auto"/>
              </w:rPr>
              <w:t>2019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6,676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33.63</w:t>
            </w:r>
          </w:p>
        </w:tc>
        <w:tc>
          <w:tcPr>
            <w:tcW w:w="1640" w:type="dxa"/>
            <w:vAlign w:val="bottom"/>
          </w:tcPr>
          <w:p>
            <w:pPr>
              <w:ind w:left="1460"/>
              <w:spacing w:after="0"/>
              <w:rPr>
                <w:sz w:val="20"/>
                <w:szCs w:val="20"/>
                <w:color w:val="auto"/>
              </w:rPr>
            </w:pPr>
            <w:r>
              <w:rPr>
                <w:rFonts w:ascii="Arial" w:cs="Arial" w:eastAsia="Arial" w:hAnsi="Arial"/>
                <w:sz w:val="18"/>
                <w:szCs w:val="18"/>
                <w:color w:val="auto"/>
                <w:w w:val="88"/>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w w:val="93"/>
              </w:rPr>
              <w:t>March 1, 2019 - March 31, 2019</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33.67</w:t>
            </w:r>
          </w:p>
        </w:tc>
        <w:tc>
          <w:tcPr>
            <w:tcW w:w="1640" w:type="dxa"/>
            <w:vAlign w:val="bottom"/>
            <w:shd w:val="clear" w:color="auto" w:fill="CCEEFF"/>
          </w:tcPr>
          <w:p>
            <w:pPr>
              <w:ind w:left="1460"/>
              <w:spacing w:after="0"/>
              <w:rPr>
                <w:sz w:val="20"/>
                <w:szCs w:val="20"/>
                <w:color w:val="auto"/>
              </w:rPr>
            </w:pPr>
            <w:r>
              <w:rPr>
                <w:rFonts w:ascii="Arial" w:cs="Arial" w:eastAsia="Arial" w:hAnsi="Arial"/>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33.66</w:t>
            </w:r>
          </w:p>
        </w:tc>
        <w:tc>
          <w:tcPr>
            <w:tcW w:w="1640" w:type="dxa"/>
            <w:vAlign w:val="bottom"/>
            <w:tcBorders>
              <w:top w:val="single" w:sz="8" w:color="auto"/>
              <w:bottom w:val="single" w:sz="8" w:color="auto"/>
            </w:tcBorders>
          </w:tcPr>
          <w:p>
            <w:pPr>
              <w:ind w:left="1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column includes all repurchases of common stock, including stock repurchased under announced repurchase programs and stock repurchased outside such programs. Outside of the repurchase program, the Company repurchased 23,103 shares of its common stock to satisfy tax obligations on the vesting of restricted stock under the 2007 Long-Term Incentive Plan (as amended).</w:t>
      </w:r>
    </w:p>
    <w:p>
      <w:pPr>
        <w:spacing w:after="0" w:line="181" w:lineRule="exact"/>
        <w:rPr>
          <w:rFonts w:ascii="Arial" w:cs="Arial" w:eastAsia="Arial" w:hAnsi="Arial"/>
          <w:sz w:val="18"/>
          <w:szCs w:val="18"/>
          <w:color w:val="auto"/>
        </w:rPr>
      </w:pPr>
    </w:p>
    <w:p>
      <w:pPr>
        <w:ind w:left="660" w:right="28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July 26, 2018, the Company’s Board of Directors approved a new $20.0 million share repurchase program that began when the previous share repurchase program expired. The new share repurchase program will expire on August 15, 2019, or when the authorized funds are exhausted.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Borders>
              <w:bottom w:val="single" w:sz="8" w:color="auto"/>
            </w:tcBorders>
            <w:gridSpan w:val="2"/>
          </w:tcPr>
          <w:p>
            <w:pPr>
              <w:jc w:val="right"/>
              <w:ind w:right="860"/>
              <w:spacing w:after="0"/>
              <w:rPr>
                <w:sz w:val="20"/>
                <w:szCs w:val="20"/>
                <w:color w:val="auto"/>
              </w:rPr>
            </w:pPr>
            <w:r>
              <w:rPr>
                <w:rFonts w:ascii="Arial" w:cs="Arial" w:eastAsia="Arial" w:hAnsi="Arial"/>
                <w:sz w:val="18"/>
                <w:szCs w:val="18"/>
                <w:b w:val="1"/>
                <w:bCs w:val="1"/>
                <w:color w:val="auto"/>
                <w:w w:val="91"/>
              </w:rPr>
              <w:t>Number</w:t>
            </w:r>
          </w:p>
        </w:tc>
        <w:tc>
          <w:tcPr>
            <w:tcW w:w="220" w:type="dxa"/>
            <w:vAlign w:val="bottom"/>
          </w:tcPr>
          <w:p>
            <w:pPr>
              <w:spacing w:after="0"/>
              <w:rPr>
                <w:sz w:val="20"/>
                <w:szCs w:val="20"/>
                <w:color w:val="auto"/>
              </w:rPr>
            </w:pPr>
          </w:p>
        </w:tc>
        <w:tc>
          <w:tcPr>
            <w:tcW w:w="9700" w:type="dxa"/>
            <w:vAlign w:val="bottom"/>
            <w:tcBorders>
              <w:bottom w:val="single" w:sz="8" w:color="auto"/>
            </w:tcBorders>
            <w:gridSpan w:val="4"/>
          </w:tcPr>
          <w:p>
            <w:pPr>
              <w:ind w:left="440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500" w:type="dxa"/>
            <w:vAlign w:val="bottom"/>
            <w:gridSpan w:val="2"/>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9920" w:type="dxa"/>
            <w:vAlign w:val="bottom"/>
            <w:gridSpan w:val="5"/>
          </w:tcPr>
          <w:p>
            <w:pPr>
              <w:ind w:left="220"/>
              <w:spacing w:after="0"/>
              <w:rPr>
                <w:rFonts w:ascii="Arial" w:cs="Arial" w:eastAsia="Arial" w:hAnsi="Arial"/>
                <w:sz w:val="18"/>
                <w:szCs w:val="18"/>
                <w:color w:val="0000EE"/>
              </w:rPr>
            </w:pPr>
            <w:hyperlink w:anchor="page35">
              <w:r>
                <w:rPr>
                  <w:rFonts w:ascii="Arial" w:cs="Arial" w:eastAsia="Arial" w:hAnsi="Arial"/>
                  <w:sz w:val="18"/>
                  <w:szCs w:val="18"/>
                  <w:color w:val="0000EE"/>
                </w:rPr>
                <w:t>Form of Performance Shares Award Agreement (Named Executive Officer) under the 2017 Long-Term Incentive Plan†</w:t>
              </w:r>
            </w:hyperlink>
          </w:p>
        </w:tc>
      </w:tr>
      <w:tr>
        <w:trPr>
          <w:trHeight w:val="20"/>
        </w:trPr>
        <w:tc>
          <w:tcPr>
            <w:tcW w:w="1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2560" w:type="dxa"/>
            <w:vAlign w:val="bottom"/>
            <w:tcBorders>
              <w:left w:val="single" w:sz="8" w:color="0000EE"/>
            </w:tcBorders>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500" w:type="dxa"/>
            <w:vAlign w:val="bottom"/>
            <w:gridSpan w:val="2"/>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9920" w:type="dxa"/>
            <w:vAlign w:val="bottom"/>
            <w:gridSpan w:val="5"/>
          </w:tcPr>
          <w:p>
            <w:pPr>
              <w:ind w:left="220"/>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Certification of Chief Executive Officer pursuant to SEC Rule 13a-14(a)/15d-14(a)†</w:t>
              </w:r>
            </w:hyperlink>
          </w:p>
        </w:tc>
      </w:tr>
      <w:tr>
        <w:trPr>
          <w:trHeight w:val="20"/>
        </w:trPr>
        <w:tc>
          <w:tcPr>
            <w:tcW w:w="1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3660" w:type="dxa"/>
            <w:vAlign w:val="bottom"/>
            <w:tcBorders>
              <w:left w:val="single" w:sz="8" w:color="0000EE"/>
            </w:tcBorders>
            <w:gridSpan w:val="2"/>
          </w:tcPr>
          <w:p>
            <w:pPr>
              <w:spacing w:after="0" w:line="20" w:lineRule="exact"/>
              <w:rPr>
                <w:sz w:val="1"/>
                <w:szCs w:val="1"/>
                <w:color w:val="auto"/>
              </w:rPr>
            </w:pPr>
          </w:p>
        </w:tc>
      </w:tr>
      <w:tr>
        <w:trPr>
          <w:trHeight w:val="196"/>
        </w:trPr>
        <w:tc>
          <w:tcPr>
            <w:tcW w:w="1500" w:type="dxa"/>
            <w:vAlign w:val="bottom"/>
            <w:gridSpan w:val="2"/>
          </w:tcPr>
          <w:p>
            <w:pPr>
              <w:jc w:val="right"/>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9920" w:type="dxa"/>
            <w:vAlign w:val="bottom"/>
            <w:gridSpan w:val="5"/>
          </w:tcPr>
          <w:p>
            <w:pPr>
              <w:ind w:left="220"/>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Certification of Chief Financial Officer pursuant to SEC Rule 13a-14(a)/15d-14(a)†</w:t>
              </w:r>
            </w:hyperlink>
          </w:p>
        </w:tc>
      </w:tr>
      <w:tr>
        <w:trPr>
          <w:trHeight w:val="20"/>
        </w:trPr>
        <w:tc>
          <w:tcPr>
            <w:tcW w:w="1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shd w:val="clear" w:color="auto" w:fill="0000EE"/>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r>
      <w:tr>
        <w:trPr>
          <w:trHeight w:val="196"/>
        </w:trPr>
        <w:tc>
          <w:tcPr>
            <w:tcW w:w="1500" w:type="dxa"/>
            <w:vAlign w:val="bottom"/>
            <w:gridSpan w:val="2"/>
          </w:tcPr>
          <w:p>
            <w:pPr>
              <w:jc w:val="right"/>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9920" w:type="dxa"/>
            <w:vAlign w:val="bottom"/>
            <w:gridSpan w:val="5"/>
          </w:tcPr>
          <w:p>
            <w:pPr>
              <w:ind w:left="220"/>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Certification of Chief Executive Officer pursuant to 18 U.S.C. §1350†</w:t>
              </w:r>
            </w:hyperlink>
          </w:p>
        </w:tc>
      </w:tr>
      <w:tr>
        <w:trPr>
          <w:trHeight w:val="20"/>
        </w:trPr>
        <w:tc>
          <w:tcPr>
            <w:tcW w:w="1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4680" w:type="dxa"/>
            <w:vAlign w:val="bottom"/>
            <w:tcBorders>
              <w:left w:val="single" w:sz="8" w:color="0000EE"/>
            </w:tcBorders>
            <w:gridSpan w:val="3"/>
          </w:tcPr>
          <w:p>
            <w:pPr>
              <w:spacing w:after="0" w:line="20" w:lineRule="exact"/>
              <w:rPr>
                <w:sz w:val="1"/>
                <w:szCs w:val="1"/>
                <w:color w:val="auto"/>
              </w:rPr>
            </w:pPr>
          </w:p>
        </w:tc>
      </w:tr>
      <w:tr>
        <w:trPr>
          <w:trHeight w:val="196"/>
        </w:trPr>
        <w:tc>
          <w:tcPr>
            <w:tcW w:w="1500" w:type="dxa"/>
            <w:vAlign w:val="bottom"/>
            <w:gridSpan w:val="2"/>
          </w:tcPr>
          <w:p>
            <w:pPr>
              <w:jc w:val="right"/>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9920" w:type="dxa"/>
            <w:vAlign w:val="bottom"/>
            <w:gridSpan w:val="5"/>
          </w:tcPr>
          <w:p>
            <w:pPr>
              <w:ind w:left="220"/>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Certification of Chief Financial Officer pursuant to 18 U.S.C. §1350†</w:t>
              </w:r>
            </w:hyperlink>
          </w:p>
        </w:tc>
      </w:tr>
      <w:tr>
        <w:trPr>
          <w:trHeight w:val="20"/>
        </w:trPr>
        <w:tc>
          <w:tcPr>
            <w:tcW w:w="1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r>
      <w:tr>
        <w:trPr>
          <w:trHeight w:val="438"/>
        </w:trPr>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101.INS</w:t>
            </w:r>
          </w:p>
        </w:tc>
        <w:tc>
          <w:tcPr>
            <w:tcW w:w="9920" w:type="dxa"/>
            <w:vAlign w:val="bottom"/>
            <w:gridSpan w:val="5"/>
          </w:tcPr>
          <w:p>
            <w:pPr>
              <w:ind w:left="220"/>
              <w:spacing w:after="0"/>
              <w:rPr>
                <w:sz w:val="20"/>
                <w:szCs w:val="20"/>
                <w:color w:val="auto"/>
              </w:rPr>
            </w:pPr>
            <w:r>
              <w:rPr>
                <w:rFonts w:ascii="Arial" w:cs="Arial" w:eastAsia="Arial" w:hAnsi="Arial"/>
                <w:sz w:val="18"/>
                <w:szCs w:val="18"/>
                <w:color w:val="auto"/>
              </w:rPr>
              <w:t>XBRL Instance Document*</w:t>
            </w:r>
          </w:p>
        </w:tc>
      </w:tr>
      <w:tr>
        <w:trPr>
          <w:trHeight w:val="216"/>
        </w:trPr>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101.SCH</w:t>
            </w:r>
          </w:p>
        </w:tc>
        <w:tc>
          <w:tcPr>
            <w:tcW w:w="9920" w:type="dxa"/>
            <w:vAlign w:val="bottom"/>
            <w:gridSpan w:val="5"/>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101.CAL</w:t>
            </w:r>
          </w:p>
        </w:tc>
        <w:tc>
          <w:tcPr>
            <w:tcW w:w="9920" w:type="dxa"/>
            <w:vAlign w:val="bottom"/>
            <w:gridSpan w:val="5"/>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101.DEF</w:t>
            </w:r>
          </w:p>
        </w:tc>
        <w:tc>
          <w:tcPr>
            <w:tcW w:w="9920" w:type="dxa"/>
            <w:vAlign w:val="bottom"/>
            <w:gridSpan w:val="5"/>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101.LAB</w:t>
            </w:r>
          </w:p>
        </w:tc>
        <w:tc>
          <w:tcPr>
            <w:tcW w:w="9920" w:type="dxa"/>
            <w:vAlign w:val="bottom"/>
            <w:gridSpan w:val="5"/>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101.PRE</w:t>
            </w:r>
          </w:p>
        </w:tc>
        <w:tc>
          <w:tcPr>
            <w:tcW w:w="9920" w:type="dxa"/>
            <w:vAlign w:val="bottom"/>
            <w:gridSpan w:val="5"/>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Electronically filed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MYR GROUP INC.</w:t>
            </w:r>
          </w:p>
        </w:tc>
      </w:tr>
      <w:tr>
        <w:trPr>
          <w:trHeight w:val="230"/>
        </w:trPr>
        <w:tc>
          <w:tcPr>
            <w:tcW w:w="32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May 1, 2019</w:t>
            </w:r>
          </w:p>
        </w:tc>
        <w:tc>
          <w:tcPr>
            <w:tcW w:w="244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BETTY R. JOHNSON</w:t>
            </w:r>
          </w:p>
        </w:tc>
      </w:tr>
      <w:tr>
        <w:trPr>
          <w:trHeight w:val="195"/>
        </w:trPr>
        <w:tc>
          <w:tcPr>
            <w:tcW w:w="32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Betty R. Johnson</w:t>
            </w:r>
          </w:p>
        </w:tc>
      </w:tr>
      <w:tr>
        <w:trPr>
          <w:trHeight w:val="230"/>
        </w:trPr>
        <w:tc>
          <w:tcPr>
            <w:tcW w:w="32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r>
      <w:tr>
        <w:trPr>
          <w:trHeight w:val="648"/>
        </w:trPr>
        <w:tc>
          <w:tcPr>
            <w:tcW w:w="328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gridSpan w:val="2"/>
          </w:tcPr>
          <w:p>
            <w:pPr>
              <w:jc w:val="right"/>
              <w:ind w:right="551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420"/>
          </w:cols>
          <w:pgMar w:left="240" w:top="904" w:right="239" w:bottom="1440" w:gutter="0" w:footer="0" w:header="0"/>
        </w:sectPr>
      </w:pPr>
    </w:p>
    <w:bookmarkStart w:id="34" w:name="page35"/>
    <w:bookmarkEnd w:id="34"/>
    <w:p>
      <w:pPr>
        <w:ind w:left="1048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MYR GROUP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PERFORMANCE SHARES AWARD AGREEMENT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and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0" w:hanging="301"/>
        <w:spacing w:after="0" w:line="277" w:lineRule="auto"/>
        <w:rPr>
          <w:sz w:val="20"/>
          <w:szCs w:val="20"/>
          <w:color w:val="auto"/>
        </w:rPr>
      </w:pPr>
      <w:r>
        <w:rPr>
          <w:rFonts w:ascii="Arial" w:cs="Arial" w:eastAsia="Arial" w:hAnsi="Arial"/>
          <w:sz w:val="18"/>
          <w:szCs w:val="18"/>
          <w:color w:val="auto"/>
        </w:rPr>
        <w:t>This AGREEMENT (this “Agreement”) is made as of March 22, 2019, by and between MYR Group Inc., a Delaware corporation (the “Company”), ] (the “Participant”).</w:t>
      </w:r>
    </w:p>
    <w:p>
      <w:pPr>
        <w:spacing w:after="0" w:line="170" w:lineRule="exact"/>
        <w:rPr>
          <w:sz w:val="20"/>
          <w:szCs w:val="20"/>
          <w:color w:val="auto"/>
        </w:rPr>
      </w:pPr>
    </w:p>
    <w:p>
      <w:pPr>
        <w:sectPr>
          <w:pgSz w:w="11900" w:h="16838" w:orient="portrait"/>
          <w:cols w:equalWidth="0" w:num="2">
            <w:col w:w="380" w:space="580"/>
            <w:col w:w="10460"/>
          </w:cols>
          <w:pgMar w:left="240" w:top="364" w:right="239" w:bottom="1440" w:gutter="0" w:footer="0" w:header="0"/>
          <w:type w:val="continuous"/>
        </w:sectPr>
      </w:pPr>
    </w:p>
    <w:p>
      <w:pPr>
        <w:ind w:left="660" w:right="100" w:hanging="652"/>
        <w:spacing w:after="0" w:line="288"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Grant of Performance Shares</w:t>
      </w:r>
      <w:r>
        <w:rPr>
          <w:rFonts w:ascii="Arial" w:cs="Arial" w:eastAsia="Arial" w:hAnsi="Arial"/>
          <w:sz w:val="16"/>
          <w:szCs w:val="16"/>
          <w:color w:val="auto"/>
        </w:rPr>
        <w:t>. Pursuant to the MYR Group Inc. 2017 Long-Term Incentive Plan (the “Plan”) and subject to the terms and conditions thereof and the terms and conditions hereinafter set forth, the Company has granted to the Participant, as of March 22, 2019 (the “Date of Grant”), [ ] target Performance Shares, a percentage of which may be earned in accordance with the terms of this Agreement and contingent on the</w:t>
      </w:r>
    </w:p>
    <w:p>
      <w:pPr>
        <w:ind w:left="660"/>
        <w:spacing w:after="0"/>
        <w:rPr>
          <w:rFonts w:ascii="Arial" w:cs="Arial" w:eastAsia="Arial" w:hAnsi="Arial"/>
          <w:sz w:val="16"/>
          <w:szCs w:val="16"/>
          <w:color w:val="auto"/>
        </w:rPr>
      </w:pPr>
      <w:r>
        <w:rPr>
          <w:rFonts w:ascii="Arial" w:cs="Arial" w:eastAsia="Arial" w:hAnsi="Arial"/>
          <w:sz w:val="17"/>
          <w:szCs w:val="17"/>
          <w:color w:val="auto"/>
        </w:rPr>
        <w:t>Company’s Return On Invested Capital (“ROIC”) over the ROIC Performance Period (as defined below) (such target amount, the “ROIC Target</w:t>
      </w:r>
    </w:p>
    <w:p>
      <w:pPr>
        <w:spacing w:after="0" w:line="20" w:lineRule="exact"/>
        <w:rPr>
          <w:rFonts w:ascii="Arial" w:cs="Arial" w:eastAsia="Arial" w:hAnsi="Arial"/>
          <w:sz w:val="16"/>
          <w:szCs w:val="16"/>
          <w:color w:val="auto"/>
        </w:rPr>
      </w:pPr>
    </w:p>
    <w:p>
      <w:pPr>
        <w:ind w:left="660" w:right="100"/>
        <w:spacing w:after="0" w:line="254" w:lineRule="auto"/>
        <w:rPr>
          <w:rFonts w:ascii="Arial" w:cs="Arial" w:eastAsia="Arial" w:hAnsi="Arial"/>
          <w:sz w:val="16"/>
          <w:szCs w:val="16"/>
          <w:color w:val="auto"/>
        </w:rPr>
      </w:pPr>
      <w:r>
        <w:rPr>
          <w:rFonts w:ascii="Arial" w:cs="Arial" w:eastAsia="Arial" w:hAnsi="Arial"/>
          <w:sz w:val="18"/>
          <w:szCs w:val="18"/>
          <w:color w:val="auto"/>
        </w:rPr>
        <w:t>Performance Shares”), and [ ] target Performance Shares, a percentage of which may be earned in accordance with the terms of this Agreement and contingent on the Company’s relative Total Stockholder Return (“TSR”) over the TSR Performance Period (as defined below) (such target amount, the “TSR Target Performance Shares”). The Performance Shares are not intended to be a Qualified-Performance Based Award under the Plan.</w:t>
      </w:r>
    </w:p>
    <w:p>
      <w:pPr>
        <w:spacing w:after="0" w:line="189"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Earning of Target Performance Shares.</w:t>
      </w:r>
    </w:p>
    <w:p>
      <w:pPr>
        <w:spacing w:after="0" w:line="225" w:lineRule="exact"/>
        <w:rPr>
          <w:rFonts w:ascii="Arial" w:cs="Arial" w:eastAsia="Arial" w:hAnsi="Arial"/>
          <w:sz w:val="18"/>
          <w:szCs w:val="18"/>
          <w:color w:val="auto"/>
        </w:rPr>
      </w:pPr>
    </w:p>
    <w:p>
      <w:pPr>
        <w:ind w:left="1300" w:right="20" w:hanging="644"/>
        <w:spacing w:after="0" w:line="271" w:lineRule="auto"/>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Performance Measure</w:t>
      </w:r>
      <w:r>
        <w:rPr>
          <w:rFonts w:ascii="Arial" w:cs="Arial" w:eastAsia="Arial" w:hAnsi="Arial"/>
          <w:sz w:val="17"/>
          <w:szCs w:val="17"/>
          <w:color w:val="auto"/>
        </w:rPr>
        <w:t>: The Participant’s right to receive all of, any portion of, or more than, the number of ROIC Target Performance Shares or TSR Target Performance Shares generally will be contingent upon the achievement of specified levels of the Company’s ROIC and relative TSR, as set forth in the “Statement of Performance Goals” established by the Committee in connection with the Awards granted by this Agreement, and will be measured over each fiscal year in the period from January 1, 2019 through December 31, 2021 for ROIC performance (the “ROIC Performance Period”) and the arithmetic average of the ROIC for the ROIC Performance Period, which shall be calculated by dividing the sum of the Company’s ROIC for each fiscal year in the ROIC Performance Period by the number of years in the ROIC Performance Period (the “Three-Year Average”), and the Date of Grant through December 31, 2021 for TSR performance (the “TSR Performance Period” and together with the ROIC Performance Period, the “Performance Periods”).</w:t>
      </w:r>
    </w:p>
    <w:p>
      <w:pPr>
        <w:spacing w:after="0" w:line="178" w:lineRule="exact"/>
        <w:rPr>
          <w:rFonts w:ascii="Arial" w:cs="Arial" w:eastAsia="Arial" w:hAnsi="Arial"/>
          <w:sz w:val="17"/>
          <w:szCs w:val="17"/>
          <w:color w:val="auto"/>
        </w:rPr>
      </w:pPr>
    </w:p>
    <w:p>
      <w:pPr>
        <w:ind w:left="1300" w:hanging="644"/>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Below Threshold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right="80" w:hanging="655"/>
        <w:spacing w:after="0" w:line="259" w:lineRule="auto"/>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u w:val="single" w:color="auto"/>
          <w:color w:val="auto"/>
        </w:rPr>
        <w:t>ROIC</w:t>
      </w:r>
      <w:r>
        <w:rPr>
          <w:rFonts w:ascii="Arial" w:cs="Arial" w:eastAsia="Arial" w:hAnsi="Arial"/>
          <w:sz w:val="18"/>
          <w:szCs w:val="18"/>
          <w:color w:val="auto"/>
        </w:rPr>
        <w:t>: If, upon the conclusion of the ROIC Performance Period, ROIC for any fiscal year in the ROIC Performance Period or the Three-Year Average ROIC for the ROIC Performance Period falls below the threshold level, as set forth in the ROIC Performance Matrix contained in the Statement of Performance Goals, no Performance Shares for ROIC performance shall become earned for that fiscal year and/or the Three-Year Average, as applicable.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35" w:name="page36"/>
    <w:bookmarkEnd w:id="35"/>
    <w:p>
      <w:pPr>
        <w:ind w:left="1304" w:right="440" w:hanging="655"/>
        <w:spacing w:after="0" w:line="222" w:lineRule="auto"/>
        <w:tabs>
          <w:tab w:leader="none" w:pos="1304"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TSR</w:t>
      </w:r>
      <w:r>
        <w:rPr>
          <w:rFonts w:ascii="Arial" w:cs="Arial" w:eastAsia="Arial" w:hAnsi="Arial"/>
          <w:sz w:val="18"/>
          <w:szCs w:val="18"/>
          <w:color w:val="auto"/>
        </w:rPr>
        <w:t>: If, upon conclusion of the TSR Performance Period, the Company’s relative TSR for the TSR Performance Period falls below the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of TSR for the TSR Peer Group Companies (as defined below), no Performance Shares for TSR performance shall become earned.</w:t>
      </w:r>
    </w:p>
    <w:p>
      <w:pPr>
        <w:spacing w:after="0" w:line="202" w:lineRule="exact"/>
        <w:rPr>
          <w:rFonts w:ascii="Arial" w:cs="Arial" w:eastAsia="Arial" w:hAnsi="Arial"/>
          <w:sz w:val="18"/>
          <w:szCs w:val="18"/>
          <w:color w:val="auto"/>
        </w:rPr>
      </w:pPr>
    </w:p>
    <w:p>
      <w:pPr>
        <w:ind w:left="644" w:hanging="644"/>
        <w:spacing w:after="0"/>
        <w:tabs>
          <w:tab w:leader="none" w:pos="64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Threshold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4" w:right="60" w:hanging="655"/>
        <w:spacing w:after="0" w:line="297" w:lineRule="auto"/>
        <w:tabs>
          <w:tab w:leader="none" w:pos="1304"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ROIC</w:t>
      </w:r>
      <w:r>
        <w:rPr>
          <w:rFonts w:ascii="Arial" w:cs="Arial" w:eastAsia="Arial" w:hAnsi="Arial"/>
          <w:sz w:val="16"/>
          <w:szCs w:val="16"/>
          <w:color w:val="auto"/>
        </w:rPr>
        <w:t>: If, upon the conclusion of the ROIC Performance Period, ROIC for any fiscal year in the ROIC Performance Period and/or the Three-Year Average ROIC for the ROIC Performance Period equals the threshold level, as set forth in the ROIC Performance Matrix contained in the Statement of Performance Goals, 10% of the ROIC Target Performance Shares shall be earned for each such fiscal year and 20% of the ROIC Target Performance Shares shall be earned for the Three Year Average ROIC, with a fractional share from the total earned ROIC Target Performance Shares rounded down to the next whole share.</w:t>
      </w:r>
    </w:p>
    <w:p>
      <w:pPr>
        <w:spacing w:after="0" w:line="158" w:lineRule="exact"/>
        <w:rPr>
          <w:sz w:val="20"/>
          <w:szCs w:val="20"/>
          <w:color w:val="auto"/>
        </w:rPr>
      </w:pPr>
    </w:p>
    <w:p>
      <w:pPr>
        <w:ind w:left="1304" w:hanging="655"/>
        <w:spacing w:after="0"/>
        <w:tabs>
          <w:tab w:leader="none" w:pos="1304"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TSR</w:t>
      </w:r>
      <w:r>
        <w:rPr>
          <w:rFonts w:ascii="Arial" w:cs="Arial" w:eastAsia="Arial" w:hAnsi="Arial"/>
          <w:sz w:val="16"/>
          <w:szCs w:val="16"/>
          <w:color w:val="auto"/>
        </w:rPr>
        <w:t>: If, upon conclusion of the TSR Performance Period, the Company’s relative TSR for the TSR Performance Period is at the</w:t>
      </w:r>
    </w:p>
    <w:p>
      <w:pPr>
        <w:spacing w:after="0" w:line="46" w:lineRule="exact"/>
        <w:rPr>
          <w:rFonts w:ascii="Arial" w:cs="Arial" w:eastAsia="Arial" w:hAnsi="Arial"/>
          <w:sz w:val="16"/>
          <w:szCs w:val="16"/>
          <w:color w:val="auto"/>
        </w:rPr>
      </w:pPr>
    </w:p>
    <w:p>
      <w:pPr>
        <w:ind w:left="1304" w:right="40"/>
        <w:spacing w:after="0" w:line="205" w:lineRule="auto"/>
        <w:rPr>
          <w:rFonts w:ascii="Arial" w:cs="Arial" w:eastAsia="Arial" w:hAnsi="Arial"/>
          <w:sz w:val="16"/>
          <w:szCs w:val="16"/>
          <w:color w:val="auto"/>
        </w:rPr>
      </w:pPr>
      <w:r>
        <w:rPr>
          <w:rFonts w:ascii="Arial" w:cs="Arial" w:eastAsia="Arial" w:hAnsi="Arial"/>
          <w:sz w:val="18"/>
          <w:szCs w:val="18"/>
          <w:color w:val="auto"/>
        </w:rPr>
        <w:t>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of TSR for the TSR Peer Group Companies, 25% of the TSR Target Performance Shares shall become earned, with a fractional share rounded down to the next whole share.</w:t>
      </w:r>
    </w:p>
    <w:p>
      <w:pPr>
        <w:spacing w:after="0" w:line="202" w:lineRule="exact"/>
        <w:rPr>
          <w:rFonts w:ascii="Arial" w:cs="Arial" w:eastAsia="Arial" w:hAnsi="Arial"/>
          <w:sz w:val="16"/>
          <w:szCs w:val="16"/>
          <w:color w:val="auto"/>
        </w:rPr>
      </w:pPr>
    </w:p>
    <w:p>
      <w:pPr>
        <w:ind w:left="644" w:hanging="644"/>
        <w:spacing w:after="0"/>
        <w:tabs>
          <w:tab w:leader="none" w:pos="644"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Between Threshold and Target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4" w:hanging="655"/>
        <w:spacing w:after="0" w:line="290" w:lineRule="auto"/>
        <w:tabs>
          <w:tab w:leader="none" w:pos="1304" w:val="left"/>
        </w:tabs>
        <w:numPr>
          <w:ilvl w:val="1"/>
          <w:numId w:val="16"/>
        </w:numPr>
        <w:rPr>
          <w:rFonts w:ascii="Arial" w:cs="Arial" w:eastAsia="Arial" w:hAnsi="Arial"/>
          <w:sz w:val="16"/>
          <w:szCs w:val="16"/>
          <w:color w:val="auto"/>
        </w:rPr>
      </w:pPr>
      <w:r>
        <w:rPr>
          <w:rFonts w:ascii="Arial" w:cs="Arial" w:eastAsia="Arial" w:hAnsi="Arial"/>
          <w:sz w:val="16"/>
          <w:szCs w:val="16"/>
          <w:u w:val="single" w:color="auto"/>
          <w:color w:val="auto"/>
        </w:rPr>
        <w:t>ROIC:</w:t>
      </w:r>
      <w:r>
        <w:rPr>
          <w:rFonts w:ascii="Arial" w:cs="Arial" w:eastAsia="Arial" w:hAnsi="Arial"/>
          <w:sz w:val="16"/>
          <w:szCs w:val="16"/>
          <w:color w:val="auto"/>
        </w:rPr>
        <w:t xml:space="preserve"> If, upon the conclusion of the ROIC Performance Period, ROIC for any fiscal year in the ROIC Performance Period and/or the Three-Year Average exceeds the threshold level, but is less than the target level, as set forth in the ROIC Performance Matrix contained in the Statement of Performance Goals, the percentage of ROIC Target Performance Shares that shall become earned shall be determined by the summation of the percentage of ROIC payout as determined by mathematical straight-line interpolation of actual ROIC performance compared to the ROIC performance metrics for each such fiscal year multiplied times 20% and the Three Year Average ROIC performance compared to the ROIC performance metrics multiplied times 40% between 50% (threshold) payout of the ROIC Target Performance Shares and 100% (target) payout of the ROIC Target Performance Shares, with a fractional share from the total earned ROIC Target Performance Shares rounded down to the next whole share.</w:t>
      </w:r>
    </w:p>
    <w:p>
      <w:pPr>
        <w:spacing w:after="0" w:line="170" w:lineRule="exact"/>
        <w:rPr>
          <w:sz w:val="20"/>
          <w:szCs w:val="20"/>
          <w:color w:val="auto"/>
        </w:rPr>
      </w:pPr>
    </w:p>
    <w:p>
      <w:pPr>
        <w:ind w:left="1304" w:right="140" w:hanging="655"/>
        <w:spacing w:after="0" w:line="224" w:lineRule="auto"/>
        <w:tabs>
          <w:tab w:leader="none" w:pos="1304" w:val="left"/>
        </w:tabs>
        <w:numPr>
          <w:ilvl w:val="0"/>
          <w:numId w:val="17"/>
        </w:numPr>
        <w:rPr>
          <w:rFonts w:ascii="Arial" w:cs="Arial" w:eastAsia="Arial" w:hAnsi="Arial"/>
          <w:sz w:val="31"/>
          <w:szCs w:val="31"/>
          <w:color w:val="auto"/>
          <w:vertAlign w:val="superscript"/>
        </w:rPr>
      </w:pPr>
      <w:r>
        <w:rPr>
          <w:rFonts w:ascii="Arial" w:cs="Arial" w:eastAsia="Arial" w:hAnsi="Arial"/>
          <w:sz w:val="16"/>
          <w:szCs w:val="16"/>
          <w:u w:val="single" w:color="auto"/>
          <w:color w:val="auto"/>
        </w:rPr>
        <w:t>TSR</w:t>
      </w:r>
      <w:r>
        <w:rPr>
          <w:rFonts w:ascii="Arial" w:cs="Arial" w:eastAsia="Arial" w:hAnsi="Arial"/>
          <w:sz w:val="16"/>
          <w:szCs w:val="16"/>
          <w:color w:val="auto"/>
        </w:rPr>
        <w:t>: If, upon the conclusion of the TSR Performance Period, the Company’s relative TSR exceeds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but is less than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TSR of the TSR Peer Group Companies, the percentage of TSR Target Performance Shares that shall become earned shall be determined by mathematical straight-line interpolation between 25% of the TSR Target Performance Shares and 100% of the TSR Target Performance Shares, with a fractional share rounded down to the next whole share.</w:t>
      </w:r>
    </w:p>
    <w:p>
      <w:pPr>
        <w:spacing w:after="0" w:line="200" w:lineRule="exact"/>
        <w:rPr>
          <w:sz w:val="20"/>
          <w:szCs w:val="20"/>
          <w:color w:val="auto"/>
        </w:rPr>
      </w:pPr>
    </w:p>
    <w:p>
      <w:pPr>
        <w:spacing w:after="0" w:line="219"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4"/>
          </w:cols>
          <w:pgMar w:left="896" w:top="908" w:right="259" w:bottom="1440" w:gutter="0" w:footer="0" w:header="0"/>
        </w:sectPr>
      </w:pPr>
    </w:p>
    <w:bookmarkStart w:id="36" w:name="page37"/>
    <w:bookmarkEnd w:id="36"/>
    <w:p>
      <w:pPr>
        <w:ind w:left="644" w:hanging="644"/>
        <w:spacing w:after="0"/>
        <w:tabs>
          <w:tab w:leader="none" w:pos="64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Target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4" w:right="20" w:hanging="655"/>
        <w:spacing w:after="0" w:line="257" w:lineRule="auto"/>
        <w:tabs>
          <w:tab w:leader="none" w:pos="1304"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ROIC</w:t>
      </w:r>
      <w:r>
        <w:rPr>
          <w:rFonts w:ascii="Arial" w:cs="Arial" w:eastAsia="Arial" w:hAnsi="Arial"/>
          <w:sz w:val="18"/>
          <w:szCs w:val="18"/>
          <w:color w:val="auto"/>
        </w:rPr>
        <w:t>: If, upon the conclusion of the ROIC Performance Period, ROIC for any fiscal year in the ROIC Performance Period and/or the Three-Year Average equals the target level, as set forth in the ROIC Performance Matrix contained in the Statement of Performance Goals, 20% of the ROIC Target Performance Shares shall be earned for each such fiscal year and 40% of the ROIC Target Performance Shares shall be earned for the Three Year Average ROIC, with a fractional share from the total earned ROIC Target Performance Shares rounded down to the next whole share.</w:t>
      </w:r>
    </w:p>
    <w:p>
      <w:pPr>
        <w:spacing w:after="0" w:line="188" w:lineRule="exact"/>
        <w:rPr>
          <w:rFonts w:ascii="Arial" w:cs="Arial" w:eastAsia="Arial" w:hAnsi="Arial"/>
          <w:sz w:val="18"/>
          <w:szCs w:val="18"/>
          <w:color w:val="auto"/>
        </w:rPr>
      </w:pPr>
    </w:p>
    <w:p>
      <w:pPr>
        <w:ind w:left="1304" w:right="160" w:hanging="655"/>
        <w:spacing w:after="0" w:line="222" w:lineRule="auto"/>
        <w:tabs>
          <w:tab w:leader="none" w:pos="1304"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TSR</w:t>
      </w:r>
      <w:r>
        <w:rPr>
          <w:rFonts w:ascii="Arial" w:cs="Arial" w:eastAsia="Arial" w:hAnsi="Arial"/>
          <w:sz w:val="18"/>
          <w:szCs w:val="18"/>
          <w:color w:val="auto"/>
        </w:rPr>
        <w:t>: If, upon conclusion of the TSR Performance Period, the Company’s relative TSR for the TSR Performance Period is at the 50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of TSR for the TSR Peer Group Companies, 100% of the TSR Target Performance Shares shall become earned, with a fractional share rounded down to the next whole share.</w:t>
      </w:r>
    </w:p>
    <w:p>
      <w:pPr>
        <w:spacing w:after="0" w:line="202" w:lineRule="exact"/>
        <w:rPr>
          <w:rFonts w:ascii="Arial" w:cs="Arial" w:eastAsia="Arial" w:hAnsi="Arial"/>
          <w:sz w:val="18"/>
          <w:szCs w:val="18"/>
          <w:color w:val="auto"/>
        </w:rPr>
      </w:pPr>
    </w:p>
    <w:p>
      <w:pPr>
        <w:ind w:left="644" w:hanging="644"/>
        <w:spacing w:after="0"/>
        <w:tabs>
          <w:tab w:leader="none" w:pos="64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Between Target and Maximum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4" w:hanging="655"/>
        <w:spacing w:after="0" w:line="290" w:lineRule="auto"/>
        <w:tabs>
          <w:tab w:leader="none" w:pos="1304"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ROIC:</w:t>
      </w:r>
      <w:r>
        <w:rPr>
          <w:rFonts w:ascii="Arial" w:cs="Arial" w:eastAsia="Arial" w:hAnsi="Arial"/>
          <w:sz w:val="16"/>
          <w:szCs w:val="16"/>
          <w:color w:val="auto"/>
        </w:rPr>
        <w:t xml:space="preserve"> If, upon the conclusion of the ROIC Performance Period, ROIC for any fiscal year in the ROIC Performance Period and/or the Three-Year Average exceeds the target level, but is less than the maximum level, as set forth in the ROIC Performance Matrix contained in the Statement of Performance Goals, the percentage of ROIC Target Performance Shares that shall become earned shall be determined by the summation of the percentage of ROIC payout as determined by mathematical straight-line interpolation of actual ROIC performance compared to the ROIC performance metrics for each such fiscal year multiplied times 20% and the Three Year Average ROIC performance compared to the ROIC performance metrics multiplied times 40% between 100% (target) payout of the ROIC Target Performance Shares and 200% (maximum) payout of the ROIC Target Performance Shares, with a fractional share from the total earned ROIC Target Performance Shares rounded down to the next whole share.</w:t>
      </w:r>
    </w:p>
    <w:p>
      <w:pPr>
        <w:spacing w:after="0" w:line="169" w:lineRule="exact"/>
        <w:rPr>
          <w:rFonts w:ascii="Arial" w:cs="Arial" w:eastAsia="Arial" w:hAnsi="Arial"/>
          <w:sz w:val="16"/>
          <w:szCs w:val="16"/>
          <w:color w:val="auto"/>
        </w:rPr>
      </w:pPr>
    </w:p>
    <w:p>
      <w:pPr>
        <w:ind w:left="1304" w:right="100" w:hanging="655"/>
        <w:spacing w:after="0" w:line="224" w:lineRule="auto"/>
        <w:tabs>
          <w:tab w:leader="none" w:pos="1304" w:val="left"/>
        </w:tabs>
        <w:numPr>
          <w:ilvl w:val="1"/>
          <w:numId w:val="18"/>
        </w:numPr>
        <w:rPr>
          <w:rFonts w:ascii="Arial" w:cs="Arial" w:eastAsia="Arial" w:hAnsi="Arial"/>
          <w:sz w:val="31"/>
          <w:szCs w:val="31"/>
          <w:color w:val="auto"/>
          <w:vertAlign w:val="superscript"/>
        </w:rPr>
      </w:pPr>
      <w:r>
        <w:rPr>
          <w:rFonts w:ascii="Arial" w:cs="Arial" w:eastAsia="Arial" w:hAnsi="Arial"/>
          <w:sz w:val="16"/>
          <w:szCs w:val="16"/>
          <w:u w:val="single" w:color="auto"/>
          <w:color w:val="auto"/>
        </w:rPr>
        <w:t>TSR</w:t>
      </w:r>
      <w:r>
        <w:rPr>
          <w:rFonts w:ascii="Arial" w:cs="Arial" w:eastAsia="Arial" w:hAnsi="Arial"/>
          <w:sz w:val="16"/>
          <w:szCs w:val="16"/>
          <w:color w:val="auto"/>
        </w:rPr>
        <w:t>: If, upon the conclusion of the TSR Performance Period, the Company’s relative TSR exceeds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but is less than the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TSR for the TSR Peer Group Companies, the percentage of TSR Target Performance Shares that shall become earned shall be determined by mathematical straight-line interpolation between 100% of the TSR Target Performance Shares and 200% of the TSR Target Performance Shares, with a fractional share rounded down to the next whole share.</w:t>
      </w:r>
    </w:p>
    <w:p>
      <w:pPr>
        <w:spacing w:after="0" w:line="200" w:lineRule="exact"/>
        <w:rPr>
          <w:sz w:val="20"/>
          <w:szCs w:val="20"/>
          <w:color w:val="auto"/>
        </w:rPr>
      </w:pPr>
    </w:p>
    <w:p>
      <w:pPr>
        <w:spacing w:after="0" w:line="219"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04"/>
          </w:cols>
          <w:pgMar w:left="896" w:top="908" w:right="299" w:bottom="1440" w:gutter="0" w:footer="0" w:header="0"/>
        </w:sectPr>
      </w:pPr>
    </w:p>
    <w:bookmarkStart w:id="37" w:name="page38"/>
    <w:bookmarkEnd w:id="37"/>
    <w:p>
      <w:pPr>
        <w:ind w:left="644" w:hanging="644"/>
        <w:spacing w:after="0"/>
        <w:tabs>
          <w:tab w:leader="none" w:pos="64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Equals or Exceeds Maximum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4" w:right="80" w:hanging="655"/>
        <w:spacing w:after="0" w:line="276" w:lineRule="auto"/>
        <w:tabs>
          <w:tab w:leader="none" w:pos="1304"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ROIC</w:t>
      </w:r>
      <w:r>
        <w:rPr>
          <w:rFonts w:ascii="Arial" w:cs="Arial" w:eastAsia="Arial" w:hAnsi="Arial"/>
          <w:sz w:val="17"/>
          <w:szCs w:val="17"/>
          <w:color w:val="auto"/>
        </w:rPr>
        <w:t>: If, upon the conclusion of the ROIC Performance Period, ROIC for any fiscal year in the ROIC Performance Period and/or the Three-Year Average equals or exceeds the maximum level, as set forth in the ROIC Performance Matrix contained in the Statement of Performance Goals, 40% of the ROIC Target Performance Shares shall be earned for each such fiscal year and 80% of the ROIC Target Performance Shares shall be earned for the Three Year Average ROIC, with a fractional share from the total earned ROIC Target Performance Shares rounded down to the next whole share.</w:t>
      </w:r>
    </w:p>
    <w:p>
      <w:pPr>
        <w:spacing w:after="0" w:line="172" w:lineRule="exact"/>
        <w:rPr>
          <w:rFonts w:ascii="Arial" w:cs="Arial" w:eastAsia="Arial" w:hAnsi="Arial"/>
          <w:sz w:val="17"/>
          <w:szCs w:val="17"/>
          <w:color w:val="auto"/>
        </w:rPr>
      </w:pPr>
    </w:p>
    <w:p>
      <w:pPr>
        <w:ind w:left="1304" w:right="20" w:hanging="655"/>
        <w:spacing w:after="0" w:line="222" w:lineRule="auto"/>
        <w:tabs>
          <w:tab w:leader="none" w:pos="1304"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TSR</w:t>
      </w:r>
      <w:r>
        <w:rPr>
          <w:rFonts w:ascii="Arial" w:cs="Arial" w:eastAsia="Arial" w:hAnsi="Arial"/>
          <w:sz w:val="18"/>
          <w:szCs w:val="18"/>
          <w:color w:val="auto"/>
        </w:rPr>
        <w:t>: If, upon conclusion of the TSR Performance Period, the Company’s relative TSR for the TSR Performance Period equals or exceeds the 75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of TSR for the TSR Peer Group Companies, 200% of the TSR Target Performance Shares shall become earned, with a fractional share rounded down to the next whole share.</w:t>
      </w:r>
    </w:p>
    <w:p>
      <w:pPr>
        <w:spacing w:after="0" w:line="202" w:lineRule="exact"/>
        <w:rPr>
          <w:rFonts w:ascii="Arial" w:cs="Arial" w:eastAsia="Arial" w:hAnsi="Arial"/>
          <w:sz w:val="18"/>
          <w:szCs w:val="18"/>
          <w:color w:val="auto"/>
        </w:rPr>
      </w:pPr>
    </w:p>
    <w:p>
      <w:pPr>
        <w:ind w:left="644" w:hanging="644"/>
        <w:spacing w:after="0" w:line="257" w:lineRule="auto"/>
        <w:tabs>
          <w:tab w:leader="none" w:pos="64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Conditions; Determination of Earned Award</w:t>
      </w:r>
      <w:r>
        <w:rPr>
          <w:rFonts w:ascii="Arial" w:cs="Arial" w:eastAsia="Arial" w:hAnsi="Arial"/>
          <w:sz w:val="18"/>
          <w:szCs w:val="18"/>
          <w:color w:val="auto"/>
        </w:rPr>
        <w:t>: Except as otherwise provided herein, the Participant’s right to receive any Performance Shares is contingent upon his or her remaining in the continuous employ of the Company or a Subsidiary through the end of the Performance Periods. Following the Performance Periods, the Committee shall determine whether and to what extent the goals relating to ROIC and TSR have been satisfied for the Performance Periods and shall determine the percent of ROIC Target Performance Shares and TSR Target Performance Shares, if any, that may have become earned hereunder.</w:t>
      </w:r>
    </w:p>
    <w:p>
      <w:pPr>
        <w:spacing w:after="0" w:line="188" w:lineRule="exact"/>
        <w:rPr>
          <w:rFonts w:ascii="Arial" w:cs="Arial" w:eastAsia="Arial" w:hAnsi="Arial"/>
          <w:sz w:val="18"/>
          <w:szCs w:val="18"/>
          <w:color w:val="auto"/>
        </w:rPr>
      </w:pPr>
    </w:p>
    <w:p>
      <w:pPr>
        <w:ind w:left="644" w:right="20" w:hanging="644"/>
        <w:spacing w:after="0" w:line="286" w:lineRule="auto"/>
        <w:tabs>
          <w:tab w:leader="none" w:pos="644"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Determination Regarding ROIC</w:t>
      </w:r>
      <w:r>
        <w:rPr>
          <w:rFonts w:ascii="Arial" w:cs="Arial" w:eastAsia="Arial" w:hAnsi="Arial"/>
          <w:sz w:val="17"/>
          <w:szCs w:val="17"/>
          <w:color w:val="auto"/>
        </w:rPr>
        <w:t>: ROIC for each fiscal year in the ROIC Performance Period is defined as net income plus net interest net of taxes (net income plus net interest, less net interest times the effective tax rate), less dividends divided by invested capital (funded debt less cash and marketable securities plus total stockholders’ equity) at the beginning of each fiscal year,</w:t>
      </w:r>
    </w:p>
    <w:p>
      <w:pPr>
        <w:spacing w:after="0" w:line="166" w:lineRule="exact"/>
        <w:rPr>
          <w:sz w:val="20"/>
          <w:szCs w:val="20"/>
          <w:color w:val="auto"/>
        </w:rPr>
      </w:pPr>
    </w:p>
    <w:tbl>
      <w:tblPr>
        <w:tblLayout w:type="fixed"/>
        <w:tblInd w:w="64" w:type="dxa"/>
        <w:tblCellMar>
          <w:top w:w="0" w:type="dxa"/>
          <w:left w:w="0" w:type="dxa"/>
          <w:bottom w:w="0" w:type="dxa"/>
          <w:right w:w="0" w:type="dxa"/>
        </w:tblCellMar>
      </w:tblPr>
      <w:tr>
        <w:trPr>
          <w:trHeight w:val="230"/>
        </w:trPr>
        <w:tc>
          <w:tcPr>
            <w:tcW w:w="700" w:type="dxa"/>
            <w:vAlign w:val="bottom"/>
            <w:vMerge w:val="restart"/>
          </w:tcPr>
          <w:p>
            <w:pPr>
              <w:spacing w:after="0"/>
              <w:rPr>
                <w:sz w:val="20"/>
                <w:szCs w:val="20"/>
                <w:color w:val="auto"/>
              </w:rPr>
            </w:pPr>
            <w:r>
              <w:rPr>
                <w:rFonts w:ascii="Arial" w:cs="Arial" w:eastAsia="Arial" w:hAnsi="Arial"/>
                <w:sz w:val="18"/>
                <w:szCs w:val="18"/>
                <w:color w:val="auto"/>
              </w:rPr>
              <w:t>ROIC</w:t>
            </w:r>
          </w:p>
        </w:tc>
        <w:tc>
          <w:tcPr>
            <w:tcW w:w="54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9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Net Income + (Net Interest x (1 – Tax Rate)) – Dividends</w:t>
            </w:r>
          </w:p>
        </w:tc>
        <w:tc>
          <w:tcPr>
            <w:tcW w:w="0" w:type="dxa"/>
            <w:vAlign w:val="bottom"/>
          </w:tcPr>
          <w:p>
            <w:pPr>
              <w:spacing w:after="0"/>
              <w:rPr>
                <w:sz w:val="1"/>
                <w:szCs w:val="1"/>
                <w:color w:val="auto"/>
              </w:rPr>
            </w:pPr>
          </w:p>
        </w:tc>
      </w:tr>
      <w:tr>
        <w:trPr>
          <w:trHeight w:val="88"/>
        </w:trPr>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9460" w:type="dxa"/>
            <w:vAlign w:val="bottom"/>
            <w:vMerge w:val="restart"/>
          </w:tcPr>
          <w:p>
            <w:pPr>
              <w:jc w:val="center"/>
              <w:spacing w:after="0"/>
              <w:rPr>
                <w:sz w:val="20"/>
                <w:szCs w:val="20"/>
                <w:color w:val="auto"/>
              </w:rPr>
            </w:pPr>
            <w:r>
              <w:rPr>
                <w:rFonts w:ascii="Arial" w:cs="Arial" w:eastAsia="Arial" w:hAnsi="Arial"/>
                <w:sz w:val="18"/>
                <w:szCs w:val="18"/>
                <w:color w:val="auto"/>
                <w:w w:val="91"/>
              </w:rPr>
              <w:t>Funded Debt – Cash and Marketable Securities + Total Stockholders’ Equity</w:t>
            </w:r>
          </w:p>
        </w:tc>
        <w:tc>
          <w:tcPr>
            <w:tcW w:w="0" w:type="dxa"/>
            <w:vAlign w:val="bottom"/>
          </w:tcPr>
          <w:p>
            <w:pPr>
              <w:spacing w:after="0"/>
              <w:rPr>
                <w:sz w:val="1"/>
                <w:szCs w:val="1"/>
                <w:color w:val="auto"/>
              </w:rPr>
            </w:pPr>
          </w:p>
        </w:tc>
      </w:tr>
      <w:tr>
        <w:trPr>
          <w:trHeight w:val="136"/>
        </w:trPr>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44" w:right="300"/>
        <w:spacing w:after="0" w:line="277" w:lineRule="auto"/>
        <w:rPr>
          <w:sz w:val="20"/>
          <w:szCs w:val="20"/>
          <w:color w:val="auto"/>
        </w:rPr>
      </w:pPr>
      <w:r>
        <w:rPr>
          <w:rFonts w:ascii="Arial" w:cs="Arial" w:eastAsia="Arial" w:hAnsi="Arial"/>
          <w:sz w:val="18"/>
          <w:szCs w:val="18"/>
          <w:color w:val="auto"/>
        </w:rPr>
        <w:t>with all financial measures as determined from the Company’s consolidated financial statements for each year in the ROIC Performance Period</w:t>
      </w:r>
      <w:r>
        <w:rPr>
          <w:rFonts w:ascii="Arial" w:cs="Arial" w:eastAsia="Arial" w:hAnsi="Arial"/>
          <w:sz w:val="18"/>
          <w:szCs w:val="18"/>
          <w:b w:val="1"/>
          <w:bCs w:val="1"/>
          <w:color w:val="auto"/>
        </w:rPr>
        <w:t>,</w:t>
      </w:r>
      <w:r>
        <w:rPr>
          <w:rFonts w:ascii="Arial" w:cs="Arial" w:eastAsia="Arial" w:hAnsi="Arial"/>
          <w:sz w:val="18"/>
          <w:szCs w:val="18"/>
          <w:color w:val="auto"/>
        </w:rPr>
        <w:t xml:space="preserve"> subject to any adjustment as determined by the Committee.</w:t>
      </w:r>
    </w:p>
    <w:p>
      <w:pPr>
        <w:spacing w:after="0" w:line="170" w:lineRule="exact"/>
        <w:rPr>
          <w:sz w:val="20"/>
          <w:szCs w:val="20"/>
          <w:color w:val="auto"/>
        </w:rPr>
      </w:pPr>
    </w:p>
    <w:p>
      <w:pPr>
        <w:ind w:left="644" w:right="20" w:hanging="644"/>
        <w:spacing w:after="0" w:line="291" w:lineRule="auto"/>
        <w:tabs>
          <w:tab w:leader="none" w:pos="644"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Determination Regarding TSR</w:t>
      </w:r>
      <w:r>
        <w:rPr>
          <w:rFonts w:ascii="Arial" w:cs="Arial" w:eastAsia="Arial" w:hAnsi="Arial"/>
          <w:sz w:val="16"/>
          <w:szCs w:val="16"/>
          <w:color w:val="auto"/>
        </w:rPr>
        <w:t>: At the end of the TSR Performance Period, the percentile rank of the Company’s TSR in respect to the TSR of the TSR Peer Companies will be calculated. TSR with respect to the Company and each of the TSR Peer Companies means the change in the fair market value of common stock of the Company and the TSR Peer Companies, assuming reinvestment of dividends, over the TSR Performance Period. The measurement of change in fair market value over the Performance Period shall be based on the average closing prices of the common stock for the last 20 trading days preceding the Date of Grant and the last 20 trading days preceding the end of the TSR Performance Period (December 31, 2021), assuming reinvestment of dividends in common stock. Any TSR Peer Company that is no longer publicly traded at any time during or at the end of the TSR Performance Period shall be excluded from this calculation.</w:t>
      </w:r>
    </w:p>
    <w:p>
      <w:pPr>
        <w:spacing w:after="0" w:line="383"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8" w:name="page39"/>
    <w:bookmarkEnd w:id="38"/>
    <w:p>
      <w:pPr>
        <w:ind w:left="1292" w:right="420" w:hanging="644"/>
        <w:spacing w:after="0" w:line="277" w:lineRule="auto"/>
        <w:tabs>
          <w:tab w:leader="none" w:pos="1292"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TSR Peer Companies:</w:t>
      </w:r>
      <w:r>
        <w:rPr>
          <w:rFonts w:ascii="Arial" w:cs="Arial" w:eastAsia="Arial" w:hAnsi="Arial"/>
          <w:sz w:val="18"/>
          <w:szCs w:val="18"/>
          <w:color w:val="auto"/>
        </w:rPr>
        <w:t xml:space="preserve"> The public companies against which the Company’s TSR performance will be compared (the “TSR Peer Group Companies”) are identified in the Statement of Performance Goals.</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Pro Rata Earning of Target Performance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hanging="644"/>
        <w:spacing w:after="0" w:line="288" w:lineRule="auto"/>
        <w:tabs>
          <w:tab w:leader="none" w:pos="1292"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or Good Reason, Death, Disability or Retirement</w:t>
      </w:r>
      <w:r>
        <w:rPr>
          <w:rFonts w:ascii="Arial" w:cs="Arial" w:eastAsia="Arial" w:hAnsi="Arial"/>
          <w:sz w:val="16"/>
          <w:szCs w:val="16"/>
          <w:color w:val="auto"/>
        </w:rPr>
        <w:t xml:space="preserve">: Notwithstanding </w:t>
      </w:r>
      <w:r>
        <w:rPr>
          <w:rFonts w:ascii="Arial" w:cs="Arial" w:eastAsia="Arial" w:hAnsi="Arial"/>
          <w:sz w:val="16"/>
          <w:szCs w:val="16"/>
          <w:u w:val="single" w:color="auto"/>
          <w:color w:val="auto"/>
        </w:rPr>
        <w:t>Section 2(h)</w:t>
      </w:r>
      <w:r>
        <w:rPr>
          <w:rFonts w:ascii="Arial" w:cs="Arial" w:eastAsia="Arial" w:hAnsi="Arial"/>
          <w:sz w:val="16"/>
          <w:szCs w:val="16"/>
          <w:color w:val="auto"/>
        </w:rPr>
        <w:t xml:space="preserve">, if, during the Performance Period, but before the payment of any Performance Shares as set forth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the Participant’s employment is terminated without “Cause” or with “Good Reason” (as each term is defined in the Participant’s current Employment Agreement with the Company, as may be amended from time to time (the “Employment Agreement”)), the Participant dies or in the event of his “Disability” (as such term is defined in the Employment Agreement) while in the employ of the Company or in the event of the retirement of the Participant after having attained “normal retirement age” (as such term is defined in the Social Security Act of 1935, as amended), then the Participant shall be entitled to receive such percent of the ROIC Target Performance Shares and TSR Target Performance Shares, if any, as is determined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at the conclusion of the Performance Periods as if the Participant had remained in the continuous employ of the Company through the end of the Performance Periods, based on the Company’s ROIC and TSR performance during the Performance Periods, prorated, based on the number of whole months that the Participant was employed by the Company during the Performance Periods.</w:t>
      </w:r>
    </w:p>
    <w:p>
      <w:pPr>
        <w:spacing w:after="0" w:line="169" w:lineRule="exact"/>
        <w:rPr>
          <w:rFonts w:ascii="Arial" w:cs="Arial" w:eastAsia="Arial" w:hAnsi="Arial"/>
          <w:sz w:val="16"/>
          <w:szCs w:val="16"/>
          <w:color w:val="auto"/>
        </w:rPr>
      </w:pPr>
    </w:p>
    <w:p>
      <w:pPr>
        <w:jc w:val="both"/>
        <w:ind w:left="1292" w:hanging="644"/>
        <w:spacing w:after="0" w:line="312" w:lineRule="auto"/>
        <w:tabs>
          <w:tab w:leader="none" w:pos="1292"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xml:space="preserve">: Notwithstanding </w:t>
      </w:r>
      <w:r>
        <w:rPr>
          <w:rFonts w:ascii="Arial" w:cs="Arial" w:eastAsia="Arial" w:hAnsi="Arial"/>
          <w:sz w:val="16"/>
          <w:szCs w:val="16"/>
          <w:u w:val="single" w:color="auto"/>
          <w:color w:val="auto"/>
        </w:rPr>
        <w:t>Section 2(h)</w:t>
      </w:r>
      <w:r>
        <w:rPr>
          <w:rFonts w:ascii="Arial" w:cs="Arial" w:eastAsia="Arial" w:hAnsi="Arial"/>
          <w:sz w:val="16"/>
          <w:szCs w:val="16"/>
          <w:color w:val="auto"/>
        </w:rPr>
        <w:t xml:space="preserve">, if, during the Performance Periods, but before the payment of any Performance Shares as set forth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 Change in Control occurs while the Participant is an employee of the Company, then the Participant shall be entitled to receive the number of ROIC Target Performance Shares and the number of TSR Target Performance Shares set out in </w:t>
      </w:r>
      <w:r>
        <w:rPr>
          <w:rFonts w:ascii="Arial" w:cs="Arial" w:eastAsia="Arial" w:hAnsi="Arial"/>
          <w:sz w:val="16"/>
          <w:szCs w:val="16"/>
          <w:u w:val="single" w:color="auto"/>
          <w:color w:val="auto"/>
        </w:rPr>
        <w:t>Section 1</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left="652" w:right="20" w:hanging="652"/>
        <w:spacing w:after="0" w:line="259" w:lineRule="auto"/>
        <w:tabs>
          <w:tab w:leader="none" w:pos="65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Forfeiture of Award</w:t>
      </w:r>
      <w:r>
        <w:rPr>
          <w:rFonts w:ascii="Arial" w:cs="Arial" w:eastAsia="Arial" w:hAnsi="Arial"/>
          <w:sz w:val="18"/>
          <w:szCs w:val="18"/>
          <w:color w:val="auto"/>
        </w:rPr>
        <w:t xml:space="preserve">. Except to the extent the Participant has earned the right to receive Performance Shares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w:t>
      </w:r>
      <w:r>
        <w:rPr>
          <w:rFonts w:ascii="Arial" w:cs="Arial" w:eastAsia="Arial" w:hAnsi="Arial"/>
          <w:sz w:val="18"/>
          <w:szCs w:val="18"/>
          <w:color w:val="auto"/>
        </w:rPr>
        <w:t xml:space="preserve"> hereof, the Participant’s right to receive Performance Shares shall be forfeited automatically and without further notice on the date that the Participant ceases to be an employee of the Company or a Subsidiary prior to the last day of the Performance Periods or, in the event that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applies, the date on which the Change in Control occurs.</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Payment of Performance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right="20" w:hanging="644"/>
        <w:spacing w:after="0" w:line="259" w:lineRule="auto"/>
        <w:tabs>
          <w:tab w:leader="none" w:pos="1292"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Subject to Section 5(c), Performance Shares earned as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or pursuant to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shall be paid to the Participant or his or her executor or administrator, as the case may be, in shares of Common Stock in the calendar year immediately following the close of the Performance Period to which the award relates, but in no event later than two and one-half (2 1/2) months after the close of the Performance Period.</w:t>
      </w:r>
    </w:p>
    <w:p>
      <w:pPr>
        <w:spacing w:after="0" w:line="200" w:lineRule="exact"/>
        <w:rPr>
          <w:sz w:val="20"/>
          <w:szCs w:val="20"/>
          <w:color w:val="auto"/>
        </w:rPr>
      </w:pPr>
    </w:p>
    <w:p>
      <w:pPr>
        <w:spacing w:after="0" w:line="2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08" w:right="259" w:bottom="1440" w:gutter="0" w:footer="0" w:header="0"/>
        </w:sectPr>
      </w:pPr>
    </w:p>
    <w:bookmarkStart w:id="39" w:name="page40"/>
    <w:bookmarkEnd w:id="39"/>
    <w:p>
      <w:pPr>
        <w:ind w:left="1292" w:right="140" w:hanging="644"/>
        <w:spacing w:after="0" w:line="264" w:lineRule="auto"/>
        <w:tabs>
          <w:tab w:leader="none" w:pos="1292"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The ROIC Target Performance Shares and TSR Target Performance Shares earned pursuant to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shall be paid to the Participant in shares of Common Stock as soon as practicable following the Change in Control, but in no event later than two and one-half (2 1/2) months following the end of the year in which the Change in Control occurs.</w:t>
      </w:r>
    </w:p>
    <w:p>
      <w:pPr>
        <w:spacing w:after="0" w:line="181" w:lineRule="exact"/>
        <w:rPr>
          <w:rFonts w:ascii="Arial" w:cs="Arial" w:eastAsia="Arial" w:hAnsi="Arial"/>
          <w:sz w:val="18"/>
          <w:szCs w:val="18"/>
          <w:color w:val="auto"/>
        </w:rPr>
      </w:pPr>
    </w:p>
    <w:p>
      <w:pPr>
        <w:ind w:left="1292" w:right="20" w:hanging="644"/>
        <w:spacing w:after="0" w:line="291" w:lineRule="auto"/>
        <w:tabs>
          <w:tab w:leader="none" w:pos="1292" w:val="left"/>
        </w:tabs>
        <w:numPr>
          <w:ilvl w:val="1"/>
          <w:numId w:val="23"/>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if the Participant is a “specified employee” as determined pursuant to procedures adopted by the Company in compliance with Section 409A of the Code, the ROIC Target Performance Shares and TSR Target Performance Shares become payable on the Participant’s “separation from service” with the Company and its Subsidiaries within the meaning of Section 409A(a)(2)(A)(i) of the Code, and the amount payable hereunder constitutes a “deferral of compensation” (within the meaning of Section 409A of the Code), then payment of the ROIC Target Performance Shares and TSR Target Performance Shares shall be made on the earlier of the first day of the seventh month after the date of the Participant’s “separation from service” with the Company and its Subsidiaries within the meaning of Section 409A(a)(2)(A)(i) of the Code or the Participant’s death.</w:t>
      </w:r>
    </w:p>
    <w:p>
      <w:pPr>
        <w:spacing w:after="0" w:line="167" w:lineRule="exact"/>
        <w:rPr>
          <w:rFonts w:ascii="Arial" w:cs="Arial" w:eastAsia="Arial" w:hAnsi="Arial"/>
          <w:sz w:val="16"/>
          <w:szCs w:val="16"/>
          <w:color w:val="auto"/>
        </w:rPr>
      </w:pPr>
    </w:p>
    <w:p>
      <w:pPr>
        <w:ind w:left="652" w:hanging="652"/>
        <w:spacing w:after="0"/>
        <w:tabs>
          <w:tab w:leader="none" w:pos="65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Transferability shall be as set forth in the Plan.</w:t>
      </w:r>
    </w:p>
    <w:p>
      <w:pPr>
        <w:spacing w:after="0" w:line="225" w:lineRule="exact"/>
        <w:rPr>
          <w:rFonts w:ascii="Arial" w:cs="Arial" w:eastAsia="Arial" w:hAnsi="Arial"/>
          <w:sz w:val="18"/>
          <w:szCs w:val="18"/>
          <w:color w:val="auto"/>
        </w:rPr>
      </w:pPr>
    </w:p>
    <w:p>
      <w:pPr>
        <w:ind w:left="652" w:right="40" w:hanging="652"/>
        <w:spacing w:after="0" w:line="342" w:lineRule="auto"/>
        <w:tabs>
          <w:tab w:leader="none" w:pos="652"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No Employment Contract</w:t>
      </w:r>
      <w:r>
        <w:rPr>
          <w:rFonts w:ascii="Arial" w:cs="Arial" w:eastAsia="Arial" w:hAnsi="Arial"/>
          <w:sz w:val="16"/>
          <w:szCs w:val="16"/>
          <w:color w:val="auto"/>
        </w:rPr>
        <w:t>. Nothing contained in this Agreement shall (a) confer upon the Participant any right to be employed by or remain employed by the Company, or (b) limit or affect in any manner the right of the Company to terminate the employment of the Participant at any time.</w:t>
      </w:r>
    </w:p>
    <w:p>
      <w:pPr>
        <w:spacing w:after="0" w:line="123" w:lineRule="exact"/>
        <w:rPr>
          <w:rFonts w:ascii="Arial" w:cs="Arial" w:eastAsia="Arial" w:hAnsi="Arial"/>
          <w:sz w:val="16"/>
          <w:szCs w:val="16"/>
          <w:color w:val="auto"/>
        </w:rPr>
      </w:pPr>
    </w:p>
    <w:p>
      <w:pPr>
        <w:ind w:left="652" w:hanging="652"/>
        <w:spacing w:after="0" w:line="293" w:lineRule="auto"/>
        <w:tabs>
          <w:tab w:leader="none" w:pos="652"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Taxes and Withholding</w:t>
      </w:r>
      <w:r>
        <w:rPr>
          <w:rFonts w:ascii="Arial" w:cs="Arial" w:eastAsia="Arial" w:hAnsi="Arial"/>
          <w:sz w:val="16"/>
          <w:szCs w:val="16"/>
          <w:color w:val="auto"/>
        </w:rPr>
        <w:t>. To the extent that the Company is required to withhold any federal, state, local or foreign taxes in connection with the payment of any Performance Shares, it shall be a condition to the payment of any Performance Shares that the Participant shall pay such taxes by the Company’s retention of a portion of the shares of Common Stock otherwise payable to the Participant. The shares so retained shall be credited against such withholding requirement at the Fair Market Value on the date of such delivery. In no event, however, shall the Company accept shares for payment of taxes in excess of minimum required tax withholding rates; therefore, the Participant agrees to a payroll deduction for the amount of the withholding requirement that may be greater than the value of the whole number of shares retained for such purpose.</w:t>
      </w:r>
    </w:p>
    <w:p>
      <w:pPr>
        <w:spacing w:after="0" w:line="164" w:lineRule="exact"/>
        <w:rPr>
          <w:rFonts w:ascii="Arial" w:cs="Arial" w:eastAsia="Arial" w:hAnsi="Arial"/>
          <w:sz w:val="16"/>
          <w:szCs w:val="16"/>
          <w:color w:val="auto"/>
        </w:rPr>
      </w:pPr>
    </w:p>
    <w:p>
      <w:pPr>
        <w:ind w:left="652" w:right="400" w:hanging="652"/>
        <w:spacing w:after="0" w:line="277" w:lineRule="auto"/>
        <w:tabs>
          <w:tab w:leader="none" w:pos="65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Rights of a Stockholder</w:t>
      </w:r>
      <w:r>
        <w:rPr>
          <w:rFonts w:ascii="Arial" w:cs="Arial" w:eastAsia="Arial" w:hAnsi="Arial"/>
          <w:sz w:val="18"/>
          <w:szCs w:val="18"/>
          <w:color w:val="auto"/>
        </w:rPr>
        <w:t>. The Participant shall not have any rights of a stockholder with respect to the Performance Shares prior to the date such shares are earned.</w:t>
      </w:r>
    </w:p>
    <w:p>
      <w:pPr>
        <w:spacing w:after="0" w:line="170" w:lineRule="exact"/>
        <w:rPr>
          <w:rFonts w:ascii="Arial" w:cs="Arial" w:eastAsia="Arial" w:hAnsi="Arial"/>
          <w:sz w:val="18"/>
          <w:szCs w:val="18"/>
          <w:color w:val="auto"/>
        </w:rPr>
      </w:pPr>
    </w:p>
    <w:p>
      <w:pPr>
        <w:ind w:left="652" w:right="760" w:hanging="652"/>
        <w:spacing w:after="0" w:line="277" w:lineRule="auto"/>
        <w:tabs>
          <w:tab w:leader="none" w:pos="65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Payment of Dividends</w:t>
      </w:r>
      <w:r>
        <w:rPr>
          <w:rFonts w:ascii="Arial" w:cs="Arial" w:eastAsia="Arial" w:hAnsi="Arial"/>
          <w:sz w:val="18"/>
          <w:szCs w:val="18"/>
          <w:color w:val="auto"/>
        </w:rPr>
        <w:t>. No dividends or dividend equivalents shall be accrued or earned with respect to any Performance Shares until such Performance Shares are earned by the Participant as provided in this Agreement.</w:t>
      </w:r>
    </w:p>
    <w:p>
      <w:pPr>
        <w:spacing w:after="0" w:line="170" w:lineRule="exact"/>
        <w:rPr>
          <w:rFonts w:ascii="Arial" w:cs="Arial" w:eastAsia="Arial" w:hAnsi="Arial"/>
          <w:sz w:val="18"/>
          <w:szCs w:val="18"/>
          <w:color w:val="auto"/>
        </w:rPr>
      </w:pPr>
    </w:p>
    <w:p>
      <w:pPr>
        <w:ind w:left="652" w:right="320" w:hanging="652"/>
        <w:spacing w:after="0" w:line="277" w:lineRule="auto"/>
        <w:tabs>
          <w:tab w:leader="none" w:pos="65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xml:space="preserve"> Notwithstanding any other provision hereof, the number of Performance Shares subject to this Agreement, and the other terms and conditions of this award, are subject to mandatory adjustment as provided in Section 3.2 of the Plan.</w:t>
      </w:r>
    </w:p>
    <w:p>
      <w:pPr>
        <w:spacing w:after="0" w:line="38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908" w:right="279" w:bottom="1440" w:gutter="0" w:footer="0" w:header="0"/>
        </w:sectPr>
      </w:pPr>
    </w:p>
    <w:bookmarkStart w:id="40" w:name="page41"/>
    <w:bookmarkEnd w:id="40"/>
    <w:p>
      <w:pPr>
        <w:ind w:left="652" w:right="20" w:hanging="652"/>
        <w:spacing w:after="0" w:line="288" w:lineRule="auto"/>
        <w:tabs>
          <w:tab w:leader="none" w:pos="652"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Restrictive Covenants</w:t>
      </w:r>
      <w:r>
        <w:rPr>
          <w:rFonts w:ascii="Arial" w:cs="Arial" w:eastAsia="Arial" w:hAnsi="Arial"/>
          <w:sz w:val="16"/>
          <w:szCs w:val="16"/>
          <w:color w:val="auto"/>
        </w:rPr>
        <w:t xml:space="preserve">. If the Participant engages in any conduct in breach of any noncompetition, nonsolicitation or confidentiality obligations to the Company under any agreement, policy or plan, then such conduct shall also be deemed to be a breach of the terms of the Plan and this Agreement. Upon such breach, the Participant’s right to receive Performance Shares covered by this Agreement shall be forfeited automatically and without further notice and to the extent that the Participant has received shares of Common Stock pursuant to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within a period of 18 months prior to such breach, the Participant shall be required to return to the Company, upon demand, such shares or the net proceeds of any sales. For purposes of this </w:t>
      </w:r>
      <w:r>
        <w:rPr>
          <w:rFonts w:ascii="Arial" w:cs="Arial" w:eastAsia="Arial" w:hAnsi="Arial"/>
          <w:sz w:val="16"/>
          <w:szCs w:val="16"/>
          <w:u w:val="single" w:color="auto"/>
          <w:color w:val="auto"/>
        </w:rPr>
        <w:t>Section 12</w:t>
      </w:r>
      <w:r>
        <w:rPr>
          <w:rFonts w:ascii="Arial" w:cs="Arial" w:eastAsia="Arial" w:hAnsi="Arial"/>
          <w:sz w:val="16"/>
          <w:szCs w:val="16"/>
          <w:color w:val="auto"/>
        </w:rPr>
        <w:t>, net proceeds shall mean the net amount realized upon the disposition of the shares. Notwithstanding anything in this Agreement to the contrary, nothing in this Agreement prevents the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the Participant is not prohibited from providing information voluntarily to the Securities and Exchange Commission pursuant to Section 21F of the Exchange Act.</w:t>
      </w:r>
    </w:p>
    <w:p>
      <w:pPr>
        <w:spacing w:after="0" w:line="169" w:lineRule="exact"/>
        <w:rPr>
          <w:rFonts w:ascii="Arial" w:cs="Arial" w:eastAsia="Arial" w:hAnsi="Arial"/>
          <w:sz w:val="16"/>
          <w:szCs w:val="16"/>
          <w:color w:val="auto"/>
        </w:rPr>
      </w:pPr>
    </w:p>
    <w:p>
      <w:pPr>
        <w:ind w:left="652" w:hanging="652"/>
        <w:spacing w:after="0" w:line="287" w:lineRule="auto"/>
        <w:tabs>
          <w:tab w:leader="none" w:pos="652"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Recovery of Performance Shares</w:t>
      </w:r>
      <w:r>
        <w:rPr>
          <w:rFonts w:ascii="Arial" w:cs="Arial" w:eastAsia="Arial" w:hAnsi="Arial"/>
          <w:sz w:val="16"/>
          <w:szCs w:val="16"/>
          <w:color w:val="auto"/>
        </w:rPr>
        <w:t xml:space="preserve">. If (a) the Company restates any part of its financial statements for any fiscal year or years covered by the Performance Periods due to material noncompliance with any financial reporting requirement under the U.S. securities laws applicable to such fiscal year or years (a “Restatement”) and (b) the Committee determines that the Participant is personally responsible for causing the Restatement as a result of the Participant’s personal misconduct or any fraudulent activity on the part of the Participant, then the Committee has discretion to, based on applicable facts and circumstances and subject to applicable law, cause the Company to recover all or any portion (but no more than 100%) of the shares of Common Stock paid or payable to the Participant for the Performance Periods. The amount of any cash or shares recovered by the Company under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shall be limited to the amount by which such shares payment exceeded the amount that would have been paid to or received by the Participant had the Company’s financial statements for the applicable restated fiscal year or years been initially filed as restated, as reasonably determined by the Committee. Notwithstanding anything herein to the contrary, the Participant’s consent shall not be required for an amendment to this Agreement that is deemed necessary by the Company to ensure compliance with the Dodd-Frank Wall Street Reform and Consumer Protection Act (the “Dodd-Frank Act”) or any regulations promulgated thereunder, including as a result of the implementation of any recoupment policy the Company adopts to comply with the requirements set forth in the Dodd-Frank Act.</w:t>
      </w:r>
    </w:p>
    <w:p>
      <w:pPr>
        <w:spacing w:after="0" w:line="168" w:lineRule="exact"/>
        <w:rPr>
          <w:rFonts w:ascii="Arial" w:cs="Arial" w:eastAsia="Arial" w:hAnsi="Arial"/>
          <w:sz w:val="16"/>
          <w:szCs w:val="16"/>
          <w:color w:val="auto"/>
        </w:rPr>
      </w:pPr>
    </w:p>
    <w:p>
      <w:pPr>
        <w:ind w:left="652" w:right="140" w:hanging="652"/>
        <w:spacing w:after="0" w:line="302" w:lineRule="auto"/>
        <w:tabs>
          <w:tab w:leader="none" w:pos="652"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Relation to Plan</w:t>
      </w:r>
      <w:r>
        <w:rPr>
          <w:rFonts w:ascii="Arial" w:cs="Arial" w:eastAsia="Arial" w:hAnsi="Arial"/>
          <w:sz w:val="16"/>
          <w:szCs w:val="16"/>
          <w:color w:val="auto"/>
        </w:rPr>
        <w:t>. This Agreement is subject to the terms and conditions of the Plan. In the 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that arise and to exercise its discretionary authority under the Plan in connection with the grant of ROIC Target Performance Shares and TSR Target Performance Shares.</w:t>
      </w:r>
    </w:p>
    <w:p>
      <w:pPr>
        <w:spacing w:after="0" w:line="154" w:lineRule="exact"/>
        <w:rPr>
          <w:rFonts w:ascii="Arial" w:cs="Arial" w:eastAsia="Arial" w:hAnsi="Arial"/>
          <w:sz w:val="16"/>
          <w:szCs w:val="16"/>
          <w:color w:val="auto"/>
        </w:rPr>
      </w:pPr>
    </w:p>
    <w:p>
      <w:pPr>
        <w:ind w:left="652" w:right="20" w:hanging="652"/>
        <w:spacing w:after="0" w:line="279" w:lineRule="auto"/>
        <w:tabs>
          <w:tab w:leader="none" w:pos="652"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All decisions or interpretations of the Committee with respect to any question arising under the Plan or this Agreement shall be binding, conclusive and final. The waiver by the Company of any provision of this Agreement shall not operate as or be construed to be a subsequent waiver of the same provision or of any other provision of this Agreement. The Participant agrees to execute such other agreements, documents or assignments as may be necessary or desirable to effect the purposes of this Agreement.</w:t>
      </w:r>
    </w:p>
    <w:p>
      <w:pPr>
        <w:spacing w:after="0" w:line="171" w:lineRule="exact"/>
        <w:rPr>
          <w:rFonts w:ascii="Arial" w:cs="Arial" w:eastAsia="Arial" w:hAnsi="Arial"/>
          <w:sz w:val="17"/>
          <w:szCs w:val="17"/>
          <w:color w:val="auto"/>
        </w:rPr>
      </w:pPr>
    </w:p>
    <w:p>
      <w:pPr>
        <w:ind w:left="652" w:right="580" w:hanging="652"/>
        <w:spacing w:after="0" w:line="342" w:lineRule="auto"/>
        <w:tabs>
          <w:tab w:leader="none" w:pos="652"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Capitalized Terms</w:t>
      </w:r>
      <w:r>
        <w:rPr>
          <w:rFonts w:ascii="Arial" w:cs="Arial" w:eastAsia="Arial" w:hAnsi="Arial"/>
          <w:sz w:val="16"/>
          <w:szCs w:val="16"/>
          <w:color w:val="auto"/>
        </w:rPr>
        <w:t>. All capitalized terms used in this Agreement that are not defined herein shall have the meanings given them in the Plan or resolutions adopted by the Committee authorizing grants made under this Agreement, unless the context clearly requires otherwise.</w:t>
      </w:r>
    </w:p>
    <w:p>
      <w:pPr>
        <w:spacing w:after="0" w:line="123" w:lineRule="exact"/>
        <w:rPr>
          <w:rFonts w:ascii="Arial" w:cs="Arial" w:eastAsia="Arial" w:hAnsi="Arial"/>
          <w:sz w:val="16"/>
          <w:szCs w:val="16"/>
          <w:color w:val="auto"/>
        </w:rPr>
      </w:pPr>
    </w:p>
    <w:p>
      <w:pPr>
        <w:ind w:left="652" w:right="180" w:hanging="652"/>
        <w:spacing w:after="0" w:line="255" w:lineRule="auto"/>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 To the extent applicable, it is intended that this Agreement and the Plan comply with, or be 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the Participant). Any reference in this Agreement to Section 409A of the Code will also include any proposed, temporary or final regulations, or any other guidance, promulgated with respect to such section by the U.S. Department of the Treasury or the Internal Revenue Service.</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41" w:name="page42"/>
    <w:bookmarkEnd w:id="41"/>
    <w:p>
      <w:pPr>
        <w:ind w:firstLine="648"/>
        <w:spacing w:after="0" w:line="277" w:lineRule="auto"/>
        <w:rPr>
          <w:sz w:val="20"/>
          <w:szCs w:val="20"/>
          <w:color w:val="auto"/>
        </w:rPr>
      </w:pPr>
      <w:r>
        <w:rPr>
          <w:rFonts w:ascii="Arial" w:cs="Arial" w:eastAsia="Arial" w:hAnsi="Arial"/>
          <w:sz w:val="18"/>
          <w:szCs w:val="18"/>
          <w:color w:val="auto"/>
        </w:rPr>
        <w:t>IN WITNESS WHEREOF, the Company has caused this Agreement to be executed on its behalf by its duly authorized officer and the Participant has executed this Agreement, as of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MYR GROUP INC.</w:t>
      </w:r>
    </w:p>
    <w:p>
      <w:pPr>
        <w:spacing w:after="0" w:line="225"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Kenneth M. Hartwick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Chairman of the Board</w:t>
      </w:r>
    </w:p>
    <w:p>
      <w:pPr>
        <w:spacing w:after="0" w:line="21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undersigned Participant hereby acknowledges receipt of an executed copy of this Agreement and accepts the right to receive any Performance Shares or other securities covered hereby, subject to the terms and conditions of the Plan and the terms and conditions herein above set forth.</w:t>
      </w:r>
    </w:p>
    <w:p>
      <w:pPr>
        <w:spacing w:after="0" w:line="3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-130175</wp:posOffset>
            </wp:positionV>
            <wp:extent cx="28898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14605</wp:posOffset>
            </wp:positionV>
            <wp:extent cx="23837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S. Swartz, Jr., certify that:</w:t>
      </w:r>
    </w:p>
    <w:p>
      <w:pPr>
        <w:spacing w:after="0" w:line="225"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MYR Group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May 1, 2019</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Betty R. Johnson, certify that:</w:t>
      </w:r>
    </w:p>
    <w:p>
      <w:pPr>
        <w:spacing w:after="0" w:line="225"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MYR Group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May 1, 2019</w:t>
      </w:r>
      <w:r>
        <w:rPr>
          <w:sz w:val="20"/>
          <w:szCs w:val="20"/>
          <w:color w:val="auto"/>
        </w:rPr>
        <w:tab/>
      </w:r>
      <w:r>
        <w:rPr>
          <w:rFonts w:ascii="Arial" w:cs="Arial" w:eastAsia="Arial" w:hAnsi="Arial"/>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I, Richard S. Swartz, Jr., Chief Executive Officer and President of MYR Group Inc. (the “Company”), certify, pursuant to 18 U.S.C. § 1350, as adopted pursuant to § 906 of the Sarbanes-Oxley Act of 2002, that:</w:t>
      </w:r>
    </w:p>
    <w:p>
      <w:pPr>
        <w:spacing w:after="0" w:line="170" w:lineRule="exact"/>
        <w:rPr>
          <w:sz w:val="20"/>
          <w:szCs w:val="20"/>
          <w:color w:val="auto"/>
        </w:rPr>
      </w:pPr>
    </w:p>
    <w:p>
      <w:pPr>
        <w:ind w:left="660" w:right="14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March 31, 2019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May 1, 2019</w:t>
      </w:r>
      <w:r>
        <w:rPr>
          <w:sz w:val="20"/>
          <w:szCs w:val="20"/>
          <w:color w:val="auto"/>
        </w:rPr>
        <w:tab/>
      </w:r>
      <w:r>
        <w:rPr>
          <w:rFonts w:ascii="Arial" w:cs="Arial" w:eastAsia="Arial" w:hAnsi="Arial"/>
          <w:sz w:val="16"/>
          <w:szCs w:val="16"/>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SECTION 906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Betty R. Johnson, Senior Vice President, Chief Financial Officer and Treasurer of MYR Group, Inc. (the “Company”), certify, pursuant to 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U.S.C. § 1350, as adopted pursuant to § 906 of the Sarbanes-Oxley Act of 2002, that:</w:t>
      </w:r>
    </w:p>
    <w:p>
      <w:pPr>
        <w:spacing w:after="0" w:line="211" w:lineRule="exact"/>
        <w:rPr>
          <w:sz w:val="20"/>
          <w:szCs w:val="20"/>
          <w:color w:val="auto"/>
        </w:rPr>
      </w:pPr>
    </w:p>
    <w:p>
      <w:pPr>
        <w:ind w:left="660" w:right="140" w:hanging="652"/>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March 31, 2019 of the Company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May 1, 2019</w:t>
      </w:r>
      <w:r>
        <w:rPr>
          <w:sz w:val="20"/>
          <w:szCs w:val="20"/>
          <w:color w:val="auto"/>
        </w:rPr>
        <w:tab/>
      </w:r>
      <w:r>
        <w:rPr>
          <w:rFonts w:ascii="Arial" w:cs="Arial" w:eastAsia="Arial" w:hAnsi="Arial"/>
          <w:sz w:val="17"/>
          <w:szCs w:val="17"/>
          <w:color w:val="auto"/>
        </w:rPr>
        <w:t>/s/ BETTY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
    <w:nsid w:val="628C895D"/>
    <w:multiLevelType w:val="hybridMultilevel"/>
    <w:lvl w:ilvl="0">
      <w:lvlJc w:val="left"/>
      <w:lvlText w:val="%1"/>
      <w:numFmt w:val="lowerLetter"/>
      <w:start w:val="1"/>
    </w:lvl>
    <w:lvl w:ilvl="1">
      <w:lvlJc w:val="left"/>
      <w:lvlText w:val="(%2)"/>
      <w:numFmt w:val="lowerLetter"/>
      <w:start w:val="35"/>
    </w:lvl>
  </w:abstractNum>
  <w:abstractNum w:abstractNumId="13">
    <w:nsid w:val="333AB105"/>
    <w:multiLevelType w:val="hybridMultilevel"/>
    <w:lvl w:ilvl="0">
      <w:lvlJc w:val="left"/>
      <w:lvlText w:val="(%1)"/>
      <w:numFmt w:val="lowerLetter"/>
      <w:start w:val="3"/>
    </w:lvl>
    <w:lvl w:ilvl="1">
      <w:lvlJc w:val="left"/>
      <w:lvlText w:val="(%2)"/>
      <w:numFmt w:val="lowerLetter"/>
      <w:start w:val="9"/>
    </w:lvl>
  </w:abstractNum>
  <w:abstractNum w:abstractNumId="14">
    <w:nsid w:val="721DA317"/>
    <w:multiLevelType w:val="hybridMultilevel"/>
    <w:lvl w:ilvl="0">
      <w:lvlJc w:val="left"/>
      <w:lvlText w:val="%1"/>
      <w:numFmt w:val="lowerLetter"/>
      <w:start w:val="1"/>
    </w:lvl>
    <w:lvl w:ilvl="1">
      <w:lvlJc w:val="left"/>
      <w:lvlText w:val="(%2)"/>
      <w:numFmt w:val="lowerLetter"/>
      <w:start w:val="35"/>
    </w:lvl>
  </w:abstractNum>
  <w:abstractNum w:abstractNumId="15">
    <w:nsid w:val="2443A858"/>
    <w:multiLevelType w:val="hybridMultilevel"/>
    <w:lvl w:ilvl="0">
      <w:lvlJc w:val="left"/>
      <w:lvlText w:val="(%1)"/>
      <w:numFmt w:val="lowerLetter"/>
      <w:start w:val="4"/>
    </w:lvl>
    <w:lvl w:ilvl="1">
      <w:lvlJc w:val="left"/>
      <w:lvlText w:val="(%2)"/>
      <w:numFmt w:val="lowerLetter"/>
      <w:start w:val="9"/>
    </w:lvl>
  </w:abstractNum>
  <w:abstractNum w:abstractNumId="16">
    <w:nsid w:val="2D1D5AE9"/>
    <w:multiLevelType w:val="hybridMultilevel"/>
    <w:lvl w:ilvl="0">
      <w:lvlJc w:val="left"/>
      <w:lvlText w:val="(%1)"/>
      <w:numFmt w:val="lowerRoman"/>
      <w:start w:val="2"/>
    </w:lvl>
  </w:abstractNum>
  <w:abstractNum w:abstractNumId="17">
    <w:nsid w:val="6763845E"/>
    <w:multiLevelType w:val="hybridMultilevel"/>
    <w:lvl w:ilvl="0">
      <w:lvlJc w:val="left"/>
      <w:lvlText w:val="(%1)"/>
      <w:numFmt w:val="lowerLetter"/>
      <w:start w:val="5"/>
    </w:lvl>
    <w:lvl w:ilvl="1">
      <w:lvlJc w:val="left"/>
      <w:lvlText w:val="(%2)"/>
      <w:numFmt w:val="lowerRoman"/>
      <w:start w:val="1"/>
    </w:lvl>
  </w:abstractNum>
  <w:abstractNum w:abstractNumId="18">
    <w:nsid w:val="75A2A8D4"/>
    <w:multiLevelType w:val="hybridMultilevel"/>
    <w:lvl w:ilvl="0">
      <w:lvlJc w:val="left"/>
      <w:lvlText w:val="(%1)"/>
      <w:numFmt w:val="lowerLetter"/>
      <w:start w:val="7"/>
    </w:lvl>
    <w:lvl w:ilvl="1">
      <w:lvlJc w:val="left"/>
      <w:lvlText w:val="(%2)"/>
      <w:numFmt w:val="lowerRoman"/>
      <w:start w:val="1"/>
    </w:lvl>
  </w:abstractNum>
  <w:abstractNum w:abstractNumId="19">
    <w:nsid w:val="8EDBDAB"/>
    <w:multiLevelType w:val="hybridMultilevel"/>
    <w:lvl w:ilvl="0">
      <w:lvlJc w:val="left"/>
      <w:lvlText w:val="(%1)"/>
      <w:numFmt w:val="lowerLetter"/>
      <w:start w:val="10"/>
    </w:lvl>
  </w:abstractNum>
  <w:abstractNum w:abstractNumId="20">
    <w:nsid w:val="79838CB2"/>
    <w:multiLevelType w:val="hybridMultilevel"/>
    <w:lvl w:ilvl="0">
      <w:lvlJc w:val="left"/>
      <w:lvlText w:val="%1"/>
      <w:numFmt w:val="decimal"/>
      <w:start w:val="1"/>
    </w:lvl>
    <w:lvl w:ilvl="1">
      <w:lvlJc w:val="left"/>
      <w:lvlText w:val="(%2)"/>
      <w:numFmt w:val="lowerLetter"/>
      <w:start w:val="11"/>
    </w:lvl>
  </w:abstractNum>
  <w:abstractNum w:abstractNumId="21">
    <w:nsid w:val="4353D0CD"/>
    <w:multiLevelType w:val="hybridMultilevel"/>
    <w:lvl w:ilvl="0">
      <w:lvlJc w:val="left"/>
      <w:lvlText w:val="%1."/>
      <w:numFmt w:val="decimal"/>
      <w:start w:val="3"/>
    </w:lvl>
    <w:lvl w:ilvl="1">
      <w:lvlJc w:val="left"/>
      <w:lvlText w:val="(%2)"/>
      <w:numFmt w:val="lowerLetter"/>
      <w:start w:val="1"/>
    </w:lvl>
  </w:abstractNum>
  <w:abstractNum w:abstractNumId="22">
    <w:nsid w:val="B03E0C6"/>
    <w:multiLevelType w:val="hybridMultilevel"/>
    <w:lvl w:ilvl="0">
      <w:lvlJc w:val="left"/>
      <w:lvlText w:val="%1"/>
      <w:numFmt w:val="decimal"/>
      <w:start w:val="1"/>
    </w:lvl>
    <w:lvl w:ilvl="1">
      <w:lvlJc w:val="left"/>
      <w:lvlText w:val="(%2)"/>
      <w:numFmt w:val="lowerLetter"/>
      <w:start w:val="2"/>
    </w:lvl>
  </w:abstractNum>
  <w:abstractNum w:abstractNumId="23">
    <w:nsid w:val="189A769B"/>
    <w:multiLevelType w:val="hybridMultilevel"/>
    <w:lvl w:ilvl="0">
      <w:lvlJc w:val="left"/>
      <w:lvlText w:val="%1."/>
      <w:numFmt w:val="decimal"/>
      <w:start w:val="6"/>
    </w:lvl>
    <w:lvl w:ilvl="1">
      <w:lvlJc w:val="left"/>
      <w:lvlText w:val="%2"/>
      <w:numFmt w:val="lowerLetter"/>
      <w:start w:val="1"/>
    </w:lvl>
  </w:abstractNum>
  <w:abstractNum w:abstractNumId="24">
    <w:nsid w:val="54E49EB4"/>
    <w:multiLevelType w:val="hybridMultilevel"/>
    <w:lvl w:ilvl="0">
      <w:lvlJc w:val="left"/>
      <w:lvlText w:val="%1."/>
      <w:numFmt w:val="decimal"/>
      <w:start w:val="12"/>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2019-12-28T13:24:15Z</dcterms:created>
  <dcterms:modified xsi:type="dcterms:W3CDTF">2019-12-28T13:24:15Z</dcterms:modified>
</cp:coreProperties>
</file>