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368935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28"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1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6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FORM 10-Q</w:t>
      </w:r>
    </w:p>
    <w:p>
      <w:pPr>
        <w:spacing w:after="0" w:line="159"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34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For the quarterly period ended March 31, 2026</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34" w:lineRule="exact"/>
        <w:rPr>
          <w:sz w:val="24"/>
          <w:szCs w:val="24"/>
          <w:color w:val="auto"/>
        </w:rPr>
      </w:pPr>
    </w:p>
    <w:p>
      <w:pPr>
        <w:ind w:left="360" w:hanging="334"/>
        <w:spacing w:after="0"/>
        <w:tabs>
          <w:tab w:leader="none" w:pos="36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302" w:lineRule="exact"/>
        <w:rPr>
          <w:sz w:val="24"/>
          <w:szCs w:val="24"/>
          <w:color w:val="auto"/>
        </w:rPr>
      </w:pPr>
    </w:p>
    <w:p>
      <w:pPr>
        <w:ind w:left="4260"/>
        <w:spacing w:after="0"/>
        <w:tabs>
          <w:tab w:leader="none" w:pos="682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9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Commission file number: 1-08325</w:t>
      </w:r>
    </w:p>
    <w:p>
      <w:pPr>
        <w:spacing w:after="0" w:line="113"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6"/>
          <w:szCs w:val="16"/>
          <w:b w:val="1"/>
          <w:bCs w:val="1"/>
          <w:color w:val="auto"/>
        </w:rPr>
        <w:t>_____________________________________________________________</w:t>
      </w:r>
    </w:p>
    <w:p>
      <w:pPr>
        <w:spacing w:after="0" w:line="18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MYR GROUP INC.</w:t>
      </w:r>
    </w:p>
    <w:p>
      <w:pPr>
        <w:spacing w:after="0" w:line="4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66" w:lineRule="exact"/>
        <w:rPr>
          <w:sz w:val="24"/>
          <w:szCs w:val="24"/>
          <w:color w:val="auto"/>
        </w:rPr>
      </w:pPr>
    </w:p>
    <w:tbl>
      <w:tblPr>
        <w:tblLayout w:type="fixed"/>
        <w:tblInd w:w="1840" w:type="dxa"/>
        <w:tblCellMar>
          <w:top w:w="0" w:type="dxa"/>
          <w:left w:w="0" w:type="dxa"/>
          <w:bottom w:w="0" w:type="dxa"/>
          <w:right w:w="0" w:type="dxa"/>
        </w:tblCellMar>
      </w:tblPr>
      <w:tr>
        <w:trPr>
          <w:trHeight w:val="212"/>
        </w:trPr>
        <w:tc>
          <w:tcPr>
            <w:tcW w:w="3640" w:type="dxa"/>
            <w:vAlign w:val="bottom"/>
          </w:tcPr>
          <w:p>
            <w:pPr>
              <w:jc w:val="center"/>
              <w:ind w:right="97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400" w:type="dxa"/>
            <w:vAlign w:val="bottom"/>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36-3158643</w:t>
            </w:r>
          </w:p>
        </w:tc>
      </w:tr>
      <w:tr>
        <w:trPr>
          <w:trHeight w:val="222"/>
        </w:trPr>
        <w:tc>
          <w:tcPr>
            <w:tcW w:w="3640" w:type="dxa"/>
            <w:vAlign w:val="bottom"/>
          </w:tcPr>
          <w:p>
            <w:pPr>
              <w:jc w:val="center"/>
              <w:ind w:right="999"/>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3400" w:type="dxa"/>
            <w:vAlign w:val="bottom"/>
          </w:tcPr>
          <w:p>
            <w:pPr>
              <w:jc w:val="center"/>
              <w:ind w:left="979"/>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210"/>
        </w:trPr>
        <w:tc>
          <w:tcPr>
            <w:tcW w:w="3640" w:type="dxa"/>
            <w:vAlign w:val="bottom"/>
          </w:tcPr>
          <w:p>
            <w:pPr>
              <w:jc w:val="center"/>
              <w:ind w:right="979"/>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3400" w:type="dxa"/>
            <w:vAlign w:val="bottom"/>
          </w:tcPr>
          <w:p>
            <w:pPr>
              <w:spacing w:after="0"/>
              <w:rPr>
                <w:sz w:val="18"/>
                <w:szCs w:val="18"/>
                <w:color w:val="auto"/>
              </w:rPr>
            </w:pPr>
          </w:p>
        </w:tc>
      </w:tr>
      <w:tr>
        <w:trPr>
          <w:trHeight w:val="472"/>
        </w:trPr>
        <w:tc>
          <w:tcPr>
            <w:tcW w:w="364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12121 Grant Street, Suite 610</w:t>
            </w:r>
          </w:p>
        </w:tc>
        <w:tc>
          <w:tcPr>
            <w:tcW w:w="3400" w:type="dxa"/>
            <w:vAlign w:val="bottom"/>
          </w:tcPr>
          <w:p>
            <w:pPr>
              <w:spacing w:after="0"/>
              <w:rPr>
                <w:sz w:val="24"/>
                <w:szCs w:val="24"/>
                <w:color w:val="auto"/>
              </w:rPr>
            </w:pPr>
          </w:p>
        </w:tc>
      </w:tr>
      <w:tr>
        <w:trPr>
          <w:trHeight w:val="270"/>
        </w:trPr>
        <w:tc>
          <w:tcPr>
            <w:tcW w:w="3640" w:type="dxa"/>
            <w:vAlign w:val="bottom"/>
          </w:tcPr>
          <w:p>
            <w:pPr>
              <w:ind w:left="740"/>
              <w:spacing w:after="0"/>
              <w:rPr>
                <w:sz w:val="20"/>
                <w:szCs w:val="20"/>
                <w:color w:val="auto"/>
              </w:rPr>
            </w:pPr>
            <w:r>
              <w:rPr>
                <w:rFonts w:ascii="Times New Roman" w:cs="Times New Roman" w:eastAsia="Times New Roman" w:hAnsi="Times New Roman"/>
                <w:sz w:val="16"/>
                <w:szCs w:val="16"/>
                <w:b w:val="1"/>
                <w:bCs w:val="1"/>
                <w:color w:val="auto"/>
              </w:rPr>
              <w:t xml:space="preserve">Thornton, </w:t>
            </w:r>
            <w:r>
              <w:rPr>
                <w:rFonts w:ascii="Times New Roman" w:cs="Times New Roman" w:eastAsia="Times New Roman" w:hAnsi="Times New Roman"/>
                <w:sz w:val="17"/>
                <w:szCs w:val="17"/>
                <w:b w:val="1"/>
                <w:bCs w:val="1"/>
                <w:color w:val="auto"/>
              </w:rPr>
              <w:t>CO</w:t>
            </w:r>
          </w:p>
        </w:tc>
        <w:tc>
          <w:tcPr>
            <w:tcW w:w="3400" w:type="dxa"/>
            <w:vAlign w:val="bottom"/>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rPr>
              <w:t>80241</w:t>
            </w:r>
          </w:p>
        </w:tc>
      </w:tr>
      <w:tr>
        <w:trPr>
          <w:trHeight w:val="256"/>
        </w:trPr>
        <w:tc>
          <w:tcPr>
            <w:tcW w:w="3640" w:type="dxa"/>
            <w:vAlign w:val="bottom"/>
          </w:tcPr>
          <w:p>
            <w:pPr>
              <w:jc w:val="center"/>
              <w:ind w:right="97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3400" w:type="dxa"/>
            <w:vAlign w:val="bottom"/>
          </w:tcPr>
          <w:p>
            <w:pPr>
              <w:jc w:val="center"/>
              <w:ind w:left="979"/>
              <w:spacing w:after="0"/>
              <w:rPr>
                <w:sz w:val="20"/>
                <w:szCs w:val="20"/>
                <w:color w:val="auto"/>
              </w:rPr>
            </w:pPr>
            <w:r>
              <w:rPr>
                <w:rFonts w:ascii="Times New Roman" w:cs="Times New Roman" w:eastAsia="Times New Roman" w:hAnsi="Times New Roman"/>
                <w:sz w:val="16"/>
                <w:szCs w:val="16"/>
                <w:color w:val="auto"/>
                <w:w w:val="98"/>
              </w:rPr>
              <w:t>(Zip Code)</w:t>
            </w:r>
          </w:p>
        </w:tc>
      </w:tr>
    </w:tbl>
    <w:p>
      <w:pPr>
        <w:spacing w:after="0" w:line="27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(303) 286-8000</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24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p>
      <w:pPr>
        <w:spacing w:after="0" w:line="5"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6"/>
          <w:szCs w:val="16"/>
          <w:b w:val="1"/>
          <w:bCs w:val="1"/>
          <w:color w:val="auto"/>
        </w:rPr>
        <w:t>_____________________________________________________________</w:t>
      </w:r>
    </w:p>
    <w:p>
      <w:pPr>
        <w:spacing w:after="0" w:line="176"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20"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46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9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6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3"/>
        </w:trPr>
        <w:tc>
          <w:tcPr>
            <w:tcW w:w="4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MYRG</w:t>
            </w:r>
          </w:p>
        </w:tc>
        <w:tc>
          <w:tcPr>
            <w:tcW w:w="4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23"/>
        </w:trPr>
        <w:tc>
          <w:tcPr>
            <w:tcW w:w="4660" w:type="dxa"/>
            <w:vAlign w:val="bottom"/>
            <w:tcBorders>
              <w:left w:val="single" w:sz="8" w:color="auto"/>
              <w:bottom w:val="single" w:sz="8" w:color="auto"/>
              <w:right w:val="single" w:sz="8" w:color="auto"/>
            </w:tcBorders>
          </w:tcPr>
          <w:p>
            <w:pPr>
              <w:spacing w:after="0"/>
              <w:rPr>
                <w:sz w:val="19"/>
                <w:szCs w:val="19"/>
                <w:color w:val="auto"/>
              </w:rPr>
            </w:pPr>
          </w:p>
        </w:tc>
        <w:tc>
          <w:tcPr>
            <w:tcW w:w="1940" w:type="dxa"/>
            <w:vAlign w:val="bottom"/>
            <w:tcBorders>
              <w:bottom w:val="single" w:sz="8" w:color="auto"/>
              <w:right w:val="single" w:sz="8" w:color="auto"/>
            </w:tcBorders>
          </w:tcPr>
          <w:p>
            <w:pPr>
              <w:spacing w:after="0"/>
              <w:rPr>
                <w:sz w:val="19"/>
                <w:szCs w:val="19"/>
                <w:color w:val="auto"/>
              </w:rPr>
            </w:pPr>
          </w:p>
        </w:tc>
        <w:tc>
          <w:tcPr>
            <w:tcW w:w="4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202" w:lineRule="exact"/>
        <w:rPr>
          <w:sz w:val="24"/>
          <w:szCs w:val="24"/>
          <w:color w:val="auto"/>
        </w:rPr>
      </w:pPr>
    </w:p>
    <w:p>
      <w:pPr>
        <w:ind w:right="20" w:firstLine="324"/>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90" w:lineRule="exact"/>
        <w:rPr>
          <w:sz w:val="24"/>
          <w:szCs w:val="24"/>
          <w:color w:val="auto"/>
        </w:rPr>
      </w:pPr>
    </w:p>
    <w:p>
      <w:pPr>
        <w:ind w:right="100" w:firstLine="324"/>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ind w:right="320" w:firstLine="324"/>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3" w:lineRule="exact"/>
        <w:rPr>
          <w:sz w:val="24"/>
          <w:szCs w:val="24"/>
          <w:color w:val="auto"/>
        </w:rPr>
      </w:pPr>
    </w:p>
    <w:tbl>
      <w:tblPr>
        <w:tblLayout w:type="fixed"/>
        <w:tblInd w:w="1920" w:type="dxa"/>
        <w:tblCellMar>
          <w:top w:w="0" w:type="dxa"/>
          <w:left w:w="0" w:type="dxa"/>
          <w:bottom w:w="0" w:type="dxa"/>
          <w:right w:w="0" w:type="dxa"/>
        </w:tblCellMar>
      </w:tblPr>
      <w:tr>
        <w:trPr>
          <w:trHeight w:val="243"/>
        </w:trPr>
        <w:tc>
          <w:tcPr>
            <w:tcW w:w="19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840" w:type="dxa"/>
            <w:vAlign w:val="bottom"/>
          </w:tcPr>
          <w:p>
            <w:pPr>
              <w:ind w:left="460"/>
              <w:spacing w:after="0"/>
              <w:rPr>
                <w:sz w:val="20"/>
                <w:szCs w:val="20"/>
                <w:color w:val="auto"/>
              </w:rPr>
            </w:pPr>
            <w:r>
              <w:rPr>
                <w:rFonts w:ascii="Wingdings" w:cs="Wingdings" w:eastAsia="Wingdings" w:hAnsi="Wingdings"/>
                <w:sz w:val="16"/>
                <w:szCs w:val="16"/>
                <w:b w:val="1"/>
                <w:bCs w:val="1"/>
                <w:color w:val="auto"/>
              </w:rPr>
              <w:t>x</w:t>
            </w:r>
          </w:p>
        </w:tc>
        <w:tc>
          <w:tcPr>
            <w:tcW w:w="3240" w:type="dxa"/>
            <w:vAlign w:val="bottom"/>
          </w:tcPr>
          <w:p>
            <w:pPr>
              <w:ind w:left="1220"/>
              <w:spacing w:after="0"/>
              <w:rPr>
                <w:sz w:val="20"/>
                <w:szCs w:val="20"/>
                <w:color w:val="auto"/>
              </w:rPr>
            </w:pPr>
            <w:r>
              <w:rPr>
                <w:rFonts w:ascii="Times New Roman" w:cs="Times New Roman" w:eastAsia="Times New Roman" w:hAnsi="Times New Roman"/>
                <w:sz w:val="16"/>
                <w:szCs w:val="16"/>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2"/>
        </w:trPr>
        <w:tc>
          <w:tcPr>
            <w:tcW w:w="19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84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3240" w:type="dxa"/>
            <w:vAlign w:val="bottom"/>
          </w:tcPr>
          <w:p>
            <w:pPr>
              <w:ind w:left="12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2"/>
        </w:trPr>
        <w:tc>
          <w:tcPr>
            <w:tcW w:w="192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3240" w:type="dxa"/>
            <w:vAlign w:val="bottom"/>
          </w:tcPr>
          <w:p>
            <w:pPr>
              <w:ind w:left="1220"/>
              <w:spacing w:after="0"/>
              <w:rPr>
                <w:sz w:val="20"/>
                <w:szCs w:val="20"/>
                <w:color w:val="auto"/>
              </w:rPr>
            </w:pPr>
            <w:r>
              <w:rPr>
                <w:rFonts w:ascii="Times New Roman" w:cs="Times New Roman" w:eastAsia="Times New Roman" w:hAnsi="Times New Roman"/>
                <w:sz w:val="16"/>
                <w:szCs w:val="16"/>
                <w:color w:val="auto"/>
              </w:rPr>
              <w:t>Emerging growth company</w:t>
            </w:r>
          </w:p>
        </w:tc>
        <w:tc>
          <w:tcPr>
            <w:tcW w:w="4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61" w:lineRule="exact"/>
        <w:rPr>
          <w:sz w:val="24"/>
          <w:szCs w:val="24"/>
          <w:color w:val="auto"/>
        </w:rPr>
      </w:pPr>
    </w:p>
    <w:p>
      <w:pPr>
        <w:ind w:right="280" w:firstLine="324"/>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3" w:lineRule="exact"/>
        <w:rPr>
          <w:sz w:val="24"/>
          <w:szCs w:val="24"/>
          <w:color w:val="auto"/>
        </w:rPr>
      </w:pPr>
    </w:p>
    <w:p>
      <w:pPr>
        <w:ind w:left="340" w:right="2640"/>
        <w:spacing w:after="0" w:line="29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As of April 24, 2026, there were 15,571,036 outstanding shares of the registrant’s $0.01 par value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600075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229"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66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180" w:type="dxa"/>
            <w:vAlign w:val="bottom"/>
            <w:tcBorders>
              <w:bottom w:val="single" w:sz="8" w:color="CCEEFF"/>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7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32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2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520" w:type="dxa"/>
            <w:vAlign w:val="bottom"/>
            <w:tcBorders>
              <w:bottom w:val="single" w:sz="8" w:color="auto"/>
            </w:tcBorders>
            <w:gridSpan w:val="4"/>
          </w:tcPr>
          <w:p>
            <w:pPr>
              <w:ind w:left="58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7"/>
        </w:trPr>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620" w:type="dxa"/>
            <w:vAlign w:val="bottom"/>
            <w:gridSpan w:val="11"/>
            <w:shd w:val="clear" w:color="auto" w:fill="CCEEFF"/>
          </w:tcPr>
          <w:p>
            <w:pPr>
              <w:jc w:val="center"/>
              <w:ind w:right="3060"/>
              <w:spacing w:after="0" w:line="183" w:lineRule="exact"/>
              <w:rPr>
                <w:sz w:val="20"/>
                <w:szCs w:val="20"/>
                <w:color w:val="auto"/>
              </w:rPr>
            </w:pPr>
            <w:r>
              <w:rPr>
                <w:rFonts w:ascii="Times New Roman" w:cs="Times New Roman" w:eastAsia="Times New Roman" w:hAnsi="Times New Roman"/>
                <w:sz w:val="20"/>
                <w:szCs w:val="20"/>
                <w:b w:val="1"/>
                <w:bCs w:val="1"/>
                <w:color w:val="0000FF"/>
                <w:w w:val="98"/>
              </w:rPr>
              <w:t>Part I—Financial Information</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gridSpan w:val="5"/>
          </w:tcPr>
          <w:p>
            <w:pPr>
              <w:ind w:left="80"/>
              <w:spacing w:after="0" w:line="203" w:lineRule="exact"/>
              <w:rPr>
                <w:sz w:val="20"/>
                <w:szCs w:val="20"/>
                <w:color w:val="auto"/>
              </w:rPr>
            </w:pPr>
            <w:r>
              <w:rPr>
                <w:rFonts w:ascii="Times New Roman" w:cs="Times New Roman" w:eastAsia="Times New Roman" w:hAnsi="Times New Roman"/>
                <w:sz w:val="20"/>
                <w:szCs w:val="20"/>
                <w:color w:val="0000FF"/>
              </w:rPr>
              <w:t>Item 1.</w:t>
            </w:r>
          </w:p>
        </w:tc>
        <w:tc>
          <w:tcPr>
            <w:tcW w:w="3040" w:type="dxa"/>
            <w:vAlign w:val="bottom"/>
            <w:tcBorders>
              <w:top w:val="single" w:sz="8" w:color="CCEEFF"/>
            </w:tcBorders>
            <w:gridSpan w:val="9"/>
          </w:tcPr>
          <w:p>
            <w:pPr>
              <w:spacing w:after="0" w:line="203" w:lineRule="exact"/>
              <w:rPr>
                <w:sz w:val="20"/>
                <w:szCs w:val="20"/>
                <w:color w:val="auto"/>
              </w:rPr>
            </w:pPr>
            <w:r>
              <w:rPr>
                <w:rFonts w:ascii="Times New Roman" w:cs="Times New Roman" w:eastAsia="Times New Roman" w:hAnsi="Times New Roman"/>
                <w:sz w:val="20"/>
                <w:szCs w:val="20"/>
                <w:color w:val="0000FF"/>
              </w:rPr>
              <w:t>Financial Statements</w:t>
            </w:r>
          </w:p>
        </w:tc>
        <w:tc>
          <w:tcPr>
            <w:tcW w:w="2560" w:type="dxa"/>
            <w:vAlign w:val="bottom"/>
            <w:tcBorders>
              <w:top w:val="single" w:sz="8" w:color="0000FF"/>
            </w:tcBorders>
            <w:gridSpan w:val="5"/>
          </w:tcPr>
          <w:p>
            <w:pPr>
              <w:spacing w:after="0"/>
              <w:rPr>
                <w:sz w:val="17"/>
                <w:szCs w:val="17"/>
                <w:color w:val="auto"/>
              </w:rPr>
            </w:pPr>
          </w:p>
        </w:tc>
        <w:tc>
          <w:tcPr>
            <w:tcW w:w="3060" w:type="dxa"/>
            <w:vAlign w:val="bottom"/>
            <w:tcBorders>
              <w:top w:val="single" w:sz="8" w:color="CCEEFF"/>
            </w:tcBorders>
            <w:gridSpan w:val="6"/>
          </w:tcPr>
          <w:p>
            <w:pPr>
              <w:spacing w:after="0"/>
              <w:rPr>
                <w:sz w:val="17"/>
                <w:szCs w:val="17"/>
                <w:color w:val="auto"/>
              </w:rPr>
            </w:pPr>
          </w:p>
        </w:tc>
        <w:tc>
          <w:tcPr>
            <w:tcW w:w="1500" w:type="dxa"/>
            <w:vAlign w:val="bottom"/>
            <w:tcBorders>
              <w:top w:val="single" w:sz="8" w:color="CCEEFF"/>
            </w:tcBorders>
            <w:gridSpan w:val="3"/>
          </w:tcPr>
          <w:p>
            <w:pPr>
              <w:jc w:val="right"/>
              <w:spacing w:after="0" w:line="203" w:lineRule="exact"/>
              <w:rPr>
                <w:sz w:val="20"/>
                <w:szCs w:val="20"/>
                <w:color w:val="auto"/>
              </w:rPr>
            </w:pPr>
            <w:r>
              <w:rPr>
                <w:rFonts w:ascii="Times New Roman" w:cs="Times New Roman" w:eastAsia="Times New Roman" w:hAnsi="Times New Roman"/>
                <w:sz w:val="20"/>
                <w:szCs w:val="20"/>
                <w:color w:val="0000FF"/>
              </w:rPr>
              <w:t>2</w:t>
            </w:r>
          </w:p>
        </w:tc>
        <w:tc>
          <w:tcPr>
            <w:tcW w:w="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60" w:type="dxa"/>
            <w:vAlign w:val="bottom"/>
            <w:gridSpan w:val="20"/>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0000FF"/>
              </w:rPr>
              <w:t>Consolidated Balance Sheets as of March 31, 2026 (unaudited) and December 31, 2025</w:t>
            </w:r>
          </w:p>
        </w:tc>
        <w:tc>
          <w:tcPr>
            <w:tcW w:w="1500" w:type="dxa"/>
            <w:vAlign w:val="bottom"/>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0000FF"/>
              </w:rPr>
              <w:t>2</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0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18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72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32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60" w:type="dxa"/>
            <w:vAlign w:val="bottom"/>
            <w:gridSpan w:val="20"/>
          </w:tcPr>
          <w:p>
            <w:pPr>
              <w:spacing w:after="0" w:line="203" w:lineRule="exact"/>
              <w:rPr>
                <w:sz w:val="20"/>
                <w:szCs w:val="20"/>
                <w:color w:val="auto"/>
              </w:rPr>
            </w:pPr>
            <w:r>
              <w:rPr>
                <w:rFonts w:ascii="Times New Roman" w:cs="Times New Roman" w:eastAsia="Times New Roman" w:hAnsi="Times New Roman"/>
                <w:sz w:val="20"/>
                <w:szCs w:val="20"/>
                <w:color w:val="0000FF"/>
              </w:rPr>
              <w:t>Unaudited Consolidated Statements of Operations and Comprehensive Income for the Three Months Ended</w:t>
            </w:r>
          </w:p>
        </w:tc>
        <w:tc>
          <w:tcPr>
            <w:tcW w:w="1400" w:type="dxa"/>
            <w:vAlign w:val="bottom"/>
            <w:gridSpan w:val="2"/>
            <w:vMerge w:val="restart"/>
          </w:tcPr>
          <w:p>
            <w:pPr>
              <w:spacing w:after="0"/>
              <w:rPr>
                <w:sz w:val="17"/>
                <w:szCs w:val="17"/>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w w:val="79"/>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40" w:type="dxa"/>
            <w:vAlign w:val="bottom"/>
            <w:tcBorders>
              <w:top w:val="single" w:sz="8" w:color="0000FF"/>
              <w:bottom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rPr>
              <w:t>March 31, 2026 and 2025</w:t>
            </w:r>
          </w:p>
        </w:tc>
        <w:tc>
          <w:tcPr>
            <w:tcW w:w="6480" w:type="dxa"/>
            <w:vAlign w:val="bottom"/>
            <w:tcBorders>
              <w:top w:val="single" w:sz="8" w:color="0000FF"/>
            </w:tcBorders>
            <w:gridSpan w:val="11"/>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00" w:type="dxa"/>
            <w:vAlign w:val="bottom"/>
            <w:tcBorders>
              <w:bottom w:val="single" w:sz="8" w:color="0000FF"/>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60" w:type="dxa"/>
            <w:vAlign w:val="bottom"/>
            <w:gridSpan w:val="20"/>
            <w:shd w:val="clear" w:color="auto" w:fill="CCEEFF"/>
          </w:tcPr>
          <w:p>
            <w:pPr>
              <w:spacing w:after="0" w:line="216" w:lineRule="exact"/>
              <w:rPr>
                <w:sz w:val="20"/>
                <w:szCs w:val="20"/>
                <w:color w:val="auto"/>
              </w:rPr>
            </w:pPr>
            <w:r>
              <w:rPr>
                <w:rFonts w:ascii="Times New Roman" w:cs="Times New Roman" w:eastAsia="Times New Roman" w:hAnsi="Times New Roman"/>
                <w:sz w:val="20"/>
                <w:szCs w:val="20"/>
                <w:color w:val="0000FF"/>
              </w:rPr>
              <w:t>Unaudited Consolidated Statements of Shareholders’ Equity for the Three Months Ended March 31, 2026</w:t>
            </w:r>
          </w:p>
        </w:tc>
        <w:tc>
          <w:tcPr>
            <w:tcW w:w="15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0000FF"/>
              </w:rPr>
              <w:t>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8360" w:type="dxa"/>
            <w:vAlign w:val="bottom"/>
            <w:tcBorders>
              <w:top w:val="single" w:sz="8" w:color="0000FF"/>
            </w:tcBorders>
            <w:gridSpan w:val="17"/>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and 2025</w:t>
            </w:r>
          </w:p>
        </w:tc>
        <w:tc>
          <w:tcPr>
            <w:tcW w:w="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gridSpan w:val="2"/>
            <w:shd w:val="clear" w:color="auto" w:fill="CCEEFF"/>
          </w:tcPr>
          <w:p>
            <w:pPr>
              <w:spacing w:after="0"/>
              <w:rPr>
                <w:sz w:val="16"/>
                <w:szCs w:val="16"/>
                <w:color w:val="auto"/>
              </w:rPr>
            </w:pPr>
          </w:p>
        </w:tc>
        <w:tc>
          <w:tcPr>
            <w:tcW w:w="1500" w:type="dxa"/>
            <w:vAlign w:val="bottom"/>
            <w:tcBorders>
              <w:top w:val="single" w:sz="8" w:color="CCEEFF"/>
            </w:tcBorders>
            <w:gridSpan w:val="3"/>
            <w:vMerge w:val="continue"/>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60" w:type="dxa"/>
            <w:vAlign w:val="bottom"/>
            <w:gridSpan w:val="20"/>
          </w:tcPr>
          <w:p>
            <w:pPr>
              <w:spacing w:after="0" w:line="197" w:lineRule="exact"/>
              <w:rPr>
                <w:sz w:val="20"/>
                <w:szCs w:val="20"/>
                <w:color w:val="auto"/>
              </w:rPr>
            </w:pPr>
            <w:r>
              <w:rPr>
                <w:rFonts w:ascii="Times New Roman" w:cs="Times New Roman" w:eastAsia="Times New Roman" w:hAnsi="Times New Roman"/>
                <w:sz w:val="20"/>
                <w:szCs w:val="20"/>
                <w:color w:val="0000FF"/>
              </w:rPr>
              <w:t>Unaudited Consolidated Statements of Cash Flows for the Three Months Ended March 31, 2026 and 2025</w:t>
            </w:r>
          </w:p>
        </w:tc>
        <w:tc>
          <w:tcPr>
            <w:tcW w:w="1500" w:type="dxa"/>
            <w:vAlign w:val="bottom"/>
            <w:gridSpan w:val="3"/>
          </w:tcPr>
          <w:p>
            <w:pPr>
              <w:jc w:val="right"/>
              <w:spacing w:after="0" w:line="197" w:lineRule="exact"/>
              <w:rPr>
                <w:sz w:val="20"/>
                <w:szCs w:val="20"/>
                <w:color w:val="auto"/>
              </w:rPr>
            </w:pPr>
            <w:r>
              <w:rPr>
                <w:rFonts w:ascii="Times New Roman" w:cs="Times New Roman" w:eastAsia="Times New Roman" w:hAnsi="Times New Roman"/>
                <w:sz w:val="20"/>
                <w:szCs w:val="20"/>
                <w:color w:val="0000FF"/>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18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3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2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60" w:type="dxa"/>
            <w:vAlign w:val="bottom"/>
            <w:gridSpan w:val="20"/>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0000FF"/>
              </w:rPr>
              <w:t>Notes to Unaudited Consolidated Financial Statements</w:t>
            </w:r>
          </w:p>
        </w:tc>
        <w:tc>
          <w:tcPr>
            <w:tcW w:w="1500" w:type="dxa"/>
            <w:vAlign w:val="bottom"/>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0000FF"/>
              </w:rPr>
              <w:t>6</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0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18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60" w:type="dxa"/>
            <w:vAlign w:val="bottom"/>
          </w:tcPr>
          <w:p>
            <w:pPr>
              <w:spacing w:after="0"/>
              <w:rPr>
                <w:sz w:val="17"/>
                <w:szCs w:val="17"/>
                <w:color w:val="auto"/>
              </w:rPr>
            </w:pPr>
          </w:p>
        </w:tc>
        <w:tc>
          <w:tcPr>
            <w:tcW w:w="1000" w:type="dxa"/>
            <w:vAlign w:val="bottom"/>
            <w:gridSpan w:val="5"/>
          </w:tcPr>
          <w:p>
            <w:pPr>
              <w:spacing w:after="0" w:line="203" w:lineRule="exact"/>
              <w:rPr>
                <w:sz w:val="20"/>
                <w:szCs w:val="20"/>
                <w:color w:val="auto"/>
              </w:rPr>
            </w:pPr>
            <w:r>
              <w:rPr>
                <w:rFonts w:ascii="Times New Roman" w:cs="Times New Roman" w:eastAsia="Times New Roman" w:hAnsi="Times New Roman"/>
                <w:sz w:val="20"/>
                <w:szCs w:val="20"/>
                <w:color w:val="0000FF"/>
              </w:rPr>
              <w:t>Item 2.</w:t>
            </w:r>
          </w:p>
        </w:tc>
        <w:tc>
          <w:tcPr>
            <w:tcW w:w="8660" w:type="dxa"/>
            <w:vAlign w:val="bottom"/>
            <w:gridSpan w:val="20"/>
          </w:tcPr>
          <w:p>
            <w:pPr>
              <w:spacing w:after="0" w:line="203" w:lineRule="exact"/>
              <w:rPr>
                <w:sz w:val="20"/>
                <w:szCs w:val="20"/>
                <w:color w:val="auto"/>
              </w:rPr>
            </w:pPr>
            <w:r>
              <w:rPr>
                <w:rFonts w:ascii="Times New Roman" w:cs="Times New Roman" w:eastAsia="Times New Roman" w:hAnsi="Times New Roman"/>
                <w:sz w:val="20"/>
                <w:szCs w:val="20"/>
                <w:color w:val="0000FF"/>
              </w:rPr>
              <w:t>Management’s Discussion and Analysis of Financial Condition and Results of Operations</w:t>
            </w:r>
          </w:p>
        </w:tc>
        <w:tc>
          <w:tcPr>
            <w:tcW w:w="150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20"/>
                <w:szCs w:val="20"/>
                <w:color w:val="0000FF"/>
              </w:rPr>
              <w:t>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6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18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3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0" w:type="dxa"/>
            <w:vAlign w:val="bottom"/>
            <w:shd w:val="clear" w:color="auto" w:fill="CCEEFF"/>
          </w:tcPr>
          <w:p>
            <w:pPr>
              <w:spacing w:after="0"/>
              <w:rPr>
                <w:sz w:val="17"/>
                <w:szCs w:val="17"/>
                <w:color w:val="auto"/>
              </w:rPr>
            </w:pPr>
          </w:p>
        </w:tc>
        <w:tc>
          <w:tcPr>
            <w:tcW w:w="1000" w:type="dxa"/>
            <w:vAlign w:val="bottom"/>
            <w:gridSpan w:val="5"/>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0000FF"/>
              </w:rPr>
              <w:t>Item 3.</w:t>
            </w:r>
          </w:p>
        </w:tc>
        <w:tc>
          <w:tcPr>
            <w:tcW w:w="8660" w:type="dxa"/>
            <w:vAlign w:val="bottom"/>
            <w:gridSpan w:val="20"/>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0000FF"/>
              </w:rPr>
              <w:t>Quantitative and Qualitative Disclosures About Market Risk</w:t>
            </w:r>
          </w:p>
        </w:tc>
        <w:tc>
          <w:tcPr>
            <w:tcW w:w="1500" w:type="dxa"/>
            <w:vAlign w:val="bottom"/>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0000FF"/>
              </w:rPr>
              <w:t>30</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0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18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0" w:type="dxa"/>
            <w:vAlign w:val="bottom"/>
          </w:tcPr>
          <w:p>
            <w:pPr>
              <w:spacing w:after="0"/>
              <w:rPr>
                <w:sz w:val="17"/>
                <w:szCs w:val="17"/>
                <w:color w:val="auto"/>
              </w:rPr>
            </w:pPr>
          </w:p>
        </w:tc>
        <w:tc>
          <w:tcPr>
            <w:tcW w:w="1000" w:type="dxa"/>
            <w:vAlign w:val="bottom"/>
            <w:gridSpan w:val="5"/>
          </w:tcPr>
          <w:p>
            <w:pPr>
              <w:spacing w:after="0" w:line="203" w:lineRule="exact"/>
              <w:rPr>
                <w:sz w:val="20"/>
                <w:szCs w:val="20"/>
                <w:color w:val="auto"/>
              </w:rPr>
            </w:pPr>
            <w:r>
              <w:rPr>
                <w:rFonts w:ascii="Times New Roman" w:cs="Times New Roman" w:eastAsia="Times New Roman" w:hAnsi="Times New Roman"/>
                <w:sz w:val="20"/>
                <w:szCs w:val="20"/>
                <w:color w:val="0000FF"/>
              </w:rPr>
              <w:t>Item 4.</w:t>
            </w:r>
          </w:p>
        </w:tc>
        <w:tc>
          <w:tcPr>
            <w:tcW w:w="8660" w:type="dxa"/>
            <w:vAlign w:val="bottom"/>
            <w:gridSpan w:val="20"/>
          </w:tcPr>
          <w:p>
            <w:pPr>
              <w:spacing w:after="0" w:line="203" w:lineRule="exact"/>
              <w:rPr>
                <w:sz w:val="20"/>
                <w:szCs w:val="20"/>
                <w:color w:val="auto"/>
              </w:rPr>
            </w:pPr>
            <w:r>
              <w:rPr>
                <w:rFonts w:ascii="Times New Roman" w:cs="Times New Roman" w:eastAsia="Times New Roman" w:hAnsi="Times New Roman"/>
                <w:sz w:val="20"/>
                <w:szCs w:val="20"/>
                <w:color w:val="0000FF"/>
              </w:rPr>
              <w:t>Controls and Procedures</w:t>
            </w:r>
          </w:p>
        </w:tc>
        <w:tc>
          <w:tcPr>
            <w:tcW w:w="150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20"/>
                <w:szCs w:val="20"/>
                <w:color w:val="0000FF"/>
              </w:rPr>
              <w:t>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6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520" w:type="dxa"/>
            <w:vAlign w:val="bottom"/>
            <w:gridSpan w:val="10"/>
            <w:shd w:val="clear" w:color="auto" w:fill="CCEEFF"/>
          </w:tcPr>
          <w:p>
            <w:pPr>
              <w:jc w:val="center"/>
              <w:ind w:right="3160"/>
              <w:spacing w:after="0" w:line="203" w:lineRule="exact"/>
              <w:rPr>
                <w:sz w:val="20"/>
                <w:szCs w:val="20"/>
                <w:color w:val="auto"/>
              </w:rPr>
            </w:pPr>
            <w:r>
              <w:rPr>
                <w:rFonts w:ascii="Times New Roman" w:cs="Times New Roman" w:eastAsia="Times New Roman" w:hAnsi="Times New Roman"/>
                <w:sz w:val="20"/>
                <w:szCs w:val="20"/>
                <w:b w:val="1"/>
                <w:bCs w:val="1"/>
                <w:color w:val="0000FF"/>
                <w:w w:val="98"/>
              </w:rPr>
              <w:t>Part II—Other Information</w:t>
            </w: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gridSpan w:val="5"/>
          </w:tcPr>
          <w:p>
            <w:pPr>
              <w:spacing w:after="0" w:line="203" w:lineRule="exact"/>
              <w:rPr>
                <w:sz w:val="20"/>
                <w:szCs w:val="20"/>
                <w:color w:val="auto"/>
              </w:rPr>
            </w:pPr>
            <w:r>
              <w:rPr>
                <w:rFonts w:ascii="Times New Roman" w:cs="Times New Roman" w:eastAsia="Times New Roman" w:hAnsi="Times New Roman"/>
                <w:sz w:val="20"/>
                <w:szCs w:val="20"/>
                <w:color w:val="0000FF"/>
              </w:rPr>
              <w:t>Item 1.</w:t>
            </w:r>
          </w:p>
        </w:tc>
        <w:tc>
          <w:tcPr>
            <w:tcW w:w="3140" w:type="dxa"/>
            <w:vAlign w:val="bottom"/>
            <w:tcBorders>
              <w:top w:val="single" w:sz="8" w:color="CCEEFF"/>
            </w:tcBorders>
            <w:gridSpan w:val="10"/>
          </w:tcPr>
          <w:p>
            <w:pPr>
              <w:spacing w:after="0" w:line="203" w:lineRule="exact"/>
              <w:rPr>
                <w:sz w:val="20"/>
                <w:szCs w:val="20"/>
                <w:color w:val="auto"/>
              </w:rPr>
            </w:pPr>
            <w:r>
              <w:rPr>
                <w:rFonts w:ascii="Times New Roman" w:cs="Times New Roman" w:eastAsia="Times New Roman" w:hAnsi="Times New Roman"/>
                <w:sz w:val="20"/>
                <w:szCs w:val="20"/>
                <w:color w:val="0000FF"/>
              </w:rPr>
              <w:t>Legal Proceedings</w:t>
            </w:r>
          </w:p>
        </w:tc>
        <w:tc>
          <w:tcPr>
            <w:tcW w:w="2360" w:type="dxa"/>
            <w:vAlign w:val="bottom"/>
            <w:tcBorders>
              <w:top w:val="single" w:sz="8" w:color="0000FF"/>
            </w:tcBorders>
            <w:gridSpan w:val="3"/>
          </w:tcPr>
          <w:p>
            <w:pPr>
              <w:spacing w:after="0"/>
              <w:rPr>
                <w:sz w:val="17"/>
                <w:szCs w:val="17"/>
                <w:color w:val="auto"/>
              </w:rPr>
            </w:pPr>
          </w:p>
        </w:tc>
        <w:tc>
          <w:tcPr>
            <w:tcW w:w="3160" w:type="dxa"/>
            <w:vAlign w:val="bottom"/>
            <w:tcBorders>
              <w:top w:val="single" w:sz="8" w:color="CCEEFF"/>
            </w:tcBorders>
            <w:gridSpan w:val="7"/>
          </w:tcPr>
          <w:p>
            <w:pPr>
              <w:spacing w:after="0"/>
              <w:rPr>
                <w:sz w:val="17"/>
                <w:szCs w:val="17"/>
                <w:color w:val="auto"/>
              </w:rPr>
            </w:pPr>
          </w:p>
        </w:tc>
        <w:tc>
          <w:tcPr>
            <w:tcW w:w="1500" w:type="dxa"/>
            <w:vAlign w:val="bottom"/>
            <w:tcBorders>
              <w:top w:val="single" w:sz="8" w:color="CCEEFF"/>
            </w:tcBorders>
            <w:gridSpan w:val="3"/>
          </w:tcPr>
          <w:p>
            <w:pPr>
              <w:jc w:val="right"/>
              <w:spacing w:after="0" w:line="203" w:lineRule="exact"/>
              <w:rPr>
                <w:sz w:val="20"/>
                <w:szCs w:val="20"/>
                <w:color w:val="auto"/>
              </w:rPr>
            </w:pPr>
            <w:r>
              <w:rPr>
                <w:rFonts w:ascii="Times New Roman" w:cs="Times New Roman" w:eastAsia="Times New Roman" w:hAnsi="Times New Roman"/>
                <w:sz w:val="20"/>
                <w:szCs w:val="20"/>
                <w:color w:val="0000FF"/>
              </w:rPr>
              <w:t>32</w:t>
            </w:r>
          </w:p>
        </w:tc>
        <w:tc>
          <w:tcPr>
            <w:tcW w:w="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6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0" w:type="dxa"/>
            <w:vAlign w:val="bottom"/>
            <w:shd w:val="clear" w:color="auto" w:fill="CCEEFF"/>
          </w:tcPr>
          <w:p>
            <w:pPr>
              <w:spacing w:after="0"/>
              <w:rPr>
                <w:sz w:val="17"/>
                <w:szCs w:val="17"/>
                <w:color w:val="auto"/>
              </w:rPr>
            </w:pPr>
          </w:p>
        </w:tc>
        <w:tc>
          <w:tcPr>
            <w:tcW w:w="1000" w:type="dxa"/>
            <w:vAlign w:val="bottom"/>
            <w:gridSpan w:val="5"/>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0000FF"/>
              </w:rPr>
              <w:t>Item 1A.</w:t>
            </w:r>
          </w:p>
        </w:tc>
        <w:tc>
          <w:tcPr>
            <w:tcW w:w="8660" w:type="dxa"/>
            <w:vAlign w:val="bottom"/>
            <w:gridSpan w:val="20"/>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0000FF"/>
              </w:rPr>
              <w:t>Risk Factors</w:t>
            </w:r>
          </w:p>
        </w:tc>
        <w:tc>
          <w:tcPr>
            <w:tcW w:w="1500" w:type="dxa"/>
            <w:vAlign w:val="bottom"/>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0000FF"/>
              </w:rPr>
              <w:t>32</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0" w:type="dxa"/>
            <w:vAlign w:val="bottom"/>
          </w:tcPr>
          <w:p>
            <w:pPr>
              <w:spacing w:after="0"/>
              <w:rPr>
                <w:sz w:val="17"/>
                <w:szCs w:val="17"/>
                <w:color w:val="auto"/>
              </w:rPr>
            </w:pPr>
          </w:p>
        </w:tc>
        <w:tc>
          <w:tcPr>
            <w:tcW w:w="700" w:type="dxa"/>
            <w:vAlign w:val="bottom"/>
            <w:gridSpan w:val="4"/>
          </w:tcPr>
          <w:p>
            <w:pPr>
              <w:spacing w:after="0" w:line="203" w:lineRule="exact"/>
              <w:rPr>
                <w:sz w:val="20"/>
                <w:szCs w:val="20"/>
                <w:color w:val="auto"/>
              </w:rPr>
            </w:pPr>
            <w:r>
              <w:rPr>
                <w:rFonts w:ascii="Times New Roman" w:cs="Times New Roman" w:eastAsia="Times New Roman" w:hAnsi="Times New Roman"/>
                <w:sz w:val="20"/>
                <w:szCs w:val="20"/>
                <w:color w:val="0000FF"/>
              </w:rPr>
              <w:t>Item 2.</w:t>
            </w:r>
          </w:p>
        </w:tc>
        <w:tc>
          <w:tcPr>
            <w:tcW w:w="300" w:type="dxa"/>
            <w:vAlign w:val="bottom"/>
          </w:tcPr>
          <w:p>
            <w:pPr>
              <w:spacing w:after="0"/>
              <w:rPr>
                <w:sz w:val="17"/>
                <w:szCs w:val="17"/>
                <w:color w:val="auto"/>
              </w:rPr>
            </w:pPr>
          </w:p>
        </w:tc>
        <w:tc>
          <w:tcPr>
            <w:tcW w:w="8660" w:type="dxa"/>
            <w:vAlign w:val="bottom"/>
            <w:gridSpan w:val="20"/>
          </w:tcPr>
          <w:p>
            <w:pPr>
              <w:spacing w:after="0" w:line="203" w:lineRule="exact"/>
              <w:rPr>
                <w:sz w:val="20"/>
                <w:szCs w:val="20"/>
                <w:color w:val="auto"/>
              </w:rPr>
            </w:pPr>
            <w:r>
              <w:rPr>
                <w:rFonts w:ascii="Times New Roman" w:cs="Times New Roman" w:eastAsia="Times New Roman" w:hAnsi="Times New Roman"/>
                <w:sz w:val="20"/>
                <w:szCs w:val="20"/>
                <w:color w:val="0000FF"/>
              </w:rPr>
              <w:t>Unregistered Sales of Equity Securities and Use of Proceeds</w:t>
            </w:r>
          </w:p>
        </w:tc>
        <w:tc>
          <w:tcPr>
            <w:tcW w:w="150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20"/>
                <w:szCs w:val="20"/>
                <w:color w:val="0000FF"/>
              </w:rPr>
              <w:t>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6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18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0" w:type="dxa"/>
            <w:vAlign w:val="bottom"/>
            <w:shd w:val="clear" w:color="auto" w:fill="CCEEFF"/>
          </w:tcPr>
          <w:p>
            <w:pPr>
              <w:spacing w:after="0"/>
              <w:rPr>
                <w:sz w:val="17"/>
                <w:szCs w:val="17"/>
                <w:color w:val="auto"/>
              </w:rPr>
            </w:pPr>
          </w:p>
        </w:tc>
        <w:tc>
          <w:tcPr>
            <w:tcW w:w="1000" w:type="dxa"/>
            <w:vAlign w:val="bottom"/>
            <w:gridSpan w:val="5"/>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0000FF"/>
              </w:rPr>
              <w:t>Item 5.</w:t>
            </w:r>
          </w:p>
        </w:tc>
        <w:tc>
          <w:tcPr>
            <w:tcW w:w="8660" w:type="dxa"/>
            <w:vAlign w:val="bottom"/>
            <w:gridSpan w:val="20"/>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0000FF"/>
              </w:rPr>
              <w:t>Other Information</w:t>
            </w:r>
          </w:p>
        </w:tc>
        <w:tc>
          <w:tcPr>
            <w:tcW w:w="1500" w:type="dxa"/>
            <w:vAlign w:val="bottom"/>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0000FF"/>
              </w:rPr>
              <w:t>32</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0" w:type="dxa"/>
            <w:vAlign w:val="bottom"/>
          </w:tcPr>
          <w:p>
            <w:pPr>
              <w:spacing w:after="0"/>
              <w:rPr>
                <w:sz w:val="17"/>
                <w:szCs w:val="17"/>
                <w:color w:val="auto"/>
              </w:rPr>
            </w:pPr>
          </w:p>
        </w:tc>
        <w:tc>
          <w:tcPr>
            <w:tcW w:w="1000" w:type="dxa"/>
            <w:vAlign w:val="bottom"/>
            <w:gridSpan w:val="5"/>
          </w:tcPr>
          <w:p>
            <w:pPr>
              <w:spacing w:after="0" w:line="203" w:lineRule="exact"/>
              <w:rPr>
                <w:sz w:val="20"/>
                <w:szCs w:val="20"/>
                <w:color w:val="auto"/>
              </w:rPr>
            </w:pPr>
            <w:r>
              <w:rPr>
                <w:rFonts w:ascii="Times New Roman" w:cs="Times New Roman" w:eastAsia="Times New Roman" w:hAnsi="Times New Roman"/>
                <w:sz w:val="20"/>
                <w:szCs w:val="20"/>
                <w:color w:val="0000FF"/>
              </w:rPr>
              <w:t>Item 6.</w:t>
            </w:r>
          </w:p>
        </w:tc>
        <w:tc>
          <w:tcPr>
            <w:tcW w:w="8660" w:type="dxa"/>
            <w:vAlign w:val="bottom"/>
            <w:gridSpan w:val="20"/>
          </w:tcPr>
          <w:p>
            <w:pPr>
              <w:spacing w:after="0" w:line="203" w:lineRule="exact"/>
              <w:rPr>
                <w:sz w:val="20"/>
                <w:szCs w:val="20"/>
                <w:color w:val="auto"/>
              </w:rPr>
            </w:pPr>
            <w:r>
              <w:rPr>
                <w:rFonts w:ascii="Times New Roman" w:cs="Times New Roman" w:eastAsia="Times New Roman" w:hAnsi="Times New Roman"/>
                <w:sz w:val="20"/>
                <w:szCs w:val="20"/>
                <w:color w:val="0000FF"/>
              </w:rPr>
              <w:t>Exhibits</w:t>
            </w:r>
          </w:p>
        </w:tc>
        <w:tc>
          <w:tcPr>
            <w:tcW w:w="150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20"/>
                <w:szCs w:val="20"/>
                <w:color w:val="0000FF"/>
              </w:rPr>
              <w:t>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Throughout this report, references to “MYR Group,” the “Company,” “we,” “us” and “our” refer to MYR Group Inc. and its consolidated subsidiaries, except as otherwise indicated or as the context otherwise requires.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MYR GROUP INC.</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5"/>
                <w:szCs w:val="15"/>
                <w:color w:val="auto"/>
              </w:rPr>
            </w:pPr>
          </w:p>
        </w:tc>
        <w:tc>
          <w:tcPr>
            <w:tcW w:w="114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200" w:type="dxa"/>
            <w:vAlign w:val="bottom"/>
          </w:tcPr>
          <w:p>
            <w:pPr>
              <w:spacing w:after="0"/>
              <w:rPr>
                <w:sz w:val="16"/>
                <w:szCs w:val="16"/>
                <w:color w:val="auto"/>
              </w:rPr>
            </w:pPr>
          </w:p>
        </w:tc>
        <w:tc>
          <w:tcPr>
            <w:tcW w:w="108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4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8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(unaudited)</w:t>
            </w: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9"/>
        </w:trPr>
        <w:tc>
          <w:tcPr>
            <w:tcW w:w="8520" w:type="dxa"/>
            <w:vAlign w:val="bottom"/>
            <w:tcBorders>
              <w:bottom w:val="single" w:sz="8" w:color="CCEEFF"/>
            </w:tcBorders>
            <w:gridSpan w:val="2"/>
            <w:shd w:val="clear" w:color="auto" w:fill="CCEEFF"/>
          </w:tcPr>
          <w:p>
            <w:pPr>
              <w:ind w:left="39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19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9"/>
        </w:trPr>
        <w:tc>
          <w:tcPr>
            <w:tcW w:w="8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163,192</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150,156</w:t>
            </w:r>
          </w:p>
        </w:tc>
      </w:tr>
      <w:tr>
        <w:trPr>
          <w:trHeight w:val="193"/>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Accounts receivable, net of allowances of $874 and $934, respectively</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635,676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603,735</w:t>
            </w: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8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Contract assets, net of allowances of $500 and $534, respectively</w:t>
            </w:r>
          </w:p>
        </w:tc>
        <w:tc>
          <w:tcPr>
            <w:tcW w:w="2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224,263</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241,766</w:t>
            </w:r>
          </w:p>
        </w:tc>
      </w:tr>
      <w:tr>
        <w:trPr>
          <w:trHeight w:val="193"/>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Current portion of receivable for insurance claims in excess of deductibles</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9,287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10,122</w:t>
            </w: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9"/>
        </w:trPr>
        <w:tc>
          <w:tcPr>
            <w:tcW w:w="8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Refundable income taxes</w:t>
            </w:r>
          </w:p>
        </w:tc>
        <w:tc>
          <w:tcPr>
            <w:tcW w:w="2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1,796</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51,035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54,982</w:t>
            </w:r>
          </w:p>
        </w:tc>
      </w:tr>
      <w:tr>
        <w:trPr>
          <w:trHeight w:val="37"/>
        </w:trPr>
        <w:tc>
          <w:tcPr>
            <w:tcW w:w="84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03"/>
        </w:trPr>
        <w:tc>
          <w:tcPr>
            <w:tcW w:w="85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current assets</w:t>
            </w:r>
          </w:p>
        </w:tc>
        <w:tc>
          <w:tcPr>
            <w:tcW w:w="2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1,085,249</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1,060,761</w:t>
            </w:r>
          </w:p>
        </w:tc>
      </w:tr>
      <w:tr>
        <w:trPr>
          <w:trHeight w:val="19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Property and equipment, net of accumulated depreciation of $424,415 and $413,962, respectively</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307,739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306,386</w:t>
            </w: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9"/>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2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50,357</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42,448</w:t>
            </w:r>
          </w:p>
        </w:tc>
      </w:tr>
      <w:tr>
        <w:trPr>
          <w:trHeight w:val="19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114,474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115,266</w:t>
            </w: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9"/>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 net of accumulated amortization of $40,949 and $39,967, respectively</w:t>
            </w:r>
          </w:p>
        </w:tc>
        <w:tc>
          <w:tcPr>
            <w:tcW w:w="2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70,737</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72,476</w:t>
            </w:r>
          </w:p>
        </w:tc>
      </w:tr>
      <w:tr>
        <w:trPr>
          <w:trHeight w:val="19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Receivable for insurance claims in excess of deductibles</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19,753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21,358</w:t>
            </w: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taxes</w:t>
            </w:r>
          </w:p>
        </w:tc>
        <w:tc>
          <w:tcPr>
            <w:tcW w:w="2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12,519</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12,723</w:t>
            </w:r>
          </w:p>
        </w:tc>
      </w:tr>
      <w:tr>
        <w:trPr>
          <w:trHeight w:val="19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Investment in joint ventures</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3,224</w:t>
            </w: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30"/>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9,199</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9,437</w:t>
            </w:r>
          </w:p>
        </w:tc>
      </w:tr>
      <w:tr>
        <w:trPr>
          <w:trHeight w:val="218"/>
        </w:trPr>
        <w:tc>
          <w:tcPr>
            <w:tcW w:w="85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Total assets</w:t>
            </w: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1,673,424</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1,644,079</w:t>
            </w: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34"/>
        </w:trPr>
        <w:tc>
          <w:tcPr>
            <w:tcW w:w="8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r>
      <w:tr>
        <w:trPr>
          <w:trHeight w:val="193"/>
        </w:trPr>
        <w:tc>
          <w:tcPr>
            <w:tcW w:w="8520" w:type="dxa"/>
            <w:vAlign w:val="bottom"/>
            <w:gridSpan w:val="2"/>
          </w:tcPr>
          <w:p>
            <w:pPr>
              <w:ind w:left="2640"/>
              <w:spacing w:after="0"/>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193"/>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Current portion of long-term debt</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4,652</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4,554</w:t>
            </w: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8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Current portion of operating lease obligations</w:t>
            </w:r>
          </w:p>
        </w:tc>
        <w:tc>
          <w:tcPr>
            <w:tcW w:w="2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12,751</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13,019</w:t>
            </w:r>
          </w:p>
        </w:tc>
      </w:tr>
      <w:tr>
        <w:trPr>
          <w:trHeight w:val="193"/>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Current portion of finance lease obligations</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804</w:t>
            </w: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8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Accounts payable</w:t>
            </w:r>
          </w:p>
        </w:tc>
        <w:tc>
          <w:tcPr>
            <w:tcW w:w="2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332,399</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314,789</w:t>
            </w:r>
          </w:p>
        </w:tc>
      </w:tr>
      <w:tr>
        <w:trPr>
          <w:trHeight w:val="193"/>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Contract liabilities, net</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281,520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300,560</w:t>
            </w: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8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Current portion of accrued self-insurance</w:t>
            </w:r>
          </w:p>
        </w:tc>
        <w:tc>
          <w:tcPr>
            <w:tcW w:w="2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28,542</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28,499</w:t>
            </w:r>
          </w:p>
        </w:tc>
      </w:tr>
      <w:tr>
        <w:trPr>
          <w:trHeight w:val="193"/>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Accrued income taxes</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33,027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15,129</w:t>
            </w: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30"/>
        </w:trPr>
        <w:tc>
          <w:tcPr>
            <w:tcW w:w="8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2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133,985</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117,923</w:t>
            </w:r>
          </w:p>
        </w:tc>
      </w:tr>
      <w:tr>
        <w:trPr>
          <w:trHeight w:val="186"/>
        </w:trPr>
        <w:tc>
          <w:tcPr>
            <w:tcW w:w="85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827,675</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795,277</w:t>
            </w: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tax liabilities</w:t>
            </w:r>
          </w:p>
        </w:tc>
        <w:tc>
          <w:tcPr>
            <w:tcW w:w="2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49,907</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50,119</w:t>
            </w:r>
          </w:p>
        </w:tc>
      </w:tr>
      <w:tr>
        <w:trPr>
          <w:trHeight w:val="19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Long-term debt</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54,483</w:t>
            </w: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self-insurance</w:t>
            </w:r>
          </w:p>
        </w:tc>
        <w:tc>
          <w:tcPr>
            <w:tcW w:w="2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41,325</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42,827</w:t>
            </w:r>
          </w:p>
        </w:tc>
      </w:tr>
      <w:tr>
        <w:trPr>
          <w:trHeight w:val="19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Operating lease obligations, net of current maturities</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37,598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29,429</w:t>
            </w: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Finance lease obligations, net of current maturities</w:t>
            </w:r>
          </w:p>
        </w:tc>
        <w:tc>
          <w:tcPr>
            <w:tcW w:w="2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998</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1,220</w:t>
            </w:r>
          </w:p>
        </w:tc>
      </w:tr>
      <w:tr>
        <w:trPr>
          <w:trHeight w:val="19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8,378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10,301</w:t>
            </w:r>
          </w:p>
        </w:tc>
      </w:tr>
      <w:tr>
        <w:trPr>
          <w:trHeight w:val="37"/>
        </w:trPr>
        <w:tc>
          <w:tcPr>
            <w:tcW w:w="84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23"/>
        </w:trPr>
        <w:tc>
          <w:tcPr>
            <w:tcW w:w="85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liabilities</w:t>
            </w:r>
          </w:p>
        </w:tc>
        <w:tc>
          <w:tcPr>
            <w:tcW w:w="2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970,605</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983,656</w:t>
            </w:r>
          </w:p>
        </w:tc>
      </w:tr>
      <w:tr>
        <w:trPr>
          <w:trHeight w:val="17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w:t>
            </w:r>
          </w:p>
        </w:tc>
        <w:tc>
          <w:tcPr>
            <w:tcW w:w="2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9"/>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Shareholders’ equity:</w:t>
            </w:r>
          </w:p>
        </w:tc>
        <w:tc>
          <w:tcPr>
            <w:tcW w:w="2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180"/>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Preferred stock—$0.01 par value per share; 4,000,000 authorized shares; none issued and outstanding at March 31, 2026 and December 31,</w:t>
            </w: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8"/>
        </w:trPr>
        <w:tc>
          <w:tcPr>
            <w:tcW w:w="84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180"/>
        </w:trPr>
        <w:tc>
          <w:tcPr>
            <w:tcW w:w="8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Common stock—$0.01 par value per share; 100,000,000 authorized shares; 15,568,110 and 15,522,834 shares issued and outstanding at</w:t>
            </w: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05"/>
        </w:trPr>
        <w:tc>
          <w:tcPr>
            <w:tcW w:w="852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March 31, 2026 and December 31, 2025, respectively</w:t>
            </w:r>
          </w:p>
        </w:tc>
        <w:tc>
          <w:tcPr>
            <w:tcW w:w="2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r>
      <w:tr>
        <w:trPr>
          <w:trHeight w:val="192"/>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162,373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165,211</w:t>
            </w: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8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2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(9,486)</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(8,183)</w:t>
            </w:r>
          </w:p>
        </w:tc>
      </w:tr>
      <w:tr>
        <w:trPr>
          <w:trHeight w:val="192"/>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Retained earnings</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549,777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503,240</w:t>
            </w:r>
          </w:p>
        </w:tc>
      </w:tr>
      <w:tr>
        <w:trPr>
          <w:trHeight w:val="37"/>
        </w:trPr>
        <w:tc>
          <w:tcPr>
            <w:tcW w:w="84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23"/>
        </w:trPr>
        <w:tc>
          <w:tcPr>
            <w:tcW w:w="85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2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702,819</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660,423</w:t>
            </w:r>
          </w:p>
        </w:tc>
      </w:tr>
      <w:tr>
        <w:trPr>
          <w:trHeight w:val="218"/>
        </w:trPr>
        <w:tc>
          <w:tcPr>
            <w:tcW w:w="85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Total liabilities and shareholders’ equity</w:t>
            </w: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1,673,424</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1,644,079</w:t>
            </w:r>
          </w:p>
        </w:tc>
      </w:tr>
      <w:tr>
        <w:trPr>
          <w:trHeight w:val="25"/>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292"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20"/>
          </w:cols>
          <w:pgMar w:left="320" w:top="121" w:right="359" w:bottom="103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037"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MYR GROUP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OPERATIONS AND COMPREHENSIVE INCOME</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80" w:type="dxa"/>
            <w:vAlign w:val="bottom"/>
            <w:gridSpan w:val="4"/>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4"/>
        </w:trPr>
        <w:tc>
          <w:tcPr>
            <w:tcW w:w="8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tcBorders>
              <w:bottom w:val="single" w:sz="8" w:color="auto"/>
            </w:tcBorders>
          </w:tcPr>
          <w:p>
            <w:pPr>
              <w:spacing w:after="0"/>
              <w:rPr>
                <w:sz w:val="16"/>
                <w:szCs w:val="16"/>
                <w:color w:val="auto"/>
              </w:rPr>
            </w:pPr>
          </w:p>
        </w:tc>
      </w:tr>
      <w:tr>
        <w:trPr>
          <w:trHeight w:val="193"/>
        </w:trPr>
        <w:tc>
          <w:tcPr>
            <w:tcW w:w="8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300" w:type="dxa"/>
            <w:vAlign w:val="bottom"/>
          </w:tcPr>
          <w:p>
            <w:pPr>
              <w:spacing w:after="0"/>
              <w:rPr>
                <w:sz w:val="16"/>
                <w:szCs w:val="16"/>
                <w:color w:val="auto"/>
              </w:rPr>
            </w:pPr>
          </w:p>
        </w:tc>
        <w:tc>
          <w:tcPr>
            <w:tcW w:w="98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4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243"/>
        </w:trPr>
        <w:tc>
          <w:tcPr>
            <w:tcW w:w="8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revenues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1,000,380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833,620</w:t>
            </w:r>
          </w:p>
        </w:tc>
      </w:tr>
      <w:tr>
        <w:trPr>
          <w:trHeight w:val="270"/>
        </w:trPr>
        <w:tc>
          <w:tcPr>
            <w:tcW w:w="8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Contract costs</w:t>
            </w: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865,940</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736,719</w:t>
            </w:r>
          </w:p>
        </w:tc>
      </w:tr>
      <w:tr>
        <w:trPr>
          <w:trHeight w:val="243"/>
        </w:trPr>
        <w:tc>
          <w:tcPr>
            <w:tcW w:w="85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134,440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96,901</w:t>
            </w:r>
          </w:p>
        </w:tc>
      </w:tr>
      <w:tr>
        <w:trPr>
          <w:trHeight w:val="243"/>
        </w:trPr>
        <w:tc>
          <w:tcPr>
            <w:tcW w:w="8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69,423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62,524</w:t>
            </w: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w:t>
            </w:r>
          </w:p>
        </w:tc>
      </w:tr>
      <w:tr>
        <w:trPr>
          <w:trHeight w:val="243"/>
        </w:trPr>
        <w:tc>
          <w:tcPr>
            <w:tcW w:w="8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Gain on sale of property and equipment</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w:t>
            </w:r>
          </w:p>
        </w:tc>
      </w:tr>
      <w:tr>
        <w:trPr>
          <w:trHeight w:val="27"/>
        </w:trPr>
        <w:tc>
          <w:tcPr>
            <w:tcW w:w="8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85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64,722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34,290</w:t>
            </w:r>
          </w:p>
        </w:tc>
      </w:tr>
      <w:tr>
        <w:trPr>
          <w:trHeight w:val="243"/>
        </w:trPr>
        <w:tc>
          <w:tcPr>
            <w:tcW w:w="8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43"/>
        </w:trPr>
        <w:tc>
          <w:tcPr>
            <w:tcW w:w="85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w:t>
            </w: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5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expense, net</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37"/>
        </w:trPr>
        <w:tc>
          <w:tcPr>
            <w:tcW w:w="8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64,025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32,767</w:t>
            </w: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9,459</w:t>
            </w:r>
          </w:p>
        </w:tc>
      </w:tr>
      <w:tr>
        <w:trPr>
          <w:trHeight w:val="236"/>
        </w:trPr>
        <w:tc>
          <w:tcPr>
            <w:tcW w:w="8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46,800</w:t>
            </w:r>
          </w:p>
        </w:tc>
        <w:tc>
          <w:tcPr>
            <w:tcW w:w="10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23,308</w:t>
            </w: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17"/>
        </w:trPr>
        <w:tc>
          <w:tcPr>
            <w:tcW w:w="8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per common share:</w:t>
            </w:r>
          </w:p>
        </w:tc>
        <w:tc>
          <w:tcPr>
            <w:tcW w:w="3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r>
      <w:tr>
        <w:trPr>
          <w:trHeight w:val="243"/>
        </w:trPr>
        <w:tc>
          <w:tcPr>
            <w:tcW w:w="85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43"/>
        </w:trPr>
        <w:tc>
          <w:tcPr>
            <w:tcW w:w="8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 and potential common shares outstanding:</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15,539</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15,994</w:t>
            </w:r>
          </w:p>
        </w:tc>
      </w:tr>
      <w:tr>
        <w:trPr>
          <w:trHeight w:val="270"/>
        </w:trPr>
        <w:tc>
          <w:tcPr>
            <w:tcW w:w="85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15,676</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16,056</w:t>
            </w:r>
          </w:p>
        </w:tc>
      </w:tr>
      <w:tr>
        <w:trPr>
          <w:trHeight w:val="257"/>
        </w:trPr>
        <w:tc>
          <w:tcPr>
            <w:tcW w:w="8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43"/>
        </w:trPr>
        <w:tc>
          <w:tcPr>
            <w:tcW w:w="8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46,800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23,308</w:t>
            </w: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85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7"/>
        </w:trPr>
        <w:tc>
          <w:tcPr>
            <w:tcW w:w="8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3"/>
        </w:trPr>
        <w:tc>
          <w:tcPr>
            <w:tcW w:w="8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63"/>
        </w:trPr>
        <w:tc>
          <w:tcPr>
            <w:tcW w:w="8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45,497</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23,430</w:t>
            </w:r>
          </w:p>
        </w:tc>
      </w:tr>
      <w:tr>
        <w:trPr>
          <w:trHeight w:val="21"/>
        </w:trPr>
        <w:tc>
          <w:tcPr>
            <w:tcW w:w="8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MYR GROUP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SHAREHOLDERS’ EQUITY</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9"/>
        </w:trPr>
        <w:tc>
          <w:tcPr>
            <w:tcW w:w="3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140" w:type="dxa"/>
            <w:vAlign w:val="bottom"/>
          </w:tcPr>
          <w:p>
            <w:pPr>
              <w:spacing w:after="0"/>
              <w:rPr>
                <w:sz w:val="16"/>
                <w:szCs w:val="16"/>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39"/>
        </w:trPr>
        <w:tc>
          <w:tcPr>
            <w:tcW w:w="3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Preferred</w:t>
            </w:r>
          </w:p>
        </w:tc>
        <w:tc>
          <w:tcPr>
            <w:tcW w:w="1660" w:type="dxa"/>
            <w:vAlign w:val="bottom"/>
            <w:tcBorders>
              <w:bottom w:val="single" w:sz="8" w:color="auto"/>
            </w:tcBorders>
            <w:gridSpan w:val="4"/>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40" w:type="dxa"/>
            <w:vAlign w:val="bottom"/>
          </w:tcPr>
          <w:p>
            <w:pPr>
              <w:spacing w:after="0"/>
              <w:rPr>
                <w:sz w:val="20"/>
                <w:szCs w:val="20"/>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60" w:type="dxa"/>
            <w:vAlign w:val="bottom"/>
          </w:tcPr>
          <w:p>
            <w:pPr>
              <w:spacing w:after="0"/>
              <w:rPr>
                <w:sz w:val="20"/>
                <w:szCs w:val="20"/>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37"/>
        </w:trPr>
        <w:tc>
          <w:tcPr>
            <w:tcW w:w="340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00" w:type="dxa"/>
            <w:vAlign w:val="bottom"/>
            <w:tcBorders>
              <w:bottom w:val="single" w:sz="8" w:color="CCEEFF"/>
            </w:tcBorders>
          </w:tcPr>
          <w:p>
            <w:pPr>
              <w:spacing w:after="0"/>
              <w:rPr>
                <w:sz w:val="20"/>
                <w:szCs w:val="20"/>
                <w:color w:val="auto"/>
              </w:rPr>
            </w:pPr>
          </w:p>
        </w:tc>
        <w:tc>
          <w:tcPr>
            <w:tcW w:w="7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43"/>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16,122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159,133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(12,651)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453,717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600,360</w:t>
            </w:r>
          </w:p>
        </w:tc>
      </w:tr>
      <w:tr>
        <w:trPr>
          <w:trHeight w:val="233"/>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tcPr>
          <w:p>
            <w:pPr>
              <w:spacing w:after="0"/>
              <w:rPr>
                <w:sz w:val="20"/>
                <w:szCs w:val="20"/>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23,308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23,308</w:t>
            </w:r>
          </w:p>
        </w:tc>
      </w:tr>
      <w:tr>
        <w:trPr>
          <w:trHeight w:val="253"/>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issued under compensation plans, net</w:t>
            </w:r>
          </w:p>
        </w:tc>
        <w:tc>
          <w:tcPr>
            <w:tcW w:w="1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0" w:type="dxa"/>
            <w:vAlign w:val="bottom"/>
          </w:tcPr>
          <w:p>
            <w:pPr>
              <w:spacing w:after="0"/>
              <w:rPr>
                <w:sz w:val="20"/>
                <w:szCs w:val="20"/>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2,333</w:t>
            </w:r>
          </w:p>
        </w:tc>
      </w:tr>
      <w:tr>
        <w:trPr>
          <w:trHeight w:val="212"/>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repurchased related to tax withholding for</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43"/>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(2,451)</w:t>
            </w:r>
          </w:p>
        </w:tc>
      </w:tr>
      <w:tr>
        <w:trPr>
          <w:trHeight w:val="233"/>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Share repurchases under share repurchase program</w:t>
            </w:r>
          </w:p>
        </w:tc>
        <w:tc>
          <w:tcPr>
            <w:tcW w:w="100" w:type="dxa"/>
            <w:vAlign w:val="bottom"/>
          </w:tcPr>
          <w:p>
            <w:pPr>
              <w:spacing w:after="0"/>
              <w:rPr>
                <w:sz w:val="20"/>
                <w:szCs w:val="20"/>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(68,691)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(75,000)</w:t>
            </w:r>
          </w:p>
        </w:tc>
      </w:tr>
      <w:tr>
        <w:trPr>
          <w:trHeight w:val="246"/>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r>
      <w:tr>
        <w:trPr>
          <w:trHeight w:val="243"/>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2025</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15,522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152,898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(12,529)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408,148</w:t>
            </w:r>
          </w:p>
        </w:tc>
        <w:tc>
          <w:tcPr>
            <w:tcW w:w="100" w:type="dxa"/>
            <w:vAlign w:val="bottom"/>
          </w:tcPr>
          <w:p>
            <w:pPr>
              <w:spacing w:after="0"/>
              <w:rPr>
                <w:sz w:val="21"/>
                <w:szCs w:val="21"/>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548,672</w:t>
            </w:r>
          </w:p>
        </w:tc>
      </w:tr>
      <w:tr>
        <w:trPr>
          <w:trHeight w:val="20"/>
        </w:trPr>
        <w:tc>
          <w:tcPr>
            <w:tcW w:w="3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3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233"/>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2025</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15,523</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165,211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503,240</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660,423</w:t>
            </w:r>
          </w:p>
        </w:tc>
      </w:tr>
      <w:tr>
        <w:trPr>
          <w:trHeight w:val="253"/>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46,800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46,800</w:t>
            </w:r>
          </w:p>
        </w:tc>
      </w:tr>
      <w:tr>
        <w:trPr>
          <w:trHeight w:val="233"/>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 issued under compensation plans, net</w:t>
            </w:r>
          </w:p>
        </w:tc>
        <w:tc>
          <w:tcPr>
            <w:tcW w:w="100" w:type="dxa"/>
            <w:vAlign w:val="bottom"/>
          </w:tcPr>
          <w:p>
            <w:pPr>
              <w:spacing w:after="0"/>
              <w:rPr>
                <w:sz w:val="20"/>
                <w:szCs w:val="20"/>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3,386</w:t>
            </w:r>
          </w:p>
        </w:tc>
      </w:tr>
      <w:tr>
        <w:trPr>
          <w:trHeight w:val="202"/>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Shares repurchased related to tax withholding for</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34"/>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 w:type="dxa"/>
            <w:vAlign w:val="bottom"/>
          </w:tcPr>
          <w:p>
            <w:pPr>
              <w:spacing w:after="0"/>
              <w:rPr>
                <w:sz w:val="20"/>
                <w:szCs w:val="20"/>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(6,487)</w:t>
            </w:r>
          </w:p>
        </w:tc>
      </w:tr>
      <w:tr>
        <w:trPr>
          <w:trHeight w:val="250"/>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(1,303)</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(1,303)</w:t>
            </w:r>
          </w:p>
        </w:tc>
      </w:tr>
      <w:tr>
        <w:trPr>
          <w:trHeight w:val="240"/>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15,568</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162,373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(9,486)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549,777</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702,819</w:t>
            </w:r>
          </w:p>
        </w:tc>
      </w:tr>
      <w:tr>
        <w:trPr>
          <w:trHeight w:val="20"/>
        </w:trPr>
        <w:tc>
          <w:tcPr>
            <w:tcW w:w="3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MYR GROUP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CASH FLOWS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0" w:type="dxa"/>
            <w:vAlign w:val="bottom"/>
            <w:gridSpan w:val="4"/>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8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3"/>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5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84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8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46,800</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23,308</w:t>
            </w:r>
          </w:p>
        </w:tc>
        <w:tc>
          <w:tcPr>
            <w:tcW w:w="0" w:type="dxa"/>
            <w:vAlign w:val="bottom"/>
          </w:tcPr>
          <w:p>
            <w:pPr>
              <w:spacing w:after="0"/>
              <w:rPr>
                <w:sz w:val="1"/>
                <w:szCs w:val="1"/>
                <w:color w:val="auto"/>
              </w:rPr>
            </w:pPr>
          </w:p>
        </w:tc>
      </w:tr>
      <w:tr>
        <w:trPr>
          <w:trHeight w:val="253"/>
        </w:trPr>
        <w:tc>
          <w:tcPr>
            <w:tcW w:w="85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Adjustments to reconcile net income to net cash flows provided by operating activities:</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85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 of property and equipment</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16,546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15,005</w:t>
            </w:r>
          </w:p>
        </w:tc>
        <w:tc>
          <w:tcPr>
            <w:tcW w:w="0" w:type="dxa"/>
            <w:vAlign w:val="bottom"/>
          </w:tcPr>
          <w:p>
            <w:pPr>
              <w:spacing w:after="0"/>
              <w:rPr>
                <w:sz w:val="1"/>
                <w:szCs w:val="1"/>
                <w:color w:val="auto"/>
              </w:rPr>
            </w:pPr>
          </w:p>
        </w:tc>
      </w:tr>
      <w:tr>
        <w:trPr>
          <w:trHeight w:val="253"/>
        </w:trPr>
        <w:tc>
          <w:tcPr>
            <w:tcW w:w="8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1,217</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1,188</w:t>
            </w:r>
          </w:p>
        </w:tc>
        <w:tc>
          <w:tcPr>
            <w:tcW w:w="0" w:type="dxa"/>
            <w:vAlign w:val="bottom"/>
          </w:tcPr>
          <w:p>
            <w:pPr>
              <w:spacing w:after="0"/>
              <w:rPr>
                <w:sz w:val="1"/>
                <w:szCs w:val="1"/>
                <w:color w:val="auto"/>
              </w:rPr>
            </w:pPr>
          </w:p>
        </w:tc>
      </w:tr>
      <w:tr>
        <w:trPr>
          <w:trHeight w:val="233"/>
        </w:trPr>
        <w:tc>
          <w:tcPr>
            <w:tcW w:w="85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2,333</w:t>
            </w:r>
          </w:p>
        </w:tc>
        <w:tc>
          <w:tcPr>
            <w:tcW w:w="0" w:type="dxa"/>
            <w:vAlign w:val="bottom"/>
          </w:tcPr>
          <w:p>
            <w:pPr>
              <w:spacing w:after="0"/>
              <w:rPr>
                <w:sz w:val="1"/>
                <w:szCs w:val="1"/>
                <w:color w:val="auto"/>
              </w:rPr>
            </w:pPr>
          </w:p>
        </w:tc>
      </w:tr>
      <w:tr>
        <w:trPr>
          <w:trHeight w:val="253"/>
        </w:trPr>
        <w:tc>
          <w:tcPr>
            <w:tcW w:w="8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Gain on sale of property and equipment</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(1,101)</w:t>
            </w:r>
          </w:p>
        </w:tc>
        <w:tc>
          <w:tcPr>
            <w:tcW w:w="0" w:type="dxa"/>
            <w:vAlign w:val="bottom"/>
          </w:tcPr>
          <w:p>
            <w:pPr>
              <w:spacing w:after="0"/>
              <w:rPr>
                <w:sz w:val="1"/>
                <w:szCs w:val="1"/>
                <w:color w:val="auto"/>
              </w:rPr>
            </w:pPr>
          </w:p>
        </w:tc>
      </w:tr>
      <w:tr>
        <w:trPr>
          <w:trHeight w:val="233"/>
        </w:trPr>
        <w:tc>
          <w:tcPr>
            <w:tcW w:w="85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Other non-cash items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253"/>
        </w:trPr>
        <w:tc>
          <w:tcPr>
            <w:tcW w:w="8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852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Accounts receivable, net</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(32,573)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84,015</w:t>
            </w:r>
          </w:p>
        </w:tc>
        <w:tc>
          <w:tcPr>
            <w:tcW w:w="0" w:type="dxa"/>
            <w:vAlign w:val="bottom"/>
          </w:tcPr>
          <w:p>
            <w:pPr>
              <w:spacing w:after="0"/>
              <w:rPr>
                <w:sz w:val="1"/>
                <w:szCs w:val="1"/>
                <w:color w:val="auto"/>
              </w:rPr>
            </w:pPr>
          </w:p>
        </w:tc>
      </w:tr>
      <w:tr>
        <w:trPr>
          <w:trHeight w:val="253"/>
        </w:trPr>
        <w:tc>
          <w:tcPr>
            <w:tcW w:w="85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Contract assets, net</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16,885</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(34,023)</w:t>
            </w:r>
          </w:p>
        </w:tc>
        <w:tc>
          <w:tcPr>
            <w:tcW w:w="0" w:type="dxa"/>
            <w:vAlign w:val="bottom"/>
          </w:tcPr>
          <w:p>
            <w:pPr>
              <w:spacing w:after="0"/>
              <w:rPr>
                <w:sz w:val="1"/>
                <w:szCs w:val="1"/>
                <w:color w:val="auto"/>
              </w:rPr>
            </w:pPr>
          </w:p>
        </w:tc>
      </w:tr>
      <w:tr>
        <w:trPr>
          <w:trHeight w:val="233"/>
        </w:trPr>
        <w:tc>
          <w:tcPr>
            <w:tcW w:w="852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Receivable for insurance claims in excess of deductibles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0" w:type="dxa"/>
            <w:vAlign w:val="bottom"/>
          </w:tcPr>
          <w:p>
            <w:pPr>
              <w:spacing w:after="0"/>
              <w:rPr>
                <w:sz w:val="1"/>
                <w:szCs w:val="1"/>
                <w:color w:val="auto"/>
              </w:rPr>
            </w:pPr>
          </w:p>
        </w:tc>
      </w:tr>
      <w:tr>
        <w:trPr>
          <w:trHeight w:val="253"/>
        </w:trPr>
        <w:tc>
          <w:tcPr>
            <w:tcW w:w="85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Other assets</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2,955</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9,509</w:t>
            </w:r>
          </w:p>
        </w:tc>
        <w:tc>
          <w:tcPr>
            <w:tcW w:w="0" w:type="dxa"/>
            <w:vAlign w:val="bottom"/>
          </w:tcPr>
          <w:p>
            <w:pPr>
              <w:spacing w:after="0"/>
              <w:rPr>
                <w:sz w:val="1"/>
                <w:szCs w:val="1"/>
                <w:color w:val="auto"/>
              </w:rPr>
            </w:pPr>
          </w:p>
        </w:tc>
      </w:tr>
      <w:tr>
        <w:trPr>
          <w:trHeight w:val="233"/>
        </w:trPr>
        <w:tc>
          <w:tcPr>
            <w:tcW w:w="852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15,715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(7,831)</w:t>
            </w:r>
          </w:p>
        </w:tc>
        <w:tc>
          <w:tcPr>
            <w:tcW w:w="0" w:type="dxa"/>
            <w:vAlign w:val="bottom"/>
          </w:tcPr>
          <w:p>
            <w:pPr>
              <w:spacing w:after="0"/>
              <w:rPr>
                <w:sz w:val="1"/>
                <w:szCs w:val="1"/>
                <w:color w:val="auto"/>
              </w:rPr>
            </w:pPr>
          </w:p>
        </w:tc>
      </w:tr>
      <w:tr>
        <w:trPr>
          <w:trHeight w:val="253"/>
        </w:trPr>
        <w:tc>
          <w:tcPr>
            <w:tcW w:w="85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Contract liabilities, net</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(18,748)</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(34,932)</w:t>
            </w:r>
          </w:p>
        </w:tc>
        <w:tc>
          <w:tcPr>
            <w:tcW w:w="0" w:type="dxa"/>
            <w:vAlign w:val="bottom"/>
          </w:tcPr>
          <w:p>
            <w:pPr>
              <w:spacing w:after="0"/>
              <w:rPr>
                <w:sz w:val="1"/>
                <w:szCs w:val="1"/>
                <w:color w:val="auto"/>
              </w:rPr>
            </w:pPr>
          </w:p>
        </w:tc>
      </w:tr>
      <w:tr>
        <w:trPr>
          <w:trHeight w:val="233"/>
        </w:trPr>
        <w:tc>
          <w:tcPr>
            <w:tcW w:w="852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Accrued self-insurance</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46"/>
        </w:trPr>
        <w:tc>
          <w:tcPr>
            <w:tcW w:w="85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Other liabilities</w:t>
            </w: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32,205</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27,049</w:t>
            </w:r>
          </w:p>
        </w:tc>
        <w:tc>
          <w:tcPr>
            <w:tcW w:w="0" w:type="dxa"/>
            <w:vAlign w:val="bottom"/>
          </w:tcPr>
          <w:p>
            <w:pPr>
              <w:spacing w:after="0"/>
              <w:rPr>
                <w:sz w:val="1"/>
                <w:szCs w:val="1"/>
                <w:color w:val="auto"/>
              </w:rPr>
            </w:pPr>
          </w:p>
        </w:tc>
      </w:tr>
      <w:tr>
        <w:trPr>
          <w:trHeight w:val="237"/>
        </w:trPr>
        <w:tc>
          <w:tcPr>
            <w:tcW w:w="8520" w:type="dxa"/>
            <w:vAlign w:val="bottom"/>
            <w:tcBorders>
              <w:bottom w:val="single" w:sz="8" w:color="CCEEFF"/>
            </w:tcBorders>
            <w:gridSpan w:val="2"/>
          </w:tcPr>
          <w:p>
            <w:pPr>
              <w:ind w:left="580"/>
              <w:spacing w:after="0"/>
              <w:rPr>
                <w:sz w:val="20"/>
                <w:szCs w:val="20"/>
                <w:color w:val="auto"/>
              </w:rPr>
            </w:pPr>
            <w:r>
              <w:rPr>
                <w:rFonts w:ascii="Times New Roman" w:cs="Times New Roman" w:eastAsia="Times New Roman" w:hAnsi="Times New Roman"/>
                <w:sz w:val="16"/>
                <w:szCs w:val="16"/>
                <w:color w:val="auto"/>
              </w:rPr>
              <w:t>Net cash flows provided by operating activities</w:t>
            </w: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84,749</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83,286</w:t>
            </w:r>
          </w:p>
        </w:tc>
        <w:tc>
          <w:tcPr>
            <w:tcW w:w="0" w:type="dxa"/>
            <w:vAlign w:val="bottom"/>
          </w:tcPr>
          <w:p>
            <w:pPr>
              <w:spacing w:after="0"/>
              <w:rPr>
                <w:sz w:val="1"/>
                <w:szCs w:val="1"/>
                <w:color w:val="auto"/>
              </w:rPr>
            </w:pPr>
          </w:p>
        </w:tc>
      </w:tr>
      <w:tr>
        <w:trPr>
          <w:trHeight w:val="230"/>
        </w:trPr>
        <w:tc>
          <w:tcPr>
            <w:tcW w:w="8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Proceeds from sale of property and equipment</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2,176</w:t>
            </w:r>
          </w:p>
        </w:tc>
        <w:tc>
          <w:tcPr>
            <w:tcW w:w="0" w:type="dxa"/>
            <w:vAlign w:val="bottom"/>
          </w:tcPr>
          <w:p>
            <w:pPr>
              <w:spacing w:after="0"/>
              <w:rPr>
                <w:sz w:val="1"/>
                <w:szCs w:val="1"/>
                <w:color w:val="auto"/>
              </w:rPr>
            </w:pPr>
          </w:p>
        </w:tc>
      </w:tr>
      <w:tr>
        <w:trPr>
          <w:trHeight w:val="246"/>
        </w:trPr>
        <w:tc>
          <w:tcPr>
            <w:tcW w:w="8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(16,132)</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(13,066)</w:t>
            </w:r>
          </w:p>
        </w:tc>
        <w:tc>
          <w:tcPr>
            <w:tcW w:w="0" w:type="dxa"/>
            <w:vAlign w:val="bottom"/>
          </w:tcPr>
          <w:p>
            <w:pPr>
              <w:spacing w:after="0"/>
              <w:rPr>
                <w:sz w:val="1"/>
                <w:szCs w:val="1"/>
                <w:color w:val="auto"/>
              </w:rPr>
            </w:pPr>
          </w:p>
        </w:tc>
      </w:tr>
      <w:tr>
        <w:trPr>
          <w:trHeight w:val="236"/>
        </w:trPr>
        <w:tc>
          <w:tcPr>
            <w:tcW w:w="8520" w:type="dxa"/>
            <w:vAlign w:val="bottom"/>
            <w:tcBorders>
              <w:bottom w:val="single" w:sz="8" w:color="CCEEFF"/>
            </w:tcBorders>
            <w:gridSpan w:val="2"/>
          </w:tcPr>
          <w:p>
            <w:pPr>
              <w:ind w:left="480"/>
              <w:spacing w:after="0"/>
              <w:rPr>
                <w:sz w:val="20"/>
                <w:szCs w:val="20"/>
                <w:color w:val="auto"/>
              </w:rPr>
            </w:pPr>
            <w:r>
              <w:rPr>
                <w:rFonts w:ascii="Times New Roman" w:cs="Times New Roman" w:eastAsia="Times New Roman" w:hAnsi="Times New Roman"/>
                <w:sz w:val="16"/>
                <w:szCs w:val="16"/>
                <w:color w:val="auto"/>
              </w:rPr>
              <w:t>Net cash flows used in investing activities</w:t>
            </w: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(15,178)</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(10,890)</w:t>
            </w:r>
          </w:p>
        </w:tc>
        <w:tc>
          <w:tcPr>
            <w:tcW w:w="0" w:type="dxa"/>
            <w:vAlign w:val="bottom"/>
          </w:tcPr>
          <w:p>
            <w:pPr>
              <w:spacing w:after="0"/>
              <w:rPr>
                <w:sz w:val="1"/>
                <w:szCs w:val="1"/>
                <w:color w:val="auto"/>
              </w:rPr>
            </w:pPr>
          </w:p>
        </w:tc>
      </w:tr>
      <w:tr>
        <w:trPr>
          <w:trHeight w:val="230"/>
        </w:trPr>
        <w:tc>
          <w:tcPr>
            <w:tcW w:w="8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Borrowings under revolving lines of credit</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48,003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230,695</w:t>
            </w:r>
          </w:p>
        </w:tc>
        <w:tc>
          <w:tcPr>
            <w:tcW w:w="0" w:type="dxa"/>
            <w:vAlign w:val="bottom"/>
          </w:tcPr>
          <w:p>
            <w:pPr>
              <w:spacing w:after="0"/>
              <w:rPr>
                <w:sz w:val="1"/>
                <w:szCs w:val="1"/>
                <w:color w:val="auto"/>
              </w:rPr>
            </w:pPr>
          </w:p>
        </w:tc>
      </w:tr>
      <w:tr>
        <w:trPr>
          <w:trHeight w:val="253"/>
        </w:trPr>
        <w:tc>
          <w:tcPr>
            <w:tcW w:w="8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Repayments under revolving lines of credit</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(95,417)</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(215,761)</w:t>
            </w:r>
          </w:p>
        </w:tc>
        <w:tc>
          <w:tcPr>
            <w:tcW w:w="0" w:type="dxa"/>
            <w:vAlign w:val="bottom"/>
          </w:tcPr>
          <w:p>
            <w:pPr>
              <w:spacing w:after="0"/>
              <w:rPr>
                <w:sz w:val="1"/>
                <w:szCs w:val="1"/>
                <w:color w:val="auto"/>
              </w:rPr>
            </w:pPr>
          </w:p>
        </w:tc>
      </w:tr>
      <w:tr>
        <w:trPr>
          <w:trHeight w:val="240"/>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Payment of principal obligations under equipment notes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(2,156)</w:t>
            </w:r>
          </w:p>
        </w:tc>
        <w:tc>
          <w:tcPr>
            <w:tcW w:w="0" w:type="dxa"/>
            <w:vAlign w:val="bottom"/>
          </w:tcPr>
          <w:p>
            <w:pPr>
              <w:spacing w:after="0"/>
              <w:rPr>
                <w:sz w:val="1"/>
                <w:szCs w:val="1"/>
                <w:color w:val="auto"/>
              </w:rPr>
            </w:pPr>
          </w:p>
        </w:tc>
      </w:tr>
      <w:tr>
        <w:trPr>
          <w:trHeight w:val="246"/>
        </w:trPr>
        <w:tc>
          <w:tcPr>
            <w:tcW w:w="8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 of principal obligations under finance leases</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0" w:type="dxa"/>
            <w:vAlign w:val="bottom"/>
          </w:tcPr>
          <w:p>
            <w:pPr>
              <w:spacing w:after="0"/>
              <w:rPr>
                <w:sz w:val="1"/>
                <w:szCs w:val="1"/>
                <w:color w:val="auto"/>
              </w:rPr>
            </w:pPr>
          </w:p>
        </w:tc>
      </w:tr>
      <w:tr>
        <w:trPr>
          <w:trHeight w:val="233"/>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30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0" w:type="dxa"/>
            <w:vAlign w:val="bottom"/>
          </w:tcPr>
          <w:p>
            <w:pPr>
              <w:spacing w:after="0"/>
              <w:rPr>
                <w:sz w:val="1"/>
                <w:szCs w:val="1"/>
                <w:color w:val="auto"/>
              </w:rPr>
            </w:pPr>
          </w:p>
        </w:tc>
      </w:tr>
      <w:tr>
        <w:trPr>
          <w:trHeight w:val="246"/>
        </w:trPr>
        <w:tc>
          <w:tcPr>
            <w:tcW w:w="8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Payments related to tax withholding for stock-based compensation</w:t>
            </w: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(6,487)</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(2,451)</w:t>
            </w:r>
          </w:p>
        </w:tc>
        <w:tc>
          <w:tcPr>
            <w:tcW w:w="0" w:type="dxa"/>
            <w:vAlign w:val="bottom"/>
          </w:tcPr>
          <w:p>
            <w:pPr>
              <w:spacing w:after="0"/>
              <w:rPr>
                <w:sz w:val="1"/>
                <w:szCs w:val="1"/>
                <w:color w:val="auto"/>
              </w:rPr>
            </w:pPr>
          </w:p>
        </w:tc>
      </w:tr>
      <w:tr>
        <w:trPr>
          <w:trHeight w:val="237"/>
        </w:trPr>
        <w:tc>
          <w:tcPr>
            <w:tcW w:w="8520" w:type="dxa"/>
            <w:vAlign w:val="bottom"/>
            <w:tcBorders>
              <w:bottom w:val="single" w:sz="8" w:color="CCEEFF"/>
            </w:tcBorders>
            <w:gridSpan w:val="2"/>
          </w:tcPr>
          <w:p>
            <w:pPr>
              <w:ind w:left="480"/>
              <w:spacing w:after="0"/>
              <w:rPr>
                <w:sz w:val="20"/>
                <w:szCs w:val="20"/>
                <w:color w:val="auto"/>
              </w:rPr>
            </w:pPr>
            <w:r>
              <w:rPr>
                <w:rFonts w:ascii="Times New Roman" w:cs="Times New Roman" w:eastAsia="Times New Roman" w:hAnsi="Times New Roman"/>
                <w:sz w:val="16"/>
                <w:szCs w:val="16"/>
                <w:color w:val="auto"/>
              </w:rPr>
              <w:t>Net cash flows used in financing activities</w:t>
            </w: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(56,346)</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(64,972)</w:t>
            </w:r>
          </w:p>
        </w:tc>
        <w:tc>
          <w:tcPr>
            <w:tcW w:w="0" w:type="dxa"/>
            <w:vAlign w:val="bottom"/>
          </w:tcPr>
          <w:p>
            <w:pPr>
              <w:spacing w:after="0"/>
              <w:rPr>
                <w:sz w:val="1"/>
                <w:szCs w:val="1"/>
                <w:color w:val="auto"/>
              </w:rPr>
            </w:pPr>
          </w:p>
        </w:tc>
      </w:tr>
      <w:tr>
        <w:trPr>
          <w:trHeight w:val="236"/>
        </w:trPr>
        <w:tc>
          <w:tcPr>
            <w:tcW w:w="85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3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2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33"/>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Net increase in cash and cash equivalents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13,036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7,432</w:t>
            </w:r>
          </w:p>
        </w:tc>
        <w:tc>
          <w:tcPr>
            <w:tcW w:w="0" w:type="dxa"/>
            <w:vAlign w:val="bottom"/>
          </w:tcPr>
          <w:p>
            <w:pPr>
              <w:spacing w:after="0"/>
              <w:rPr>
                <w:sz w:val="1"/>
                <w:szCs w:val="1"/>
                <w:color w:val="auto"/>
              </w:rPr>
            </w:pPr>
          </w:p>
        </w:tc>
      </w:tr>
      <w:tr>
        <w:trPr>
          <w:trHeight w:val="253"/>
        </w:trPr>
        <w:tc>
          <w:tcPr>
            <w:tcW w:w="8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85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Beginning of period</w:t>
            </w: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150,156</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3,464</w:t>
            </w:r>
          </w:p>
        </w:tc>
        <w:tc>
          <w:tcPr>
            <w:tcW w:w="0" w:type="dxa"/>
            <w:vAlign w:val="bottom"/>
          </w:tcPr>
          <w:p>
            <w:pPr>
              <w:spacing w:after="0"/>
              <w:rPr>
                <w:sz w:val="1"/>
                <w:szCs w:val="1"/>
                <w:color w:val="auto"/>
              </w:rPr>
            </w:pPr>
          </w:p>
        </w:tc>
      </w:tr>
      <w:tr>
        <w:trPr>
          <w:trHeight w:val="268"/>
        </w:trPr>
        <w:tc>
          <w:tcPr>
            <w:tcW w:w="8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End of period</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163,192</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10,896</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MYR GROUP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158" w:lineRule="exact"/>
        <w:rPr>
          <w:sz w:val="20"/>
          <w:szCs w:val="20"/>
          <w:color w:val="auto"/>
        </w:rPr>
      </w:pPr>
    </w:p>
    <w:p>
      <w:pPr>
        <w:ind w:right="7280" w:firstLine="8"/>
        <w:spacing w:after="0" w:line="503" w:lineRule="auto"/>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Business and Basis of Presentation Organization and Business</w:t>
      </w:r>
    </w:p>
    <w:p>
      <w:pPr>
        <w:ind w:right="80" w:firstLine="648"/>
        <w:spacing w:after="0" w:line="270" w:lineRule="auto"/>
        <w:rPr>
          <w:sz w:val="20"/>
          <w:szCs w:val="20"/>
          <w:color w:val="auto"/>
        </w:rPr>
      </w:pPr>
      <w:r>
        <w:rPr>
          <w:rFonts w:ascii="Times New Roman" w:cs="Times New Roman" w:eastAsia="Times New Roman" w:hAnsi="Times New Roman"/>
          <w:sz w:val="17"/>
          <w:szCs w:val="17"/>
          <w:color w:val="auto"/>
        </w:rPr>
        <w:t>MYR Group Inc. (the “Company”) is a holding company of specialty electrical construction service providers conducting operations through wholly owned subsidiaries. The Company performs construction services in two business segments: Transmission and Distribution (“T&amp;D”), and Commercial and Industrial (“C&amp;I”). T&amp;D customers include investor-owned utilities, cooperatives, private developers, government-funded utilities, independent power producers, independent transmission companies, industrial facility owners and other contractors. T&amp;D provides a broad range of services on electric transmission, distribution networks, substation facilities, clean energy projects and electric vehicle charging infrastructure. T&amp;D services include design, engineering, procurement, construction, upgrade, maintenance and repair services. C&amp;I customers include general contractors, commercial and industrial facility owners, government agencies and developers. C&amp;I provides a broad range of services, which include the design, installation, maintenance and repair of commercial and industrial wiring. Typical C&amp;I contracts cover electrical contracting services for data centers, clean energy projects, airports, hospitals, hotels, commercial and industrial facilities, manufacturing plants, processing facilities, water/waste-water treatment facilities, mining facilities, intelligent transportation systems, roadway lighting, signalization, stadiums and electric vehicle charging infrastructure.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Interim Consolidated Financial Information</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of the Company were prepared in accordance with accounting principles generally accepted in the United States of America (“U.S. GAAP”) for interim financial reporting pursuant to the rules and regulations of the Securities and Exchange Commission (“SEC”). Certain information and footnote disclosures normally included in annual financial statements prepared in accordance with U.S. GAAP have been condensed or omitted pursuant to the rules and regulations of the SEC. The Company believes that the disclosures made are adequate to make the information presented not misleading. In the opinion of management, all adjustments, consisting only of normal recurring adjustments, necessary to fairly state the financial position, results of operations, comprehensive income (loss), shareholders’ equity and cash flows with respect to the interim consolidated financial statements, have been included. Certain reclassifications were made to prior year amounts to conform to the current year presentation. The consolidated balance sheet as of December 31, 2025 has been derived from the audited financial statements as of that date. The results of operations and comprehensive income are not necessarily indicative of the results for the full year or the results for any future periods. These financial statements should be read in conjunction with the audited financial statements and related notes for the year ended December 31, 2025, included in the Company’s Annual Report on Form 10-K, which was filed with the SEC on February 25, 2026 (the "2025 Annual Report").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revenues and expenses during the period reported. Actual results could differ from those estimates.</w:t>
      </w:r>
    </w:p>
    <w:p>
      <w:pPr>
        <w:spacing w:after="0" w:line="176"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The most significant estimates are related to estimates of costs to complete contracts, variable consideration inclusive of pending change orders and claims, shared savings, useful lives of property and equipment, insurance reserves, the recognition and measurement of current and deferred income taxes, including the measurement of certain tax positions, estimates surrounding stock-based compensation, the recoverability of goodwill and intangibles and allowance for doubtful accounts. The Company estimates a cost accrual every quarter that represents costs incurred but not invoiced for services performed or goods delivered during the period, and estimates revenue from the contract cost portion of these accruals based on current gross margin rates to be consistent with its cost method of revenue recognition.</w:t>
      </w:r>
    </w:p>
    <w:p>
      <w:pPr>
        <w:spacing w:after="0" w:line="187"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Company estimates costs to complete on fixed price contracts which are determined on an individual contract basis by evaluating each project’s status as of the balance sheet date, and using our historical experience with the level of effort required to complete the underlying project. Claims and change orders are measured based on our historical experience with individual customers and similar contracts, and are evaluated by management individually. The Company includes these estimated amounts of variable consideration to the extent that it is probable there will not be a significant reversal of revenue.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Some of the Company’s contracts may have contract terms that include variable consideration such as safety or performance bonuses or liquidated damages. The Company includes the estimated amount of variable consideration in the transaction price only to the extent that it is probable that a significant reversal in the amount of cumulative recognized revenue will not occur when the final outcome of the variable consideration is determined. In contracts in which a significant reversal may occur, the Company exercises restraint in recognizing revenue on variable consideration. The Company often enters into contracts that contain liquidated damage clauses. The Company does not include amounts associated with liquidated damage clauses until it is probable that liquidated damages will occur. These items are continually monitored by multiple levels of management throughout the reporting period.</w:t>
      </w:r>
    </w:p>
    <w:p>
      <w:pPr>
        <w:spacing w:after="0" w:line="187"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As of March 31, 2026 and December 31, 2025, the Company had recognized revenues of $12.2 million and $23.5 million, respectively, related to large change orders and/or claims that had been included as contract price adjustments on certain contracts, some of which are multi-year projects. These change orders and/or claims are in the process of being negotiated in the normal course of business, and a portion of these recognized revenues had been included in multiple periods.</w:t>
      </w:r>
    </w:p>
    <w:p>
      <w:pPr>
        <w:spacing w:after="0" w:line="180"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The cost-to-cost method of accounting requires the Company to make estimates about the expected revenue and gross profit on each of its contracts in process. During the three months ended March 31, 2026, net changes in estimates pertaining to certain projects increased consolidated gross margin by 0.8%, which resulted in increases in operating income of $8.5 million, net income of $5.6 million and diluted earnings per common share of $0.36. Additional discussion on the impact of these estimate changes can be found in Item 2, “Management’s Discussion and Analysis of Financial Condition and Results of Operations - Consolidated Results of Operations.”</w:t>
      </w:r>
    </w:p>
    <w:p>
      <w:pPr>
        <w:spacing w:after="0" w:line="183"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net changes in estimates pertaining to certain projects decreased consolidated gross margin by 1.1%, which resulted in decreases in operating income of $8.7 million, net income of $6.3 million and diluted earnings per common share of $0.39.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functional currency for the Company’s Canadian operations is the Canadian dollar. Assets and liabilities denominated in Canadian dollars are translated into U.S. dollars at the end-of-period exchange rate. Revenues and expenses are translated using average exchange rates for the periods reported. Equity accounts are translated at historical rates. Cumulative translation adjustments are included as a separate component of accumulated other comprehensive income (loss) in shareholders’ equity. Foreign currency transaction gains and losses, arising primarily from changes in exchange rates on short-term monetary assets and liabilities, and intercompany loans that are not deemed long-term investment accounts are recorded in the “other income, net” line on the Company’s consolidated statements of operations. Foreign currency losses and gains, recorded in other income, net, for the three months ended March 31, 2026 and 2025 were $1.0 million and $0.3 million, respectively. Foreign currency translation gains and losses, arising from intercompany loans that are deemed long-term investment accounts, are recorded in the foreign currency translation adjustment line on the Company’s consolidated statements of comprehensive income.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Changes to U.S. GAAP are typically established by the Financial Accounting Standards Board (“FASB”) in the form of accounting standards updates (“ASUs”) to the FASB’s Accounting Standards Codification (“ASC”). The Company considers the applicability and impact of all ASUs. The Company, based on its assessment, determined that any recently issued or proposed ASUs not listed below are either not applicable to the Company or will have minimal impact on its financial statements when adopted.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July 2025, the FASB issued ASU 2025-05, Financial Instruments - Credit Losses (Topic 326): Measurement of Credit Losses for Accounts Receivable and Contract Assets, which introduces a practical expedient for estimating expected credit losses on current accounts receivable and current contract assets arising from transactions under Topic 606. The practical expedient allows entities to assume that current conditions as of the balance sheet date would not change for the remaining life of the asset when evaluating expected credit losses. This standard is effective for the Company for the annual and interim periods beginning after December 15, 2025, with early adoption permitted, and should be applied prospectively. The Company elected to adopt this practical expedient on January 1, 2026, on a prospective basis. This election did not have a material impact on our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7"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Statement—Reporting Comprehensive Income—Expense Disaggregation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 (Subtopic 220-40): Disaggregation of Income Statement Expenses</w:t>
      </w:r>
      <w:r>
        <w:rPr>
          <w:rFonts w:ascii="Times New Roman" w:cs="Times New Roman" w:eastAsia="Times New Roman" w:hAnsi="Times New Roman"/>
          <w:sz w:val="18"/>
          <w:szCs w:val="18"/>
          <w:color w:val="auto"/>
        </w:rPr>
        <w:t>, which requires the disaggregation of certain expenses in the notes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financials, to provide enhanced transparency into the expense captions presented on the face of the income statement. The guidance will require disclosure of certain costs and expenses on an interim and annual basis in the notes to the consolidated financial statements. The update is effective for annual reporting periods beginning after December 15, 2026 and interim periods within annual reporting periods beginning after December 15, 2027, with early adoption permitted. The amendments in this pronouncement should be applied either (i) prospectively to financial statements issued for reporting periods after the effective date or (ii) retrospectively to any or all prior periods presented in the financial statements. The Company is currently evaluating the impact of the new standard on the Company’s consolidated financial statements and related disclosures.</w:t>
      </w:r>
    </w:p>
    <w:p>
      <w:pPr>
        <w:spacing w:after="0" w:line="117" w:lineRule="exact"/>
        <w:rPr>
          <w:sz w:val="20"/>
          <w:szCs w:val="20"/>
          <w:color w:val="auto"/>
        </w:rPr>
      </w:pPr>
    </w:p>
    <w:p>
      <w:pPr>
        <w:jc w:val="both"/>
        <w:ind w:right="80" w:firstLine="648"/>
        <w:spacing w:after="0" w:line="273" w:lineRule="auto"/>
        <w:rPr>
          <w:sz w:val="20"/>
          <w:szCs w:val="20"/>
          <w:color w:val="auto"/>
        </w:rPr>
      </w:pPr>
      <w:r>
        <w:rPr>
          <w:rFonts w:ascii="Times New Roman" w:cs="Times New Roman" w:eastAsia="Times New Roman" w:hAnsi="Times New Roman"/>
          <w:sz w:val="17"/>
          <w:szCs w:val="17"/>
          <w:color w:val="auto"/>
        </w:rPr>
        <w:t xml:space="preserve">In December 2025, the FASB issued ASU No. 2025-11, </w:t>
      </w:r>
      <w:r>
        <w:rPr>
          <w:rFonts w:ascii="Times New Roman" w:cs="Times New Roman" w:eastAsia="Times New Roman" w:hAnsi="Times New Roman"/>
          <w:sz w:val="17"/>
          <w:szCs w:val="17"/>
          <w:i w:val="1"/>
          <w:iCs w:val="1"/>
          <w:color w:val="auto"/>
        </w:rPr>
        <w:t>Interim Reporting (Topic 270): Narrow-Scope Improvements</w:t>
      </w:r>
      <w:r>
        <w:rPr>
          <w:rFonts w:ascii="Times New Roman" w:cs="Times New Roman" w:eastAsia="Times New Roman" w:hAnsi="Times New Roman"/>
          <w:sz w:val="17"/>
          <w:szCs w:val="17"/>
          <w:color w:val="auto"/>
        </w:rPr>
        <w:t>, which is intended to clarify the applicability of interim disclosure requirements, provides additional guidance on the disclosures required in interim reporting periods, and introduces a principle requiring entities to disclose events occurring since the end of the most recent annual reporting period that have a material impact on the entity.</w:t>
      </w:r>
    </w:p>
    <w:p>
      <w:pPr>
        <w:spacing w:after="0" w:line="1" w:lineRule="exact"/>
        <w:rPr>
          <w:sz w:val="20"/>
          <w:szCs w:val="20"/>
          <w:color w:val="auto"/>
        </w:rPr>
      </w:pPr>
    </w:p>
    <w:p>
      <w:pPr>
        <w:ind w:right="320"/>
        <w:spacing w:after="0" w:line="253" w:lineRule="auto"/>
        <w:rPr>
          <w:sz w:val="20"/>
          <w:szCs w:val="20"/>
          <w:color w:val="auto"/>
        </w:rPr>
      </w:pPr>
      <w:r>
        <w:rPr>
          <w:rFonts w:ascii="Times New Roman" w:cs="Times New Roman" w:eastAsia="Times New Roman" w:hAnsi="Times New Roman"/>
          <w:sz w:val="18"/>
          <w:szCs w:val="18"/>
          <w:color w:val="auto"/>
        </w:rPr>
        <w:t>The update is effective for interim reporting periods within annual reporting periods beginning after December 15, 2027, with early adoption permitted. The amendments in this pronouncement can be applied either prospectively or retrospectively to any or all prior periods presented in the financial statements. The Company is currently evaluating the impact of the new standard on the Company’s consolidated financial statements and related disclosures.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Contract Assets and Liabilities</w:t>
      </w:r>
    </w:p>
    <w:p>
      <w:pPr>
        <w:spacing w:after="0" w:line="22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Contracts with customers usually stipulate the timing of payment, which is defined by the terms found within the various contracts under which work was performed during the period. Therefore, contract assets and liabilities are created when the timing of costs incurred on work performed does not coincide with the billing terms. These contracts frequently include retention provisions contained in each contract. Retainage amounts are reflected in contract assets or contract liabilities depending on the net contract position of the particular contract.</w:t>
      </w:r>
    </w:p>
    <w:p>
      <w:pPr>
        <w:spacing w:after="0" w:line="180"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The Company’s consolidated balance sheets present contract assets, which contain unbilled revenue and contract retainages associated with contract work that has been completed and billed but not paid by customers, pursuant to retainage provisions, that are generally due once the job is completed and approved. The allowance for doubtful accounts associated with contract assets was $0.5 million as of March 31, 2026 and December 31, 2025, respectively.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Contract assets consisted of the following:</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3"/>
                <w:szCs w:val="13"/>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3"/>
                <w:szCs w:val="13"/>
                <w:color w:val="auto"/>
              </w:rPr>
            </w:pPr>
          </w:p>
        </w:tc>
        <w:tc>
          <w:tcPr>
            <w:tcW w:w="112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5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8"/>
        </w:trPr>
        <w:tc>
          <w:tcPr>
            <w:tcW w:w="8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Unbilled revenue, net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152,621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160,543</w:t>
            </w:r>
          </w:p>
        </w:tc>
        <w:tc>
          <w:tcPr>
            <w:tcW w:w="0" w:type="dxa"/>
            <w:vAlign w:val="bottom"/>
          </w:tcPr>
          <w:p>
            <w:pPr>
              <w:spacing w:after="0"/>
              <w:rPr>
                <w:sz w:val="1"/>
                <w:szCs w:val="1"/>
                <w:color w:val="auto"/>
              </w:rPr>
            </w:pPr>
          </w:p>
        </w:tc>
      </w:tr>
      <w:tr>
        <w:trPr>
          <w:trHeight w:val="229"/>
        </w:trPr>
        <w:tc>
          <w:tcPr>
            <w:tcW w:w="8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Contract retainages, net</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71,642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81,223</w:t>
            </w:r>
          </w:p>
        </w:tc>
        <w:tc>
          <w:tcPr>
            <w:tcW w:w="0" w:type="dxa"/>
            <w:vAlign w:val="bottom"/>
          </w:tcPr>
          <w:p>
            <w:pPr>
              <w:spacing w:after="0"/>
              <w:rPr>
                <w:sz w:val="1"/>
                <w:szCs w:val="1"/>
                <w:color w:val="auto"/>
              </w:rPr>
            </w:pPr>
          </w:p>
        </w:tc>
      </w:tr>
      <w:tr>
        <w:trPr>
          <w:trHeight w:val="248"/>
        </w:trPr>
        <w:tc>
          <w:tcPr>
            <w:tcW w:w="8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 net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241,766</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Company’s consolidated balance sheets present contract liabilities that contain deferred revenue, an accrual for contracts in a loss provision and retainage receivables.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Contract liabilities consisted of the following:</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3"/>
                <w:szCs w:val="13"/>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3"/>
                <w:szCs w:val="13"/>
                <w:color w:val="auto"/>
              </w:rPr>
            </w:pPr>
          </w:p>
        </w:tc>
        <w:tc>
          <w:tcPr>
            <w:tcW w:w="112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54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8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371,267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386,071</w:t>
            </w:r>
          </w:p>
        </w:tc>
        <w:tc>
          <w:tcPr>
            <w:tcW w:w="0" w:type="dxa"/>
            <w:vAlign w:val="bottom"/>
          </w:tcPr>
          <w:p>
            <w:pPr>
              <w:spacing w:after="0"/>
              <w:rPr>
                <w:sz w:val="1"/>
                <w:szCs w:val="1"/>
                <w:color w:val="auto"/>
              </w:rPr>
            </w:pPr>
          </w:p>
        </w:tc>
      </w:tr>
      <w:tr>
        <w:trPr>
          <w:trHeight w:val="23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loss provision</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13,084</w:t>
            </w:r>
          </w:p>
        </w:tc>
        <w:tc>
          <w:tcPr>
            <w:tcW w:w="0" w:type="dxa"/>
            <w:vAlign w:val="bottom"/>
          </w:tcPr>
          <w:p>
            <w:pPr>
              <w:spacing w:after="0"/>
              <w:rPr>
                <w:sz w:val="1"/>
                <w:szCs w:val="1"/>
                <w:color w:val="auto"/>
              </w:rPr>
            </w:pPr>
          </w:p>
        </w:tc>
      </w:tr>
      <w:tr>
        <w:trPr>
          <w:trHeight w:val="230"/>
        </w:trPr>
        <w:tc>
          <w:tcPr>
            <w:tcW w:w="8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retainage receivables</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(105,618)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(98,595)</w:t>
            </w:r>
          </w:p>
        </w:tc>
        <w:tc>
          <w:tcPr>
            <w:tcW w:w="0" w:type="dxa"/>
            <w:vAlign w:val="bottom"/>
          </w:tcPr>
          <w:p>
            <w:pPr>
              <w:spacing w:after="0"/>
              <w:rPr>
                <w:sz w:val="1"/>
                <w:szCs w:val="1"/>
                <w:color w:val="auto"/>
              </w:rPr>
            </w:pPr>
          </w:p>
        </w:tc>
      </w:tr>
      <w:tr>
        <w:trPr>
          <w:trHeight w:val="223"/>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Contract liabilities, net</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281,520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300,560</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information about contract assets and contract liabilities from contracts with customers: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3"/>
                <w:szCs w:val="13"/>
                <w:color w:val="auto"/>
              </w:rPr>
            </w:pPr>
          </w:p>
        </w:tc>
        <w:tc>
          <w:tcPr>
            <w:tcW w:w="104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710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 net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224,263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241,766</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(17,503)</w:t>
            </w:r>
          </w:p>
        </w:tc>
        <w:tc>
          <w:tcPr>
            <w:tcW w:w="0" w:type="dxa"/>
            <w:vAlign w:val="bottom"/>
          </w:tcPr>
          <w:p>
            <w:pPr>
              <w:spacing w:after="0"/>
              <w:rPr>
                <w:sz w:val="1"/>
                <w:szCs w:val="1"/>
                <w:color w:val="auto"/>
              </w:rPr>
            </w:pPr>
          </w:p>
        </w:tc>
      </w:tr>
      <w:tr>
        <w:trPr>
          <w:trHeight w:val="230"/>
        </w:trPr>
        <w:tc>
          <w:tcPr>
            <w:tcW w:w="7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Contract liabilities, net</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(281,520)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(300,560)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19,040</w:t>
            </w:r>
          </w:p>
        </w:tc>
        <w:tc>
          <w:tcPr>
            <w:tcW w:w="0" w:type="dxa"/>
            <w:vAlign w:val="bottom"/>
          </w:tcPr>
          <w:p>
            <w:pPr>
              <w:spacing w:after="0"/>
              <w:rPr>
                <w:sz w:val="1"/>
                <w:szCs w:val="1"/>
                <w:color w:val="auto"/>
              </w:rPr>
            </w:pPr>
          </w:p>
        </w:tc>
      </w:tr>
      <w:tr>
        <w:trPr>
          <w:trHeight w:val="248"/>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contract assets (liabilities)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(57,257)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(58,794)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difference between the opening and closing balances of the Company’s contract assets and contract liabilities primarily results from the timing of the Company’s billings in relation to its performance of work. The amounts of revenue recognized in the period that were included in the opening contract liability balances was $72.0 million for the three months ended March 31, 2026. The amounts of revenue recognized in the period that were included in the opening contract liability balances was $58.9 million for the three months ended March 31, 2025. This revenue consists primarily of work performed on previous billings to customers.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net liability position for contracts in process consisted of the following:</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3"/>
                <w:szCs w:val="13"/>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3"/>
                <w:szCs w:val="13"/>
                <w:color w:val="auto"/>
              </w:rPr>
            </w:pPr>
          </w:p>
        </w:tc>
        <w:tc>
          <w:tcPr>
            <w:tcW w:w="1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5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8"/>
        </w:trPr>
        <w:tc>
          <w:tcPr>
            <w:tcW w:w="8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estimated earnings on uncompleted contracts</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8,240,164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8,368,365</w:t>
            </w:r>
          </w:p>
        </w:tc>
        <w:tc>
          <w:tcPr>
            <w:tcW w:w="0" w:type="dxa"/>
            <w:vAlign w:val="bottom"/>
          </w:tcPr>
          <w:p>
            <w:pPr>
              <w:spacing w:after="0"/>
              <w:rPr>
                <w:sz w:val="1"/>
                <w:szCs w:val="1"/>
                <w:color w:val="auto"/>
              </w:rPr>
            </w:pPr>
          </w:p>
        </w:tc>
      </w:tr>
      <w:tr>
        <w:trPr>
          <w:trHeight w:val="230"/>
        </w:trPr>
        <w:tc>
          <w:tcPr>
            <w:tcW w:w="8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billings to date</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8,458,810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8,593,893</w:t>
            </w:r>
          </w:p>
        </w:tc>
        <w:tc>
          <w:tcPr>
            <w:tcW w:w="0" w:type="dxa"/>
            <w:vAlign w:val="bottom"/>
          </w:tcPr>
          <w:p>
            <w:pPr>
              <w:spacing w:after="0"/>
              <w:rPr>
                <w:sz w:val="1"/>
                <w:szCs w:val="1"/>
                <w:color w:val="auto"/>
              </w:rPr>
            </w:pPr>
          </w:p>
        </w:tc>
      </w:tr>
      <w:tr>
        <w:trPr>
          <w:trHeight w:val="248"/>
        </w:trPr>
        <w:tc>
          <w:tcPr>
            <w:tcW w:w="8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9"/>
              </w:rPr>
              <w:t>(218,646)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(225,528)</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The net liability position for contracts in process is included within the contract asset and contract liability in the accompanying consolidated balance sheets as follows: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5"/>
                <w:szCs w:val="15"/>
                <w:color w:val="auto"/>
              </w:rPr>
            </w:pPr>
          </w:p>
        </w:tc>
        <w:tc>
          <w:tcPr>
            <w:tcW w:w="120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6"/>
                <w:szCs w:val="16"/>
                <w:color w:val="auto"/>
              </w:rPr>
            </w:pPr>
          </w:p>
        </w:tc>
        <w:tc>
          <w:tcPr>
            <w:tcW w:w="114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43"/>
        </w:trPr>
        <w:tc>
          <w:tcPr>
            <w:tcW w:w="8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Unbilled revenue, net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center"/>
              <w:ind w:left="357"/>
              <w:spacing w:after="0"/>
              <w:rPr>
                <w:sz w:val="20"/>
                <w:szCs w:val="20"/>
                <w:color w:val="auto"/>
              </w:rPr>
            </w:pPr>
            <w:r>
              <w:rPr>
                <w:rFonts w:ascii="Times New Roman" w:cs="Times New Roman" w:eastAsia="Times New Roman" w:hAnsi="Times New Roman"/>
                <w:sz w:val="18"/>
                <w:szCs w:val="18"/>
                <w:color w:val="auto"/>
                <w:w w:val="99"/>
              </w:rPr>
              <w:t>152,621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center"/>
              <w:ind w:left="377"/>
              <w:spacing w:after="0"/>
              <w:rPr>
                <w:sz w:val="20"/>
                <w:szCs w:val="20"/>
                <w:color w:val="auto"/>
              </w:rPr>
            </w:pPr>
            <w:r>
              <w:rPr>
                <w:rFonts w:ascii="Times New Roman" w:cs="Times New Roman" w:eastAsia="Times New Roman" w:hAnsi="Times New Roman"/>
                <w:sz w:val="18"/>
                <w:szCs w:val="18"/>
                <w:color w:val="auto"/>
                <w:w w:val="99"/>
              </w:rPr>
              <w:t>160,543</w:t>
            </w:r>
          </w:p>
        </w:tc>
      </w:tr>
      <w:tr>
        <w:trPr>
          <w:trHeight w:val="243"/>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revenue, net</w:t>
            </w:r>
          </w:p>
        </w:tc>
        <w:tc>
          <w:tcPr>
            <w:tcW w:w="260" w:type="dxa"/>
            <w:vAlign w:val="bottom"/>
          </w:tcPr>
          <w:p>
            <w:pPr>
              <w:spacing w:after="0"/>
              <w:rPr>
                <w:sz w:val="21"/>
                <w:szCs w:val="21"/>
                <w:color w:val="auto"/>
              </w:rPr>
            </w:pPr>
          </w:p>
        </w:tc>
        <w:tc>
          <w:tcPr>
            <w:tcW w:w="1140" w:type="dxa"/>
            <w:vAlign w:val="bottom"/>
          </w:tcPr>
          <w:p>
            <w:pPr>
              <w:jc w:val="center"/>
              <w:ind w:left="317"/>
              <w:spacing w:after="0"/>
              <w:rPr>
                <w:sz w:val="20"/>
                <w:szCs w:val="20"/>
                <w:color w:val="auto"/>
              </w:rPr>
            </w:pPr>
            <w:r>
              <w:rPr>
                <w:rFonts w:ascii="Times New Roman" w:cs="Times New Roman" w:eastAsia="Times New Roman" w:hAnsi="Times New Roman"/>
                <w:sz w:val="18"/>
                <w:szCs w:val="18"/>
                <w:color w:val="auto"/>
                <w:w w:val="99"/>
              </w:rPr>
              <w:t>(371,267)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center"/>
              <w:ind w:left="357"/>
              <w:spacing w:after="0"/>
              <w:rPr>
                <w:sz w:val="20"/>
                <w:szCs w:val="20"/>
                <w:color w:val="auto"/>
              </w:rPr>
            </w:pPr>
            <w:r>
              <w:rPr>
                <w:rFonts w:ascii="Times New Roman" w:cs="Times New Roman" w:eastAsia="Times New Roman" w:hAnsi="Times New Roman"/>
                <w:sz w:val="18"/>
                <w:szCs w:val="18"/>
                <w:color w:val="auto"/>
              </w:rPr>
              <w:t>(386,071)</w:t>
            </w:r>
          </w:p>
        </w:tc>
      </w:tr>
      <w:tr>
        <w:trPr>
          <w:trHeight w:val="27"/>
        </w:trPr>
        <w:tc>
          <w:tcPr>
            <w:tcW w:w="8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8"/>
        </w:trPr>
        <w:tc>
          <w:tcPr>
            <w:tcW w:w="8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center"/>
              <w:ind w:left="317"/>
              <w:spacing w:after="0"/>
              <w:rPr>
                <w:sz w:val="20"/>
                <w:szCs w:val="20"/>
                <w:color w:val="auto"/>
              </w:rPr>
            </w:pPr>
            <w:r>
              <w:rPr>
                <w:rFonts w:ascii="Times New Roman" w:cs="Times New Roman" w:eastAsia="Times New Roman" w:hAnsi="Times New Roman"/>
                <w:sz w:val="18"/>
                <w:szCs w:val="18"/>
                <w:color w:val="auto"/>
                <w:w w:val="99"/>
              </w:rPr>
              <w:t>(218,646)</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center"/>
              <w:ind w:left="357"/>
              <w:spacing w:after="0"/>
              <w:rPr>
                <w:sz w:val="20"/>
                <w:szCs w:val="20"/>
                <w:color w:val="auto"/>
              </w:rPr>
            </w:pPr>
            <w:r>
              <w:rPr>
                <w:rFonts w:ascii="Times New Roman" w:cs="Times New Roman" w:eastAsia="Times New Roman" w:hAnsi="Times New Roman"/>
                <w:sz w:val="18"/>
                <w:szCs w:val="18"/>
                <w:color w:val="auto"/>
              </w:rPr>
              <w:t>(225,528)</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Lease Obligations</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From time to time, the Company enters into noncancelable leases for some of our facility, vehicle and equipment needs. These leases allow the Company to conserve cash by paying a monthly lease rental fee for the use of facilities, vehicles and equipment rather than purchasing them. The Company’s leases have remaining terms ranging from less than one to twelve years, some of which may include options to extend the leases for up to ten years, and some of which may include options to terminate the leases within one year. Currently, all the Company’s leases contain fixed payment terms. The Company may decide to cancel or terminate a lease before the end of its term, in which case we are typically liable to the lessor for the remaining lease payments under the term of the lease. Additionally, all of the Company's month-to-month leases are cancelable, by the Company or the lessor, at any time and are not included in our right-of-use asset or liability. At March 31, 2026, the Company had several leases with residual value guarantees. Typically, the Company has purchase options on the equipment underlying its long-term leases and many of its short-term rental arrangements. The Company may exercise some of these purchase options when the need for equipment is ongoing and the purchase option price is attractive. Leases are accounted for as operating or finance leases, depending on the terms of the lease.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the lease-related assets and liabilities recorded: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4"/>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2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Classification on the Consolidated Balance Sheet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32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9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520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50,357</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42,448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52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Property and equipment, net of accumulated depreciation</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1,738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3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right-of-use lease assets</w:t>
            </w:r>
          </w:p>
        </w:tc>
        <w:tc>
          <w:tcPr>
            <w:tcW w:w="49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52,095</w:t>
            </w: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44,358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4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520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obligations</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12,751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52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Current portion of finance lease obligations</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799</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3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current obligations</w:t>
            </w:r>
          </w:p>
        </w:tc>
        <w:tc>
          <w:tcPr>
            <w:tcW w:w="4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13,550</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Non-current</w:t>
            </w:r>
          </w:p>
        </w:tc>
        <w:tc>
          <w:tcPr>
            <w:tcW w:w="4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520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obligations, net of current maturities</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37,598</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29,429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52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Finance lease obligations, net of current maturities</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998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3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non-current obligations</w:t>
            </w:r>
          </w:p>
        </w:tc>
        <w:tc>
          <w:tcPr>
            <w:tcW w:w="4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38,596</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30,649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lease obligations</w:t>
            </w:r>
          </w:p>
        </w:tc>
        <w:tc>
          <w:tcPr>
            <w:tcW w:w="4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52,146</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44,472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8520" w:type="dxa"/>
            <w:vAlign w:val="bottom"/>
            <w:gridSpan w:val="6"/>
            <w:vMerge w:val="restart"/>
          </w:tcPr>
          <w:p>
            <w:pPr>
              <w:ind w:left="660"/>
              <w:spacing w:after="0"/>
              <w:rPr>
                <w:sz w:val="20"/>
                <w:szCs w:val="20"/>
                <w:color w:val="auto"/>
              </w:rPr>
            </w:pPr>
            <w:r>
              <w:rPr>
                <w:rFonts w:ascii="Times New Roman" w:cs="Times New Roman" w:eastAsia="Times New Roman" w:hAnsi="Times New Roman"/>
                <w:sz w:val="18"/>
                <w:szCs w:val="18"/>
                <w:color w:val="auto"/>
              </w:rPr>
              <w:t>The following is a summary of the lease terms and discount rates:</w:t>
            </w: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8520" w:type="dxa"/>
            <w:vAlign w:val="bottom"/>
            <w:gridSpan w:val="6"/>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3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4"/>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3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280" w:type="dxa"/>
            <w:vAlign w:val="bottom"/>
            <w:tcBorders>
              <w:bottom w:val="single" w:sz="8" w:color="CCEEFF"/>
            </w:tcBorders>
            <w:gridSpan w:val="3"/>
          </w:tcPr>
          <w:p>
            <w:pPr>
              <w:spacing w:after="0"/>
              <w:rPr>
                <w:sz w:val="3"/>
                <w:szCs w:val="3"/>
                <w:color w:val="auto"/>
              </w:rPr>
            </w:pPr>
          </w:p>
        </w:tc>
        <w:tc>
          <w:tcPr>
            <w:tcW w:w="16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520" w:type="dxa"/>
            <w:vAlign w:val="bottom"/>
            <w:tcBorders>
              <w:bottom w:val="single" w:sz="8" w:color="CCEEFF"/>
            </w:tcBorders>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finance leases</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 years</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 years</w:t>
            </w:r>
          </w:p>
        </w:tc>
        <w:tc>
          <w:tcPr>
            <w:tcW w:w="0" w:type="dxa"/>
            <w:vAlign w:val="bottom"/>
          </w:tcPr>
          <w:p>
            <w:pPr>
              <w:spacing w:after="0"/>
              <w:rPr>
                <w:sz w:val="1"/>
                <w:szCs w:val="1"/>
                <w:color w:val="auto"/>
              </w:rPr>
            </w:pPr>
          </w:p>
        </w:tc>
      </w:tr>
      <w:tr>
        <w:trPr>
          <w:trHeight w:val="243"/>
        </w:trPr>
        <w:tc>
          <w:tcPr>
            <w:tcW w:w="852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operating leases</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5.1 years</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 years</w:t>
            </w:r>
          </w:p>
        </w:tc>
        <w:tc>
          <w:tcPr>
            <w:tcW w:w="0" w:type="dxa"/>
            <w:vAlign w:val="bottom"/>
          </w:tcPr>
          <w:p>
            <w:pPr>
              <w:spacing w:after="0"/>
              <w:rPr>
                <w:sz w:val="1"/>
                <w:szCs w:val="1"/>
                <w:color w:val="auto"/>
              </w:rPr>
            </w:pPr>
          </w:p>
        </w:tc>
      </w:tr>
      <w:tr>
        <w:trPr>
          <w:trHeight w:val="27"/>
        </w:trPr>
        <w:tc>
          <w:tcPr>
            <w:tcW w:w="8280" w:type="dxa"/>
            <w:vAlign w:val="bottom"/>
            <w:gridSpan w:val="3"/>
          </w:tcPr>
          <w:p>
            <w:pPr>
              <w:spacing w:after="0"/>
              <w:rPr>
                <w:sz w:val="2"/>
                <w:szCs w:val="2"/>
                <w:color w:val="auto"/>
              </w:rPr>
            </w:pPr>
          </w:p>
        </w:tc>
        <w:tc>
          <w:tcPr>
            <w:tcW w:w="1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finance leases</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43"/>
        </w:trPr>
        <w:tc>
          <w:tcPr>
            <w:tcW w:w="852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554"/>
        </w:trPr>
        <w:tc>
          <w:tcPr>
            <w:tcW w:w="8520" w:type="dxa"/>
            <w:vAlign w:val="bottom"/>
            <w:gridSpan w:val="6"/>
          </w:tcPr>
          <w:p>
            <w:pPr>
              <w:ind w:left="660"/>
              <w:spacing w:after="0"/>
              <w:rPr>
                <w:sz w:val="20"/>
                <w:szCs w:val="20"/>
                <w:color w:val="auto"/>
              </w:rPr>
            </w:pPr>
            <w:r>
              <w:rPr>
                <w:rFonts w:ascii="Times New Roman" w:cs="Times New Roman" w:eastAsia="Times New Roman" w:hAnsi="Times New Roman"/>
                <w:sz w:val="18"/>
                <w:szCs w:val="18"/>
                <w:color w:val="auto"/>
              </w:rPr>
              <w:t>The following is a summary of certain information related to the lease costs for finance and operating leases: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3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gridSpan w:val="8"/>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04"/>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80" w:type="dxa"/>
            <w:vAlign w:val="bottom"/>
            <w:gridSpan w:val="8"/>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23"/>
        </w:trPr>
        <w:tc>
          <w:tcPr>
            <w:tcW w:w="3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2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9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4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Finance lease cost:</w:t>
            </w:r>
          </w:p>
        </w:tc>
        <w:tc>
          <w:tcPr>
            <w:tcW w:w="4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4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4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cost</w:t>
            </w:r>
          </w:p>
        </w:tc>
        <w:tc>
          <w:tcPr>
            <w:tcW w:w="4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4,908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Variable lease costs</w:t>
            </w:r>
          </w:p>
        </w:tc>
        <w:tc>
          <w:tcPr>
            <w:tcW w:w="4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126</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3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lease cost</w:t>
            </w:r>
          </w:p>
        </w:tc>
        <w:tc>
          <w:tcPr>
            <w:tcW w:w="4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5,196</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4,644</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other information and supplemental cash flow information related to finance and operating leases: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40" w:type="dxa"/>
            <w:vAlign w:val="bottom"/>
            <w:gridSpan w:val="4"/>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4"/>
        </w:trPr>
        <w:tc>
          <w:tcPr>
            <w:tcW w:w="8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vMerge w:val="restart"/>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50"/>
        </w:trPr>
        <w:tc>
          <w:tcPr>
            <w:tcW w:w="8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cash flows used for operating leases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4,242</w:t>
            </w:r>
          </w:p>
        </w:tc>
        <w:tc>
          <w:tcPr>
            <w:tcW w:w="0" w:type="dxa"/>
            <w:vAlign w:val="bottom"/>
          </w:tcPr>
          <w:p>
            <w:pPr>
              <w:spacing w:after="0"/>
              <w:rPr>
                <w:sz w:val="1"/>
                <w:szCs w:val="1"/>
                <w:color w:val="auto"/>
              </w:rPr>
            </w:pPr>
          </w:p>
        </w:tc>
      </w:tr>
      <w:tr>
        <w:trPr>
          <w:trHeight w:val="243"/>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Right-of-use asset obtained in exchange for new operating lease obligations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12,268</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4,669</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future undiscounted minimum lease payments, as reconciled to the discounted minimum lease obligation indicated on the Company’s consolidated balance sheets, under financial leases, less interest, and under operating leases, less imputed interest, as of March 31, 2026 were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w w:val="93"/>
              </w:rPr>
              <w:t>Total</w:t>
            </w:r>
          </w:p>
        </w:tc>
      </w:tr>
      <w:tr>
        <w:trPr>
          <w:trHeight w:val="162"/>
        </w:trPr>
        <w:tc>
          <w:tcPr>
            <w:tcW w:w="6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200" w:type="dxa"/>
            <w:vAlign w:val="bottom"/>
          </w:tcPr>
          <w:p>
            <w:pPr>
              <w:spacing w:after="0"/>
              <w:rPr>
                <w:sz w:val="14"/>
                <w:szCs w:val="14"/>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Operating Lease</w:t>
            </w:r>
          </w:p>
        </w:tc>
        <w:tc>
          <w:tcPr>
            <w:tcW w:w="200" w:type="dxa"/>
            <w:vAlign w:val="bottom"/>
          </w:tcPr>
          <w:p>
            <w:pPr>
              <w:spacing w:after="0"/>
              <w:rPr>
                <w:sz w:val="14"/>
                <w:szCs w:val="14"/>
                <w:color w:val="auto"/>
              </w:rPr>
            </w:pPr>
          </w:p>
        </w:tc>
        <w:tc>
          <w:tcPr>
            <w:tcW w:w="110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w w:val="99"/>
              </w:rPr>
              <w:t>Lease</w:t>
            </w:r>
          </w:p>
        </w:tc>
      </w:tr>
      <w:tr>
        <w:trPr>
          <w:trHeight w:val="204"/>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Lease Obligations</w:t>
            </w:r>
          </w:p>
        </w:tc>
        <w:tc>
          <w:tcPr>
            <w:tcW w:w="200" w:type="dxa"/>
            <w:vAlign w:val="bottom"/>
          </w:tcPr>
          <w:p>
            <w:pPr>
              <w:spacing w:after="0"/>
              <w:rPr>
                <w:sz w:val="17"/>
                <w:szCs w:val="17"/>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Obligations</w:t>
            </w:r>
          </w:p>
        </w:tc>
        <w:tc>
          <w:tcPr>
            <w:tcW w:w="200" w:type="dxa"/>
            <w:vAlign w:val="bottom"/>
          </w:tcPr>
          <w:p>
            <w:pPr>
              <w:spacing w:after="0"/>
              <w:rPr>
                <w:sz w:val="17"/>
                <w:szCs w:val="17"/>
                <w:color w:val="auto"/>
              </w:rPr>
            </w:pPr>
          </w:p>
        </w:tc>
        <w:tc>
          <w:tcPr>
            <w:tcW w:w="110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Obligations</w:t>
            </w:r>
          </w:p>
        </w:tc>
      </w:tr>
      <w:tr>
        <w:trPr>
          <w:trHeight w:val="37"/>
        </w:trPr>
        <w:tc>
          <w:tcPr>
            <w:tcW w:w="6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43"/>
        </w:trPr>
        <w:tc>
          <w:tcPr>
            <w:tcW w:w="6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2026</w:t>
            </w: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14,656</w:t>
            </w:r>
          </w:p>
        </w:tc>
      </w:tr>
      <w:tr>
        <w:trPr>
          <w:trHeight w:val="243"/>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14,423</w:t>
            </w:r>
          </w:p>
        </w:tc>
      </w:tr>
      <w:tr>
        <w:trPr>
          <w:trHeight w:val="27"/>
        </w:trPr>
        <w:tc>
          <w:tcPr>
            <w:tcW w:w="6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11,883</w:t>
            </w:r>
          </w:p>
        </w:tc>
      </w:tr>
      <w:tr>
        <w:trPr>
          <w:trHeight w:val="243"/>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8,422</w:t>
            </w:r>
          </w:p>
        </w:tc>
      </w:tr>
      <w:tr>
        <w:trPr>
          <w:trHeight w:val="27"/>
        </w:trPr>
        <w:tc>
          <w:tcPr>
            <w:tcW w:w="6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4,374</w:t>
            </w:r>
          </w:p>
        </w:tc>
      </w:tr>
      <w:tr>
        <w:trPr>
          <w:trHeight w:val="243"/>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3,063</w:t>
            </w:r>
          </w:p>
        </w:tc>
      </w:tr>
      <w:tr>
        <w:trPr>
          <w:trHeight w:val="27"/>
        </w:trPr>
        <w:tc>
          <w:tcPr>
            <w:tcW w:w="6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7,848</w:t>
            </w:r>
          </w:p>
        </w:tc>
      </w:tr>
      <w:tr>
        <w:trPr>
          <w:trHeight w:val="263"/>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26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1,878</w:t>
            </w: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62,791</w:t>
            </w: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64,669</w:t>
            </w:r>
          </w:p>
        </w:tc>
      </w:tr>
      <w:tr>
        <w:trPr>
          <w:trHeight w:val="270"/>
        </w:trPr>
        <w:tc>
          <w:tcPr>
            <w:tcW w:w="6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component</w:t>
            </w: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(12,523)</w:t>
            </w:r>
          </w:p>
        </w:tc>
      </w:tr>
      <w:tr>
        <w:trPr>
          <w:trHeight w:val="264"/>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present value of minimum lease payments</w:t>
            </w:r>
          </w:p>
        </w:tc>
        <w:tc>
          <w:tcPr>
            <w:tcW w:w="26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1,797</w:t>
            </w: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50,349</w:t>
            </w: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52,146</w:t>
            </w:r>
          </w:p>
        </w:tc>
      </w:tr>
      <w:tr>
        <w:trPr>
          <w:trHeight w:val="270"/>
        </w:trPr>
        <w:tc>
          <w:tcPr>
            <w:tcW w:w="6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 of finance and operating lease obligations</w:t>
            </w:r>
          </w:p>
        </w:tc>
        <w:tc>
          <w:tcPr>
            <w:tcW w:w="2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(12,751)</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(13,550)</w:t>
            </w:r>
          </w:p>
        </w:tc>
      </w:tr>
      <w:tr>
        <w:trPr>
          <w:trHeight w:val="263"/>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finance and operating lease obligations</w:t>
            </w:r>
          </w:p>
        </w:tc>
        <w:tc>
          <w:tcPr>
            <w:tcW w:w="2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37,598</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38,596</w:t>
            </w:r>
          </w:p>
        </w:tc>
      </w:tr>
      <w:tr>
        <w:trPr>
          <w:trHeight w:val="20"/>
        </w:trPr>
        <w:tc>
          <w:tcPr>
            <w:tcW w:w="6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financing component for finance lease obligations represents the interest component of finance leases that will be recognized as interest expense in future periods. The financing component for operating lease obligations represents the effect of discounting the lease payments to their present value.</w:t>
      </w:r>
    </w:p>
    <w:p>
      <w:pPr>
        <w:spacing w:after="0" w:line="176"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18"/>
          <w:szCs w:val="18"/>
          <w:color w:val="auto"/>
        </w:rPr>
        <w:t>Certain subsidiaries of the Company have ongoing operating leases for facilities that were entered into or extended with third-party companies that, are or were, owned in whole or part, by employees of the subsidiaries. The terms and rental rates of these leases are at or below market rental rates. Lease expense associated with these leases was $0.7 million for the three months ended March 31, 2026 and $0.6 million for the three months ended March 31, 2025. As of March 31, 2026, the minimum lease payments required under these leases totaled $6.4 million, which are due over the next 3.4 years.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Company uses the three-tier hierarchy of fair value measurement, which prioritizes the inputs used in measuring fair value based upon their degree of availability in external active markets. These tiers include: Level 1 (the highest priority), defined as observable inputs, such as quoted prices in active markets; Level 2, defined as inputs other than quoted prices in active markets that are either directly or indirectly observable; and Level 3 (the lowest priority), defined as unobservable inputs in which little or no market data exists, therefore requiring an entity to develop its own assumptions.</w:t>
      </w:r>
    </w:p>
    <w:p>
      <w:pPr>
        <w:spacing w:after="0" w:line="18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As of March 31, 2026 and December 31, 2025, the Company determined that the carrying value of cash and cash equivalents approximated fair value based on Level 1 inputs. As of March 31, 2026 and December 31, 2025, the fair value of the Company’s long-term debt and finance lease obligations was based on Level 2 inputs. The Company’s long-term debt was based on variable and fixed interest rates at March 31, 2026 and December 31, 2025, for new issues with similar remaining maturities, and approximated carrying value. In addition, based on borrowing rates currently available to the Company for borrowings with similar terms, the carrying value of the Company’s finance lease obligations also approximated fair value.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Debt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reflects the Company’s total debt, including borrowings under its credit agreement and master loan agreements for equipment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Stated Interest</w:t>
            </w:r>
          </w:p>
        </w:tc>
        <w:tc>
          <w:tcPr>
            <w:tcW w:w="13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Payment</w:t>
            </w:r>
          </w:p>
        </w:tc>
        <w:tc>
          <w:tcPr>
            <w:tcW w:w="1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Term</w:t>
            </w:r>
          </w:p>
        </w:tc>
        <w:tc>
          <w:tcPr>
            <w:tcW w:w="140" w:type="dxa"/>
            <w:vAlign w:val="bottom"/>
          </w:tcPr>
          <w:p>
            <w:pPr>
              <w:spacing w:after="0"/>
              <w:rPr>
                <w:sz w:val="13"/>
                <w:szCs w:val="13"/>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60" w:type="dxa"/>
            <w:vAlign w:val="bottom"/>
          </w:tcPr>
          <w:p>
            <w:pPr>
              <w:spacing w:after="0"/>
              <w:rPr>
                <w:sz w:val="13"/>
                <w:szCs w:val="13"/>
                <w:color w:val="auto"/>
              </w:rPr>
            </w:pPr>
          </w:p>
        </w:tc>
        <w:tc>
          <w:tcPr>
            <w:tcW w:w="144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48"/>
        </w:trPr>
        <w:tc>
          <w:tcPr>
            <w:tcW w:w="28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 amounts in thousands)</w:t>
            </w:r>
          </w:p>
        </w:tc>
        <w:tc>
          <w:tcPr>
            <w:tcW w:w="12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Inception Date</w:t>
            </w:r>
          </w:p>
        </w:tc>
        <w:tc>
          <w:tcPr>
            <w:tcW w:w="1620" w:type="dxa"/>
            <w:vAlign w:val="bottom"/>
            <w:gridSpan w:val="2"/>
            <w:vMerge w:val="continue"/>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Balance as of</w:t>
            </w:r>
          </w:p>
        </w:tc>
        <w:tc>
          <w:tcPr>
            <w:tcW w:w="160" w:type="dxa"/>
            <w:vAlign w:val="bottom"/>
          </w:tcPr>
          <w:p>
            <w:pPr>
              <w:spacing w:after="0"/>
              <w:rPr>
                <w:sz w:val="12"/>
                <w:szCs w:val="12"/>
                <w:color w:val="auto"/>
              </w:rPr>
            </w:pPr>
          </w:p>
        </w:tc>
        <w:tc>
          <w:tcPr>
            <w:tcW w:w="1440" w:type="dxa"/>
            <w:vAlign w:val="bottom"/>
          </w:tcPr>
          <w:p>
            <w:pPr>
              <w:jc w:val="center"/>
              <w:ind w:right="75"/>
              <w:spacing w:after="0" w:line="149" w:lineRule="exact"/>
              <w:rPr>
                <w:sz w:val="20"/>
                <w:szCs w:val="20"/>
                <w:color w:val="auto"/>
              </w:rPr>
            </w:pPr>
            <w:r>
              <w:rPr>
                <w:rFonts w:ascii="Times New Roman" w:cs="Times New Roman" w:eastAsia="Times New Roman" w:hAnsi="Times New Roman"/>
                <w:sz w:val="14"/>
                <w:szCs w:val="14"/>
                <w:b w:val="1"/>
                <w:bCs w:val="1"/>
                <w:color w:val="auto"/>
              </w:rPr>
              <w:t>Balance as of</w:t>
            </w:r>
          </w:p>
        </w:tc>
        <w:tc>
          <w:tcPr>
            <w:tcW w:w="0" w:type="dxa"/>
            <w:vAlign w:val="bottom"/>
          </w:tcPr>
          <w:p>
            <w:pPr>
              <w:spacing w:after="0"/>
              <w:rPr>
                <w:sz w:val="1"/>
                <w:szCs w:val="1"/>
                <w:color w:val="auto"/>
              </w:rPr>
            </w:pPr>
          </w:p>
        </w:tc>
      </w:tr>
      <w:tr>
        <w:trPr>
          <w:trHeight w:val="196"/>
        </w:trPr>
        <w:tc>
          <w:tcPr>
            <w:tcW w:w="2820" w:type="dxa"/>
            <w:vAlign w:val="bottom"/>
            <w:gridSpan w:val="3"/>
            <w:vMerge w:val="continue"/>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Rate (per annum)</w:t>
            </w: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Frequency</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4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60" w:type="dxa"/>
            <w:vAlign w:val="bottom"/>
          </w:tcPr>
          <w:p>
            <w:pPr>
              <w:spacing w:after="0"/>
              <w:rPr>
                <w:sz w:val="17"/>
                <w:szCs w:val="17"/>
                <w:color w:val="auto"/>
              </w:rPr>
            </w:pPr>
          </w:p>
        </w:tc>
        <w:tc>
          <w:tcPr>
            <w:tcW w:w="144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29"/>
        </w:trPr>
        <w:tc>
          <w:tcPr>
            <w:tcW w:w="2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Credit Agreement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Revolving loans</w:t>
            </w:r>
          </w:p>
        </w:tc>
        <w:tc>
          <w:tcPr>
            <w:tcW w:w="1100" w:type="dxa"/>
            <w:vAlign w:val="bottom"/>
          </w:tcPr>
          <w:p>
            <w:pPr>
              <w:jc w:val="center"/>
              <w:ind w:right="95"/>
              <w:spacing w:after="0"/>
              <w:rPr>
                <w:sz w:val="20"/>
                <w:szCs w:val="20"/>
                <w:color w:val="auto"/>
              </w:rPr>
            </w:pPr>
            <w:r>
              <w:rPr>
                <w:rFonts w:ascii="Times New Roman" w:cs="Times New Roman" w:eastAsia="Times New Roman" w:hAnsi="Times New Roman"/>
                <w:sz w:val="18"/>
                <w:szCs w:val="18"/>
                <w:color w:val="auto"/>
                <w:w w:val="98"/>
              </w:rPr>
              <w:t>5/31/2023</w:t>
            </w:r>
          </w:p>
        </w:tc>
        <w:tc>
          <w:tcPr>
            <w:tcW w:w="120" w:type="dxa"/>
            <w:vAlign w:val="bottom"/>
          </w:tcPr>
          <w:p>
            <w:pPr>
              <w:spacing w:after="0"/>
              <w:rPr>
                <w:sz w:val="19"/>
                <w:szCs w:val="19"/>
                <w:color w:val="auto"/>
              </w:rPr>
            </w:pP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6"/>
              </w:rPr>
              <w:t>Variable</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Variable</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47,414</w:t>
            </w:r>
          </w:p>
        </w:tc>
        <w:tc>
          <w:tcPr>
            <w:tcW w:w="0" w:type="dxa"/>
            <w:vAlign w:val="bottom"/>
          </w:tcPr>
          <w:p>
            <w:pPr>
              <w:spacing w:after="0"/>
              <w:rPr>
                <w:sz w:val="1"/>
                <w:szCs w:val="1"/>
                <w:color w:val="auto"/>
              </w:rPr>
            </w:pPr>
          </w:p>
        </w:tc>
      </w:tr>
      <w:tr>
        <w:trPr>
          <w:trHeight w:val="270"/>
        </w:trPr>
        <w:tc>
          <w:tcPr>
            <w:tcW w:w="2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820" w:type="dxa"/>
            <w:vAlign w:val="bottom"/>
            <w:gridSpan w:val="3"/>
          </w:tcPr>
          <w:p>
            <w:pPr>
              <w:ind w:left="20"/>
              <w:spacing w:after="0"/>
              <w:rPr>
                <w:sz w:val="20"/>
                <w:szCs w:val="20"/>
                <w:color w:val="auto"/>
              </w:rPr>
            </w:pPr>
            <w:r>
              <w:rPr>
                <w:rFonts w:ascii="Times New Roman" w:cs="Times New Roman" w:eastAsia="Times New Roman" w:hAnsi="Times New Roman"/>
                <w:sz w:val="18"/>
                <w:szCs w:val="18"/>
                <w:i w:val="1"/>
                <w:iCs w:val="1"/>
                <w:color w:val="auto"/>
              </w:rPr>
              <w:t>Equipment Notes</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Equipment Note 10</w:t>
            </w:r>
          </w:p>
        </w:tc>
        <w:tc>
          <w:tcPr>
            <w:tcW w:w="1100" w:type="dxa"/>
            <w:vAlign w:val="bottom"/>
            <w:shd w:val="clear" w:color="auto" w:fill="CCEEFF"/>
          </w:tcPr>
          <w:p>
            <w:pPr>
              <w:jc w:val="center"/>
              <w:ind w:right="95"/>
              <w:spacing w:after="0"/>
              <w:rPr>
                <w:sz w:val="20"/>
                <w:szCs w:val="20"/>
                <w:color w:val="auto"/>
              </w:rPr>
            </w:pPr>
            <w:r>
              <w:rPr>
                <w:rFonts w:ascii="Times New Roman" w:cs="Times New Roman" w:eastAsia="Times New Roman" w:hAnsi="Times New Roman"/>
                <w:sz w:val="18"/>
                <w:szCs w:val="18"/>
                <w:color w:val="auto"/>
                <w:w w:val="98"/>
              </w:rPr>
              <w:t>8/26/2022</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4.32%</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Semi-annual</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11,605</w:t>
            </w:r>
          </w:p>
        </w:tc>
        <w:tc>
          <w:tcPr>
            <w:tcW w:w="0" w:type="dxa"/>
            <w:vAlign w:val="bottom"/>
          </w:tcPr>
          <w:p>
            <w:pPr>
              <w:spacing w:after="0"/>
              <w:rPr>
                <w:sz w:val="1"/>
                <w:szCs w:val="1"/>
                <w:color w:val="auto"/>
              </w:rPr>
            </w:pPr>
          </w:p>
        </w:tc>
      </w:tr>
      <w:tr>
        <w:trPr>
          <w:trHeight w:val="229"/>
        </w:trPr>
        <w:tc>
          <w:tcPr>
            <w:tcW w:w="2820" w:type="dxa"/>
            <w:vAlign w:val="bottom"/>
            <w:tcBorders>
              <w:bottom w:val="single" w:sz="8" w:color="CCEEFF"/>
            </w:tcBorders>
            <w:gridSpan w:val="3"/>
          </w:tcPr>
          <w:p>
            <w:pPr>
              <w:ind w:left="140"/>
              <w:spacing w:after="0"/>
              <w:rPr>
                <w:sz w:val="20"/>
                <w:szCs w:val="20"/>
                <w:color w:val="auto"/>
              </w:rPr>
            </w:pPr>
            <w:r>
              <w:rPr>
                <w:rFonts w:ascii="Times New Roman" w:cs="Times New Roman" w:eastAsia="Times New Roman" w:hAnsi="Times New Roman"/>
                <w:sz w:val="18"/>
                <w:szCs w:val="18"/>
                <w:color w:val="auto"/>
              </w:rPr>
              <w:t>Other equipment note</w:t>
            </w:r>
          </w:p>
        </w:tc>
        <w:tc>
          <w:tcPr>
            <w:tcW w:w="1100" w:type="dxa"/>
            <w:vAlign w:val="bottom"/>
            <w:tcBorders>
              <w:bottom w:val="single" w:sz="8" w:color="CCEEFF"/>
            </w:tcBorders>
          </w:tcPr>
          <w:p>
            <w:pPr>
              <w:jc w:val="center"/>
              <w:ind w:right="95"/>
              <w:spacing w:after="0"/>
              <w:rPr>
                <w:sz w:val="20"/>
                <w:szCs w:val="20"/>
                <w:color w:val="auto"/>
              </w:rPr>
            </w:pPr>
            <w:r>
              <w:rPr>
                <w:rFonts w:ascii="Times New Roman" w:cs="Times New Roman" w:eastAsia="Times New Roman" w:hAnsi="Times New Roman"/>
                <w:sz w:val="18"/>
                <w:szCs w:val="18"/>
                <w:color w:val="auto"/>
                <w:w w:val="98"/>
              </w:rPr>
              <w:t>4/11/2022</w:t>
            </w:r>
          </w:p>
        </w:tc>
        <w:tc>
          <w:tcPr>
            <w:tcW w:w="12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8"/>
              </w:rPr>
              <w:t>4.55%</w:t>
            </w: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Monthly</w:t>
            </w:r>
          </w:p>
        </w:tc>
        <w:tc>
          <w:tcPr>
            <w:tcW w:w="11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3"/>
        </w:trPr>
        <w:tc>
          <w:tcPr>
            <w:tcW w:w="2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11,623</w:t>
            </w:r>
          </w:p>
        </w:tc>
        <w:tc>
          <w:tcPr>
            <w:tcW w:w="0" w:type="dxa"/>
            <w:vAlign w:val="bottom"/>
          </w:tcPr>
          <w:p>
            <w:pPr>
              <w:spacing w:after="0"/>
              <w:rPr>
                <w:sz w:val="1"/>
                <w:szCs w:val="1"/>
                <w:color w:val="auto"/>
              </w:rPr>
            </w:pPr>
          </w:p>
        </w:tc>
      </w:tr>
      <w:tr>
        <w:trPr>
          <w:trHeight w:val="223"/>
        </w:trPr>
        <w:tc>
          <w:tcPr>
            <w:tcW w:w="28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1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59,037</w:t>
            </w:r>
          </w:p>
        </w:tc>
        <w:tc>
          <w:tcPr>
            <w:tcW w:w="0" w:type="dxa"/>
            <w:vAlign w:val="bottom"/>
          </w:tcPr>
          <w:p>
            <w:pPr>
              <w:spacing w:after="0"/>
              <w:rPr>
                <w:sz w:val="1"/>
                <w:szCs w:val="1"/>
                <w:color w:val="auto"/>
              </w:rPr>
            </w:pPr>
          </w:p>
        </w:tc>
      </w:tr>
      <w:tr>
        <w:trPr>
          <w:trHeight w:val="223"/>
        </w:trPr>
        <w:tc>
          <w:tcPr>
            <w:tcW w:w="2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Less: current portion of long-term debt</w:t>
            </w: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(4,554)</w:t>
            </w:r>
          </w:p>
        </w:tc>
        <w:tc>
          <w:tcPr>
            <w:tcW w:w="0" w:type="dxa"/>
            <w:vAlign w:val="bottom"/>
          </w:tcPr>
          <w:p>
            <w:pPr>
              <w:spacing w:after="0"/>
              <w:rPr>
                <w:sz w:val="1"/>
                <w:szCs w:val="1"/>
                <w:color w:val="auto"/>
              </w:rPr>
            </w:pPr>
          </w:p>
        </w:tc>
      </w:tr>
      <w:tr>
        <w:trPr>
          <w:trHeight w:val="223"/>
        </w:trPr>
        <w:tc>
          <w:tcPr>
            <w:tcW w:w="2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54,483</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175"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On May 31, 2023, the Company entered into a five-year third amended and restated credit agreement (the “Credit Agreement”) with a syndicate of banks led by JPMorgan Chase Bank, N.A. and Bank of America, N.A. that provides for a $490 million revolving credit facility (the “Facility”), subject to certain financial covenants as defined in the Credit Agreement. The Facility allows for revolving loans in Canadian dollars and other non-US currencies, up to the U.S. dollar equivalent of $150 million. Up to $75 million of the Facility may be used for letters of credit, with an additional $75 million available for letters of credit, subject to the sole discretion of each issuing bank. The Facility also allows for $15 million to be used for swingline loans. The Company has an expansion option to increase the commitments under the Facility or enter into incremental term loans, subject to certain conditions, by up to an additional $200 million upon receipt of additional commitments from new or existing lenders. Subject to certain exceptions, the Facility is secured by substantially all of the assets of the Company and its domestic subsidiaries, and by a pledge of substantially all of the capital stock of the Company’s domestic subsidiaries and 65% of the capital stock of the direct foreign subsidiaries of the Company. Additionally, subject to certain exceptions, the Company’s domestic subsidiaries also guarantee the repayment of all amounts due under the Credit Agreement. The Credit Agreement provides for customary events of default. If an event of default occurs and is continuing, on the terms and subject to the conditions set forth in the Credit Agreement, amounts outstanding under the Facility may be accelerated and may become or be declared immediately due and payable. Borrowings under the Credit Agreement are used to refinance existing indebtedness, and to provide for future working capital, capital expenditures, acquisitions and other general corporate purposes.</w:t>
      </w:r>
    </w:p>
    <w:p>
      <w:pPr>
        <w:spacing w:after="0" w:line="143"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Amounts borrowed under the Credit Agreement bear interest, at the Company’s option, at a rate equal to either (1) the Alternate Base Rate (as defined in the Credit Agreement), plus an applicable margin ranging from 0.25% to 1.00%; or (2) the Term Benchmark Rate (as defined in the Credit Agreement) plus an applicable margin ranging from 1.25% to 2.00%. The applicable margin is determined based on the Company’s Net Leverage Ratio (as defined in the Credit Agreement). Letters of credit issued under the Facility are subject to a letter of credit fee of 1.25% to 2.00% for non-performance letters of credit or 0.625% to 1.00% for performance letters of credit, based on the Company’s Net Leverage Ratio. The Company is subject to a commitment fee of 0.20% to 0.30%, based on the Company’s Net Leverage Ratio, on any unused portion of the Facility. The Credit Agreement restricts certain types of payments when the Company’s Net Leverage Ratio, after giving pro forma effect thereto, exceeds 2.75. The weighted average interest rate on borrowings outstanding on the Facility was 4.70% and 5.55%, per annum, for the three months ended March 31, 2026 and 2025, respectively.</w:t>
      </w:r>
    </w:p>
    <w:p>
      <w:pPr>
        <w:spacing w:after="0" w:line="138"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Under the Credit Agreement, the Company is subject to certain financial covenants including a maximum Net Leverage Ratio of 3.0 and a minimum Interest Coverage Ratio (as defined in the Credit Agreement) of 3.0. The Credit Agreement also contains covenants including limitations on asset sales, investments, indebtedness and liens. The Company was in compliance with all of its financial covenants under the Credit Agreement as of March 31, 2026.</w:t>
      </w:r>
    </w:p>
    <w:p>
      <w:pPr>
        <w:spacing w:after="0" w:line="180"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As of March 31, 2026, the Company had no borrowings outstanding under the Facility and letters of credit outstanding under the Facility of $29.5 million related to the Company's payment obligation under its insurance programs.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had $47.4 million in borrowings outstanding under the Facility and letters of credit outstanding under the Facility of $34.3 million, including $34.2 million related to the Company's payment obligation under its insurance programs and $0.1 million related to contract performance obligations.</w:t>
      </w:r>
    </w:p>
    <w:p>
      <w:pPr>
        <w:spacing w:after="0" w:line="176"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 had remaining deferred debt issuance costs related to the Facility totaling $1.1 million and $1.2 million as of March 31, 2026 and December 31, 2025, respectively. As permitted, debt issuance costs have been deferred and are presented as an asset within other assets, which is amortized as interest expense over the term of the Facility.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Equipment Notes</w:t>
      </w:r>
    </w:p>
    <w:p>
      <w:pPr>
        <w:spacing w:after="0" w:line="229"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The Company has entered into Master Equipment Loan and Security Agreements (the “Master Loan Agreements”) with multiple finance companies. The Master Loan Agreements may be used for the financing of equipment between the Company and the lenders pursuant to one or more equipment notes ("Equipment Note"). Each Equipment Note executed under the Master Loan Agreements constitutes a separate, distinct and independent financing of equipment and a contractual obligation of the Company, which may contain prepayment clauses.</w:t>
      </w:r>
    </w:p>
    <w:p>
      <w:pPr>
        <w:spacing w:after="0" w:line="180"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As of March 31, 2026, the Company had one Equipment Note outstanding under the Master Loan Agreements that is collateralized by equipment and vehicles owned by the Company. As of March 31, 2026, the Company had one other equipment note outstanding that is collateralized by a vehicle owned by the Company. The following table sets forth our remaining principal payments for all of the Company’s outstanding equipment notes as of March 31, 2026:</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Future</w:t>
            </w:r>
          </w:p>
        </w:tc>
      </w:tr>
      <w:tr>
        <w:trPr>
          <w:trHeight w:val="175"/>
        </w:trPr>
        <w:tc>
          <w:tcPr>
            <w:tcW w:w="9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Equipment Notes</w:t>
            </w:r>
          </w:p>
        </w:tc>
      </w:tr>
      <w:tr>
        <w:trPr>
          <w:trHeight w:val="190"/>
        </w:trPr>
        <w:tc>
          <w:tcPr>
            <w:tcW w:w="9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6"/>
                <w:szCs w:val="16"/>
                <w:color w:val="auto"/>
              </w:rPr>
            </w:pPr>
          </w:p>
        </w:tc>
        <w:tc>
          <w:tcPr>
            <w:tcW w:w="146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Principal Payments</w:t>
            </w:r>
          </w:p>
        </w:tc>
      </w:tr>
      <w:tr>
        <w:trPr>
          <w:trHeight w:val="37"/>
        </w:trPr>
        <w:tc>
          <w:tcPr>
            <w:tcW w:w="9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r>
      <w:tr>
        <w:trPr>
          <w:trHeight w:val="243"/>
        </w:trPr>
        <w:tc>
          <w:tcPr>
            <w:tcW w:w="9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CCEEFF"/>
            </w:tcBorders>
            <w:shd w:val="clear" w:color="auto" w:fill="CCEEFF"/>
          </w:tcPr>
          <w:p>
            <w:pPr>
              <w:jc w:val="center"/>
              <w:ind w:left="817"/>
              <w:spacing w:after="0"/>
              <w:rPr>
                <w:sz w:val="20"/>
                <w:szCs w:val="20"/>
                <w:color w:val="auto"/>
              </w:rPr>
            </w:pPr>
            <w:r>
              <w:rPr>
                <w:rFonts w:ascii="Times New Roman" w:cs="Times New Roman" w:eastAsia="Times New Roman" w:hAnsi="Times New Roman"/>
                <w:sz w:val="18"/>
                <w:szCs w:val="18"/>
                <w:color w:val="auto"/>
                <w:w w:val="98"/>
              </w:rPr>
              <w:t>2,307</w:t>
            </w:r>
          </w:p>
        </w:tc>
      </w:tr>
      <w:tr>
        <w:trPr>
          <w:trHeight w:val="243"/>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center"/>
              <w:ind w:left="817"/>
              <w:spacing w:after="0"/>
              <w:rPr>
                <w:sz w:val="20"/>
                <w:szCs w:val="20"/>
                <w:color w:val="auto"/>
              </w:rPr>
            </w:pPr>
            <w:r>
              <w:rPr>
                <w:rFonts w:ascii="Times New Roman" w:cs="Times New Roman" w:eastAsia="Times New Roman" w:hAnsi="Times New Roman"/>
                <w:sz w:val="18"/>
                <w:szCs w:val="18"/>
                <w:color w:val="auto"/>
                <w:w w:val="98"/>
              </w:rPr>
              <w:t>7,069</w:t>
            </w:r>
          </w:p>
        </w:tc>
      </w:tr>
      <w:tr>
        <w:trPr>
          <w:trHeight w:val="27"/>
        </w:trPr>
        <w:tc>
          <w:tcPr>
            <w:tcW w:w="9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4"/>
        </w:trPr>
        <w:tc>
          <w:tcPr>
            <w:tcW w:w="9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future principal payments</w:t>
            </w:r>
          </w:p>
        </w:tc>
        <w:tc>
          <w:tcPr>
            <w:tcW w:w="1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center"/>
              <w:ind w:left="817"/>
              <w:spacing w:after="0"/>
              <w:rPr>
                <w:sz w:val="20"/>
                <w:szCs w:val="20"/>
                <w:color w:val="auto"/>
              </w:rPr>
            </w:pPr>
            <w:r>
              <w:rPr>
                <w:rFonts w:ascii="Times New Roman" w:cs="Times New Roman" w:eastAsia="Times New Roman" w:hAnsi="Times New Roman"/>
                <w:sz w:val="18"/>
                <w:szCs w:val="18"/>
                <w:color w:val="auto"/>
                <w:w w:val="98"/>
              </w:rPr>
              <w:t>9,376</w:t>
            </w:r>
          </w:p>
        </w:tc>
      </w:tr>
      <w:tr>
        <w:trPr>
          <w:trHeight w:val="237"/>
        </w:trPr>
        <w:tc>
          <w:tcPr>
            <w:tcW w:w="9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current portion of equipment notes</w:t>
            </w:r>
          </w:p>
        </w:tc>
        <w:tc>
          <w:tcPr>
            <w:tcW w:w="1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center"/>
              <w:ind w:left="797"/>
              <w:spacing w:after="0"/>
              <w:rPr>
                <w:sz w:val="20"/>
                <w:szCs w:val="20"/>
                <w:color w:val="auto"/>
              </w:rPr>
            </w:pPr>
            <w:r>
              <w:rPr>
                <w:rFonts w:ascii="Times New Roman" w:cs="Times New Roman" w:eastAsia="Times New Roman" w:hAnsi="Times New Roman"/>
                <w:sz w:val="18"/>
                <w:szCs w:val="18"/>
                <w:color w:val="auto"/>
              </w:rPr>
              <w:t>(4,652)</w:t>
            </w:r>
          </w:p>
        </w:tc>
      </w:tr>
      <w:tr>
        <w:trPr>
          <w:trHeight w:val="27"/>
        </w:trPr>
        <w:tc>
          <w:tcPr>
            <w:tcW w:w="9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88"/>
        </w:trPr>
        <w:tc>
          <w:tcPr>
            <w:tcW w:w="9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principal obligations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center"/>
              <w:ind w:left="817"/>
              <w:spacing w:after="0"/>
              <w:rPr>
                <w:sz w:val="20"/>
                <w:szCs w:val="20"/>
                <w:color w:val="auto"/>
              </w:rPr>
            </w:pPr>
            <w:r>
              <w:rPr>
                <w:rFonts w:ascii="Times New Roman" w:cs="Times New Roman" w:eastAsia="Times New Roman" w:hAnsi="Times New Roman"/>
                <w:sz w:val="18"/>
                <w:szCs w:val="18"/>
                <w:color w:val="auto"/>
                <w:w w:val="98"/>
              </w:rPr>
              <w:t>4,724</w:t>
            </w:r>
          </w:p>
        </w:tc>
      </w:tr>
      <w:tr>
        <w:trPr>
          <w:trHeight w:val="20"/>
        </w:trPr>
        <w:tc>
          <w:tcPr>
            <w:tcW w:w="9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Revenue Recognition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29"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A majority of the Company’s revenues are earned through contracts with customers that normally provide for payment upon completion of specified work or units of work as identified in the contract. Although there is considerable variation in the terms of these contracts, they are primarily structured as fixed-price contracts, under which the Company agrees to perform a defined scope of a project for a fixed amount, or unit-price contracts, under which the Company agrees to do the work at a fixed price per unit of work as specified in the contract. The Company also enters into time-and-equipment and time-and-materials contracts under which the Company is paid for labor and equipment at negotiated hourly billing rates and for other expenses, including materials, as incurred at rates agreed to in the contract. Finally, the Company sometimes enters into cost-plus contracts, where the Company is paid for costs plus a negotiated margin. On occasion, time-and-equipment, time-and-materials and cost-plus contracts require the Company to include a guarantee not-to-exceed a maximum price.</w:t>
      </w:r>
    </w:p>
    <w:p>
      <w:pPr>
        <w:spacing w:after="0" w:line="192"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Historically, fixed-price and unit-price contracts have had the highest potential margins; however, they have had a greater risk in terms of profitability because cost overruns may not be recoverable. Time-and-equipment, time-and-materials and cost-plus contracts have historically had less margin upside, but generally have had a lower risk of cost overruns. The Company also provides services under master service agreements (“MSAs”) and other variable-term service agreements. MSAs normally cover maintenance, upgrade and extension services, as well as new construction. Work performed under MSAs is typically billed on a unit-price, time-and-materials or time-and-equipment basis. MSAs are typically one to four years in duration; however, most of the Company’s contracts, including MSAs, may be terminated by the customer on short notice, typically 30 to 90 days, even if the Company is not in default under the contract. Under MSAs, customers generally agree to use the Company for certain services in a specified geographic region. Most MSAs include no obligation for the contract counterparty to assign specific volumes of work to the Company and do not require the counterparty to use the Company exclusively, although in some cases the MSA contract gives the Company a right of first refusal for certain work.</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380" w:firstLine="648"/>
        <w:spacing w:after="0" w:line="261" w:lineRule="auto"/>
        <w:rPr>
          <w:sz w:val="20"/>
          <w:szCs w:val="20"/>
          <w:color w:val="auto"/>
        </w:rPr>
      </w:pPr>
      <w:r>
        <w:rPr>
          <w:rFonts w:ascii="Times New Roman" w:cs="Times New Roman" w:eastAsia="Times New Roman" w:hAnsi="Times New Roman"/>
          <w:sz w:val="18"/>
          <w:szCs w:val="18"/>
          <w:color w:val="auto"/>
        </w:rPr>
        <w:t>In the first quarter of 2026, the Company updated its presentation of disaggregated revenue in the T&amp;D segment to no longer present disaggregated revenue by market type. This update was made to better align external reporting with how management evaluates the effect of economic factors on the nature, amount, timing and uncertainty of revenue and cash flows. Additional information on the Company’s segments is provided in Note 10–Segment Information.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the Company’s revenue by contract type for the three months ended March 31, 2026 and 2025 were as follows:</w:t>
      </w:r>
    </w:p>
    <w:p>
      <w:pPr>
        <w:spacing w:after="0" w:line="5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10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12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gridSpan w:val="2"/>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gridSpan w:val="2"/>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7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T&amp;D</w:t>
            </w:r>
          </w:p>
        </w:tc>
        <w:tc>
          <w:tcPr>
            <w:tcW w:w="1020" w:type="dxa"/>
            <w:vAlign w:val="bottom"/>
          </w:tcPr>
          <w:p>
            <w:pPr>
              <w:spacing w:after="0"/>
              <w:rPr>
                <w:sz w:val="16"/>
                <w:szCs w:val="16"/>
                <w:color w:val="auto"/>
              </w:rPr>
            </w:pPr>
          </w:p>
        </w:tc>
        <w:tc>
          <w:tcPr>
            <w:tcW w:w="1720" w:type="dxa"/>
            <w:vAlign w:val="bottom"/>
            <w:gridSpan w:val="2"/>
          </w:tcPr>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C&amp;I</w:t>
            </w:r>
          </w:p>
        </w:tc>
        <w:tc>
          <w:tcPr>
            <w:tcW w:w="1020" w:type="dxa"/>
            <w:vAlign w:val="bottom"/>
          </w:tcPr>
          <w:p>
            <w:pPr>
              <w:spacing w:after="0"/>
              <w:rPr>
                <w:sz w:val="16"/>
                <w:szCs w:val="16"/>
                <w:color w:val="auto"/>
              </w:rPr>
            </w:pPr>
          </w:p>
        </w:tc>
        <w:tc>
          <w:tcPr>
            <w:tcW w:w="16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3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2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120" w:type="dxa"/>
            <w:vAlign w:val="bottom"/>
            <w:vMerge w:val="continue"/>
          </w:tcPr>
          <w:p>
            <w:pPr>
              <w:spacing w:after="0"/>
              <w:rPr>
                <w:sz w:val="16"/>
                <w:szCs w:val="16"/>
                <w:color w:val="auto"/>
              </w:rPr>
            </w:pPr>
          </w:p>
        </w:tc>
        <w:tc>
          <w:tcPr>
            <w:tcW w:w="102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700" w:type="dxa"/>
            <w:vAlign w:val="bottom"/>
            <w:gridSpan w:val="2"/>
          </w:tcPr>
          <w:p>
            <w:pPr>
              <w:ind w:left="74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02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720" w:type="dxa"/>
            <w:vAlign w:val="bottom"/>
            <w:gridSpan w:val="2"/>
          </w:tcPr>
          <w:p>
            <w:pPr>
              <w:ind w:left="74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02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20" w:type="dxa"/>
            <w:vAlign w:val="bottom"/>
          </w:tcPr>
          <w:p>
            <w:pPr>
              <w:ind w:left="74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bl>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30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price</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150,178</w:t>
            </w: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CCEEFF"/>
            </w:tcBorders>
            <w:shd w:val="clear" w:color="auto" w:fill="CCEEFF"/>
          </w:tcPr>
          <w:p>
            <w:pPr>
              <w:spacing w:after="0"/>
              <w:rPr>
                <w:sz w:val="22"/>
                <w:szCs w:val="22"/>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27.8 %</w:t>
            </w: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394,721</w:t>
            </w:r>
          </w:p>
        </w:tc>
        <w:tc>
          <w:tcPr>
            <w:tcW w:w="40" w:type="dxa"/>
            <w:vAlign w:val="bottom"/>
            <w:tcBorders>
              <w:top w:val="single" w:sz="8" w:color="auto"/>
              <w:bottom w:val="single" w:sz="8" w:color="CCEEFF"/>
            </w:tcBorders>
            <w:shd w:val="clear" w:color="auto" w:fill="CCEEFF"/>
          </w:tcPr>
          <w:p>
            <w:pPr>
              <w:spacing w:after="0"/>
              <w:rPr>
                <w:sz w:val="22"/>
                <w:szCs w:val="22"/>
                <w:color w:val="auto"/>
              </w:rPr>
            </w:pPr>
          </w:p>
        </w:tc>
        <w:tc>
          <w:tcPr>
            <w:tcW w:w="120" w:type="dxa"/>
            <w:vAlign w:val="bottom"/>
            <w:tcBorders>
              <w:top w:val="single" w:sz="8" w:color="CCEEFF"/>
              <w:bottom w:val="single" w:sz="8" w:color="CCEEFF"/>
            </w:tcBorders>
            <w:gridSpan w:val="2"/>
            <w:shd w:val="clear" w:color="auto" w:fill="CCEEFF"/>
          </w:tcPr>
          <w:p>
            <w:pPr>
              <w:spacing w:after="0"/>
              <w:rPr>
                <w:sz w:val="22"/>
                <w:szCs w:val="22"/>
                <w:color w:val="auto"/>
              </w:rPr>
            </w:pPr>
          </w:p>
        </w:tc>
        <w:tc>
          <w:tcPr>
            <w:tcW w:w="126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85.9 %</w:t>
            </w: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544,899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CCEEFF"/>
            </w:tcBorders>
            <w:shd w:val="clear" w:color="auto" w:fill="CCEEFF"/>
          </w:tcPr>
          <w:p>
            <w:pPr>
              <w:spacing w:after="0"/>
              <w:rPr>
                <w:sz w:val="22"/>
                <w:szCs w:val="22"/>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54.5 %</w:t>
            </w:r>
          </w:p>
        </w:tc>
        <w:tc>
          <w:tcPr>
            <w:tcW w:w="0" w:type="dxa"/>
            <w:vAlign w:val="bottom"/>
          </w:tcPr>
          <w:p>
            <w:pPr>
              <w:spacing w:after="0"/>
              <w:rPr>
                <w:sz w:val="1"/>
                <w:szCs w:val="1"/>
                <w:color w:val="auto"/>
              </w:rPr>
            </w:pPr>
          </w:p>
        </w:tc>
      </w:tr>
      <w:tr>
        <w:trPr>
          <w:trHeight w:val="243"/>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Unit price</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218,211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40.3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12,930</w:t>
            </w:r>
          </w:p>
        </w:tc>
        <w:tc>
          <w:tcPr>
            <w:tcW w:w="1420" w:type="dxa"/>
            <w:vAlign w:val="bottom"/>
            <w:gridSpan w:val="5"/>
          </w:tcPr>
          <w:p>
            <w:pPr>
              <w:jc w:val="right"/>
              <w:ind w:right="139"/>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231,141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T&amp;E</w:t>
            </w:r>
          </w:p>
        </w:tc>
        <w:tc>
          <w:tcPr>
            <w:tcW w:w="2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172,581</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31.9</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51,759</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gridSpan w:val="2"/>
            <w:shd w:val="clear" w:color="auto" w:fill="CCEEFF"/>
          </w:tcPr>
          <w:p>
            <w:pPr>
              <w:spacing w:after="0"/>
              <w:rPr>
                <w:sz w:val="23"/>
                <w:szCs w:val="23"/>
                <w:color w:val="auto"/>
              </w:rPr>
            </w:pPr>
          </w:p>
        </w:tc>
        <w:tc>
          <w:tcPr>
            <w:tcW w:w="1260" w:type="dxa"/>
            <w:vAlign w:val="bottom"/>
            <w:tcBorders>
              <w:bottom w:val="single" w:sz="8" w:color="auto"/>
            </w:tcBorders>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11.3</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224,340</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37"/>
        </w:trPr>
        <w:tc>
          <w:tcPr>
            <w:tcW w:w="3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540,970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459,410</w:t>
            </w:r>
          </w:p>
        </w:tc>
        <w:tc>
          <w:tcPr>
            <w:tcW w:w="14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1,000,380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3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8"/>
        </w:trPr>
        <w:tc>
          <w:tcPr>
            <w:tcW w:w="3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60" w:type="dxa"/>
            <w:vAlign w:val="bottom"/>
            <w:gridSpan w:val="8"/>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3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gridSpan w:val="5"/>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gridSpan w:val="7"/>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3"/>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5"/>
          </w:tcPr>
          <w:p>
            <w:pPr>
              <w:ind w:left="900"/>
              <w:spacing w:after="0"/>
              <w:rPr>
                <w:sz w:val="20"/>
                <w:szCs w:val="20"/>
                <w:color w:val="auto"/>
              </w:rPr>
            </w:pPr>
            <w:r>
              <w:rPr>
                <w:rFonts w:ascii="Times New Roman" w:cs="Times New Roman" w:eastAsia="Times New Roman" w:hAnsi="Times New Roman"/>
                <w:sz w:val="14"/>
                <w:szCs w:val="14"/>
                <w:b w:val="1"/>
                <w:bCs w:val="1"/>
                <w:color w:val="auto"/>
              </w:rPr>
              <w:t>T&amp;D</w:t>
            </w: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540" w:type="dxa"/>
            <w:vAlign w:val="bottom"/>
            <w:gridSpan w:val="7"/>
          </w:tcPr>
          <w:p>
            <w:pPr>
              <w:jc w:val="center"/>
              <w:ind w:right="1280"/>
              <w:spacing w:after="0"/>
              <w:rPr>
                <w:sz w:val="20"/>
                <w:szCs w:val="20"/>
                <w:color w:val="auto"/>
              </w:rPr>
            </w:pPr>
            <w:r>
              <w:rPr>
                <w:rFonts w:ascii="Times New Roman" w:cs="Times New Roman" w:eastAsia="Times New Roman" w:hAnsi="Times New Roman"/>
                <w:sz w:val="14"/>
                <w:szCs w:val="14"/>
                <w:b w:val="1"/>
                <w:bCs w:val="1"/>
                <w:color w:val="auto"/>
                <w:w w:val="95"/>
              </w:rPr>
              <w:t>C&amp;I</w:t>
            </w:r>
          </w:p>
        </w:tc>
        <w:tc>
          <w:tcPr>
            <w:tcW w:w="240" w:type="dxa"/>
            <w:vAlign w:val="bottom"/>
          </w:tcPr>
          <w:p>
            <w:pPr>
              <w:spacing w:after="0"/>
              <w:rPr>
                <w:sz w:val="16"/>
                <w:szCs w:val="16"/>
                <w:color w:val="auto"/>
              </w:rPr>
            </w:pPr>
          </w:p>
        </w:tc>
        <w:tc>
          <w:tcPr>
            <w:tcW w:w="1380" w:type="dxa"/>
            <w:vAlign w:val="bottom"/>
            <w:gridSpan w:val="3"/>
          </w:tcPr>
          <w:p>
            <w:pPr>
              <w:ind w:left="9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gridSpan w:val="5"/>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3"/>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1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0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40" w:type="dxa"/>
            <w:vAlign w:val="bottom"/>
          </w:tcPr>
          <w:p>
            <w:pPr>
              <w:spacing w:after="0"/>
              <w:rPr>
                <w:sz w:val="16"/>
                <w:szCs w:val="16"/>
                <w:color w:val="auto"/>
              </w:rPr>
            </w:pPr>
          </w:p>
        </w:tc>
        <w:tc>
          <w:tcPr>
            <w:tcW w:w="138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2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37"/>
        </w:trPr>
        <w:tc>
          <w:tcPr>
            <w:tcW w:w="3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CCEEFF"/>
            </w:tcBorders>
            <w:gridSpan w:val="2"/>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price</w:t>
            </w:r>
          </w:p>
        </w:tc>
        <w:tc>
          <w:tcPr>
            <w:tcW w:w="2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173,450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37.6 %</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293,805</w:t>
            </w:r>
          </w:p>
        </w:tc>
        <w:tc>
          <w:tcPr>
            <w:tcW w:w="142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79.0 %</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467,255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56.0 %</w:t>
            </w:r>
          </w:p>
        </w:tc>
        <w:tc>
          <w:tcPr>
            <w:tcW w:w="0" w:type="dxa"/>
            <w:vAlign w:val="bottom"/>
          </w:tcPr>
          <w:p>
            <w:pPr>
              <w:spacing w:after="0"/>
              <w:rPr>
                <w:sz w:val="1"/>
                <w:szCs w:val="1"/>
                <w:color w:val="auto"/>
              </w:rPr>
            </w:pPr>
          </w:p>
        </w:tc>
      </w:tr>
      <w:tr>
        <w:trPr>
          <w:trHeight w:val="243"/>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Unit price</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152,102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32.9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17,667</w:t>
            </w:r>
          </w:p>
        </w:tc>
        <w:tc>
          <w:tcPr>
            <w:tcW w:w="1420" w:type="dxa"/>
            <w:vAlign w:val="bottom"/>
            <w:gridSpan w:val="5"/>
          </w:tcPr>
          <w:p>
            <w:pPr>
              <w:jc w:val="right"/>
              <w:ind w:right="119"/>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169,769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T&amp;E</w:t>
            </w: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136,217</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29.5</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60,379</w:t>
            </w:r>
          </w:p>
        </w:tc>
        <w:tc>
          <w:tcPr>
            <w:tcW w:w="1420" w:type="dxa"/>
            <w:vAlign w:val="bottom"/>
            <w:tcBorders>
              <w:bottom w:val="single" w:sz="8" w:color="CCEEFF"/>
            </w:tcBorders>
            <w:gridSpan w:val="5"/>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16.2</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196,596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37"/>
        </w:trPr>
        <w:tc>
          <w:tcPr>
            <w:tcW w:w="3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461,769</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371,851</w:t>
            </w:r>
          </w:p>
        </w:tc>
        <w:tc>
          <w:tcPr>
            <w:tcW w:w="60" w:type="dxa"/>
            <w:vAlign w:val="bottom"/>
            <w:tcBorders>
              <w:top w:val="single" w:sz="8" w:color="auto"/>
            </w:tcBorders>
            <w:gridSpan w:val="2"/>
          </w:tcPr>
          <w:p>
            <w:pPr>
              <w:spacing w:after="0"/>
              <w:rPr>
                <w:sz w:val="20"/>
                <w:szCs w:val="20"/>
                <w:color w:val="auto"/>
              </w:rPr>
            </w:pPr>
          </w:p>
        </w:tc>
        <w:tc>
          <w:tcPr>
            <w:tcW w:w="120" w:type="dxa"/>
            <w:vAlign w:val="bottom"/>
            <w:gridSpan w:val="2"/>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833,620</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22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As of March 31, 2026, the Company had $2.53 billion of remaining performance obligations. The Company’s remaining performance obligations include projects that have a written award, a letter of intent, a notice to proceed or an agreed upon work order to perform work on mutually accepted terms and conditions. The timing of when remaining performance obligations are recognized is evaluated quarterly and is largely driven by the estimated start date and duration of the underlying projects.</w:t>
      </w:r>
    </w:p>
    <w:p>
      <w:pPr>
        <w:spacing w:after="0" w:line="180"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amount of remaining performance obligations as of March 31, 2026 that the Company expects to be realized and the amount of the remaining performance obligations that the Company reasonably estimates will be recognized within the next twelve months, and the amount estimated to be recognized after the next twelve months.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740" w:type="dxa"/>
            <w:vAlign w:val="bottom"/>
            <w:gridSpan w:val="6"/>
          </w:tcPr>
          <w:p>
            <w:pPr>
              <w:jc w:val="center"/>
              <w:ind w:left="1097"/>
              <w:spacing w:after="0"/>
              <w:rPr>
                <w:sz w:val="20"/>
                <w:szCs w:val="20"/>
                <w:color w:val="auto"/>
              </w:rPr>
            </w:pPr>
            <w:r>
              <w:rPr>
                <w:rFonts w:ascii="Times New Roman" w:cs="Times New Roman" w:eastAsia="Times New Roman" w:hAnsi="Times New Roman"/>
                <w:sz w:val="14"/>
                <w:szCs w:val="14"/>
                <w:b w:val="1"/>
                <w:bCs w:val="1"/>
                <w:color w:val="auto"/>
              </w:rPr>
              <w:t>Remaining Performance Obligations at March 31, 2026</w:t>
            </w:r>
          </w:p>
        </w:tc>
        <w:tc>
          <w:tcPr>
            <w:tcW w:w="1720" w:type="dxa"/>
            <w:vAlign w:val="bottom"/>
          </w:tcPr>
          <w:p>
            <w:pPr>
              <w:spacing w:after="0"/>
              <w:rPr>
                <w:sz w:val="16"/>
                <w:szCs w:val="16"/>
                <w:color w:val="auto"/>
              </w:rPr>
            </w:pPr>
          </w:p>
        </w:tc>
      </w:tr>
      <w:tr>
        <w:trPr>
          <w:trHeight w:val="37"/>
        </w:trPr>
        <w:tc>
          <w:tcPr>
            <w:tcW w:w="4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380" w:type="dxa"/>
            <w:vAlign w:val="bottom"/>
            <w:tcBorders>
              <w:bottom w:val="single" w:sz="8" w:color="auto"/>
            </w:tcBorders>
            <w:gridSpan w:val="3"/>
          </w:tcPr>
          <w:p>
            <w:pPr>
              <w:spacing w:after="0"/>
              <w:rPr>
                <w:sz w:val="3"/>
                <w:szCs w:val="3"/>
                <w:color w:val="auto"/>
              </w:rPr>
            </w:pPr>
          </w:p>
        </w:tc>
        <w:tc>
          <w:tcPr>
            <w:tcW w:w="2260" w:type="dxa"/>
            <w:vAlign w:val="bottom"/>
            <w:tcBorders>
              <w:bottom w:val="single" w:sz="8" w:color="auto"/>
            </w:tcBorders>
            <w:gridSpan w:val="2"/>
          </w:tcPr>
          <w:p>
            <w:pPr>
              <w:spacing w:after="0"/>
              <w:rPr>
                <w:sz w:val="3"/>
                <w:szCs w:val="3"/>
                <w:color w:val="auto"/>
              </w:rPr>
            </w:pPr>
          </w:p>
        </w:tc>
      </w:tr>
      <w:tr>
        <w:trPr>
          <w:trHeight w:val="171"/>
        </w:trPr>
        <w:tc>
          <w:tcPr>
            <w:tcW w:w="4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Amount estimated to be recognized</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 estimated to be recognized</w:t>
            </w:r>
          </w:p>
        </w:tc>
      </w:tr>
      <w:tr>
        <w:trPr>
          <w:trHeight w:val="190"/>
        </w:trPr>
        <w:tc>
          <w:tcPr>
            <w:tcW w:w="4240" w:type="dxa"/>
            <w:vAlign w:val="bottom"/>
            <w:gridSpan w:val="2"/>
          </w:tcPr>
          <w:p>
            <w:pPr>
              <w:ind w:left="16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40" w:type="dxa"/>
            <w:vAlign w:val="bottom"/>
          </w:tcPr>
          <w:p>
            <w:pPr>
              <w:spacing w:after="0"/>
              <w:rPr>
                <w:sz w:val="16"/>
                <w:szCs w:val="16"/>
                <w:color w:val="auto"/>
              </w:rPr>
            </w:pPr>
          </w:p>
        </w:tc>
        <w:tc>
          <w:tcPr>
            <w:tcW w:w="182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60" w:type="dxa"/>
            <w:vAlign w:val="bottom"/>
          </w:tcPr>
          <w:p>
            <w:pPr>
              <w:spacing w:after="0"/>
              <w:rPr>
                <w:sz w:val="16"/>
                <w:szCs w:val="16"/>
                <w:color w:val="auto"/>
              </w:rPr>
            </w:pPr>
          </w:p>
        </w:tc>
        <w:tc>
          <w:tcPr>
            <w:tcW w:w="20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within 12 months</w:t>
            </w:r>
          </w:p>
        </w:tc>
        <w:tc>
          <w:tcPr>
            <w:tcW w:w="540" w:type="dxa"/>
            <w:vAlign w:val="bottom"/>
          </w:tcPr>
          <w:p>
            <w:pPr>
              <w:spacing w:after="0"/>
              <w:rPr>
                <w:sz w:val="16"/>
                <w:szCs w:val="16"/>
                <w:color w:val="auto"/>
              </w:rPr>
            </w:pPr>
          </w:p>
        </w:tc>
        <w:tc>
          <w:tcPr>
            <w:tcW w:w="172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after 12 months</w:t>
            </w:r>
          </w:p>
        </w:tc>
      </w:tr>
      <w:tr>
        <w:trPr>
          <w:trHeight w:val="37"/>
        </w:trPr>
        <w:tc>
          <w:tcPr>
            <w:tcW w:w="4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r>
      <w:tr>
        <w:trPr>
          <w:trHeight w:val="243"/>
        </w:trPr>
        <w:tc>
          <w:tcPr>
            <w:tcW w:w="4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T&amp;D</w:t>
            </w: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674,758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597,304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77,454</w:t>
            </w:r>
          </w:p>
        </w:tc>
      </w:tr>
      <w:tr>
        <w:trPr>
          <w:trHeight w:val="243"/>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C&amp;I</w:t>
            </w:r>
          </w:p>
        </w:tc>
        <w:tc>
          <w:tcPr>
            <w:tcW w:w="5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1,852,094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1,624,685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227,409</w:t>
            </w:r>
          </w:p>
        </w:tc>
      </w:tr>
      <w:tr>
        <w:trPr>
          <w:trHeight w:val="27"/>
        </w:trPr>
        <w:tc>
          <w:tcPr>
            <w:tcW w:w="4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88"/>
        </w:trPr>
        <w:tc>
          <w:tcPr>
            <w:tcW w:w="4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2,526,852</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2,221,989</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304,863</w:t>
            </w: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The Company estimates approximately 95% or more of the remaining performance obligations will be recognized within twenty-four months, including approximately 85% of the remaining performance obligations estimated to be recognized within twelve months, although the timing of the Company’s performance is not always under its control. The timing of when remaining performance obligations are recognized by the Company can vary considerably and is impacted by multiple variables including, but not limited to: changes in the estimated versus actual start time of a project; the availability of labor, equipment and materials; changes in project workflow; weather; project delays and accelerations; and the timing of final contract settlements. Additionally, the difference between the remaining performance obligations and backlog is due to the exclusion of a portion of the Company’s MSAs under certain contract types from the Company’s remaining performance obligations as these contracts can be canceled for convenience at any time by the Company or the customer without considerable cost incurred by the customer. Additional information related to backlog is provided in Item 2. “Management’s Discussion and Analysis of Financial Condition and Results of Operations.”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Income Taxes</w:t>
      </w:r>
    </w:p>
    <w:p>
      <w:pPr>
        <w:spacing w:after="0" w:line="229"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The U.S. federal statutory tax rate was 21% for each of the three months ended March 31, 2026 and 2025. The Company’s effective tax rate for the three months ended March 31, 2026 was 26.9% of pretax income compared to the effective tax rate for the three months ended March 31, 2025 of 28.9%.</w:t>
      </w:r>
    </w:p>
    <w:p>
      <w:pPr>
        <w:spacing w:after="0" w:line="176"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difference between the U.S. federal statutory tax rate and the Company’s effective tax rates for the three months ended March 31, 2026 was primarily due to state income taxes and the impact of the net CFC tested income (“NCTI”) and other permanent difference items, partially offset by a favorable impact from stock compensation excess tax benefits.</w:t>
      </w:r>
    </w:p>
    <w:p>
      <w:pPr>
        <w:spacing w:after="0" w:line="176"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difference between the U.S. federal statutory tax rate and the Company’s effective tax rates for the three months ended March 31, 2025 was primarily due to permanent difference items and state income taxes.</w:t>
      </w:r>
    </w:p>
    <w:p>
      <w:pPr>
        <w:spacing w:after="0" w:line="162"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The Company has recorded a liability for unrecognized tax benefits of approximately $0.5 million and $0.4 million as of March 31, 2026 and December 31, 2025, respectively, which were included in other liabilities in the accompanying consolidated balance sheets.</w:t>
      </w:r>
    </w:p>
    <w:p>
      <w:pPr>
        <w:spacing w:after="0" w:line="162"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The Company’s policy is to recognize interest and penalties related to income tax liabilities as a component of income tax expense in the consolidated statements of operations. The amount of interest and penalties charged to income tax expense related to unrecognized tax benefits was not significant for the three months ended March 31, 2026 and 2025.</w:t>
      </w:r>
    </w:p>
    <w:p>
      <w:pPr>
        <w:spacing w:after="0" w:line="176" w:lineRule="exact"/>
        <w:rPr>
          <w:sz w:val="20"/>
          <w:szCs w:val="20"/>
          <w:color w:val="auto"/>
        </w:rPr>
      </w:pPr>
    </w:p>
    <w:p>
      <w:pPr>
        <w:jc w:val="both"/>
        <w:ind w:right="340" w:firstLine="648"/>
        <w:spacing w:after="0" w:line="266" w:lineRule="auto"/>
        <w:rPr>
          <w:sz w:val="20"/>
          <w:szCs w:val="20"/>
          <w:color w:val="auto"/>
        </w:rPr>
      </w:pPr>
      <w:r>
        <w:rPr>
          <w:rFonts w:ascii="Times New Roman" w:cs="Times New Roman" w:eastAsia="Times New Roman" w:hAnsi="Times New Roman"/>
          <w:sz w:val="18"/>
          <w:szCs w:val="18"/>
          <w:color w:val="auto"/>
        </w:rPr>
        <w:t>The Company is subject to taxation in various jurisdictions. The Company’s 2021 through 2024 tax returns are subject to examination by U.S. federal authorities. The Company’s tax returns are subject to examination by various state authorities for the years 2020 through 2024. The Company’s 2020 through 2024 Canadian tax returns are subject to examination by the Canadian Revenue Agency.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229" w:lineRule="exact"/>
        <w:rPr>
          <w:sz w:val="20"/>
          <w:szCs w:val="20"/>
          <w:color w:val="auto"/>
        </w:rPr>
      </w:pPr>
    </w:p>
    <w:p>
      <w:pPr>
        <w:jc w:val="both"/>
        <w:ind w:right="360" w:firstLine="648"/>
        <w:spacing w:after="0" w:line="282" w:lineRule="auto"/>
        <w:rPr>
          <w:sz w:val="20"/>
          <w:szCs w:val="20"/>
          <w:color w:val="auto"/>
        </w:rPr>
      </w:pPr>
      <w:r>
        <w:rPr>
          <w:rFonts w:ascii="Times New Roman" w:cs="Times New Roman" w:eastAsia="Times New Roman" w:hAnsi="Times New Roman"/>
          <w:sz w:val="18"/>
          <w:szCs w:val="18"/>
          <w:color w:val="auto"/>
        </w:rPr>
        <w:t>As of March 31, 2026, the Company had approximately $59.6 million in outstanding purchase orders for certain construction equipment, with cash payments scheduled to occur in 2026 and 2027.</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Insurance and Claims Accruals</w:t>
      </w:r>
    </w:p>
    <w:p>
      <w:pPr>
        <w:spacing w:after="0" w:line="229"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The Company carries insurance policies, which are subject to certain deductibles and limits, for workers’ compensation, general liability, automobile liability and other insurance coverage. The deductible per occurrence for each line of coverage is up to $1.0 million. The Company’s health benefit plans are subject to stop-loss limits of up to $0.3 million for qualified individuals. Losses up to the deductible and stop-loss amounts are accrued based upon the Company’s estimates of the ultimate liability for claims reported and an estimate of claims incurred but not yet reported.</w:t>
      </w:r>
    </w:p>
    <w:p>
      <w:pPr>
        <w:spacing w:after="0" w:line="180" w:lineRule="exact"/>
        <w:rPr>
          <w:sz w:val="20"/>
          <w:szCs w:val="20"/>
          <w:color w:val="auto"/>
        </w:rPr>
      </w:pPr>
    </w:p>
    <w:p>
      <w:pPr>
        <w:jc w:val="both"/>
        <w:ind w:right="280" w:firstLine="648"/>
        <w:spacing w:after="0" w:line="266" w:lineRule="auto"/>
        <w:rPr>
          <w:sz w:val="20"/>
          <w:szCs w:val="20"/>
          <w:color w:val="auto"/>
        </w:rPr>
      </w:pPr>
      <w:r>
        <w:rPr>
          <w:rFonts w:ascii="Times New Roman" w:cs="Times New Roman" w:eastAsia="Times New Roman" w:hAnsi="Times New Roman"/>
          <w:sz w:val="18"/>
          <w:szCs w:val="18"/>
          <w:color w:val="auto"/>
        </w:rPr>
        <w:t>The insurance and claims accruals are based on known facts, actuarial estimates and historical trends. While recorded accruals are based on the ultimate liability, which includes amounts in excess of the deductible, a corresponding receivable for amounts in excess of the deductible is included in current and long-term assets in the Company’s consolidated balance sheets.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and Payment Bonds and Parent Guarantees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certain circumstances, the Company is required to provide performance and payment bonds in connection with its future performance on certain contractual commitments. The Company has indemnified its sureties for any expenses paid out under these bonds. As of March 31, 2026, an aggregate of approximately $2.70 billion in original face amount of bonds issued by the Company’s sureties were outstanding. The Company estimated the remaining cost to complete these bonded projects was approximately $899.0 million as of March 31, 2026.</w:t>
      </w:r>
    </w:p>
    <w:p>
      <w:pPr>
        <w:spacing w:after="0" w:line="126"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From time to time, the Company guarantees the obligations of wholly owned subsidiaries, including obligations under certain contracts with customers, certain lease agreements, and, in some states, obligations in connection with obtaining contractors’ licenses. Additionally, from time to time the Company is required to post letters of credit to guarantee the obligations of wholly owned subsidiaries, which reduces the borrowing availability under the Facility.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Indemnities</w:t>
      </w:r>
    </w:p>
    <w:p>
      <w:pPr>
        <w:spacing w:after="0" w:line="22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From time to time, pursuant to its service arrangements, the Company indemnifies its customers for claims related to the services it provides under those service arrangements. These indemnification obligations may subject the Company to indemnity claims, liabilities and related litigation. The Company is not aware of any material unrecorded liabilities for asserted claims in connection with these indemnification obligations.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Collective Bargaining Agreements</w:t>
      </w:r>
    </w:p>
    <w:p>
      <w:pPr>
        <w:spacing w:after="0" w:line="229" w:lineRule="exact"/>
        <w:rPr>
          <w:sz w:val="20"/>
          <w:szCs w:val="20"/>
          <w:color w:val="auto"/>
        </w:rPr>
      </w:pPr>
    </w:p>
    <w:p>
      <w:pPr>
        <w:ind w:right="320" w:firstLine="648"/>
        <w:spacing w:after="0" w:line="258" w:lineRule="auto"/>
        <w:rPr>
          <w:sz w:val="20"/>
          <w:szCs w:val="20"/>
          <w:color w:val="auto"/>
        </w:rPr>
      </w:pPr>
      <w:r>
        <w:rPr>
          <w:rFonts w:ascii="Times New Roman" w:cs="Times New Roman" w:eastAsia="Times New Roman" w:hAnsi="Times New Roman"/>
          <w:sz w:val="18"/>
          <w:szCs w:val="18"/>
          <w:color w:val="auto"/>
        </w:rPr>
        <w:t>Most of the Company’s subsidiaries’ craft labor employees are covered by collective bargaining agreements. The agreements require the subsidiaries to pay specified wages, provide certain benefits and contribute certain amounts to multi-employer pension plans. If a subsidiary withdraws from any of the multi-employer pension plans or if the plans were to otherwise become underfunded, the subsidiary could incur liabilities for additional contributions related to these plans. Although the Company has been informed that the status of some multi-employer pension plans to which its subsidiaries contribute have been classified as “critical”, the Company is not currently aware of any potential liabilities related to this issue.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and Other Legal Matters</w:t>
      </w:r>
    </w:p>
    <w:p>
      <w:pPr>
        <w:spacing w:after="0" w:line="175"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Company is from time to time party to various lawsuits, claims and other legal proceedings that arise in the ordinary course of business. These actions typically seek, among other things, compensation for alleged personal injury, breach of contract, property damages, punitive damages, civil penalties or other losses, or injunctive or declaratory relief.</w:t>
      </w:r>
    </w:p>
    <w:p>
      <w:pPr>
        <w:spacing w:after="0" w:line="122"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The Company is routinely subject to other civil claims, litigation and arbitration, and regulatory investigations arising in the ordinary course of business. These claims, lawsuits and other proceedings include claims related to the Company’s current services and operations, as well as our historic operations.</w:t>
      </w:r>
    </w:p>
    <w:p>
      <w:pPr>
        <w:spacing w:after="0" w:line="122"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With respect to all such lawsuits, claims and proceedings, the Company records reserves when it is probable that a liability has been incurred and the amount of loss can be reasonably estimated. The Company does not believe that any of these proceedings, separately or in aggregate, would be expected to have a material adverse effect on the Company’s financial condition, results of operations or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Stock-Based Compensation</w:t>
      </w:r>
    </w:p>
    <w:p>
      <w:pPr>
        <w:spacing w:after="0" w:line="229" w:lineRule="exact"/>
        <w:rPr>
          <w:sz w:val="20"/>
          <w:szCs w:val="20"/>
          <w:color w:val="auto"/>
        </w:rPr>
      </w:pPr>
    </w:p>
    <w:p>
      <w:pPr>
        <w:ind w:right="80" w:firstLine="648"/>
        <w:spacing w:after="0" w:line="272" w:lineRule="auto"/>
        <w:rPr>
          <w:sz w:val="20"/>
          <w:szCs w:val="20"/>
          <w:color w:val="auto"/>
        </w:rPr>
      </w:pPr>
      <w:r>
        <w:rPr>
          <w:rFonts w:ascii="Times New Roman" w:cs="Times New Roman" w:eastAsia="Times New Roman" w:hAnsi="Times New Roman"/>
          <w:sz w:val="17"/>
          <w:szCs w:val="17"/>
          <w:color w:val="auto"/>
        </w:rPr>
        <w:t>The Company maintains an equity compensation plan under which stock-based compensation has been granted: the 2017 Long-Term Incentive Plan (Amended and Restated as of April 24, 2024) (the “LTIP”). The LTIP was approved by our shareholders and provides for grants of (a) incentive stock options qualified as such under U.S. federal income tax laws, (b) stock options that do not qualify as incentive stock options, (c) stock appreciation rights,</w:t>
      </w:r>
    </w:p>
    <w:p>
      <w:pPr>
        <w:spacing w:after="0" w:line="2" w:lineRule="exact"/>
        <w:rPr>
          <w:sz w:val="20"/>
          <w:szCs w:val="20"/>
          <w:color w:val="auto"/>
        </w:rPr>
      </w:pPr>
    </w:p>
    <w:p>
      <w:pPr>
        <w:ind w:firstLine="8"/>
        <w:spacing w:after="0" w:line="255" w:lineRule="auto"/>
        <w:tabs>
          <w:tab w:leader="none" w:pos="2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awards, (e) restricted stock units, (f) performance awards, (g) phantom stock, (h) stock bonuses, (i) dividend equivalents, or (j) any combination of such grants. The Company has outstanding grants of time-vested stock awards in the form of restricted stock units and internal metric-based and market-based performance stock units.</w:t>
      </w:r>
    </w:p>
    <w:p>
      <w:pPr>
        <w:spacing w:after="0" w:line="186"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the Company granted time-vested stock awards covering 30,487 shares of common stock under the LTIP, which vest ratably over three years for employee awards, at a weighted average grant date fair value of $274.39. During the three months ended March 31, 2026, time-vested stock awards covering 43,852 shares of common stock vested at a weighted average grant date fair value of $135.34.</w:t>
      </w:r>
    </w:p>
    <w:p>
      <w:pPr>
        <w:spacing w:after="0" w:line="176" w:lineRule="exact"/>
        <w:rPr>
          <w:sz w:val="20"/>
          <w:szCs w:val="20"/>
          <w:color w:val="auto"/>
        </w:rPr>
      </w:pPr>
    </w:p>
    <w:p>
      <w:pPr>
        <w:jc w:val="both"/>
        <w:ind w:right="40" w:firstLine="648"/>
        <w:spacing w:after="0" w:line="272" w:lineRule="auto"/>
        <w:rPr>
          <w:sz w:val="20"/>
          <w:szCs w:val="20"/>
          <w:color w:val="auto"/>
        </w:rPr>
      </w:pPr>
      <w:r>
        <w:rPr>
          <w:rFonts w:ascii="Times New Roman" w:cs="Times New Roman" w:eastAsia="Times New Roman" w:hAnsi="Times New Roman"/>
          <w:sz w:val="17"/>
          <w:szCs w:val="17"/>
          <w:color w:val="auto"/>
        </w:rPr>
        <w:t>During the three months ended March 31, 2026, the Company granted 28,718 performance share awards under the LTIP at target, which will cliff vest, if earned, on December 31, 2028, at a weighted average grant date fair value of $319.59. The number of shares ultimately earned under a performance award may vary from zero to 200% of the target shares granted, based upon the Company’s performance compared to certain financial and other metrics.</w:t>
      </w:r>
    </w:p>
    <w:p>
      <w:pPr>
        <w:spacing w:after="0" w:line="2"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The metrics used were determined at the time of the grant by the Compensation Committee of the Board of Directors and were either based on internal measures, such as the Company’s financial performance compared to targets, or on a market-based metric, such as the Company’s stock performance compared to a peer group. Performance awards granted cliff vest following the performance period if the stated performance targets and minimum service requirements are attained and are paid in shares of the Company’s common stock.</w:t>
      </w:r>
    </w:p>
    <w:p>
      <w:pPr>
        <w:spacing w:after="0" w:line="189"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The Company recognizes stock-based compensation expense related to restricted stock units based on the grant date fair value, which was the closing price of the Company’s stock on the date of grant. The fair value is expensed over the service period, which is generally three years.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For performance awards, the Company recognizes stock-based compensation expense based on the grant date fair value of the award. The fair value of internal metric-based performance awards is determined by the closing stock price of the Company’s common stock on the date of the grant. The fair value of market-based performance awards is computed using a Monte Carlo simulation. Performance awards are expensed over the service period of approximately 2.8 years, and the Company adjusts the stock-based compensation expense related to internal metric-based performance awards according to its determination of the shares expected to vest at each reporting date.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Segment Information</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MYR Group is a holding company of specialty contractors serving electrical utility infrastructure and commercial construction markets in the United States and Canada. The Company has two reporting segments, each a separate operating segment, which are referred to as T&amp;D and C&amp;I. Operating segments are defined as components of an enterprise about which separate financial information is evaluated regularly by the chief operating decision maker (“CODM”) in deciding how to allocate resources and in assessing performance. The Company’s CODM is the Chief Executive Officer. The CODM uses segment revenue and income from operations, over multiple time periods, along with a comparison to the corresponding budgeted and prior year periods, as the primary basis for assessing segment performance and deciding how to allocate resources. Income from operations is the Company’s reported measure of segment profit or loss, as summarized in the table below, and excludes general corporate expenses. General corporate expenses reflect items that are generally viewed as Company-wide operating costs by the CODM and include items such as corporate facility and staffing costs, which includes safety costs, professional fees, IT expenses and certain management fees. The CODM also considers many other factors, such as contract terms, individual project performance, project location and other items, to support the CODM’s assessment of segment performance and resource allocation decisions.</w:t>
      </w:r>
    </w:p>
    <w:p>
      <w:pPr>
        <w:spacing w:after="0" w:line="194"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Transmission and Distribution: The T&amp;D segment provides a broad range of services on electric transmission and distribution networks and substation facilities which include design, engineering, procurement, construction, upgrade, maintenance and repair services with a particular focus on construction, maintenance and repair. T&amp;D services include the construction and maintenance of high voltage transmission lines, substations and lower voltage underground and overhead distribution systems, clean energy projects and electric vehicle charging infrastructure. The T&amp;D segment also provides emergency restoration services. T&amp;D customers include investor-owned utilities, cooperatives, private developers, government-funded utilities, independent power producers, independent transmission companies, industrial facility owners and other contractors.</w:t>
      </w:r>
    </w:p>
    <w:p>
      <w:pPr>
        <w:spacing w:after="0" w:line="18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Commercial and Industrial: The C&amp;I segment provides services such as the design, installation, maintenance and repair of commercial and industrial wiring, the installation of intelligent transportation systems, roadway lighting, signalization and electric vehicle charging infrastructure. Typical C&amp;I contracts cover electrical contracting services for data centers, clean energy projects, airports, hospitals, hotels, commercial and industrial facilities, manufacturing plants, processing facilities, water/waste-water treatment facilities, mining facilities, transportation control and management systems and stadiums. The C&amp;I segment generally provides electric construction and maintenance services as a subcontractor to general contractors in the C&amp;I industry, but also contracts directly with facility owners. The C&amp;I segment has a diverse customer base with many long-standing relationships.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in the following table is derived from the segment’s internal financial reports used for corporate management purposes: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40" w:type="dxa"/>
            <w:vAlign w:val="bottom"/>
            <w:gridSpan w:val="8"/>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2026</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vMerge w:val="restart"/>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gridSpan w:val="4"/>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7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T&amp;D</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C&amp;I</w:t>
            </w:r>
          </w:p>
        </w:tc>
        <w:tc>
          <w:tcPr>
            <w:tcW w:w="8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General Corporate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50"/>
        </w:trPr>
        <w:tc>
          <w:tcPr>
            <w:tcW w:w="5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540,970</w:t>
            </w: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459,410</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1,000,380</w:t>
            </w:r>
          </w:p>
        </w:tc>
        <w:tc>
          <w:tcPr>
            <w:tcW w:w="0" w:type="dxa"/>
            <w:vAlign w:val="bottom"/>
          </w:tcPr>
          <w:p>
            <w:pPr>
              <w:spacing w:after="0"/>
              <w:rPr>
                <w:sz w:val="1"/>
                <w:szCs w:val="1"/>
                <w:color w:val="auto"/>
              </w:rPr>
            </w:pPr>
          </w:p>
        </w:tc>
      </w:tr>
      <w:tr>
        <w:trPr>
          <w:trHeight w:val="229"/>
        </w:trPr>
        <w:tc>
          <w:tcPr>
            <w:tcW w:w="578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Operating costs </w:t>
            </w:r>
            <w:r>
              <w:rPr>
                <w:rFonts w:ascii="Times New Roman" w:cs="Times New Roman" w:eastAsia="Times New Roman" w:hAnsi="Times New Roman"/>
                <w:sz w:val="23"/>
                <w:szCs w:val="23"/>
                <w:color w:val="auto"/>
                <w:vertAlign w:val="superscript"/>
              </w:rPr>
              <w:t>(1)</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488,760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422,206</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24,692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935,658</w:t>
            </w:r>
          </w:p>
        </w:tc>
        <w:tc>
          <w:tcPr>
            <w:tcW w:w="0" w:type="dxa"/>
            <w:vAlign w:val="bottom"/>
          </w:tcPr>
          <w:p>
            <w:pPr>
              <w:spacing w:after="0"/>
              <w:rPr>
                <w:sz w:val="1"/>
                <w:szCs w:val="1"/>
                <w:color w:val="auto"/>
              </w:rPr>
            </w:pPr>
          </w:p>
        </w:tc>
      </w:tr>
      <w:tr>
        <w:trPr>
          <w:trHeight w:val="264"/>
        </w:trPr>
        <w:tc>
          <w:tcPr>
            <w:tcW w:w="5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from operations</w:t>
            </w: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52,210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37,204</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(24,692)</w:t>
            </w:r>
          </w:p>
        </w:tc>
        <w:tc>
          <w:tcPr>
            <w:tcW w:w="280" w:type="dxa"/>
            <w:vAlign w:val="bottom"/>
            <w:gridSpan w:val="2"/>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-505460</wp:posOffset>
            </wp:positionV>
            <wp:extent cx="5969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income (expense):</w:t>
      </w:r>
    </w:p>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Interest income</w:t>
      </w:r>
    </w:p>
    <w:p>
      <w:pPr>
        <w:spacing w:after="0" w:line="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Other expense, net</w:t>
      </w:r>
    </w:p>
    <w:p>
      <w:pPr>
        <w:spacing w:after="0" w:line="63" w:lineRule="exact"/>
        <w:rPr>
          <w:sz w:val="20"/>
          <w:szCs w:val="20"/>
          <w:color w:val="auto"/>
        </w:rPr>
      </w:pPr>
    </w:p>
    <w:p>
      <w:pPr>
        <w:ind w:left="20" w:right="2320" w:firstLine="202"/>
        <w:spacing w:after="0" w:line="336" w:lineRule="auto"/>
        <w:rPr>
          <w:sz w:val="20"/>
          <w:szCs w:val="20"/>
          <w:color w:val="auto"/>
        </w:rPr>
      </w:pPr>
      <w:r>
        <w:rPr>
          <w:rFonts w:ascii="Times New Roman" w:cs="Times New Roman" w:eastAsia="Times New Roman" w:hAnsi="Times New Roman"/>
          <w:sz w:val="18"/>
          <w:szCs w:val="18"/>
          <w:color w:val="auto"/>
        </w:rPr>
        <w:t>Income before provision for income taxes Income tax expense</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income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910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-3982085</wp:posOffset>
            </wp:positionH>
            <wp:positionV relativeFrom="paragraph">
              <wp:posOffset>-153670</wp:posOffset>
            </wp:positionV>
            <wp:extent cx="71323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(659)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-3982085</wp:posOffset>
            </wp:positionH>
            <wp:positionV relativeFrom="paragraph">
              <wp:posOffset>17145</wp:posOffset>
            </wp:positionV>
            <wp:extent cx="71323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(948)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2326640</wp:posOffset>
            </wp:positionH>
            <wp:positionV relativeFrom="paragraph">
              <wp:posOffset>17145</wp:posOffset>
            </wp:positionV>
            <wp:extent cx="82296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4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64,025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-3982085</wp:posOffset>
            </wp:positionH>
            <wp:positionV relativeFrom="paragraph">
              <wp:posOffset>17145</wp:posOffset>
            </wp:positionV>
            <wp:extent cx="71323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17,225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2326640</wp:posOffset>
            </wp:positionH>
            <wp:positionV relativeFrom="paragraph">
              <wp:posOffset>17145</wp:posOffset>
            </wp:positionV>
            <wp:extent cx="82296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30" w:lineRule="exact"/>
        <w:rPr>
          <w:sz w:val="20"/>
          <w:szCs w:val="20"/>
          <w:color w:val="auto"/>
        </w:rPr>
      </w:pPr>
    </w:p>
    <w:p>
      <w:pPr>
        <w:jc w:val="both"/>
        <w:ind w:left="3680"/>
        <w:spacing w:after="0"/>
        <w:tabs>
          <w:tab w:leader="none" w:pos="43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46,800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2326640</wp:posOffset>
            </wp:positionH>
            <wp:positionV relativeFrom="paragraph">
              <wp:posOffset>34290</wp:posOffset>
            </wp:positionV>
            <wp:extent cx="8229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22960" cy="8255"/>
                    </a:xfrm>
                    <a:prstGeom prst="rect">
                      <a:avLst/>
                    </a:prstGeom>
                    <a:noFill/>
                  </pic:spPr>
                </pic:pic>
              </a:graphicData>
            </a:graphic>
          </wp:anchor>
        </w:drawing>
        <w:drawing>
          <wp:anchor simplePos="0" relativeHeight="251657728" behindDoc="1" locked="0" layoutInCell="0" allowOverlap="1">
            <wp:simplePos x="0" y="0"/>
            <wp:positionH relativeFrom="column">
              <wp:posOffset>2326640</wp:posOffset>
            </wp:positionH>
            <wp:positionV relativeFrom="paragraph">
              <wp:posOffset>60325</wp:posOffset>
            </wp:positionV>
            <wp:extent cx="8229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-313055</wp:posOffset>
            </wp:positionH>
            <wp:positionV relativeFrom="paragraph">
              <wp:posOffset>33655</wp:posOffset>
            </wp:positionV>
            <wp:extent cx="346329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63290" cy="8890"/>
                    </a:xfrm>
                    <a:prstGeom prst="rect">
                      <a:avLst/>
                    </a:prstGeom>
                    <a:noFill/>
                  </pic:spPr>
                </pic:pic>
              </a:graphicData>
            </a:graphic>
          </wp:anchor>
        </w:drawing>
      </w:r>
    </w:p>
    <w:p>
      <w:pPr>
        <w:spacing w:after="0" w:line="35" w:lineRule="exact"/>
        <w:rPr>
          <w:sz w:val="20"/>
          <w:szCs w:val="20"/>
          <w:color w:val="auto"/>
        </w:rPr>
      </w:pPr>
    </w:p>
    <w:p>
      <w:pPr>
        <w:spacing w:after="0"/>
        <w:tabs>
          <w:tab w:leader="none" w:pos="1380" w:val="left"/>
          <w:tab w:leader="none" w:pos="2320" w:val="left"/>
          <w:tab w:leader="none" w:pos="3880" w:val="left"/>
        </w:tabs>
        <w:rPr>
          <w:sz w:val="20"/>
          <w:szCs w:val="20"/>
          <w:color w:val="auto"/>
        </w:rPr>
      </w:pPr>
      <w:r>
        <w:rPr>
          <w:rFonts w:ascii="Times New Roman" w:cs="Times New Roman" w:eastAsia="Times New Roman" w:hAnsi="Times New Roman"/>
          <w:sz w:val="14"/>
          <w:szCs w:val="14"/>
          <w:b w:val="1"/>
          <w:bCs w:val="1"/>
          <w:color w:val="auto"/>
        </w:rPr>
        <w:t>T&amp;D</w:t>
      </w:r>
      <w:r>
        <w:rPr>
          <w:sz w:val="20"/>
          <w:szCs w:val="20"/>
          <w:color w:val="auto"/>
        </w:rPr>
        <w:tab/>
      </w:r>
      <w:r>
        <w:rPr>
          <w:rFonts w:ascii="Times New Roman" w:cs="Times New Roman" w:eastAsia="Times New Roman" w:hAnsi="Times New Roman"/>
          <w:sz w:val="14"/>
          <w:szCs w:val="14"/>
          <w:b w:val="1"/>
          <w:bCs w:val="1"/>
          <w:color w:val="auto"/>
        </w:rPr>
        <w:t>C&amp;I</w:t>
      </w:r>
      <w:r>
        <w:rPr>
          <w:sz w:val="20"/>
          <w:szCs w:val="20"/>
          <w:color w:val="auto"/>
        </w:rPr>
        <w:tab/>
      </w:r>
      <w:r>
        <w:rPr>
          <w:rFonts w:ascii="Times New Roman" w:cs="Times New Roman" w:eastAsia="Times New Roman" w:hAnsi="Times New Roman"/>
          <w:sz w:val="14"/>
          <w:szCs w:val="14"/>
          <w:b w:val="1"/>
          <w:bCs w:val="1"/>
          <w:color w:val="auto"/>
        </w:rPr>
        <w:t>General Corporate</w:t>
      </w:r>
      <w:r>
        <w:rPr>
          <w:sz w:val="20"/>
          <w:szCs w:val="20"/>
          <w:color w:val="auto"/>
        </w:rPr>
        <w:tab/>
      </w:r>
      <w:r>
        <w:rPr>
          <w:rFonts w:ascii="Times New Roman" w:cs="Times New Roman" w:eastAsia="Times New Roman" w:hAnsi="Times New Roman"/>
          <w:sz w:val="14"/>
          <w:szCs w:val="14"/>
          <w:b w:val="1"/>
          <w:bCs w:val="1"/>
          <w:color w:val="auto"/>
        </w:rPr>
        <w:t>Consolidated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33655</wp:posOffset>
            </wp:positionV>
            <wp:extent cx="596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53" w:lineRule="exact"/>
        <w:rPr>
          <w:sz w:val="20"/>
          <w:szCs w:val="20"/>
          <w:color w:val="auto"/>
        </w:rPr>
      </w:pPr>
    </w:p>
    <w:p>
      <w:pPr>
        <w:sectPr>
          <w:pgSz w:w="11900" w:h="16838" w:orient="portrait"/>
          <w:cols w:equalWidth="0" w:num="2">
            <w:col w:w="5560" w:space="720"/>
            <w:col w:w="496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5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r>
        <w:trPr>
          <w:trHeight w:val="243"/>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revenues</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461,769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371,851</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833,620</w:t>
            </w:r>
          </w:p>
        </w:tc>
      </w:tr>
      <w:tr>
        <w:trPr>
          <w:trHeight w:val="229"/>
        </w:trPr>
        <w:tc>
          <w:tcPr>
            <w:tcW w:w="578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Operating costs </w:t>
            </w:r>
            <w:r>
              <w:rPr>
                <w:rFonts w:ascii="Times New Roman" w:cs="Times New Roman" w:eastAsia="Times New Roman" w:hAnsi="Times New Roman"/>
                <w:sz w:val="23"/>
                <w:szCs w:val="23"/>
                <w:color w:val="auto"/>
                <w:vertAlign w:val="superscript"/>
              </w:rPr>
              <w:t>(1)</w:t>
            </w: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425,548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354,474</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19,308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799,330</w:t>
            </w:r>
          </w:p>
        </w:tc>
      </w:tr>
      <w:tr>
        <w:trPr>
          <w:trHeight w:val="263"/>
        </w:trPr>
        <w:tc>
          <w:tcPr>
            <w:tcW w:w="5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36,221</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17,377</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(19,308)</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34,290</w:t>
            </w:r>
          </w:p>
        </w:tc>
      </w:tr>
      <w:tr>
        <w:trPr>
          <w:trHeight w:val="243"/>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57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7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3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70"/>
        </w:trPr>
        <w:tc>
          <w:tcPr>
            <w:tcW w:w="5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w:t>
            </w:r>
          </w:p>
        </w:tc>
      </w:tr>
      <w:tr>
        <w:trPr>
          <w:trHeight w:val="270"/>
        </w:trPr>
        <w:tc>
          <w:tcPr>
            <w:tcW w:w="5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expense, net</w:t>
            </w:r>
          </w:p>
        </w:tc>
        <w:tc>
          <w:tcPr>
            <w:tcW w:w="3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50"/>
        </w:trPr>
        <w:tc>
          <w:tcPr>
            <w:tcW w:w="5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3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32,767</w:t>
            </w:r>
          </w:p>
        </w:tc>
      </w:tr>
      <w:tr>
        <w:trPr>
          <w:trHeight w:val="270"/>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9,459</w:t>
            </w:r>
          </w:p>
        </w:tc>
      </w:tr>
      <w:tr>
        <w:trPr>
          <w:trHeight w:val="264"/>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23,308</w:t>
            </w:r>
          </w:p>
        </w:tc>
      </w:tr>
      <w:tr>
        <w:trPr>
          <w:trHeight w:val="20"/>
        </w:trPr>
        <w:tc>
          <w:tcPr>
            <w:tcW w:w="5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right="160" w:firstLine="8"/>
        <w:spacing w:after="0" w:line="266" w:lineRule="auto"/>
        <w:tabs>
          <w:tab w:leader="none" w:pos="2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costs include T&amp;D, C&amp;I and general corporate portion of contract costs, selling, general and administrative expenses, amortization of intangible assets and gain on sale of property and equipment. The expenses found in these other segment items are generally viewed as operating costs by the CODM and are not considered individually significant segment reporting items.</w:t>
      </w:r>
    </w:p>
    <w:p>
      <w:pPr>
        <w:spacing w:after="0" w:line="108"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The Company does not identify capital expenditures and total assets by segment in its internal financial reports due in part to the shared use of a centralized fleet of vehicles and specialized equipment. Identifiable assets, consisting of contract receivables, contract assets, construction materials inventory, goodwill and intangibles. As of March 31, 2026 and December 31, 2025, there were $158.1 million and $169.0 million, respectively, of identifiable assets attributable to Canadian operations. The table below reflects the identifiable assets for each segment.</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6"/>
                <w:szCs w:val="16"/>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37"/>
        </w:trPr>
        <w:tc>
          <w:tcPr>
            <w:tcW w:w="84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43"/>
        </w:trPr>
        <w:tc>
          <w:tcPr>
            <w:tcW w:w="86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T&amp;D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550,378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553,597</w:t>
            </w:r>
          </w:p>
        </w:tc>
      </w:tr>
      <w:tr>
        <w:trPr>
          <w:trHeight w:val="243"/>
        </w:trPr>
        <w:tc>
          <w:tcPr>
            <w:tcW w:w="86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C&amp;I</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490,383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474,791</w:t>
            </w:r>
          </w:p>
        </w:tc>
      </w:tr>
      <w:tr>
        <w:trPr>
          <w:trHeight w:val="27"/>
        </w:trPr>
        <w:tc>
          <w:tcPr>
            <w:tcW w:w="8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6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Corporate</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632,663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615,691</w:t>
            </w:r>
          </w:p>
        </w:tc>
      </w:tr>
      <w:tr>
        <w:trPr>
          <w:trHeight w:val="237"/>
        </w:trPr>
        <w:tc>
          <w:tcPr>
            <w:tcW w:w="8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1,673,424</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1,644,079</w:t>
            </w:r>
          </w:p>
        </w:tc>
      </w:tr>
      <w:tr>
        <w:trPr>
          <w:trHeight w:val="27"/>
        </w:trPr>
        <w:tc>
          <w:tcPr>
            <w:tcW w:w="8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
        </w:trPr>
        <w:tc>
          <w:tcPr>
            <w:tcW w:w="8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 allocation of total depreciation, including depreciation of shared construction equipment, and amortization to each segment is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80" w:type="dxa"/>
            <w:vAlign w:val="bottom"/>
            <w:gridSpan w:val="4"/>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37"/>
        </w:trPr>
        <w:tc>
          <w:tcPr>
            <w:tcW w:w="7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9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7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79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T&amp;D</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14,038</w:t>
            </w:r>
          </w:p>
        </w:tc>
        <w:tc>
          <w:tcPr>
            <w:tcW w:w="0" w:type="dxa"/>
            <w:vAlign w:val="bottom"/>
          </w:tcPr>
          <w:p>
            <w:pPr>
              <w:spacing w:after="0"/>
              <w:rPr>
                <w:sz w:val="1"/>
                <w:szCs w:val="1"/>
                <w:color w:val="auto"/>
              </w:rPr>
            </w:pPr>
          </w:p>
        </w:tc>
      </w:tr>
      <w:tr>
        <w:trPr>
          <w:trHeight w:val="243"/>
        </w:trPr>
        <w:tc>
          <w:tcPr>
            <w:tcW w:w="7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C&amp;I</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0" w:type="dxa"/>
            <w:vAlign w:val="bottom"/>
          </w:tcPr>
          <w:p>
            <w:pPr>
              <w:spacing w:after="0"/>
              <w:rPr>
                <w:sz w:val="1"/>
                <w:szCs w:val="1"/>
                <w:color w:val="auto"/>
              </w:rPr>
            </w:pPr>
          </w:p>
        </w:tc>
      </w:tr>
      <w:tr>
        <w:trPr>
          <w:trHeight w:val="27"/>
        </w:trPr>
        <w:tc>
          <w:tcPr>
            <w:tcW w:w="7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8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17,763</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16,193</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Earnings Per Share</w:t>
      </w:r>
    </w:p>
    <w:p>
      <w:pPr>
        <w:spacing w:after="0" w:line="229"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The Company computes earnings per share using the treasury stock method. Under the treasury stock method, basic earnings per share are computed by dividing net income by the weighted average number of common shares outstanding during the period, and diluted earnings per share are computed by dividing net income by the weighted average number of common shares outstanding during the period plus all potentially dilutive common stock equivalents, except in cases where the effect of the common stock equivalent would be anti-dilutive.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income and the weighted average number of common shares used to compute basic and diluted earnings per share were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20" w:type="dxa"/>
            <w:vAlign w:val="bottom"/>
            <w:gridSpan w:val="4"/>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8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4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8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46,800</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23,308</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8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15,539</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15,994</w:t>
            </w:r>
          </w:p>
        </w:tc>
        <w:tc>
          <w:tcPr>
            <w:tcW w:w="0" w:type="dxa"/>
            <w:vAlign w:val="bottom"/>
          </w:tcPr>
          <w:p>
            <w:pPr>
              <w:spacing w:after="0"/>
              <w:rPr>
                <w:sz w:val="1"/>
                <w:szCs w:val="1"/>
                <w:color w:val="auto"/>
              </w:rPr>
            </w:pPr>
          </w:p>
        </w:tc>
      </w:tr>
      <w:tr>
        <w:trPr>
          <w:trHeight w:val="243"/>
        </w:trPr>
        <w:tc>
          <w:tcPr>
            <w:tcW w:w="8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Weighted average dilutive securities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7"/>
        </w:trPr>
        <w:tc>
          <w:tcPr>
            <w:tcW w:w="8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4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common shares outstanding, diluted</w:t>
            </w: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15,676</w:t>
            </w:r>
          </w:p>
        </w:tc>
        <w:tc>
          <w:tcPr>
            <w:tcW w:w="1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16,056</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per common share: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7"/>
        </w:trPr>
        <w:tc>
          <w:tcPr>
            <w:tcW w:w="8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and 2025, certain common stock equivalents were excluded from the calculation of dilutive securities because their inclusion would have been anti-dilutive.</w:t>
      </w:r>
    </w:p>
    <w:p>
      <w:pPr>
        <w:spacing w:after="0" w:line="162"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shares of common stock underlying the Company’s unvested time-vested stock awards and performance awards that were excluded from the calculation of dilutive securities: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40" w:type="dxa"/>
            <w:vAlign w:val="bottom"/>
            <w:gridSpan w:val="4"/>
          </w:tcPr>
          <w:p>
            <w:pPr>
              <w:ind w:left="8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8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gridSpan w:val="3"/>
          </w:tcPr>
          <w:p>
            <w:pPr>
              <w:ind w:left="1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400" w:type="dxa"/>
            <w:vAlign w:val="bottom"/>
            <w:gridSpan w:val="2"/>
            <w:vMerge w:val="continue"/>
          </w:tcPr>
          <w:p>
            <w:pPr>
              <w:spacing w:after="0"/>
              <w:rPr>
                <w:sz w:val="16"/>
                <w:szCs w:val="16"/>
                <w:color w:val="auto"/>
              </w:rPr>
            </w:pPr>
          </w:p>
        </w:tc>
        <w:tc>
          <w:tcPr>
            <w:tcW w:w="136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83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8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Time-vested stock awards</w:t>
            </w:r>
          </w:p>
        </w:tc>
        <w:tc>
          <w:tcPr>
            <w:tcW w:w="136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Performance awards</w:t>
            </w:r>
          </w:p>
        </w:tc>
        <w:tc>
          <w:tcPr>
            <w:tcW w:w="13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229"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the Company repurchased 24,666 shares of stock, for approximately $6.5 million, from its employees to satisfy tax obligations on shares vested under the LTIP. During the three months ended March 31, 2025, the Company repurchased 18,866 shares of stock, for approximately $2.5 million, from its employees to satisfy tax obligations on shares vested under the LTIP.</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right="30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This management’s discussion and analysis provides a narrative on the Company’s financial performance and condition that should be read in conjunction with the accompanying unaudited consolidated financial statements and with our Annual Report on Form 10-K for the year ended December 31, 2025 (the “2025 Annual Report”). In addition to historical information, this discussion contains forward-looking statements that involve risks, uncertainties and assumptions that could cause actual results to differ materially from management’s expectations. Factors that could cause such differences are discussed herein under the captions “Cautionary Statement Concerning Forward-Looking Statements and Information” and “Risk Factors,” as well as in the 2025 Annual Report. We assume no obligation to update any of these forward-looking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and Outlook</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a holding company of specialty electrical construction service providers that was established in 1995 through the merger of long-standing specialty contractors. Through our subsidiaries, we serve the electric utility infrastructure, commercial and industrial construction markets. We manage and report our operations through two electrical contracting service segments: Transmission and Distribution (“T&amp;D”) and Commercial and Industrial (“C&amp;I”).</w:t>
      </w:r>
    </w:p>
    <w:p>
      <w:pPr>
        <w:spacing w:after="0" w:line="14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We have operated in the transmission and distribution industry since 1891. We are one of the largest U.S. contractors servicing the T&amp;D sector of the electric utility industry and provide T&amp;D services throughout the United States and in Ontario, Canada. Our T&amp;D customers include many of the leading companies in the electric utility industry. We have provided electrical contracting services for commercial and industrial construction since 1912. Our C&amp;I segment provides services in the United States and in western Canada. Our C&amp;I customers include general contractors and facility owners. We strive to maintain our status as a preferred provider to our T&amp;D and C&amp;I customers.</w:t>
      </w:r>
    </w:p>
    <w:p>
      <w:pPr>
        <w:spacing w:after="0" w:line="1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that we have a number of competitive advantages in both of our segments, including our skilled workforce, extensive centralized fleet, proven safety performance and reputation for timely completion of quality work that allows us to compete favorably in our markets. In addition, we believe that we are better capitalized than some of our competitors, which provides us with valuable flexibility to take on additional and more complex projects.</w:t>
      </w:r>
    </w:p>
    <w:p>
      <w:pPr>
        <w:spacing w:after="0" w:line="135"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We believe legislative actions aimed at supporting infrastructure improvements in the United States may positively impact long-term demand and opportunity in both of our reporting segments, particularly in connection with electric power infrastructure, expansion of domestic manufacturing, and transportation spending. However, we may experience unanticipated volatility associated with policy changes, tariffs and global relations. Prolonged uncertainty in the business environment and higher inflation could also impact customer demand and our profitability.</w:t>
      </w:r>
    </w:p>
    <w:p>
      <w:pPr>
        <w:spacing w:after="0" w:line="153" w:lineRule="exact"/>
        <w:rPr>
          <w:sz w:val="20"/>
          <w:szCs w:val="20"/>
          <w:color w:val="auto"/>
        </w:rPr>
      </w:pPr>
    </w:p>
    <w:p>
      <w:pPr>
        <w:ind w:right="60" w:firstLine="648"/>
        <w:spacing w:after="0" w:line="239" w:lineRule="auto"/>
        <w:rPr>
          <w:sz w:val="20"/>
          <w:szCs w:val="20"/>
          <w:color w:val="auto"/>
        </w:rPr>
      </w:pPr>
      <w:r>
        <w:rPr>
          <w:rFonts w:ascii="Times New Roman" w:cs="Times New Roman" w:eastAsia="Times New Roman" w:hAnsi="Times New Roman"/>
          <w:sz w:val="18"/>
          <w:szCs w:val="18"/>
          <w:color w:val="auto"/>
        </w:rPr>
        <w:t>We had consolidated revenues for the three months ended March 31, 2026 of $1.00 billion, of which 54.1% was attributable to our T&amp;D customers and 45.9% was attributable to our C&amp;I customers. Our consolidated revenues for the three months ended March 31, 2025 were $833.6 million. For the three months ended March 31, 2026, our net income and EBITDA</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were $46.8 million and $81.5 million, respectively, compared to $23.3 million and $50.2 million, respectively, for the three months ended March 31, 2025.</w:t>
      </w:r>
    </w:p>
    <w:p>
      <w:pPr>
        <w:spacing w:after="0" w:line="158"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We believe there is an ongoing need for utilities to sustain investment in their transmission and distribution systems to improve reliability, reduce congestion, connect to new power generation sources, support future load growth, and conduct proper maintenance. We also believe the increased storm activity and destruction caused by wildfires will cause a push to strengthen transmission and distribution systems against catastrophic damage. Transmission and distribution systems may also require upgrades to accommodate additional energy resources and increased electrification. Consequently, we believe that we will see continued healthy bidding activity going forward. The timing of multi-year transmission project awards, along with the related distribution systems and other substantial construction activity is difficult to predict due to regulatory requirements and the permitting needed to commence construction. Any large, multi-year projects awarded in 2026 will not likely have a large impact on our 2026 results because significant construction activity would not occur until 2027 or later. Bidding and construction activities for small to medium-size transmission projects and upgrades, along with distribution systems, remains active, and we expect this trend to continue.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17145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11" w:lineRule="exact"/>
        <w:rPr>
          <w:sz w:val="20"/>
          <w:szCs w:val="20"/>
          <w:color w:val="auto"/>
        </w:rPr>
      </w:pPr>
    </w:p>
    <w:p>
      <w:pPr>
        <w:ind w:left="180" w:hanging="172"/>
        <w:spacing w:after="0"/>
        <w:tabs>
          <w:tab w:leader="none" w:pos="180"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EBITDA is a non-GAAP measure. Refer to “Non-GAAP Measure—EBITDA” for a discussion of this measure.</w:t>
      </w:r>
    </w:p>
    <w:p>
      <w:pPr>
        <w:spacing w:after="0" w:line="200" w:lineRule="exact"/>
        <w:rPr>
          <w:rFonts w:ascii="Times New Roman" w:cs="Times New Roman" w:eastAsia="Times New Roman" w:hAnsi="Times New Roman"/>
          <w:sz w:val="22"/>
          <w:szCs w:val="22"/>
          <w:color w:val="auto"/>
          <w:vertAlign w:val="superscript"/>
        </w:rPr>
      </w:pPr>
    </w:p>
    <w:p>
      <w:pPr>
        <w:spacing w:after="0" w:line="200" w:lineRule="exact"/>
        <w:rPr>
          <w:rFonts w:ascii="Times New Roman" w:cs="Times New Roman" w:eastAsia="Times New Roman" w:hAnsi="Times New Roman"/>
          <w:sz w:val="22"/>
          <w:szCs w:val="22"/>
          <w:color w:val="auto"/>
          <w:vertAlign w:val="superscript"/>
        </w:rPr>
      </w:pPr>
    </w:p>
    <w:p>
      <w:pPr>
        <w:spacing w:after="0" w:line="262" w:lineRule="exact"/>
        <w:rPr>
          <w:rFonts w:ascii="Times New Roman" w:cs="Times New Roman" w:eastAsia="Times New Roman" w:hAnsi="Times New Roman"/>
          <w:sz w:val="22"/>
          <w:szCs w:val="22"/>
          <w:color w:val="auto"/>
          <w:vertAlign w:val="superscript"/>
        </w:rPr>
      </w:pPr>
    </w:p>
    <w:p>
      <w:pPr>
        <w:ind w:left="5540"/>
        <w:spacing w:after="0"/>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Our C&amp;I bidding opportunities remain strong and we believe we will see continued opportunities in the primary markets we serve such as data centers, transportation, health care, manufacturing, clean energy and warehousing. In addition, the United States has experienced decades of underfunded economic expansion and aging infrastructure that have challenged the capacity of public water and transportation infrastructure forcing states and municipalities to seek creative means to fund needed expansion and repair. We believe the need for expanding public infrastructure in both the United States and Canada will offer opportunity in our C&amp;I segment for several years. Legislation and regulation that promotes domestic manufacturing could also create opportunity for our C&amp;I segment. We expect the long-term growth in our C&amp;I segment to generally track the overall growth of the regions we serve.</w:t>
      </w:r>
    </w:p>
    <w:p>
      <w:pPr>
        <w:spacing w:after="0" w:line="16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the increasing demand for electricity associated with additional power requirements, driven by increased electrification associated with new technologies, including the emergence and adoption of artificial intelligence technologies as well as increased power needs connected to the reshoring of manufacturing, will require significant investment by our customers in both of our reporting segments.</w:t>
      </w:r>
    </w:p>
    <w:p>
      <w:pPr>
        <w:spacing w:after="0" w:line="13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continue to implement strategies that are designed to further expand our capabilities and effectively allocate capital. We have maintained a strong balance sheet, while also supporting our organic growth with capital expenditures, working capital and share repurchases. We believe the borrowing availability under our $490 million revolving credit facility, cash on hand and future cash flow from operations will enable us to support the organic growth of our business, pursue acquisitions and opportunistically repurchase shares.</w:t>
      </w:r>
    </w:p>
    <w:p>
      <w:pPr>
        <w:spacing w:after="0" w:line="13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continue to manage our increasing operating costs, including increasing insurance, equipment, labor and material costs. We believe that our financial position, positive cash flows and other operational strengths will enable us to respond to challenges and uncertainties in the markets we serve and give us the flexibility to successfully execute our strategy. We continue to invest in developing key management and craft personnel in both our T&amp;D and C&amp;I segments and in procuring the specific specialty equipment and tooling needed to win and execute projects of all sizes and complexity.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229"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We refer to our estimated revenue on uncompleted contracts, including the amount of revenue on contracts for which work has not begun, less the revenue we have recognized under such contracts, as “backlog.” A customer’s intention to award us work under a fixed-price contract is not included in backlog unless there is an actual written award to perform a specific scope of work at specific terms and pricing. For many of our unit-price, time-and-equipment, time-and-materials and cost plus contracts, we only include projected revenue for a three-month period in the calculation of backlog, although these types of contracts are generally awarded as part of master service agreements that typically have a one-year to four-year duration from execution. Backlog may not accurately represent the revenues that we expect to realize during any particular period. Several factors, such as the timing of contract awards, the type and duration of contracts, and the mix of subcontractor and material costs in our projects, can impact our backlog at any point in time. Some of our revenue does not appear in our periodic backlog reporting because the award of the project, as well as the execution of the work, may all take place within the period. Our backlog includes projects that have a written award, a letter of intent, a notice to proceed or an agreed upon work order to perform work on mutually accepted terms and conditions. Backlog should not be relied upon as a stand-alone indicator of future events.</w:t>
      </w:r>
    </w:p>
    <w:p>
      <w:pPr>
        <w:spacing w:after="0" w:line="194"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difference between our backlog and remaining performance obligations is due to the exclusion of a portion of our master service agreements under certain contract types from our remaining performance obligations as these contracts can be canceled for convenience at any time by us or the customer without considerable cost incurred by the customer. Our estimated backlog also includes our proportionate share of unconsolidated joint venture contracts. Additional information related to our remaining performance obligations is provided in Note 6–Revenue Recognition in the accompanying notes to our Consolidated Financial Statements.</w:t>
      </w:r>
    </w:p>
    <w:p>
      <w:pPr>
        <w:spacing w:after="0" w:line="183"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Our backlog was $2.84 billion at March 31, 2026 compared to $2.64 billion at March 31, 2025. Our backlog at March 31, 2026 increased $19.2 million from December 31, 2025. Backlog in the T&amp;D segment decreased $37.5 million and C&amp;I backlog increased $56.7 million compared to December 31, 2025. Our backlog as of March 31, 2026 included our proportionate share of joint venture backlog totaling $167.5 million, compared to $176.1 million at December 31, 2025.</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right="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amount of our backlog that we believe to be firm as of the dates shown and the amount of our current backlog that we reasonably estimate will not be recognized within the next twelve months, and the amount estimated to be recognized after the next twelve months: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Backlog at March 31, 2026</w:t>
            </w:r>
          </w:p>
        </w:tc>
        <w:tc>
          <w:tcPr>
            <w:tcW w:w="2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1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22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vMerge w:val="restart"/>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Total backlog at</w:t>
            </w:r>
          </w:p>
        </w:tc>
        <w:tc>
          <w:tcPr>
            <w:tcW w:w="0" w:type="dxa"/>
            <w:vAlign w:val="bottom"/>
          </w:tcPr>
          <w:p>
            <w:pPr>
              <w:spacing w:after="0"/>
              <w:rPr>
                <w:sz w:val="1"/>
                <w:szCs w:val="1"/>
                <w:color w:val="auto"/>
              </w:rPr>
            </w:pPr>
          </w:p>
        </w:tc>
      </w:tr>
      <w:tr>
        <w:trPr>
          <w:trHeight w:val="128"/>
        </w:trPr>
        <w:tc>
          <w:tcPr>
            <w:tcW w:w="3180" w:type="dxa"/>
            <w:vAlign w:val="bottom"/>
            <w:gridSpan w:val="2"/>
            <w:vMerge w:val="restart"/>
          </w:tcPr>
          <w:p>
            <w:pPr>
              <w:ind w:left="1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Borders>
              <w:top w:val="single" w:sz="8" w:color="auto"/>
            </w:tcBorders>
          </w:tcPr>
          <w:p>
            <w:pPr>
              <w:spacing w:after="0"/>
              <w:rPr>
                <w:sz w:val="11"/>
                <w:szCs w:val="11"/>
                <w:color w:val="auto"/>
              </w:rPr>
            </w:pPr>
          </w:p>
        </w:tc>
        <w:tc>
          <w:tcPr>
            <w:tcW w:w="2180" w:type="dxa"/>
            <w:vAlign w:val="bottom"/>
            <w:tcBorders>
              <w:top w:val="single" w:sz="8" w:color="auto"/>
            </w:tcBorders>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Amount estimated to be</w:t>
            </w:r>
          </w:p>
        </w:tc>
        <w:tc>
          <w:tcPr>
            <w:tcW w:w="280" w:type="dxa"/>
            <w:vAlign w:val="bottom"/>
            <w:tcBorders>
              <w:top w:val="single" w:sz="8" w:color="auto"/>
            </w:tcBorders>
          </w:tcPr>
          <w:p>
            <w:pPr>
              <w:spacing w:after="0"/>
              <w:rPr>
                <w:sz w:val="11"/>
                <w:szCs w:val="11"/>
                <w:color w:val="auto"/>
              </w:rPr>
            </w:pPr>
          </w:p>
        </w:tc>
        <w:tc>
          <w:tcPr>
            <w:tcW w:w="2160" w:type="dxa"/>
            <w:vAlign w:val="bottom"/>
            <w:tcBorders>
              <w:top w:val="single" w:sz="8" w:color="auto"/>
            </w:tcBorders>
          </w:tcPr>
          <w:p>
            <w:pPr>
              <w:jc w:val="center"/>
              <w:ind w:right="217"/>
              <w:spacing w:after="0" w:line="129" w:lineRule="exact"/>
              <w:rPr>
                <w:sz w:val="20"/>
                <w:szCs w:val="20"/>
                <w:color w:val="auto"/>
              </w:rPr>
            </w:pPr>
            <w:r>
              <w:rPr>
                <w:rFonts w:ascii="Times New Roman" w:cs="Times New Roman" w:eastAsia="Times New Roman" w:hAnsi="Times New Roman"/>
                <w:sz w:val="14"/>
                <w:szCs w:val="14"/>
                <w:b w:val="1"/>
                <w:bCs w:val="1"/>
                <w:color w:val="auto"/>
              </w:rPr>
              <w:t>Amount estimated to be</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318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2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recognized within 12 months</w:t>
            </w:r>
          </w:p>
        </w:tc>
        <w:tc>
          <w:tcPr>
            <w:tcW w:w="280" w:type="dxa"/>
            <w:vAlign w:val="bottom"/>
          </w:tcPr>
          <w:p>
            <w:pPr>
              <w:spacing w:after="0"/>
              <w:rPr>
                <w:sz w:val="17"/>
                <w:szCs w:val="17"/>
                <w:color w:val="auto"/>
              </w:rPr>
            </w:pPr>
          </w:p>
        </w:tc>
        <w:tc>
          <w:tcPr>
            <w:tcW w:w="22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recognized after 12 months</w:t>
            </w:r>
          </w:p>
        </w:tc>
        <w:tc>
          <w:tcPr>
            <w:tcW w:w="140" w:type="dxa"/>
            <w:vAlign w:val="bottom"/>
          </w:tcPr>
          <w:p>
            <w:pPr>
              <w:spacing w:after="0"/>
              <w:rPr>
                <w:sz w:val="17"/>
                <w:szCs w:val="17"/>
                <w:color w:val="auto"/>
              </w:rPr>
            </w:pPr>
          </w:p>
        </w:tc>
        <w:tc>
          <w:tcPr>
            <w:tcW w:w="142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29"/>
        </w:trPr>
        <w:tc>
          <w:tcPr>
            <w:tcW w:w="3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T&amp;D</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980,663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903,209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77,454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1,018,116</w:t>
            </w:r>
          </w:p>
        </w:tc>
        <w:tc>
          <w:tcPr>
            <w:tcW w:w="0" w:type="dxa"/>
            <w:vAlign w:val="bottom"/>
          </w:tcPr>
          <w:p>
            <w:pPr>
              <w:spacing w:after="0"/>
              <w:rPr>
                <w:sz w:val="1"/>
                <w:szCs w:val="1"/>
                <w:color w:val="auto"/>
              </w:rPr>
            </w:pPr>
          </w:p>
        </w:tc>
      </w:tr>
      <w:tr>
        <w:trPr>
          <w:trHeight w:val="229"/>
        </w:trPr>
        <w:tc>
          <w:tcPr>
            <w:tcW w:w="3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C&amp;I</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1,862,829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1,635,420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227,409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1,806,152</w:t>
            </w:r>
          </w:p>
        </w:tc>
        <w:tc>
          <w:tcPr>
            <w:tcW w:w="0" w:type="dxa"/>
            <w:vAlign w:val="bottom"/>
          </w:tcPr>
          <w:p>
            <w:pPr>
              <w:spacing w:after="0"/>
              <w:rPr>
                <w:sz w:val="1"/>
                <w:szCs w:val="1"/>
                <w:color w:val="auto"/>
              </w:rPr>
            </w:pPr>
          </w:p>
        </w:tc>
      </w:tr>
      <w:tr>
        <w:trPr>
          <w:trHeight w:val="248"/>
        </w:trPr>
        <w:tc>
          <w:tcPr>
            <w:tcW w:w="3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2,843,492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2,538,629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304,863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2,824,268</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229"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selected consolidated statements of operations data and such data as a percentage of revenues for the periods indicated:</w:t>
      </w:r>
    </w:p>
    <w:p>
      <w:pPr>
        <w:spacing w:after="0" w:line="88" w:lineRule="exact"/>
        <w:rPr>
          <w:sz w:val="20"/>
          <w:szCs w:val="20"/>
          <w:color w:val="auto"/>
        </w:rPr>
      </w:pPr>
    </w:p>
    <w:p>
      <w:pPr>
        <w:jc w:val="center"/>
        <w:ind w:left="56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9" w:lineRule="exact"/>
        <w:rPr>
          <w:sz w:val="20"/>
          <w:szCs w:val="20"/>
          <w:color w:val="auto"/>
        </w:rPr>
      </w:pPr>
    </w:p>
    <w:p>
      <w:pPr>
        <w:jc w:val="center"/>
        <w:ind w:left="56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33020</wp:posOffset>
            </wp:positionV>
            <wp:extent cx="35490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gridSpan w:val="3"/>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gridSpan w:val="3"/>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6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3"/>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60" w:type="dxa"/>
            <w:vAlign w:val="bottom"/>
          </w:tcPr>
          <w:p>
            <w:pPr>
              <w:spacing w:after="0"/>
              <w:rPr>
                <w:sz w:val="16"/>
                <w:szCs w:val="16"/>
                <w:color w:val="auto"/>
              </w:rPr>
            </w:pPr>
          </w:p>
        </w:tc>
        <w:tc>
          <w:tcPr>
            <w:tcW w:w="1420" w:type="dxa"/>
            <w:vAlign w:val="bottom"/>
            <w:gridSpan w:val="3"/>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4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37"/>
        </w:trPr>
        <w:tc>
          <w:tcPr>
            <w:tcW w:w="55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revenues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1,000,380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833,620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43"/>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Contract costs</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865,940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86.6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736,719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88.4</w:t>
            </w:r>
          </w:p>
        </w:tc>
        <w:tc>
          <w:tcPr>
            <w:tcW w:w="0" w:type="dxa"/>
            <w:vAlign w:val="bottom"/>
          </w:tcPr>
          <w:p>
            <w:pPr>
              <w:spacing w:after="0"/>
              <w:rPr>
                <w:sz w:val="1"/>
                <w:szCs w:val="1"/>
                <w:color w:val="auto"/>
              </w:rPr>
            </w:pPr>
          </w:p>
        </w:tc>
      </w:tr>
      <w:tr>
        <w:trPr>
          <w:trHeight w:val="27"/>
        </w:trPr>
        <w:tc>
          <w:tcPr>
            <w:tcW w:w="5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43"/>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69,423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62,524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43"/>
        </w:trPr>
        <w:tc>
          <w:tcPr>
            <w:tcW w:w="5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Gain on sale of property and equipment</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
        </w:trPr>
        <w:tc>
          <w:tcPr>
            <w:tcW w:w="5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64,722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34,290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43"/>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 net</w:t>
            </w: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5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64,025</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32,767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64"/>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46,800</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23,308</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2026 Compared to Three Months Ended March 31, 2025</w:t>
      </w:r>
    </w:p>
    <w:p>
      <w:pPr>
        <w:spacing w:after="0" w:line="229"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Revenues increased $166.8 million, or 20.0%, to $1.00 billion for the three months ended March 31, 2026 from $833.6 million for the three months ended March 31, 2025. The increase was primarily due to an increase of $87.6 million in C&amp;I revenue and an increase of $79.2 million in T&amp;D revenue. See Segment Results below for additional information and discussion related to segment revenues.</w:t>
      </w:r>
    </w:p>
    <w:p>
      <w:pPr>
        <w:spacing w:after="0" w:line="12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Gross margin for the three months ended March 31, 2026 increased to 13.4% compared to 11.6% for the three months ended March 31, 2025. The increase in gross margin was primarily due to a larger portion of our projects progressing at higher contractual margins, some of which are nearing completion, during the three months ended March 31, 2026. Gross margin was also impacted by significant changes in our estimated gross profit on certain projects resulting in a net gross margin increase of 0.8% for the three months ended March 31, 2026, compared to a net gross margin decrease of 1.1% for the three months ended March 31, 2025. During the three months ended March 31, 2026, significant estimate changes positively impacted gross margin by 3.2%, primarily related to better-than-anticipated productivity, favorable change orders and a favorable job closeout. In addition, significant estimate changes in gross profit negatively impacted gross margin by 2.4% and largely related to an increase in costs associated with project inefficiencies on certain projects.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Gross profit was $134.4 million for the three months ended March 31, 2026 compared to $96.9 million for the three months ended March 31, 2025. The increase of $37.5 million, or 38.7%, was due to higher margin and revenues.</w:t>
      </w:r>
    </w:p>
    <w:p>
      <w:pPr>
        <w:spacing w:after="0" w:line="108"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were $69.4 million for the three months ended March 31, 2026 compared to $62.5 million for the three months ended March 31, 2025. The period-over-period increase of $6.9 million was primarily due to an increase in employee incentive compensation costs and an increase in employee-related expenses to support future growth.</w:t>
      </w:r>
    </w:p>
    <w:p>
      <w:pPr>
        <w:spacing w:after="0" w:line="122"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Interest income was $0.9 million for the three months ended March 31, 2026 compared to $0.2 million for the three months ended March 31, 2025. The increase was attributable to higher average balances held in money market accounts during the three months ended March 31, 2026 as compared to the three months ended March 31, 2025.</w:t>
      </w:r>
    </w:p>
    <w:p>
      <w:pPr>
        <w:spacing w:after="0" w:line="122"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Interest expense was $0.7 million for the three months ended March 31, 2026 compared to $1.4 million for the three months ended March 31, 2025. The decrease was attributable to lower average outstanding debt balances and lower interest rates during the three months ended March 31, 2026 as compared to the three months ended March 31, 2025.</w:t>
      </w:r>
    </w:p>
    <w:p>
      <w:pPr>
        <w:spacing w:after="0" w:line="122"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Income tax expense was $17.2 million for the three months ended March 31, 2026, with an effective tax rate of 26.9%, compared to the income tax expense of $9.5 million for the three months ended March 31, 2025, with an effective tax rate of 28.9%. The decrease in the tax rate for the three months ended March 31, 2026 was primarily due to a favorable impact from stock compensation excess tax benefits, partially offset by the impact of the net CFC tested income (“NCTI”) and other permanent difference items.</w:t>
      </w:r>
    </w:p>
    <w:p>
      <w:pPr>
        <w:spacing w:after="0" w:line="126"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Net income was $46.8 million for the three months ended March 31, 2026 compared to net income of $23.3 million for the three months ended March 31, 2025. The increase was primarily due to the reasons stated earlier.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Results</w:t>
      </w:r>
    </w:p>
    <w:p>
      <w:pPr>
        <w:spacing w:after="0" w:line="229"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the periods indicated, statements of operations data by segment, segment net sales as percentage of total net sales and segment operating income as a percentage of segment net sales: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6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3"/>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40" w:type="dxa"/>
            <w:vAlign w:val="bottom"/>
            <w:gridSpan w:val="3"/>
          </w:tcPr>
          <w:p>
            <w:pPr>
              <w:jc w:val="right"/>
              <w:ind w:right="1176"/>
              <w:spacing w:after="0"/>
              <w:rPr>
                <w:sz w:val="20"/>
                <w:szCs w:val="20"/>
                <w:color w:val="auto"/>
              </w:rPr>
            </w:pPr>
            <w:r>
              <w:rPr>
                <w:rFonts w:ascii="Times New Roman" w:cs="Times New Roman" w:eastAsia="Times New Roman" w:hAnsi="Times New Roman"/>
                <w:sz w:val="14"/>
                <w:szCs w:val="14"/>
                <w:b w:val="1"/>
                <w:bCs w:val="1"/>
                <w:color w:val="auto"/>
                <w:w w:val="92"/>
              </w:rPr>
              <w:t>2025</w:t>
            </w:r>
          </w:p>
        </w:tc>
        <w:tc>
          <w:tcPr>
            <w:tcW w:w="0" w:type="dxa"/>
            <w:vAlign w:val="bottom"/>
          </w:tcPr>
          <w:p>
            <w:pPr>
              <w:spacing w:after="0"/>
              <w:rPr>
                <w:sz w:val="1"/>
                <w:szCs w:val="1"/>
                <w:color w:val="auto"/>
              </w:rPr>
            </w:pPr>
          </w:p>
        </w:tc>
      </w:tr>
      <w:tr>
        <w:trPr>
          <w:trHeight w:val="37"/>
        </w:trPr>
        <w:tc>
          <w:tcPr>
            <w:tcW w:w="5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3"/>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5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gridSpan w:val="3"/>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40" w:type="dxa"/>
            <w:vAlign w:val="bottom"/>
          </w:tcPr>
          <w:p>
            <w:pPr>
              <w:spacing w:after="0"/>
              <w:rPr>
                <w:sz w:val="16"/>
                <w:szCs w:val="16"/>
                <w:color w:val="auto"/>
              </w:rPr>
            </w:pPr>
          </w:p>
        </w:tc>
        <w:tc>
          <w:tcPr>
            <w:tcW w:w="100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37"/>
        </w:trPr>
        <w:tc>
          <w:tcPr>
            <w:tcW w:w="5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Contract revenues:</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Transmission &amp; Distribution</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540,970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54.1 %</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461,769</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55.4 %</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&amp; Industrial</w:t>
            </w: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459,410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45.9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371,851</w:t>
            </w:r>
          </w:p>
        </w:tc>
        <w:tc>
          <w:tcPr>
            <w:tcW w:w="1540" w:type="dxa"/>
            <w:vAlign w:val="bottom"/>
            <w:tcBorders>
              <w:bottom w:val="single" w:sz="8" w:color="CCEEFF"/>
            </w:tcBorders>
            <w:gridSpan w:val="3"/>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44.6</w:t>
            </w:r>
          </w:p>
        </w:tc>
        <w:tc>
          <w:tcPr>
            <w:tcW w:w="0" w:type="dxa"/>
            <w:vAlign w:val="bottom"/>
          </w:tcPr>
          <w:p>
            <w:pPr>
              <w:spacing w:after="0"/>
              <w:rPr>
                <w:sz w:val="1"/>
                <w:szCs w:val="1"/>
                <w:color w:val="auto"/>
              </w:rPr>
            </w:pPr>
          </w:p>
        </w:tc>
      </w:tr>
      <w:tr>
        <w:trPr>
          <w:trHeight w:val="264"/>
        </w:trPr>
        <w:tc>
          <w:tcPr>
            <w:tcW w:w="5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1,000,380</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833,620</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Transmission &amp; Distribution</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36,221</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&amp; Industrial</w:t>
            </w: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37,204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17,377</w:t>
            </w:r>
          </w:p>
        </w:tc>
        <w:tc>
          <w:tcPr>
            <w:tcW w:w="1540" w:type="dxa"/>
            <w:vAlign w:val="bottom"/>
            <w:tcBorders>
              <w:bottom w:val="single" w:sz="8" w:color="CCEEFF"/>
            </w:tcBorders>
            <w:gridSpan w:val="3"/>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37"/>
        </w:trPr>
        <w:tc>
          <w:tcPr>
            <w:tcW w:w="5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89,414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53,598</w:t>
            </w:r>
          </w:p>
        </w:tc>
        <w:tc>
          <w:tcPr>
            <w:tcW w:w="20" w:type="dxa"/>
            <w:vAlign w:val="bottom"/>
            <w:tcBorders>
              <w:top w:val="single" w:sz="8" w:color="auto"/>
            </w:tcBorders>
          </w:tcPr>
          <w:p>
            <w:pPr>
              <w:spacing w:after="0"/>
              <w:rPr>
                <w:sz w:val="20"/>
                <w:szCs w:val="20"/>
                <w:color w:val="auto"/>
              </w:rPr>
            </w:pPr>
          </w:p>
        </w:tc>
        <w:tc>
          <w:tcPr>
            <w:tcW w:w="152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Corporate</w:t>
            </w: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(19,308)</w:t>
            </w:r>
          </w:p>
        </w:tc>
        <w:tc>
          <w:tcPr>
            <w:tcW w:w="1540" w:type="dxa"/>
            <w:vAlign w:val="bottom"/>
            <w:tcBorders>
              <w:bottom w:val="single" w:sz="8" w:color="CCEEFF"/>
            </w:tcBorders>
            <w:gridSpan w:val="3"/>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63"/>
        </w:trPr>
        <w:tc>
          <w:tcPr>
            <w:tcW w:w="5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Consolidated</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64,722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34,290</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Transmission &amp; Distribution</w:t>
      </w:r>
    </w:p>
    <w:p>
      <w:pPr>
        <w:spacing w:after="0" w:line="173" w:lineRule="exact"/>
        <w:rPr>
          <w:sz w:val="20"/>
          <w:szCs w:val="20"/>
          <w:color w:val="auto"/>
        </w:rPr>
      </w:pPr>
    </w:p>
    <w:p>
      <w:pPr>
        <w:jc w:val="both"/>
        <w:ind w:right="60" w:firstLine="648"/>
        <w:spacing w:after="0" w:line="289" w:lineRule="auto"/>
        <w:rPr>
          <w:sz w:val="20"/>
          <w:szCs w:val="20"/>
          <w:color w:val="auto"/>
        </w:rPr>
      </w:pPr>
      <w:r>
        <w:rPr>
          <w:rFonts w:ascii="Times New Roman" w:cs="Times New Roman" w:eastAsia="Times New Roman" w:hAnsi="Times New Roman"/>
          <w:sz w:val="17"/>
          <w:szCs w:val="17"/>
          <w:color w:val="auto"/>
        </w:rPr>
        <w:t>Revenues for our T&amp;D segment for the three months ended March 31, 2026 were $541.0 million compared to $461.8 million for the three months ended March 31, 2025, an increase of $79.2 million, or 17.2%. The increase in revenue was related to an increase of $66.1 million in revenue of unit price contracts and an increase of $36.4 million in revenue in T&amp;E contracts, partially offset by a decrease of $23.3 million in revenue on fixed price contracts.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Operating income for our T&amp;D segment for the three months ended March 31, 2026 was $52.2 million, an increase of $16.0 million, from the three months ended March 31, 2025. Operating income as a percentage of revenues for our T&amp;D segment increased to 9.7% for the three months ended March 31, 2026 from 7.8% for the three months ended March 31, 2025. The increase in operating income margin was driven by significant changes in our estimated gross profit on certain projects resulting in a net operating income margin increase of 1.5% for the three months ended March 31, 2026, compared to a net operating income margin decrease of 0.9% for the three months ended March 31, 2025. During the three months ended March 31, 2026, significant estimated gross profit changes positively impacted operating income as a percentage of revenues by 1.7%, primarily related to better-than-anticipated productivity and a favorable job close out. These increases were partially offset by negative significant estimated gross profit changes totaling 0.2% and largely related to project inefficiencies on a project.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&amp; Industrial</w:t>
      </w:r>
    </w:p>
    <w:p>
      <w:pPr>
        <w:spacing w:after="0" w:line="173"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Revenues for our C&amp;I segment for the three months ended March 31, 2026 were $459.4 million compared to $371.9 million for the three months ended March 31, 2025, an increase of $87.6 million, or 23.5%. The increase in revenue was primarily related to an increase of $100.9 million in revenue on fixed priced contracts.</w:t>
      </w:r>
    </w:p>
    <w:p>
      <w:pPr>
        <w:spacing w:after="0" w:line="108"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Operating income for our C&amp;I segment for the three months ended March 31, 2026 was $37.2 million, an increase of $19.8 million, over the three months ended March 31, 2025. Operating income as a percentage of revenues for our C&amp;I segment increased to 8.1% for the three months ended</w:t>
      </w:r>
    </w:p>
    <w:p>
      <w:pPr>
        <w:ind w:right="80"/>
        <w:spacing w:after="0" w:line="252" w:lineRule="auto"/>
        <w:rPr>
          <w:sz w:val="20"/>
          <w:szCs w:val="20"/>
          <w:color w:val="auto"/>
        </w:rPr>
      </w:pPr>
      <w:r>
        <w:rPr>
          <w:rFonts w:ascii="Times New Roman" w:cs="Times New Roman" w:eastAsia="Times New Roman" w:hAnsi="Times New Roman"/>
          <w:sz w:val="18"/>
          <w:szCs w:val="18"/>
          <w:color w:val="auto"/>
        </w:rPr>
        <w:t>March 31, 2026 from 4.7% for the three months ended March 31, 2025. The increase in operating income margin was driven by a larger portion of our projects progressing at higher contractual margins, some of which are nearing completion. Operating income margin was also impacted by significant changes in our estimated gross profit on certain projects resulting in a net operating income margin increase of 0.1% for the three months ended March 31, 2026, compared to a net operating income margin decrease of 1.2% for the three months ended March 31, 2025. Significant estimated gross profit changes positively impacted operating income as a percentage of revenues by 5.2%, primarily related to better-than-anticipated productivity and favorable change orders. These increases were partially offset by negative significant estimated gross profit changes totaling 5.1% and largely related to an increase in costs associated with project inefficiencies on certain projects.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Measure—EBITDA</w:t>
      </w:r>
    </w:p>
    <w:p>
      <w:pPr>
        <w:spacing w:after="0" w:line="18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define EBITDA, a performance measure used by management, as net income plus interest expense net of interest income, provision for income taxes and depreciation and amortization. EBITDA, a non-GAAP financial measure, does not purport to be an alternative to net income as a measure of operating performance or to net cash flows provided by operating activities as a measure of liquidity. We believe that EBITDA is useful to investors and other external users of our Consolidated Financial Statements in evaluating our operating performance and cash flow because EBITDA is widely used by investors to measure a company’s operating performance without regard to items such as interest expense, taxes, depreciation and amortization, which can vary substantially from company to company depending upon accounting methods and book value of assets, useful lives placed on assets, capital structure and the method by which assets were acquired. Because not all companies use identical calculations, this presentation of EBITDA may not be comparable to other similarly-titled measures of other companies. We use, and we believe investors benefit from, the presentation of EBITDA in evaluating our operating performance because it provides us and our investors with an additional tool to compare our operating performance on a consistent basis by removing the impact of certain items that management believes do not directly reflect our core operations.</w:t>
      </w:r>
    </w:p>
    <w:p>
      <w:pPr>
        <w:spacing w:after="0" w:line="154"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Using EBITDA as a performance measure has material limitations as compared to net income, or other financial measures as defined under accounting principles generally accepted in the United States of America (“U.S. GAAP”), as it excludes certain recurring items, which may be meaningful to investors. EBITDA excludes interest expense net of interest income; however, as we have borrowed money to finance transactions and operations, or invested available cash to generate interest income, interest expense and interest income are elements of our cost structure and can affect our ability to generate revenue and returns for our shareholders. Further, EBITDA excludes depreciation and amortization; however, as we use capital and intangible assets to generate revenues, depreciation and amortization are a necessary element of our costs and ability to generate revenue. Finally, EBITDA excludes income taxes; however, as we are organized as a corporation, the payment of taxes is a necessary element of our operations. As a result of these exclusions from EBITDA, any measure that excludes interest expense net of interest income, depreciation and amortization and income taxes has material limitations as compared to net income. When using EBITDA as a performance measure, management compensates for these limitations by comparing EBITDA to net income in each period, to allow for the comparison of the performance of the underlying core operations with the overall performance of the company on a full-cost, after-tax basis. Using both EBITDA and net income to evaluate the business allows management and investors to (a) assess our relative performance against our competitors and (b) monitor our capacity to generate returns for our shareholders.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a reconciliation of net income to EBITDA:</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0" w:type="dxa"/>
            <w:vAlign w:val="bottom"/>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8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5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8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5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46,800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23,308</w:t>
            </w:r>
          </w:p>
        </w:tc>
        <w:tc>
          <w:tcPr>
            <w:tcW w:w="0" w:type="dxa"/>
            <w:vAlign w:val="bottom"/>
          </w:tcPr>
          <w:p>
            <w:pPr>
              <w:spacing w:after="0"/>
              <w:rPr>
                <w:sz w:val="1"/>
                <w:szCs w:val="1"/>
                <w:color w:val="auto"/>
              </w:rPr>
            </w:pPr>
          </w:p>
        </w:tc>
      </w:tr>
      <w:tr>
        <w:trPr>
          <w:trHeight w:val="243"/>
        </w:trPr>
        <w:tc>
          <w:tcPr>
            <w:tcW w:w="8540" w:type="dxa"/>
            <w:vAlign w:val="bottom"/>
            <w:gridSpan w:val="2"/>
          </w:tcPr>
          <w:p>
            <w:pPr>
              <w:ind w:left="140"/>
              <w:spacing w:after="0"/>
              <w:rPr>
                <w:sz w:val="20"/>
                <w:szCs w:val="20"/>
                <w:color w:val="auto"/>
              </w:rPr>
            </w:pPr>
            <w:r>
              <w:rPr>
                <w:rFonts w:ascii="Times New Roman" w:cs="Times New Roman" w:eastAsia="Times New Roman" w:hAnsi="Times New Roman"/>
                <w:sz w:val="18"/>
                <w:szCs w:val="18"/>
                <w:i w:val="1"/>
                <w:iCs w:val="1"/>
                <w:color w:val="auto"/>
              </w:rPr>
              <w:t>Add:</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0" w:type="dxa"/>
            <w:vAlign w:val="bottom"/>
          </w:tcPr>
          <w:p>
            <w:pPr>
              <w:spacing w:after="0"/>
              <w:rPr>
                <w:sz w:val="1"/>
                <w:szCs w:val="1"/>
                <w:color w:val="auto"/>
              </w:rPr>
            </w:pPr>
          </w:p>
        </w:tc>
      </w:tr>
      <w:tr>
        <w:trPr>
          <w:trHeight w:val="243"/>
        </w:trPr>
        <w:tc>
          <w:tcPr>
            <w:tcW w:w="8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Pr>
          <w:p>
            <w:pPr>
              <w:spacing w:after="0"/>
              <w:rPr>
                <w:sz w:val="21"/>
                <w:szCs w:val="21"/>
                <w:color w:val="auto"/>
              </w:rPr>
            </w:pPr>
          </w:p>
        </w:tc>
        <w:tc>
          <w:tcPr>
            <w:tcW w:w="10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17,225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9,459</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17,763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16,193</w:t>
            </w:r>
          </w:p>
        </w:tc>
        <w:tc>
          <w:tcPr>
            <w:tcW w:w="0" w:type="dxa"/>
            <w:vAlign w:val="bottom"/>
          </w:tcPr>
          <w:p>
            <w:pPr>
              <w:spacing w:after="0"/>
              <w:rPr>
                <w:sz w:val="1"/>
                <w:szCs w:val="1"/>
                <w:color w:val="auto"/>
              </w:rPr>
            </w:pPr>
          </w:p>
        </w:tc>
      </w:tr>
      <w:tr>
        <w:trPr>
          <w:trHeight w:val="264"/>
        </w:trPr>
        <w:tc>
          <w:tcPr>
            <w:tcW w:w="85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EBITDA</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81,537</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50,183</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also use EBITDA as a liquidity measure. Certain material covenants contained within our credit agreement (the “Credit Agreement”) are based on EBITDA with certain additional adjustments. Non-compliance with these financial covenants under the Credit Agreement — our interest coverage ratio which is defined in the Credit Agreement as Consolidated EBITDA (as defined in the Credit Agreement) divided by interest expense (as defined in the Credit Agreement) and our net leverage ratio, which is defined in the Credit Agreement as Total Net Indebtedness (as defined in the Credit Agreement), divided by Consolidated EBITDA (as defined in the Credit Agreement) — could result in our lenders requiring us to immediately repay all amounts borrowed on our revolving credit facility. If we anticipated a potential covenant violation, we would seek relief from our lenders, likely causing us to incur additional cost, and such relief might not be available, or if available, might not be on terms as favorable as those in the Credit Agreement. In addition, if we cannot satisfy these financial covenants, we would be prohibited under the Credit Agreement from engaging in certain activities, such as incurring additional indebtedness, making certain payments, and acquiring or disposing of assets. Based on the information above, management believes that the presentation of EBITDA as a liquidity measure is useful to investors and relevant to their assessment of our capacity to service or incur debt, fund capital expenditures, finance acquisitions and expand our operations.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a reconciliation of net cash flows provided by operating activities to EBITDA:</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0" w:type="dxa"/>
            <w:vAlign w:val="bottom"/>
            <w:gridSpan w:val="4"/>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8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5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8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5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cash flows provided by operating activities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84,749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83,286</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Add/(subtract):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(42,482)</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Adjustments to reconcile net income to net cash flows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(17,496)</w:t>
            </w:r>
          </w:p>
        </w:tc>
        <w:tc>
          <w:tcPr>
            <w:tcW w:w="0" w:type="dxa"/>
            <w:vAlign w:val="bottom"/>
          </w:tcPr>
          <w:p>
            <w:pPr>
              <w:spacing w:after="0"/>
              <w:rPr>
                <w:sz w:val="1"/>
                <w:szCs w:val="1"/>
                <w:color w:val="auto"/>
              </w:rPr>
            </w:pPr>
          </w:p>
        </w:tc>
      </w:tr>
      <w:tr>
        <w:trPr>
          <w:trHeight w:val="243"/>
        </w:trPr>
        <w:tc>
          <w:tcPr>
            <w:tcW w:w="8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16,193</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9,459</w:t>
            </w:r>
          </w:p>
        </w:tc>
        <w:tc>
          <w:tcPr>
            <w:tcW w:w="0" w:type="dxa"/>
            <w:vAlign w:val="bottom"/>
          </w:tcPr>
          <w:p>
            <w:pPr>
              <w:spacing w:after="0"/>
              <w:rPr>
                <w:sz w:val="1"/>
                <w:szCs w:val="1"/>
                <w:color w:val="auto"/>
              </w:rPr>
            </w:pPr>
          </w:p>
        </w:tc>
      </w:tr>
      <w:tr>
        <w:trPr>
          <w:trHeight w:val="243"/>
        </w:trPr>
        <w:tc>
          <w:tcPr>
            <w:tcW w:w="8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5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EBITDA</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81,537</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50,183</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Capital Resources and Material Cash Requirements</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As of March 31, 2026, we had working capital of $257.6 million. We define working capital as current assets less current liabilities. During the three months ended March 31, 2026, operating activities of our business provided net cash of $84.7 million, compared to $83.3 million of cash provided for the three months ended March 31, 2025. Cash flow from operations is primarily influenced by operating margins, timing of contract performance and the type of services we provide to our customers. The $1.4 million year-over-year increase in cash provided by operating activities was primarily due to an increase of $23.5 million in net income offset by unfavorable net changes in operating assets and liabilities of $25.1 million. The unfavorable change in operating assets and liabilities was primarily due to the net unfavorable year-over-year changes in various working capital accounts that relate primarily to construction activities (accounts receivable, contract assets, accounts payable and contract liabilities) of $26.0 million. The decline in net cash provided by working capital accounts, mainly related to construction activities, was due to the timing of billings and payments under our contracts.</w:t>
      </w:r>
    </w:p>
    <w:p>
      <w:pPr>
        <w:spacing w:after="0" w:line="192"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In the three months ended March 31, 2026, we used net cash of $15.2 million in investing activities consisting of $16.1 million for capital expenditures, partially offset by $1.0 million of proceeds from the sale of equipment.</w:t>
      </w:r>
    </w:p>
    <w:p>
      <w:pPr>
        <w:spacing w:after="0" w:line="162"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In the three months ended March 31, 2026, financing activities used net cash of $56.3 million, consisting primarily of $47.4 million of net repayments under our revolving line of credit, $6.5 million of shares repurchased to satisfy tax obligations under our stock compensation programs and $2.2 million of payments under our equipment notes.</w:t>
      </w:r>
    </w:p>
    <w:p>
      <w:pPr>
        <w:spacing w:after="0" w:line="176"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believe our $460.5 million borrowing availability under our revolving line of credit as of March 31, 2026, cash on hand, future cash flow from operations and our ability to utilize short-term and long-term leases will provide sufficient liquidity for our short-term and long-term needs. Our primary short-term liquidity needs include cash for operations, debt service requirements, capital expenditures, and acquisition and joint venture opportunities. We believe we have adequate financial resources to meet our long-term liquidity needs and foreseeable material cash requirements, including those associated with funding future acquisition opportunities. We continue to invest in developing key management and craft personnel in both our T&amp;D and C&amp;I segments and in procuring the specific specialty equipment and tooling needed to win and execute projects of all sizes and complexity.</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not historically paid dividends and currently do not expect to pay dividends.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Instruments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173"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On May 31, 2023, the Company entered into a five-year third amended and restated credit agreement (the “Credit Agreement”) with a syndicate of banks led by JPMorgan Chase Bank, N.A. and Bank of America, N.A. that provides for a $490 million revolving credit facility (the “Facility”), subject to certain financial covenants as defined in the Credit Agreement. The Facility allows for revolving loans in Canadian dollars and other non-US currencies, up to the U.S. dollar equivalent of $150 million. Up to $75 million of the Facility may be used for letters of credit, with an additional $75 million available for letters of credit, subject to the sole discretion of each issuing bank. The Facility also allows for $15 million to be used for swingline loans. The Company has an expansion option to increase the commitments under the Facility or enter into incremental term loans, subject to certain conditions, by up to an additional $200 million upon receipt of additional commitments from new or existing lenders. Subject to certain exceptions, the Facility is secured by substantially all of the assets of the Company and its domestic subsidiaries, and by a pledge of substantially all of the capital stock of the Company’s domestic subsidiaries and 65% of the capital stock of the direct foreign subsidiaries of the Company. Additionally, subject to certain exceptions, the Company’s domestic subsidiaries also guarantee the repayment of all amounts due under the Credit Agreement. The Credit Agreement provides for customary events of default. If an event of default occurs and is continuing, on the terms and subject to the conditions set forth in the Credit Agreement, amounts outstanding under the Facility may be accelerated and may become or be declared immediately due and payable. Borrowings under the Credit Agreement are used to refinance existing indebtedness, and to provide for future working capital, capital expenditures, acquisitions and other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Amounts borrowed under the Credit Agreement bear interest, at the Company’s option, at a rate equal to either (1) the Alternate Base Rate (as defined in the Credit Agreement), plus an applicable margin ranging from 0.25% to 1.00%; or (2) the Term Benchmark Rate (as defined in the Credit Agreement) plus an applicable margin ranging from 1.25% to 2.00%. The applicable margin is determined based on the Company’s Net Leverage Ratio (as defined in the Credit Agreement). Letters of credit issued under the Facility are subject to a letter of credit fee of 1.25% to 2.00% for non-performance letters of credit or 0.625% to 1.00% for performance letters of credit, based on the Company’s Net Leverage Ratio. The Company is subject to a commitment fee of 0.20% to 0.30%, based on the Company’s Net Leverage Ratio, on any unused portion of the Facility. The Credit Agreement restricts certain types of payments when the Company’s Net Leverage Ratio, after giving pro forma effect thereto, exceeds 2.75.</w:t>
      </w:r>
    </w:p>
    <w:p>
      <w:pPr>
        <w:spacing w:after="0" w:line="13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Under the Credit Agreement, the Company is subject to certain financial covenants including a maximum Net Leverage Ratio of 3.0 and a minimum Interest Coverage Ratio (as defined in the Credit Agreement) of 3.0. The Credit Agreement also contains covenants including limitations on asset sales, investments, indebtedness and liens. The Company was in compliance with all of its financial covenants under the Credit Agreement as of March 31, 2026.</w:t>
      </w:r>
    </w:p>
    <w:p>
      <w:pPr>
        <w:spacing w:after="0" w:line="126"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We had no borrowings outstanding under the Facility as of March 31, 2026. We had $47.4 million in borrowings outstanding under the Facility as of December 31,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Letters of Credit</w:t>
      </w:r>
    </w:p>
    <w:p>
      <w:pPr>
        <w:spacing w:after="0" w:line="16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Some of our vendors require letters of credit to ensure reimbursement for amounts they are disbursing on our behalf, such as to beneficiaries under our insurance programs. In addition, from time to time, certain customers require us to post letters of credit to guarantee performance under our contracts. Such letters of credit are generally issued by a bank or similar financial institution. The letter of credit commits the issuer to pay specified amounts to the holder of the letter of credit if the holder claims that we have failed to perform specified actions in accordance with the terms of the letter of credit. If this were to occur, we would be required to reimburse the issuer of the letter of credit. Depending on the circumstances of such a reimbursement, we may also have to record a charge to earnings for the reimbursement. Currently, we do not believe it is likely that any claims will be made under any letter of credit.</w:t>
      </w:r>
    </w:p>
    <w:p>
      <w:pPr>
        <w:spacing w:after="0" w:line="106" w:lineRule="exact"/>
        <w:rPr>
          <w:sz w:val="20"/>
          <w:szCs w:val="20"/>
          <w:color w:val="auto"/>
        </w:rPr>
      </w:pPr>
    </w:p>
    <w:p>
      <w:pPr>
        <w:ind w:right="460" w:firstLine="648"/>
        <w:spacing w:after="0" w:line="261" w:lineRule="auto"/>
        <w:rPr>
          <w:sz w:val="20"/>
          <w:szCs w:val="20"/>
          <w:color w:val="auto"/>
        </w:rPr>
      </w:pPr>
      <w:r>
        <w:rPr>
          <w:rFonts w:ascii="Times New Roman" w:cs="Times New Roman" w:eastAsia="Times New Roman" w:hAnsi="Times New Roman"/>
          <w:sz w:val="18"/>
          <w:szCs w:val="18"/>
          <w:color w:val="auto"/>
        </w:rPr>
        <w:t>As of March 31, 2026, we had $29.5 million in letters of credit outstanding under our Credit Agreement related to the Company's payment obligation under its insurance programs. As of December 31, 2025, we had $34.3 million in letters of credit outstanding under our Credit Agreement, including $34.2 million related to the Company's payment obligations under its insurance programs and $0.1 million related to contract performance obligations.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Equipment Notes</w:t>
      </w:r>
    </w:p>
    <w:p>
      <w:pPr>
        <w:spacing w:after="0" w:line="173"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We have entered into multiple Master Loan Agreements with multiple finance companies. The Master Loan Agreements may be used for financing of equipment between us and the lenders pursuant to one or more equipment notes ("Equipment Notes"). Each Equipment Note constitutes a separate, distinct and independent financing of equipment and contractual obligation.</w:t>
      </w:r>
    </w:p>
    <w:p>
      <w:pPr>
        <w:spacing w:after="0" w:line="12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As of March 31, 2026 and December 31, 2025, we had one outstanding Equipment Note collateralized by equipment and vehicles owned by us. As of March 31, 2026 and December 31, 2025, we also had one other equipment note outstanding collateralized by a vehicle owned by us. The outstanding balance of all equipment notes was $9.4 million as of March 31, 2026 and $11.6 million as of December 31, 2025. As of March 31, 2026, we had outstanding short-term equipment notes of approximately $4.7 million and outstanding long-term equipment notes of approximately $4.7 million. As of December 31, 2025, we had outstanding short-term and long-term equipment notes of approximately $4.6 million and $7.0 million, respectively.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Obligations</w:t>
      </w:r>
    </w:p>
    <w:p>
      <w:pPr>
        <w:spacing w:after="0" w:line="160"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From time to time, the Company enters into non-cancelable leases for some of our facility, vehicle and equipment needs. These leases allow the Company to conserve cash by paying a monthly lease rental fee for the use of facilities, vehicles and equipment rather than purchasing them. The Company’s leases have remaining terms ranging from less than one to twelve years, some of which may include options to extend the leases for up to ten years, and some of which may include options to terminate the leases within one year. Typically, the Company has purchase options on the equipment underlying its long-term leases and many of its short-term rental arrangements. The Company may exercise some of these purchase options when the need for equipment is on-going and the purchase option price is attractive.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outstanding balance of operating lease obligations was $50.4 million as of March 31, 2026, consisting of short-term and long-term operating lease obligations of approximately $12.8 million and $37.6 million, respectively. The outstanding balance of operating lease obligations was $42.4 million as of December 31, 2025, consisting of short-term and long-term operating lease obligations of approximately $13.0 million and $29.4 million, respectively.</w:t>
      </w:r>
    </w:p>
    <w:p>
      <w:pPr>
        <w:spacing w:after="0" w:line="9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outstanding balance of finance lease obligations was $1.8 million as of March 31, 2026, consisting of short-term and long-term finance lease obligations of approximately $0.8 million and $1.0 million, respectively. As of December 31, 2025, we had $2.0 million outstanding finance lease obligations, consisting of short-term and long-term finance lease obligations of approximately $0.8 million and $1.2 million,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Commitments for Construction Equipment</w:t>
      </w:r>
    </w:p>
    <w:p>
      <w:pPr>
        <w:spacing w:after="0" w:line="16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As of March 31, 2026, we had approximately $59.6 million in outstanding purchase obligations for certain construction equipment to be paid with cash outlays scheduled to occur in 2026 and 2027.</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and Payment Bonds and Parent Guarantees</w:t>
      </w:r>
    </w:p>
    <w:p>
      <w:pPr>
        <w:spacing w:after="0" w:line="14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Many customers, particularly in connection with new construction, require us to post performance and payment bonds typically issued by a surety or financial institution. These bonds provide a guarantee to the customer that we will perform under the terms of a contract and that we will pay subcontractors and vendors. If we fail to perform under a contract or to pay subcontractors and vendors, the customer may demand that the surety make payments or provide services under the bond. We must reimburse our sureties for any expenses or outlays they incur. Under our continuing indemnity and security agreements with the issuers of the bonds, we may be required to grant them a security interest relating to a particular project. We believe that it is unlikely that we will have to fund significant claims under our surety arrangements. As of March 31, 2026, an aggregate of approximately $2.70 billion in original face amount of bonds issued by our sureties were outstanding. Our estimated remaining cost to complete these bonded projects was approximately $899.0 million as of March 31, 2026.</w:t>
      </w:r>
    </w:p>
    <w:p>
      <w:pPr>
        <w:spacing w:after="0" w:line="124"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From time to time, we guarantee the obligations of our wholly owned subsidiaries, including obligations under certain contracts with customers, certain lease agreements, and, in some states, obligations in connection with obtaining contractors’ licenses. Additionally, from time to time, we are required to post letters of credit to guarantee the obligations of our wholly owned subsidiaries, which reduces the borrowing availability under our credit facility.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We grant trade credit under normal payment terms, generally without collateral, to our customers, which include high credit quality electric utilities, governmental entities, general contractors and builders, owners and managers of commercial and industrial properties located in the United States and Canada. Consequently, we are subject to potential credit risk related to changes in business and economic factors throughout the United States and Canada. However, we generally have certain statutory lien rights with respect to services provided. Under certain circumstances such as foreclosures or negotiated settlements, we may take title to the underlying assets in lieu of cash in settlement of receivables. As of March 31, 2026 and March 31, 2025, none of our customers individually exceeded 10% of our consolidated accounts receivable. Management believes the terms and conditions in its contracts, billing and collection policies are adequate to minimize the potential credit risk.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2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For a discussion regarding new accounting pronouncements, please refer to Note 1–Organization, Business and Basis of Presentation—Recent Accounting Pronouncements in the accompanying notes to our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are based on our consolidated financial statements, which have been prepared in accordance with U.S. GAAP. The preparation of these consolidated financial statements requires us to make estimates and assumptions that affect the reported amounts of assets and liabilities, disclosures of contingent assets and liabilities known to exist at the date of the consolidated financial statements and the reported amounts of revenues and expenses during the reporting period. We evaluate our estimates on an ongoing basis, based on historical experience and on various other assumptions that we believe to be reasonable under the circumstances. There can be no assurance that actual results will not differ from those estimates. For further information regarding our critical accounting policies and estimates, please refer to Item 7, “Management’s Discussion and Analysis of Financial Condition and Results of Operations—Critical Accounting Policies” included in our 2025 Annual Report.</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Concerning Forward-Looking Statements and Information</w:t>
      </w:r>
    </w:p>
    <w:p>
      <w:pPr>
        <w:spacing w:after="0" w:line="22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We are including the following discussion to inform you of some of the risks and uncertainties that can affect our company and to take advantage of the protections for forward-looking statements that applicable federal securities law affords.</w:t>
      </w:r>
    </w:p>
    <w:p>
      <w:pPr>
        <w:spacing w:after="0" w:line="162"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Statements in this Quarterly Report on Form 10-Q contain various forward-looking statements within the meaning of Section 27A of the Securities Act of 1933 (the “Securities Act”) and Section 21E of the Securities Exchange Act of 1934 (the “Exchange Act”), which represent our management’s beliefs and assumptions concerning future events. When used in this document and in documents incorporated by reference, forward-looking statements include, without limitation, statements regarding financial forecasts or projections, and our expectations, beliefs, intentions or future strategies that are signified by the words “anticipate,” “believe,” “estimate,” “expect,” “intend,” “likely,” “may,” “objective,” “outlook,” “plan,” “project,” “possible,” “potential,” “should”, "unlikely,” or other words that convey the uncertainty of future events or outcomes. The forward-looking statements in this Quarterly Report on Form 10-Q speak only as of the date of this Quarterly Report on Form 10-Q. We disclaim any obligation to update these statements (unless required by securities laws), and we caution you not to rely on them unduly. We have based these forward-looking statements on our current expectations and assumptions about future events. While our management considers these expectations and assumptions to be reasonable, they are inherently subject to significant business, economic, competitive, regulatory and other risks, contingencies and uncertainties, most of which are difficult to predict, and many of which are beyond our control. These and other important factors, including those discussed under the caption “Forward-Looking Statements” and in Item 1A. “Risk Factors” in our 2025 Annual Report, and in any risk factors or cautionary statements contained in our other filings with the Securities and Exchange Commission, may cause our actual results, performance or achievements to differ materially from any future results, performance or achievements expressed or implied by these forward-looking statements.</w:t>
      </w:r>
    </w:p>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risks, contingencies and uncertainties include, but are not limited to, the following:</w:t>
      </w:r>
    </w:p>
    <w:p>
      <w:pPr>
        <w:spacing w:after="0" w:line="63" w:lineRule="exact"/>
        <w:rPr>
          <w:sz w:val="20"/>
          <w:szCs w:val="20"/>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may vary significantly from period to period.</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industry is highly competitive.</w:t>
      </w:r>
    </w:p>
    <w:p>
      <w:pPr>
        <w:spacing w:after="0" w:line="63" w:lineRule="exact"/>
        <w:rPr>
          <w:rFonts w:ascii="Times New Roman" w:cs="Times New Roman" w:eastAsia="Times New Roman" w:hAnsi="Times New Roman"/>
          <w:sz w:val="18"/>
          <w:szCs w:val="18"/>
          <w:color w:val="auto"/>
        </w:rPr>
      </w:pPr>
    </w:p>
    <w:p>
      <w:pPr>
        <w:ind w:left="980" w:right="260" w:hanging="324"/>
        <w:spacing w:after="0" w:line="281" w:lineRule="auto"/>
        <w:tabs>
          <w:tab w:leader="none" w:pos="975"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Negative economic and market conditions including tariffs and inflation on materials, interest rates and recessionary conditions have in the past and may in the future adversely impact our customers’ spending and, as a result, our operations and growth.</w:t>
      </w:r>
    </w:p>
    <w:p>
      <w:pPr>
        <w:spacing w:after="0" w:line="1" w:lineRule="exact"/>
        <w:rPr>
          <w:rFonts w:ascii="Times New Roman" w:cs="Times New Roman" w:eastAsia="Times New Roman" w:hAnsi="Times New Roman"/>
          <w:sz w:val="18"/>
          <w:szCs w:val="18"/>
          <w:b w:val="1"/>
          <w:bCs w:val="1"/>
          <w:i w:val="1"/>
          <w:iCs w:val="1"/>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unsuccessful in generating internal growth, which could impact the projects available to the Company.</w:t>
      </w:r>
    </w:p>
    <w:p>
      <w:pPr>
        <w:spacing w:after="0" w:line="63" w:lineRule="exact"/>
        <w:rPr>
          <w:rFonts w:ascii="Times New Roman" w:cs="Times New Roman" w:eastAsia="Times New Roman" w:hAnsi="Times New Roman"/>
          <w:sz w:val="18"/>
          <w:szCs w:val="18"/>
          <w:color w:val="auto"/>
        </w:rPr>
      </w:pPr>
    </w:p>
    <w:p>
      <w:pPr>
        <w:ind w:left="980" w:right="580" w:hanging="324"/>
        <w:spacing w:after="0" w:line="279"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successfully execute or integrate acquisitions or joint ventures may have an adverse impact on our growth strategy and business.</w:t>
      </w:r>
    </w:p>
    <w:p>
      <w:pPr>
        <w:spacing w:after="0" w:line="4" w:lineRule="exact"/>
        <w:rPr>
          <w:rFonts w:ascii="Times New Roman" w:cs="Times New Roman" w:eastAsia="Times New Roman" w:hAnsi="Times New Roman"/>
          <w:sz w:val="18"/>
          <w:szCs w:val="18"/>
          <w:color w:val="auto"/>
        </w:rPr>
      </w:pPr>
    </w:p>
    <w:p>
      <w:pPr>
        <w:ind w:left="980" w:right="240" w:hanging="324"/>
        <w:spacing w:after="0" w:line="281" w:lineRule="auto"/>
        <w:tabs>
          <w:tab w:leader="none" w:pos="975"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Project performance issues, including those caused by third parties, or certain contractual obligations have in the past and may in the future result in additional costs to us, reductions or delays in revenues or the payment of penalties, including liquidated damages.</w:t>
      </w:r>
    </w:p>
    <w:p>
      <w:pPr>
        <w:spacing w:after="0" w:line="1" w:lineRule="exact"/>
        <w:rPr>
          <w:rFonts w:ascii="Times New Roman" w:cs="Times New Roman" w:eastAsia="Times New Roman" w:hAnsi="Times New Roman"/>
          <w:sz w:val="18"/>
          <w:szCs w:val="18"/>
          <w:b w:val="1"/>
          <w:bCs w:val="1"/>
          <w:i w:val="1"/>
          <w:iCs w:val="1"/>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attract and retain qualified personnel.</w:t>
      </w:r>
    </w:p>
    <w:p>
      <w:pPr>
        <w:spacing w:after="0" w:line="63" w:lineRule="exact"/>
        <w:rPr>
          <w:rFonts w:ascii="Times New Roman" w:cs="Times New Roman" w:eastAsia="Times New Roman" w:hAnsi="Times New Roman"/>
          <w:sz w:val="18"/>
          <w:szCs w:val="18"/>
          <w:color w:val="auto"/>
        </w:rPr>
      </w:pPr>
    </w:p>
    <w:p>
      <w:pPr>
        <w:ind w:left="980" w:right="400" w:hanging="324"/>
        <w:spacing w:after="0" w:line="279"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new contracts and termination of existing contracts may result in unpredictable fluctuations in our cash flows and financial results.</w:t>
      </w:r>
    </w:p>
    <w:p>
      <w:pPr>
        <w:spacing w:after="0" w:line="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During the ordinary course of our business, we have in the past and may in the future become subject to lawsuits or indemnity claims.</w:t>
      </w:r>
    </w:p>
    <w:p>
      <w:pPr>
        <w:spacing w:after="0" w:line="63" w:lineRule="exact"/>
        <w:rPr>
          <w:rFonts w:ascii="Times New Roman" w:cs="Times New Roman" w:eastAsia="Times New Roman" w:hAnsi="Times New Roman"/>
          <w:sz w:val="18"/>
          <w:szCs w:val="18"/>
          <w:b w:val="1"/>
          <w:bCs w:val="1"/>
          <w:i w:val="1"/>
          <w:iCs w:val="1"/>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Backlog may not be realized or may not result in profits and may not accurately represent future revenue.</w:t>
      </w:r>
    </w:p>
    <w:p>
      <w:pPr>
        <w:spacing w:after="0" w:line="63" w:lineRule="exact"/>
        <w:rPr>
          <w:rFonts w:ascii="Times New Roman" w:cs="Times New Roman" w:eastAsia="Times New Roman" w:hAnsi="Times New Roman"/>
          <w:sz w:val="18"/>
          <w:szCs w:val="18"/>
          <w:color w:val="auto"/>
        </w:rPr>
      </w:pPr>
    </w:p>
    <w:p>
      <w:pPr>
        <w:jc w:val="both"/>
        <w:ind w:left="980" w:right="460" w:hanging="324"/>
        <w:spacing w:after="0" w:line="266"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insurance has limits and exclusions that may not fully indemnify us against certain claims or losses, including claims resulting from wildfires or other natural disasters and an increase in cost, or the unavailability or cancellation of third-party insurance coverages would increase our overall risk exposure and could disrupt our operations and reduce our profitability.</w:t>
      </w:r>
    </w:p>
    <w:p>
      <w:pPr>
        <w:spacing w:after="0" w:line="1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operating in the Canadian market could impact our profitability.</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or our interpretations of tax laws could materially impact our tax liabilities.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our business exposes us to potential liability for warranty claims and faulty engineering, which may reduce our profitability.</w:t>
      </w:r>
    </w:p>
    <w:p>
      <w:pPr>
        <w:spacing w:after="0" w:line="63" w:lineRule="exact"/>
        <w:rPr>
          <w:rFonts w:ascii="Times New Roman" w:cs="Times New Roman" w:eastAsia="Times New Roman" w:hAnsi="Times New Roman"/>
          <w:sz w:val="18"/>
          <w:szCs w:val="18"/>
          <w:color w:val="auto"/>
        </w:rPr>
      </w:pPr>
    </w:p>
    <w:p>
      <w:pPr>
        <w:ind w:left="980" w:right="240" w:hanging="324"/>
        <w:spacing w:after="0" w:line="279"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Pandemic outbreaks of disease, such as the COVID-19 pandemic, have in the past had and may in the future have an adverse impact on our business, employees, liquidity, financial condition, results of operations and cash flows.</w:t>
      </w:r>
    </w:p>
    <w:p>
      <w:pPr>
        <w:spacing w:after="0" w:line="4" w:lineRule="exact"/>
        <w:rPr>
          <w:rFonts w:ascii="Times New Roman" w:cs="Times New Roman" w:eastAsia="Times New Roman" w:hAnsi="Times New Roman"/>
          <w:sz w:val="18"/>
          <w:szCs w:val="18"/>
          <w:color w:val="auto"/>
        </w:rPr>
      </w:pPr>
    </w:p>
    <w:p>
      <w:pPr>
        <w:ind w:left="980" w:right="180" w:hanging="324"/>
        <w:spacing w:after="0" w:line="282" w:lineRule="auto"/>
        <w:tabs>
          <w:tab w:leader="none" w:pos="975"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Our dependence on customers, suppliers, subcontractors and equipment manufacturers has in the past and may in the future expose us to the risk of loss in our operations.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participation in joint ventures and other projects with third parties may expose us to liability for failures of our partners.</w:t>
      </w:r>
    </w:p>
    <w:p>
      <w:pPr>
        <w:spacing w:after="0" w:line="63" w:lineRule="exact"/>
        <w:rPr>
          <w:rFonts w:ascii="Times New Roman" w:cs="Times New Roman" w:eastAsia="Times New Roman" w:hAnsi="Times New Roman"/>
          <w:sz w:val="18"/>
          <w:szCs w:val="18"/>
          <w:color w:val="auto"/>
        </w:rPr>
      </w:pPr>
    </w:p>
    <w:p>
      <w:pPr>
        <w:ind w:left="980" w:hanging="324"/>
        <w:spacing w:after="0" w:line="279"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or regulatory actions relating to utility, electricity transmission, clean energy or our business activities may impact demand for our services.</w:t>
      </w:r>
    </w:p>
    <w:p>
      <w:pPr>
        <w:spacing w:after="0" w:line="4" w:lineRule="exact"/>
        <w:rPr>
          <w:rFonts w:ascii="Times New Roman" w:cs="Times New Roman" w:eastAsia="Times New Roman" w:hAnsi="Times New Roman"/>
          <w:sz w:val="18"/>
          <w:szCs w:val="18"/>
          <w:color w:val="auto"/>
        </w:rPr>
      </w:pPr>
    </w:p>
    <w:p>
      <w:pPr>
        <w:ind w:left="980" w:right="60" w:hanging="324"/>
        <w:spacing w:after="0" w:line="281" w:lineRule="auto"/>
        <w:tabs>
          <w:tab w:leader="none" w:pos="975" w:val="left"/>
        </w:tabs>
        <w:numPr>
          <w:ilvl w:val="0"/>
          <w:numId w:val="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We have in the past and may in the future incur liabilities and suffer negative financial or reputational impacts relating to occupational health and safety matters, including those related to environmental hazards such as wildfires and other natural disasters.</w:t>
      </w:r>
    </w:p>
    <w:p>
      <w:pPr>
        <w:spacing w:after="0" w:line="1" w:lineRule="exact"/>
        <w:rPr>
          <w:rFonts w:ascii="Times New Roman" w:cs="Times New Roman" w:eastAsia="Times New Roman" w:hAnsi="Times New Roman"/>
          <w:sz w:val="18"/>
          <w:szCs w:val="18"/>
          <w:b w:val="1"/>
          <w:bCs w:val="1"/>
          <w:i w:val="1"/>
          <w:iCs w:val="1"/>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environmental and other laws and regulations could result in significant liabilities.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may be affected by seasonal and other variations, including severe weather conditions and the nature of our work environment.</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Opportunities associated with government contracts could lead to increased governmental regulation applicable to us.</w:t>
      </w:r>
    </w:p>
    <w:p>
      <w:pPr>
        <w:spacing w:after="0" w:line="63" w:lineRule="exact"/>
        <w:rPr>
          <w:rFonts w:ascii="Times New Roman" w:cs="Times New Roman" w:eastAsia="Times New Roman" w:hAnsi="Times New Roman"/>
          <w:sz w:val="18"/>
          <w:szCs w:val="18"/>
          <w:color w:val="auto"/>
        </w:rPr>
      </w:pPr>
    </w:p>
    <w:p>
      <w:pPr>
        <w:ind w:left="980" w:right="340" w:hanging="324"/>
        <w:spacing w:after="0" w:line="281"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associated with climate change including financial risks and physical risks such as an increase in extreme weather events (such as floods, wildfires or hurricanes), rising sea levels and limitations on water availability and quality.</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percentage-of-completion accounting could result in a reduction or reversal of previously recognized revenues and profits.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results are based upon estimates and assumptions that may differ from actual results.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actual costs may be greater than expected in performing our fixed-price and unit-price contracts.</w:t>
      </w:r>
    </w:p>
    <w:p>
      <w:pPr>
        <w:spacing w:after="0" w:line="63" w:lineRule="exact"/>
        <w:rPr>
          <w:rFonts w:ascii="Times New Roman" w:cs="Times New Roman" w:eastAsia="Times New Roman" w:hAnsi="Times New Roman"/>
          <w:sz w:val="18"/>
          <w:szCs w:val="18"/>
          <w:color w:val="auto"/>
        </w:rPr>
      </w:pPr>
    </w:p>
    <w:p>
      <w:pPr>
        <w:ind w:left="980" w:right="140" w:hanging="324"/>
        <w:spacing w:after="0" w:line="281" w:lineRule="auto"/>
        <w:tabs>
          <w:tab w:leader="none" w:pos="975" w:val="left"/>
        </w:tabs>
        <w:numPr>
          <w:ilvl w:val="0"/>
          <w:numId w:val="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An increase in the cost or availability for items such as materials, parts, commodities, equipment and tooling may also be impacted by trade regulations, tariffs, global relations, wars, taxes, transportation costs and inflation which could adversely affect our business.</w:t>
      </w:r>
    </w:p>
    <w:p>
      <w:pPr>
        <w:spacing w:after="0" w:line="1" w:lineRule="exact"/>
        <w:rPr>
          <w:rFonts w:ascii="Times New Roman" w:cs="Times New Roman" w:eastAsia="Times New Roman" w:hAnsi="Times New Roman"/>
          <w:sz w:val="18"/>
          <w:szCs w:val="18"/>
          <w:b w:val="1"/>
          <w:bCs w:val="1"/>
          <w:i w:val="1"/>
          <w:iCs w:val="1"/>
          <w:color w:val="auto"/>
        </w:rPr>
      </w:pPr>
    </w:p>
    <w:p>
      <w:pPr>
        <w:ind w:left="980" w:hanging="324"/>
        <w:spacing w:after="0" w:line="281"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compete for, or work on, certain projects if we are not able to obtain necessary bonds, letters of credit, bank guarantees or other financial assurances.</w:t>
      </w:r>
    </w:p>
    <w:p>
      <w:pPr>
        <w:spacing w:after="0" w:line="1" w:lineRule="exact"/>
        <w:rPr>
          <w:rFonts w:ascii="Times New Roman" w:cs="Times New Roman" w:eastAsia="Times New Roman" w:hAnsi="Times New Roman"/>
          <w:sz w:val="18"/>
          <w:szCs w:val="18"/>
          <w:color w:val="auto"/>
        </w:rPr>
      </w:pPr>
    </w:p>
    <w:p>
      <w:pPr>
        <w:ind w:left="980" w:right="200" w:hanging="324"/>
        <w:spacing w:after="0" w:line="281"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developments affecting the banking and financial services industry could adversely affect our business, liquidity and financial condition and overall results of operations.</w:t>
      </w:r>
    </w:p>
    <w:p>
      <w:pPr>
        <w:spacing w:after="0" w:line="1" w:lineRule="exact"/>
        <w:rPr>
          <w:rFonts w:ascii="Times New Roman" w:cs="Times New Roman" w:eastAsia="Times New Roman" w:hAnsi="Times New Roman"/>
          <w:sz w:val="18"/>
          <w:szCs w:val="18"/>
          <w:color w:val="auto"/>
        </w:rPr>
      </w:pPr>
    </w:p>
    <w:p>
      <w:pPr>
        <w:ind w:left="980" w:right="880" w:hanging="324"/>
        <w:spacing w:after="0" w:line="281"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stoppages or other labor issues with our unionized workforce could adversely affect our business, and we may be subject to unionization attempts.</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Multi-employer pension plan obligations related to our unionized workforce could adversely impact our earnings.</w:t>
      </w:r>
    </w:p>
    <w:p>
      <w:pPr>
        <w:spacing w:after="0" w:line="63"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information, communications and data systems in our operations and we or our business partners may be subject to failures, interruptions or breaches of such systems, which could affect our operations or our competitive position, expose sensitive information or damage our reputation.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We have operations within the United States and Canada, and we are exposed to market risks in the ordinary course of our business, including the effects of fluctuations in interest rates, foreign exchange rates, and commodity prices.</w:t>
      </w:r>
    </w:p>
    <w:p>
      <w:pPr>
        <w:spacing w:after="0" w:line="162"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As of March 31, 2026, we were not party to any derivative instruments. We did not use any material derivative financial instruments during the three months ended March 31, 2026 and 2025, including instruments for trading, hedging, or speculating on changes in interest rates, changes in foreign currency rates or changes in commodity prices of materials used in our business.</w:t>
      </w:r>
    </w:p>
    <w:p>
      <w:pPr>
        <w:spacing w:after="0" w:line="176"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Any borrowings under our Facility are based upon interest rates that will vary depending upon the prime rate, Canadian prime rate, the NYFRB overnight bank funding rate, Term CORRA, and Term SOFR Reference Rate, each as defined in the Credit Agreement. If the prime rate, Canadian prime rate, the NYFRB overnight bank funding rate, Term CORRA, or Term SOFR Reference Rate rises, any interest payment obligations under the Facility would increase and have a negative effect on our cash flow and financial condition. We currently do not maintain any hedging contracts that would limit our exposure to variable rates of interest when we have outstanding borrowings. As of March 31, 2026, we had no borrowings outstanding under the Facility.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have evaluated the effectiveness of our disclosure controls and procedures, as defined under Exchange Act Rules 13a-15(e) and 15d-15(e), as of the end of the period covered by this quarterly report. Based on that evaluation, the Chief Executive Officer and Chief Financial Officer concluded that our disclosure controls and procedures were effective as of March 31,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During the period covered by this report, there were no changes in our internal control over financial reporting that materially affected, or that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For discussion regarding legal proceedings, please refer to Note 8–Commitments and Contingencies—Litigation and Other Legal Matters in the accompanying notes to our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We face a number of risks that could materially and adversely affect our business, employees, liquidity, financial condition, results of operations and cash flows. A discussion of our risk factors can be found in Item 1A. “Risk Factors” in our 2025 Annual Report. As of the date of this filing, there have been no material changes to the risk factors previously discussed in Item 1A. “Risk Factors” in our 2025 Annual Report. An investment in our common stock involves various risks. When considering an investment in the Company, you should carefully consider all of the risk factors described in our 2025 Annual Report. These risks and uncertainties are not the only ones facing us and there may be additional matters that are not known to us or that we currently consider immaterial. These risks and uncertainties could adversely affect our business, employees, liquidity, financial condition, results of operations or cash flows and, thus, the value of our common stock and any investment in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Purchases of Common Stock. </w:t>
      </w:r>
      <w:r>
        <w:rPr>
          <w:rFonts w:ascii="Times New Roman" w:cs="Times New Roman" w:eastAsia="Times New Roman" w:hAnsi="Times New Roman"/>
          <w:sz w:val="18"/>
          <w:szCs w:val="18"/>
          <w:color w:val="auto"/>
        </w:rPr>
        <w:t>The following table includes all of the Company’s repurchases of common stock for the periods shown.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Repurchased shares are retired and returned to authorized but unissued common stock.</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tc>
      </w:tr>
      <w:tr>
        <w:trPr>
          <w:trHeight w:val="176"/>
        </w:trPr>
        <w:tc>
          <w:tcPr>
            <w:tcW w:w="3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6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Shares That May Yet Be</w:t>
            </w:r>
          </w:p>
        </w:tc>
      </w:tr>
      <w:tr>
        <w:trPr>
          <w:trHeight w:val="162"/>
        </w:trPr>
        <w:tc>
          <w:tcPr>
            <w:tcW w:w="3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20" w:type="dxa"/>
            <w:vAlign w:val="bottom"/>
          </w:tcPr>
          <w:p>
            <w:pPr>
              <w:spacing w:after="0"/>
              <w:rPr>
                <w:sz w:val="14"/>
                <w:szCs w:val="14"/>
                <w:color w:val="auto"/>
              </w:rPr>
            </w:pP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100" w:type="dxa"/>
            <w:vAlign w:val="bottom"/>
          </w:tcPr>
          <w:p>
            <w:pPr>
              <w:spacing w:after="0"/>
              <w:rPr>
                <w:sz w:val="14"/>
                <w:szCs w:val="14"/>
                <w:color w:val="auto"/>
              </w:rPr>
            </w:pPr>
          </w:p>
        </w:tc>
        <w:tc>
          <w:tcPr>
            <w:tcW w:w="1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 Under the Plans or</w:t>
            </w:r>
          </w:p>
        </w:tc>
      </w:tr>
      <w:tr>
        <w:trPr>
          <w:trHeight w:val="241"/>
        </w:trPr>
        <w:tc>
          <w:tcPr>
            <w:tcW w:w="3740" w:type="dxa"/>
            <w:vAlign w:val="bottom"/>
            <w:tcBorders>
              <w:bottom w:val="single" w:sz="8" w:color="auto"/>
            </w:tcBorders>
          </w:tcPr>
          <w:p>
            <w:pPr>
              <w:ind w:left="166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00" w:type="dxa"/>
            <w:vAlign w:val="bottom"/>
            <w:tcBorders>
              <w:bottom w:val="single" w:sz="8" w:color="CCEEFF"/>
            </w:tcBorders>
          </w:tcPr>
          <w:p>
            <w:pPr>
              <w:spacing w:after="0"/>
              <w:rPr>
                <w:sz w:val="20"/>
                <w:szCs w:val="20"/>
                <w:color w:val="auto"/>
              </w:rPr>
            </w:pPr>
          </w:p>
        </w:tc>
        <w:tc>
          <w:tcPr>
            <w:tcW w:w="190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 xml:space="preserve">Purchased </w:t>
            </w:r>
            <w:r>
              <w:rPr>
                <w:rFonts w:ascii="Times New Roman" w:cs="Times New Roman" w:eastAsia="Times New Roman" w:hAnsi="Times New Roman"/>
                <w:sz w:val="9"/>
                <w:szCs w:val="9"/>
                <w:b w:val="1"/>
                <w:bCs w:val="1"/>
                <w:color w:val="auto"/>
              </w:rPr>
              <w:t>(1)</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00" w:type="dxa"/>
            <w:vAlign w:val="bottom"/>
            <w:tcBorders>
              <w:bottom w:val="single" w:sz="8" w:color="CCEEFF"/>
            </w:tcBorders>
          </w:tcPr>
          <w:p>
            <w:pPr>
              <w:spacing w:after="0"/>
              <w:rPr>
                <w:sz w:val="20"/>
                <w:szCs w:val="20"/>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Plans or Programs</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w w:val="96"/>
              </w:rPr>
              <w:t xml:space="preserve">Programs </w:t>
            </w:r>
            <w:r>
              <w:rPr>
                <w:rFonts w:ascii="Times New Roman" w:cs="Times New Roman" w:eastAsia="Times New Roman" w:hAnsi="Times New Roman"/>
                <w:sz w:val="18"/>
                <w:szCs w:val="18"/>
                <w:b w:val="1"/>
                <w:bCs w:val="1"/>
                <w:color w:val="auto"/>
                <w:w w:val="96"/>
                <w:vertAlign w:val="superscript"/>
              </w:rPr>
              <w:t>(2)</w:t>
            </w:r>
          </w:p>
        </w:tc>
      </w:tr>
      <w:tr>
        <w:trPr>
          <w:trHeight w:val="243"/>
        </w:trPr>
        <w:tc>
          <w:tcPr>
            <w:tcW w:w="3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2026 - January 31, 2026</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75,000,000</w:t>
            </w:r>
          </w:p>
        </w:tc>
      </w:tr>
      <w:tr>
        <w:trPr>
          <w:trHeight w:val="243"/>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1, 2026 - February 28, 2026</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8,851</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260.90</w:t>
            </w:r>
          </w:p>
        </w:tc>
        <w:tc>
          <w:tcPr>
            <w:tcW w:w="10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3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2026 - March 31, 2026</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15,815</w:t>
            </w:r>
          </w:p>
        </w:tc>
        <w:tc>
          <w:tcPr>
            <w:tcW w:w="3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264.18</w:t>
            </w:r>
          </w:p>
        </w:tc>
        <w:tc>
          <w:tcPr>
            <w:tcW w:w="10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15,815</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24,666</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263.00</w:t>
            </w:r>
          </w:p>
        </w:tc>
        <w:tc>
          <w:tcPr>
            <w:tcW w:w="100" w:type="dxa"/>
            <w:vAlign w:val="bottom"/>
          </w:tcPr>
          <w:p>
            <w:pPr>
              <w:spacing w:after="0"/>
              <w:rPr>
                <w:sz w:val="22"/>
                <w:szCs w:val="22"/>
                <w:color w:val="auto"/>
              </w:rPr>
            </w:pPr>
          </w:p>
        </w:tc>
        <w:tc>
          <w:tcPr>
            <w:tcW w:w="2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24,666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60" w:type="dxa"/>
            <w:vAlign w:val="bottom"/>
          </w:tcPr>
          <w:p>
            <w:pPr>
              <w:spacing w:after="0"/>
              <w:rPr>
                <w:sz w:val="22"/>
                <w:szCs w:val="22"/>
                <w:color w:val="auto"/>
              </w:rPr>
            </w:pPr>
          </w:p>
        </w:tc>
      </w:tr>
      <w:tr>
        <w:trPr>
          <w:trHeight w:val="20"/>
        </w:trPr>
        <w:tc>
          <w:tcPr>
            <w:tcW w:w="3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bl>
    <w:p>
      <w:pPr>
        <w:spacing w:after="0" w:line="49" w:lineRule="exact"/>
        <w:rPr>
          <w:sz w:val="20"/>
          <w:szCs w:val="20"/>
          <w:color w:val="auto"/>
        </w:rPr>
      </w:pPr>
    </w:p>
    <w:p>
      <w:pPr>
        <w:ind w:right="180" w:firstLine="8"/>
        <w:spacing w:after="0" w:line="266" w:lineRule="auto"/>
        <w:tabs>
          <w:tab w:leader="none" w:pos="2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contains repurchases of common stock to satisfy tax obligations on the vesting of performance and restricted stock under the 2017 Long-Term Incentive Plan (as amended).</w:t>
      </w:r>
    </w:p>
    <w:p>
      <w:pPr>
        <w:ind w:right="20" w:firstLine="8"/>
        <w:spacing w:after="0" w:line="250" w:lineRule="auto"/>
        <w:tabs>
          <w:tab w:leader="none" w:pos="2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30, 2025, the Company announced that its Board of Directors had approved a new $75.0 million share repurchase program (the "Repurchase Program"). During the three months ended March 31, 2026, the Company did not purchase any shares of common stock under the Repurchase Program and it expired on February 4, 2026.</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None of the Company’s directors or “officers” (as defined in Rule 16a-1(f) promulgated under the Exchange Act) adopted, modified, or terminated a “Rule 10b5-1 trading arrangement” or a “non-Rule 10b5-1 trading arrangement,” as each term is defined in Item 408 of Regulation S-K, during the Company’s fiscal quarter ended March 31, 2026.</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80" w:type="dxa"/>
            <w:vAlign w:val="bottom"/>
          </w:tcPr>
          <w:p>
            <w:pPr>
              <w:spacing w:after="0"/>
              <w:rPr>
                <w:sz w:val="20"/>
                <w:szCs w:val="20"/>
                <w:color w:val="auto"/>
              </w:rPr>
            </w:pPr>
          </w:p>
        </w:tc>
        <w:tc>
          <w:tcPr>
            <w:tcW w:w="10040" w:type="dxa"/>
            <w:vAlign w:val="bottom"/>
            <w:gridSpan w:val="5"/>
          </w:tcPr>
          <w:p>
            <w:pPr>
              <w:ind w:left="45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
        </w:trPr>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20" w:type="dxa"/>
            <w:vAlign w:val="bottom"/>
          </w:tcPr>
          <w:p>
            <w:pPr>
              <w:spacing w:after="0"/>
              <w:rPr>
                <w:sz w:val="2"/>
                <w:szCs w:val="2"/>
                <w:color w:val="auto"/>
              </w:rPr>
            </w:pPr>
          </w:p>
        </w:tc>
        <w:tc>
          <w:tcPr>
            <w:tcW w:w="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3960" w:type="dxa"/>
            <w:vAlign w:val="bottom"/>
          </w:tcPr>
          <w:p>
            <w:pPr>
              <w:spacing w:after="0"/>
              <w:rPr>
                <w:sz w:val="2"/>
                <w:szCs w:val="2"/>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0000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4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80" w:type="dxa"/>
            <w:vAlign w:val="bottom"/>
            <w:tcBorders>
              <w:bottom w:val="single" w:sz="8" w:color="0000FF"/>
            </w:tcBorders>
            <w:gridSpan w:val="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9"/>
              </w:rPr>
              <w:t>Certification of Chief Executive Officer pursuant to SEC Rule 13a-14(a)/15d-14(a)†</w:t>
            </w:r>
          </w:p>
        </w:tc>
        <w:tc>
          <w:tcPr>
            <w:tcW w:w="3960" w:type="dxa"/>
            <w:vAlign w:val="bottom"/>
            <w:tcBorders>
              <w:bottom w:val="single" w:sz="8" w:color="CCEEFF"/>
            </w:tcBorders>
            <w:shd w:val="clear" w:color="auto" w:fill="CCEEFF"/>
          </w:tcPr>
          <w:p>
            <w:pPr>
              <w:spacing w:after="0"/>
              <w:rPr>
                <w:sz w:val="21"/>
                <w:szCs w:val="21"/>
                <w:color w:val="auto"/>
              </w:rPr>
            </w:pPr>
          </w:p>
        </w:tc>
      </w:tr>
      <w:tr>
        <w:trPr>
          <w:trHeight w:val="203"/>
        </w:trPr>
        <w:tc>
          <w:tcPr>
            <w:tcW w:w="1120" w:type="dxa"/>
            <w:vAlign w:val="bottom"/>
            <w:gridSpan w:val="3"/>
          </w:tcPr>
          <w:p>
            <w:pPr>
              <w:ind w:left="380"/>
              <w:spacing w:after="0" w:line="202" w:lineRule="exact"/>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10120" w:type="dxa"/>
            <w:vAlign w:val="bottom"/>
            <w:gridSpan w:val="6"/>
          </w:tcPr>
          <w:p>
            <w:pPr>
              <w:ind w:left="80"/>
              <w:spacing w:after="0" w:line="202" w:lineRule="exact"/>
              <w:rPr>
                <w:sz w:val="20"/>
                <w:szCs w:val="20"/>
                <w:color w:val="auto"/>
              </w:rPr>
            </w:pPr>
            <w:r>
              <w:rPr>
                <w:rFonts w:ascii="Times New Roman" w:cs="Times New Roman" w:eastAsia="Times New Roman" w:hAnsi="Times New Roman"/>
                <w:sz w:val="18"/>
                <w:szCs w:val="18"/>
                <w:color w:val="0000FF"/>
              </w:rPr>
              <w:t>Certification of Chief Financial Officer pursuant to SEC Rule 13a-14(a)/15d-14(a)†</w:t>
            </w:r>
          </w:p>
        </w:tc>
      </w:tr>
      <w:tr>
        <w:trPr>
          <w:trHeight w:val="48"/>
        </w:trPr>
        <w:tc>
          <w:tcPr>
            <w:tcW w:w="380" w:type="dxa"/>
            <w:vAlign w:val="bottom"/>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50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94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3960" w:type="dxa"/>
            <w:vAlign w:val="bottom"/>
          </w:tcPr>
          <w:p>
            <w:pPr>
              <w:spacing w:after="0"/>
              <w:rPr>
                <w:sz w:val="4"/>
                <w:szCs w:val="4"/>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0000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1</w:t>
            </w:r>
          </w:p>
        </w:tc>
        <w:tc>
          <w:tcPr>
            <w:tcW w:w="4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080" w:type="dxa"/>
            <w:vAlign w:val="bottom"/>
            <w:tcBorders>
              <w:bottom w:val="single" w:sz="8" w:color="0000FF"/>
            </w:tcBorders>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9"/>
              </w:rPr>
              <w:t>Certification of Chief Executive Officer pursuant to 18 U.S.C. §1350+</w:t>
            </w:r>
          </w:p>
        </w:tc>
        <w:tc>
          <w:tcPr>
            <w:tcW w:w="4960" w:type="dxa"/>
            <w:vAlign w:val="bottom"/>
            <w:tcBorders>
              <w:bottom w:val="single" w:sz="8" w:color="CCEEFF"/>
            </w:tcBorders>
            <w:gridSpan w:val="3"/>
            <w:shd w:val="clear" w:color="auto" w:fill="CCEEFF"/>
          </w:tcPr>
          <w:p>
            <w:pPr>
              <w:spacing w:after="0"/>
              <w:rPr>
                <w:sz w:val="21"/>
                <w:szCs w:val="21"/>
                <w:color w:val="auto"/>
              </w:rPr>
            </w:pPr>
          </w:p>
        </w:tc>
      </w:tr>
      <w:tr>
        <w:trPr>
          <w:trHeight w:val="203"/>
        </w:trPr>
        <w:tc>
          <w:tcPr>
            <w:tcW w:w="1120" w:type="dxa"/>
            <w:vAlign w:val="bottom"/>
            <w:gridSpan w:val="3"/>
          </w:tcPr>
          <w:p>
            <w:pPr>
              <w:ind w:left="380"/>
              <w:spacing w:after="0" w:line="202"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p>
        </w:tc>
        <w:tc>
          <w:tcPr>
            <w:tcW w:w="10120" w:type="dxa"/>
            <w:vAlign w:val="bottom"/>
            <w:gridSpan w:val="6"/>
          </w:tcPr>
          <w:p>
            <w:pPr>
              <w:ind w:left="80"/>
              <w:spacing w:after="0" w:line="202" w:lineRule="exact"/>
              <w:rPr>
                <w:sz w:val="20"/>
                <w:szCs w:val="20"/>
                <w:color w:val="auto"/>
              </w:rPr>
            </w:pPr>
            <w:r>
              <w:rPr>
                <w:rFonts w:ascii="Times New Roman" w:cs="Times New Roman" w:eastAsia="Times New Roman" w:hAnsi="Times New Roman"/>
                <w:sz w:val="18"/>
                <w:szCs w:val="18"/>
                <w:color w:val="0000FF"/>
              </w:rPr>
              <w:t>Certification of Chief Financial Officer pursuant to 18 U.S.C. §1350+</w:t>
            </w:r>
          </w:p>
        </w:tc>
      </w:tr>
      <w:tr>
        <w:trPr>
          <w:trHeight w:val="48"/>
        </w:trPr>
        <w:tc>
          <w:tcPr>
            <w:tcW w:w="380" w:type="dxa"/>
            <w:vAlign w:val="bottom"/>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502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940" w:type="dxa"/>
            <w:vAlign w:val="bottom"/>
          </w:tcPr>
          <w:p>
            <w:pPr>
              <w:spacing w:after="0"/>
              <w:rPr>
                <w:sz w:val="4"/>
                <w:szCs w:val="4"/>
                <w:color w:val="auto"/>
              </w:rPr>
            </w:pPr>
          </w:p>
        </w:tc>
        <w:tc>
          <w:tcPr>
            <w:tcW w:w="60" w:type="dxa"/>
            <w:vAlign w:val="bottom"/>
          </w:tcPr>
          <w:p>
            <w:pPr>
              <w:spacing w:after="0"/>
              <w:rPr>
                <w:sz w:val="4"/>
                <w:szCs w:val="4"/>
                <w:color w:val="auto"/>
              </w:rPr>
            </w:pPr>
          </w:p>
        </w:tc>
        <w:tc>
          <w:tcPr>
            <w:tcW w:w="3960" w:type="dxa"/>
            <w:vAlign w:val="bottom"/>
          </w:tcPr>
          <w:p>
            <w:pPr>
              <w:spacing w:after="0"/>
              <w:rPr>
                <w:sz w:val="4"/>
                <w:szCs w:val="4"/>
                <w:color w:val="auto"/>
              </w:rPr>
            </w:pPr>
          </w:p>
        </w:tc>
      </w:tr>
      <w:tr>
        <w:trPr>
          <w:trHeight w:val="270"/>
        </w:trPr>
        <w:tc>
          <w:tcPr>
            <w:tcW w:w="3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0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960" w:type="dxa"/>
            <w:vAlign w:val="bottom"/>
            <w:shd w:val="clear" w:color="auto" w:fill="CCEEFF"/>
          </w:tcPr>
          <w:p>
            <w:pPr>
              <w:spacing w:after="0"/>
              <w:rPr>
                <w:sz w:val="23"/>
                <w:szCs w:val="23"/>
                <w:color w:val="auto"/>
              </w:rPr>
            </w:pPr>
          </w:p>
        </w:tc>
      </w:tr>
      <w:tr>
        <w:trPr>
          <w:trHeight w:val="243"/>
        </w:trPr>
        <w:tc>
          <w:tcPr>
            <w:tcW w:w="380" w:type="dxa"/>
            <w:vAlign w:val="bottom"/>
          </w:tcPr>
          <w:p>
            <w:pPr>
              <w:spacing w:after="0"/>
              <w:rPr>
                <w:sz w:val="21"/>
                <w:szCs w:val="21"/>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101.INS</w:t>
            </w:r>
          </w:p>
        </w:tc>
        <w:tc>
          <w:tcPr>
            <w:tcW w:w="1012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7"/>
        </w:trPr>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20" w:type="dxa"/>
            <w:vAlign w:val="bottom"/>
          </w:tcPr>
          <w:p>
            <w:pPr>
              <w:spacing w:after="0"/>
              <w:rPr>
                <w:sz w:val="2"/>
                <w:szCs w:val="2"/>
                <w:color w:val="auto"/>
              </w:rPr>
            </w:pPr>
          </w:p>
        </w:tc>
        <w:tc>
          <w:tcPr>
            <w:tcW w:w="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3960" w:type="dxa"/>
            <w:vAlign w:val="bottom"/>
          </w:tcPr>
          <w:p>
            <w:pPr>
              <w:spacing w:after="0"/>
              <w:rPr>
                <w:sz w:val="2"/>
                <w:szCs w:val="2"/>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0120" w:type="dxa"/>
            <w:vAlign w:val="bottom"/>
            <w:tcBorders>
              <w:bottom w:val="single" w:sz="8" w:color="CCEEFF"/>
            </w:tcBorders>
            <w:gridSpan w:val="6"/>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43"/>
        </w:trPr>
        <w:tc>
          <w:tcPr>
            <w:tcW w:w="112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101.CAL</w:t>
            </w:r>
          </w:p>
        </w:tc>
        <w:tc>
          <w:tcPr>
            <w:tcW w:w="1012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7"/>
        </w:trPr>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20" w:type="dxa"/>
            <w:vAlign w:val="bottom"/>
          </w:tcPr>
          <w:p>
            <w:pPr>
              <w:spacing w:after="0"/>
              <w:rPr>
                <w:sz w:val="2"/>
                <w:szCs w:val="2"/>
                <w:color w:val="auto"/>
              </w:rPr>
            </w:pPr>
          </w:p>
        </w:tc>
        <w:tc>
          <w:tcPr>
            <w:tcW w:w="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3960" w:type="dxa"/>
            <w:vAlign w:val="bottom"/>
          </w:tcPr>
          <w:p>
            <w:pPr>
              <w:spacing w:after="0"/>
              <w:rPr>
                <w:sz w:val="2"/>
                <w:szCs w:val="2"/>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10120" w:type="dxa"/>
            <w:vAlign w:val="bottom"/>
            <w:tcBorders>
              <w:bottom w:val="single" w:sz="8" w:color="CCEEFF"/>
            </w:tcBorders>
            <w:gridSpan w:val="6"/>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43"/>
        </w:trPr>
        <w:tc>
          <w:tcPr>
            <w:tcW w:w="112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101.LAB</w:t>
            </w:r>
          </w:p>
        </w:tc>
        <w:tc>
          <w:tcPr>
            <w:tcW w:w="1012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7"/>
        </w:trPr>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20" w:type="dxa"/>
            <w:vAlign w:val="bottom"/>
          </w:tcPr>
          <w:p>
            <w:pPr>
              <w:spacing w:after="0"/>
              <w:rPr>
                <w:sz w:val="2"/>
                <w:szCs w:val="2"/>
                <w:color w:val="auto"/>
              </w:rPr>
            </w:pPr>
          </w:p>
        </w:tc>
        <w:tc>
          <w:tcPr>
            <w:tcW w:w="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3960" w:type="dxa"/>
            <w:vAlign w:val="bottom"/>
          </w:tcPr>
          <w:p>
            <w:pPr>
              <w:spacing w:after="0"/>
              <w:rPr>
                <w:sz w:val="2"/>
                <w:szCs w:val="2"/>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101.PRE</w:t>
            </w:r>
          </w:p>
        </w:tc>
        <w:tc>
          <w:tcPr>
            <w:tcW w:w="10120" w:type="dxa"/>
            <w:vAlign w:val="bottom"/>
            <w:tcBorders>
              <w:bottom w:val="single" w:sz="8" w:color="CCEEFF"/>
            </w:tcBorders>
            <w:gridSpan w:val="6"/>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43"/>
        </w:trPr>
        <w:tc>
          <w:tcPr>
            <w:tcW w:w="11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104</w:t>
            </w:r>
          </w:p>
        </w:tc>
        <w:tc>
          <w:tcPr>
            <w:tcW w:w="1012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27"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9" w:lineRule="exact"/>
        <w:rPr>
          <w:sz w:val="20"/>
          <w:szCs w:val="20"/>
          <w:color w:val="auto"/>
        </w:rPr>
      </w:pPr>
    </w:p>
    <w:p>
      <w:pPr>
        <w:jc w:val="both"/>
        <w:ind w:right="9560" w:firstLine="8"/>
        <w:spacing w:after="0" w:line="260" w:lineRule="auto"/>
        <w:tabs>
          <w:tab w:leader="none" w:pos="28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 Electronically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MYR GROUP INC.</w:t>
      </w:r>
    </w:p>
    <w:p>
      <w:pPr>
        <w:spacing w:after="0" w:line="2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(Registrant)</w:t>
      </w:r>
    </w:p>
    <w:p>
      <w:pPr>
        <w:spacing w:after="0" w:line="99" w:lineRule="exact"/>
        <w:rPr>
          <w:sz w:val="20"/>
          <w:szCs w:val="20"/>
          <w:color w:val="auto"/>
        </w:rPr>
      </w:pPr>
    </w:p>
    <w:p>
      <w:pPr>
        <w:ind w:left="20"/>
        <w:spacing w:after="0"/>
        <w:tabs>
          <w:tab w:leader="none" w:pos="5240" w:val="left"/>
        </w:tabs>
        <w:rPr>
          <w:sz w:val="20"/>
          <w:szCs w:val="20"/>
          <w:color w:val="auto"/>
        </w:rPr>
      </w:pPr>
      <w:r>
        <w:rPr>
          <w:rFonts w:ascii="Times New Roman" w:cs="Times New Roman" w:eastAsia="Times New Roman" w:hAnsi="Times New Roman"/>
          <w:sz w:val="18"/>
          <w:szCs w:val="18"/>
          <w:color w:val="auto"/>
        </w:rPr>
        <w:t>April 29, 2026</w:t>
      </w:r>
      <w:r>
        <w:rPr>
          <w:sz w:val="20"/>
          <w:szCs w:val="20"/>
          <w:color w:val="auto"/>
        </w:rPr>
        <w:tab/>
      </w:r>
      <w:r>
        <w:rPr>
          <w:rFonts w:ascii="Times New Roman" w:cs="Times New Roman" w:eastAsia="Times New Roman" w:hAnsi="Times New Roman"/>
          <w:sz w:val="17"/>
          <w:szCs w:val="17"/>
          <w:color w:val="auto"/>
        </w:rPr>
        <w:t>/s/ KELLY M. HUNTINGTON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34290</wp:posOffset>
            </wp:positionV>
            <wp:extent cx="381444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814445" cy="8255"/>
                    </a:xfrm>
                    <a:prstGeom prst="rect">
                      <a:avLst/>
                    </a:prstGeom>
                    <a:noFill/>
                  </pic:spPr>
                </pic:pic>
              </a:graphicData>
            </a:graphic>
          </wp:anchor>
        </w:drawing>
      </w:r>
    </w:p>
    <w:p>
      <w:pPr>
        <w:spacing w:after="0" w:line="5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Kelly M. Huntington</w:t>
      </w:r>
    </w:p>
    <w:p>
      <w:pPr>
        <w:spacing w:after="0" w:line="2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7"/>
          <w:szCs w:val="17"/>
          <w:color w:val="auto"/>
        </w:rPr>
        <w:t>(Principal Financial Officer, Principal Accounting Officer, and Duly Authorized</w:t>
      </w:r>
    </w:p>
    <w:p>
      <w:pPr>
        <w:spacing w:after="0" w:line="2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20"/>
          </w:cols>
          <w:pgMar w:left="320" w:top="121" w:right="55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S. Swartz, Jr., certify that:</w:t>
      </w:r>
    </w:p>
    <w:p>
      <w:pPr>
        <w:spacing w:after="0" w:line="225"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MYR Group Inc.;</w:t>
      </w:r>
    </w:p>
    <w:p>
      <w:pPr>
        <w:spacing w:after="0" w:line="225"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8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1"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20" w:hanging="644"/>
        <w:spacing w:after="0" w:line="266" w:lineRule="auto"/>
        <w:tabs>
          <w:tab w:leader="none" w:pos="128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28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ind w:left="20"/>
        <w:spacing w:after="0"/>
        <w:tabs>
          <w:tab w:leader="none" w:pos="6180" w:val="left"/>
        </w:tabs>
        <w:rPr>
          <w:sz w:val="20"/>
          <w:szCs w:val="20"/>
          <w:color w:val="auto"/>
        </w:rPr>
      </w:pPr>
      <w:r>
        <w:rPr>
          <w:rFonts w:ascii="Times New Roman" w:cs="Times New Roman" w:eastAsia="Times New Roman" w:hAnsi="Times New Roman"/>
          <w:sz w:val="18"/>
          <w:szCs w:val="18"/>
          <w:color w:val="auto"/>
        </w:rPr>
        <w:t>April 29, 2026</w:t>
      </w:r>
      <w:r>
        <w:rPr>
          <w:sz w:val="20"/>
          <w:szCs w:val="20"/>
          <w:color w:val="auto"/>
        </w:rPr>
        <w:tab/>
      </w:r>
      <w:r>
        <w:rPr>
          <w:rFonts w:ascii="Times New Roman" w:cs="Times New Roman" w:eastAsia="Times New Roman" w:hAnsi="Times New Roman"/>
          <w:sz w:val="17"/>
          <w:szCs w:val="17"/>
          <w:color w:val="auto"/>
        </w:rPr>
        <w:t>/s/ RICHARD S. SWARTZ,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34290</wp:posOffset>
            </wp:positionV>
            <wp:extent cx="31972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9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ectPr>
          <w:pgSz w:w="11900" w:h="16838" w:orient="portrait"/>
          <w:cols w:equalWidth="0" w:num="1">
            <w:col w:w="11240"/>
          </w:cols>
          <w:pgMar w:left="320" w:top="1103"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Kelly M. Huntington, certify that:</w:t>
      </w:r>
    </w:p>
    <w:p>
      <w:pPr>
        <w:spacing w:after="0" w:line="225" w:lineRule="exact"/>
        <w:rPr>
          <w:sz w:val="20"/>
          <w:szCs w:val="20"/>
          <w:color w:val="auto"/>
        </w:rPr>
      </w:pPr>
    </w:p>
    <w:p>
      <w:pPr>
        <w:ind w:left="320" w:hanging="312"/>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MYR Group Inc.;</w:t>
      </w:r>
    </w:p>
    <w:p>
      <w:pPr>
        <w:spacing w:after="0" w:line="225" w:lineRule="exact"/>
        <w:rPr>
          <w:rFonts w:ascii="Times New Roman" w:cs="Times New Roman" w:eastAsia="Times New Roman" w:hAnsi="Times New Roman"/>
          <w:sz w:val="18"/>
          <w:szCs w:val="18"/>
          <w:color w:val="auto"/>
        </w:rPr>
      </w:pPr>
    </w:p>
    <w:p>
      <w:pPr>
        <w:ind w:left="660" w:right="140" w:hanging="652"/>
        <w:spacing w:after="0" w:line="266" w:lineRule="auto"/>
        <w:tabs>
          <w:tab w:leader="none" w:pos="32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340" w:hanging="652"/>
        <w:spacing w:after="0" w:line="282" w:lineRule="auto"/>
        <w:tabs>
          <w:tab w:leader="none" w:pos="32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3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8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1"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20" w:hanging="644"/>
        <w:spacing w:after="0" w:line="266" w:lineRule="auto"/>
        <w:tabs>
          <w:tab w:leader="none" w:pos="128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340" w:hanging="652"/>
        <w:spacing w:after="0" w:line="282" w:lineRule="auto"/>
        <w:tabs>
          <w:tab w:leader="none" w:pos="3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28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10" w:lineRule="exact"/>
        <w:rPr>
          <w:sz w:val="20"/>
          <w:szCs w:val="20"/>
          <w:color w:val="auto"/>
        </w:rPr>
      </w:pPr>
    </w:p>
    <w:p>
      <w:pPr>
        <w:ind w:left="20"/>
        <w:spacing w:after="0"/>
        <w:tabs>
          <w:tab w:leader="none" w:pos="5600" w:val="left"/>
        </w:tabs>
        <w:rPr>
          <w:sz w:val="20"/>
          <w:szCs w:val="20"/>
          <w:color w:val="auto"/>
        </w:rPr>
      </w:pPr>
      <w:r>
        <w:rPr>
          <w:rFonts w:ascii="Times New Roman" w:cs="Times New Roman" w:eastAsia="Times New Roman" w:hAnsi="Times New Roman"/>
          <w:sz w:val="18"/>
          <w:szCs w:val="18"/>
          <w:color w:val="auto"/>
        </w:rPr>
        <w:t>April 29, 2026</w:t>
      </w:r>
      <w:r>
        <w:rPr>
          <w:sz w:val="20"/>
          <w:szCs w:val="20"/>
          <w:color w:val="auto"/>
        </w:rPr>
        <w:tab/>
      </w:r>
      <w:r>
        <w:rPr>
          <w:rFonts w:ascii="Times New Roman" w:cs="Times New Roman" w:eastAsia="Times New Roman" w:hAnsi="Times New Roman"/>
          <w:sz w:val="17"/>
          <w:szCs w:val="17"/>
          <w:color w:val="auto"/>
        </w:rPr>
        <w:t>/s/ KELLY M. HUNTINGTON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34290</wp:posOffset>
            </wp:positionV>
            <wp:extent cx="35572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9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6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ectPr>
          <w:pgSz w:w="11900" w:h="16838" w:orient="portrait"/>
          <w:cols w:equalWidth="0" w:num="1">
            <w:col w:w="11240"/>
          </w:cols>
          <w:pgMar w:left="320" w:top="1103"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7"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I, Richard S. Swartz, Jr., Chief Executive Officer and President of MYR Group Inc. (the “Company”), certify, pursuant to 18 U.S.C. § 1350, as adopted pursuant to § 906 of the Sarbanes-Oxley Act of 2002, that:</w:t>
      </w:r>
    </w:p>
    <w:p>
      <w:pPr>
        <w:spacing w:after="0" w:line="162" w:lineRule="exact"/>
        <w:rPr>
          <w:sz w:val="20"/>
          <w:szCs w:val="20"/>
          <w:color w:val="auto"/>
        </w:rPr>
      </w:pPr>
    </w:p>
    <w:p>
      <w:pPr>
        <w:ind w:left="660" w:right="160" w:hanging="652"/>
        <w:spacing w:after="0" w:line="282" w:lineRule="auto"/>
        <w:tabs>
          <w:tab w:leader="none" w:pos="64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quarter ended March 31, 2026 of the Company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such report fairly presents, in all material respects, the financial condition and results of operations of the Company.</w:t>
      </w:r>
    </w:p>
    <w:p>
      <w:pPr>
        <w:spacing w:after="0" w:line="374" w:lineRule="exact"/>
        <w:rPr>
          <w:sz w:val="20"/>
          <w:szCs w:val="20"/>
          <w:color w:val="auto"/>
        </w:rPr>
      </w:pPr>
    </w:p>
    <w:p>
      <w:pPr>
        <w:ind w:left="20"/>
        <w:spacing w:after="0"/>
        <w:tabs>
          <w:tab w:leader="none" w:pos="5600" w:val="left"/>
        </w:tabs>
        <w:rPr>
          <w:sz w:val="20"/>
          <w:szCs w:val="20"/>
          <w:color w:val="auto"/>
        </w:rPr>
      </w:pPr>
      <w:r>
        <w:rPr>
          <w:rFonts w:ascii="Times New Roman" w:cs="Times New Roman" w:eastAsia="Times New Roman" w:hAnsi="Times New Roman"/>
          <w:sz w:val="18"/>
          <w:szCs w:val="18"/>
          <w:color w:val="auto"/>
        </w:rPr>
        <w:t>April 29, 2026</w:t>
      </w:r>
      <w:r>
        <w:rPr>
          <w:sz w:val="20"/>
          <w:szCs w:val="20"/>
          <w:color w:val="auto"/>
        </w:rPr>
        <w:tab/>
      </w:r>
      <w:r>
        <w:rPr>
          <w:rFonts w:ascii="Times New Roman" w:cs="Times New Roman" w:eastAsia="Times New Roman" w:hAnsi="Times New Roman"/>
          <w:sz w:val="17"/>
          <w:szCs w:val="17"/>
          <w:color w:val="auto"/>
        </w:rPr>
        <w:t>/s/ RICHARD S. SWARTZ,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34290</wp:posOffset>
            </wp:positionV>
            <wp:extent cx="35572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Chief Executive Officer and President</w:t>
      </w:r>
    </w:p>
    <w:p>
      <w:pPr>
        <w:sectPr>
          <w:pgSz w:w="11900" w:h="16838" w:orient="portrait"/>
          <w:cols w:equalWidth="0" w:num="1">
            <w:col w:w="11240"/>
          </w:cols>
          <w:pgMar w:left="320" w:top="1103"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SECTION 906 OF THE SARBANES-OXLEY ACT OF 2002</w:t>
      </w:r>
    </w:p>
    <w:p>
      <w:pPr>
        <w:spacing w:after="0" w:line="207"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I, Kelly M. Huntington, Senior Vice President and Chief Financial Officer of MYR Group, Inc. (the “Company”), certify, pursuant to 18 U.S.C. § 1350, as adopted pursuant to § 906 of the Sarbanes-Oxley Act of 2002, that:</w:t>
      </w:r>
    </w:p>
    <w:p>
      <w:pPr>
        <w:spacing w:after="0" w:line="162" w:lineRule="exact"/>
        <w:rPr>
          <w:sz w:val="20"/>
          <w:szCs w:val="20"/>
          <w:color w:val="auto"/>
        </w:rPr>
      </w:pPr>
    </w:p>
    <w:p>
      <w:pPr>
        <w:ind w:left="660" w:right="160" w:hanging="652"/>
        <w:spacing w:after="0" w:line="282" w:lineRule="auto"/>
        <w:tabs>
          <w:tab w:leader="none" w:pos="64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quarter ended March 31, 2026 of the Company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such report fairly presents, in all material respects, the financial condition and results of operations of the Company.</w:t>
      </w:r>
    </w:p>
    <w:p>
      <w:pPr>
        <w:spacing w:after="0" w:line="158"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color w:val="auto"/>
        </w:rPr>
        <w:t>April 29, 2026</w:t>
      </w:r>
      <w:r>
        <w:rPr>
          <w:sz w:val="20"/>
          <w:szCs w:val="20"/>
          <w:color w:val="auto"/>
        </w:rPr>
        <w:tab/>
      </w:r>
      <w:r>
        <w:rPr>
          <w:rFonts w:ascii="Times New Roman" w:cs="Times New Roman" w:eastAsia="Times New Roman" w:hAnsi="Times New Roman"/>
          <w:sz w:val="17"/>
          <w:szCs w:val="17"/>
          <w:color w:val="auto"/>
        </w:rPr>
        <w:t>/s/ KELLY M. HUNTINGTON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34290</wp:posOffset>
            </wp:positionV>
            <wp:extent cx="354901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2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auto"/>
        </w:rPr>
        <w:t>Senior Vice President and Chief Financial Officer</w:t>
      </w:r>
    </w:p>
    <w:sectPr>
      <w:pgSz w:w="11900" w:h="16838" w:orient="portrait"/>
      <w:cols w:equalWidth="0" w:num="1">
        <w:col w:w="11240"/>
      </w:cols>
      <w:pgMar w:left="320" w:top="11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lowerLetter"/>
      <w:start w:val="4"/>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2026-04-29T16:04:25Z</dcterms:created>
  <dcterms:modified xsi:type="dcterms:W3CDTF">2026-04-29T16:04:25Z</dcterms:modified>
</cp:coreProperties>
</file>