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June 30, 2023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1-08325</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_____________________________________________________________</w:t>
      </w:r>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MYR GROUP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6031" w:type="dxa"/>
        <w:jc w:val="center"/>
        <w:tblInd w:w="0" w:type="dxa"/>
        <w:tblLayout w:type="fixed"/>
        <w:tblCellMar>
          <w:top w:w="28" w:type="dxa"/>
          <w:left w:w="28" w:type="dxa"/>
          <w:bottom w:w="28" w:type="dxa"/>
          <w:right w:w="28" w:type="dxa"/>
        </w:tblCellMar>
      </w:tblPr>
      <w:tblGrid>
        <w:gridCol w:w="209"/>
        <w:gridCol w:w="184"/>
        <w:gridCol w:w="184"/>
        <w:gridCol w:w="267"/>
        <w:gridCol w:w="267"/>
        <w:gridCol w:w="267"/>
        <w:gridCol w:w="267"/>
        <w:gridCol w:w="267"/>
        <w:gridCol w:w="267"/>
        <w:gridCol w:w="270"/>
        <w:gridCol w:w="270"/>
        <w:gridCol w:w="270"/>
        <w:gridCol w:w="109"/>
        <w:gridCol w:w="109"/>
        <w:gridCol w:w="109"/>
        <w:gridCol w:w="791"/>
        <w:gridCol w:w="791"/>
        <w:gridCol w:w="1133"/>
      </w:tblGrid>
      <w:tr>
        <w:trPr/>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36-3158643</w:t>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288" w:before="60" w:after="283"/>
              <w:jc w:val="right"/>
              <w:rPr>
                <w:rFonts w:ascii="Times New Roman;sans-serif" w:hAnsi="Times New Roman;sans-serif"/>
                <w:b/>
                <w:color w:val="000000"/>
                <w:sz w:val="18"/>
              </w:rPr>
            </w:pPr>
            <w:r>
              <w:rPr>
                <w:rFonts w:ascii="Times New Roman;sans-serif" w:hAnsi="Times New Roman;sans-serif"/>
                <w:b/>
                <w:color w:val="000000"/>
                <w:sz w:val="18"/>
              </w:rPr>
              <w:t>12121 Grant Street,</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Suite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Thornton,</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80241</w:t>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(303) 286-8000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_____________________________________________________________</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MYRG</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27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lineRule="auto" w:line="288" w:before="140" w:after="283"/>
        <w:ind w:left="0" w:right="0" w:firstLine="36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40" w:after="283"/>
        <w:ind w:left="0" w:right="0" w:firstLine="36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4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47" w:type="dxa"/>
        <w:jc w:val="left"/>
        <w:tblInd w:w="0" w:type="dxa"/>
        <w:tblLayout w:type="fixed"/>
        <w:tblCellMar>
          <w:top w:w="28" w:type="dxa"/>
          <w:left w:w="28" w:type="dxa"/>
          <w:bottom w:w="28" w:type="dxa"/>
          <w:right w:w="28" w:type="dxa"/>
        </w:tblCellMar>
      </w:tblPr>
      <w:tblGrid>
        <w:gridCol w:w="124"/>
        <w:gridCol w:w="109"/>
        <w:gridCol w:w="109"/>
        <w:gridCol w:w="564"/>
        <w:gridCol w:w="564"/>
        <w:gridCol w:w="566"/>
        <w:gridCol w:w="109"/>
        <w:gridCol w:w="109"/>
        <w:gridCol w:w="109"/>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ind w:left="0" w:right="0" w:firstLine="36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4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As of July 21, 2023, there were 16,709,534 outstanding shares of the registrant’s $0.01 par value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3"/>
        <w:gridCol w:w="249"/>
        <w:gridCol w:w="250"/>
        <w:gridCol w:w="2948"/>
        <w:gridCol w:w="2948"/>
        <w:gridCol w:w="2953"/>
        <w:gridCol w:w="167"/>
        <w:gridCol w:w="167"/>
        <w:gridCol w:w="240"/>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7580975659b425187c24ec4c365c471_10">
              <w:r>
                <w:rPr>
                  <w:rStyle w:val="InternetLink"/>
                  <w:rFonts w:ascii="Times New Roman;sans-serif" w:hAnsi="Times New Roman;sans-serif"/>
                  <w:b/>
                  <w:color w:val="0000FF"/>
                  <w:sz w:val="22"/>
                  <w:u w:val="single"/>
                </w:rPr>
                <w:t>Part I—Financial Information</w:t>
              </w:r>
            </w:hyperlink>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13">
              <w:r>
                <w:rPr>
                  <w:rStyle w:val="InternetLink"/>
                  <w:rFonts w:ascii="Times New Roman;sans-serif" w:hAnsi="Times New Roman;sans-serif"/>
                  <w:b w:val="false"/>
                  <w:color w:val="0000FF"/>
                  <w:sz w:val="22"/>
                  <w:u w:val="single"/>
                </w:rPr>
                <w:t>Item 1.</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13">
              <w:r>
                <w:rPr>
                  <w:rStyle w:val="InternetLink"/>
                  <w:rFonts w:ascii="Times New Roman;sans-serif" w:hAnsi="Times New Roman;sans-serif"/>
                  <w:b w:val="false"/>
                  <w:color w:val="0000FF"/>
                  <w:sz w:val="22"/>
                  <w:u w:val="single"/>
                </w:rPr>
                <w:t>Financial Statements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16">
              <w:r>
                <w:rPr>
                  <w:rStyle w:val="InternetLink"/>
                  <w:rFonts w:ascii="Times New Roman;sans-serif" w:hAnsi="Times New Roman;sans-serif"/>
                  <w:b w:val="false"/>
                  <w:color w:val="0000FF"/>
                  <w:sz w:val="22"/>
                  <w:u w:val="single"/>
                </w:rPr>
                <w:t>2</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16">
              <w:r>
                <w:rPr>
                  <w:rStyle w:val="InternetLink"/>
                  <w:rFonts w:ascii="Times New Roman;sans-serif" w:hAnsi="Times New Roman;sans-serif"/>
                  <w:b w:val="false"/>
                  <w:color w:val="000080"/>
                  <w:sz w:val="22"/>
                  <w:u w:val="single"/>
                </w:rPr>
                <w:t xml:space="preserve">Consolidated Balance Sheets as of </w:t>
              </w:r>
            </w:hyperlink>
            <w:r>
              <w:rPr>
                <w:rFonts w:ascii="Times New Roman;sans-serif" w:hAnsi="Times New Roman;sans-serif"/>
                <w:b w:val="false"/>
                <w:color w:val="0000FF"/>
                <w:sz w:val="22"/>
                <w:u w:val="single"/>
              </w:rPr>
              <w:t>June 30, 2023</w:t>
            </w:r>
            <w:hyperlink w:anchor="i17580975659b425187c24ec4c365c471_16">
              <w:r>
                <w:rPr>
                  <w:rStyle w:val="InternetLink"/>
                  <w:rFonts w:ascii="Times New Roman;sans-serif" w:hAnsi="Times New Roman;sans-serif"/>
                  <w:b w:val="false"/>
                  <w:color w:val="000080"/>
                  <w:sz w:val="22"/>
                  <w:u w:val="single"/>
                </w:rPr>
                <w:t xml:space="preserve"> (unaudited) and </w:t>
              </w:r>
            </w:hyperlink>
            <w:r>
              <w:rPr>
                <w:rFonts w:ascii="Times New Roman;sans-serif" w:hAnsi="Times New Roman;sans-serif"/>
                <w:b w:val="false"/>
                <w:color w:val="0000FF"/>
                <w:sz w:val="22"/>
                <w:u w:val="single"/>
              </w:rPr>
              <w:t>December 31, 2022</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16">
              <w:r>
                <w:rPr>
                  <w:rStyle w:val="InternetLink"/>
                  <w:rFonts w:ascii="Times New Roman;sans-serif" w:hAnsi="Times New Roman;sans-serif"/>
                  <w:b w:val="false"/>
                  <w:color w:val="0000FF"/>
                  <w:sz w:val="22"/>
                  <w:u w:val="single"/>
                </w:rPr>
                <w:t>2</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19">
              <w:r>
                <w:rPr>
                  <w:rStyle w:val="InternetLink"/>
                  <w:rFonts w:ascii="Times New Roman;sans-serif" w:hAnsi="Times New Roman;sans-serif"/>
                  <w:b w:val="false"/>
                  <w:color w:val="000080"/>
                  <w:sz w:val="22"/>
                  <w:u w:val="single"/>
                </w:rPr>
                <w:t xml:space="preserve">Unaudited Consolidated Statements of Operations and Comprehensive Income for the </w:t>
              </w:r>
            </w:hyperlink>
            <w:r>
              <w:rPr>
                <w:rFonts w:ascii="Times New Roman;sans-serif" w:hAnsi="Times New Roman;sans-serif"/>
                <w:b w:val="false"/>
                <w:color w:val="0000FF"/>
                <w:sz w:val="22"/>
                <w:u w:val="single"/>
              </w:rPr>
              <w:t>Three and Six</w:t>
            </w:r>
            <w:hyperlink w:anchor="i17580975659b425187c24ec4c365c471_19">
              <w:r>
                <w:rPr>
                  <w:rStyle w:val="InternetLink"/>
                  <w:rFonts w:ascii="Times New Roman;sans-serif" w:hAnsi="Times New Roman;sans-serif"/>
                  <w:b w:val="false"/>
                  <w:color w:val="000080"/>
                  <w:sz w:val="22"/>
                  <w:u w:val="single"/>
                </w:rPr>
                <w:t xml:space="preserve"> Months Ended </w:t>
              </w:r>
            </w:hyperlink>
            <w:r>
              <w:rPr>
                <w:rFonts w:ascii="Times New Roman;sans-serif" w:hAnsi="Times New Roman;sans-serif"/>
                <w:b w:val="false"/>
                <w:color w:val="0000FF"/>
                <w:sz w:val="22"/>
                <w:u w:val="single"/>
              </w:rPr>
              <w:t>June 30, 2023</w:t>
            </w:r>
            <w:hyperlink w:anchor="i17580975659b425187c24ec4c365c471_19">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2022</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19">
              <w:r>
                <w:rPr>
                  <w:rStyle w:val="InternetLink"/>
                  <w:rFonts w:ascii="Times New Roman;sans-serif" w:hAnsi="Times New Roman;sans-serif"/>
                  <w:b w:val="false"/>
                  <w:color w:val="0000FF"/>
                  <w:sz w:val="22"/>
                  <w:u w:val="single"/>
                </w:rPr>
                <w:t>3</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22">
              <w:r>
                <w:rPr>
                  <w:rStyle w:val="InternetLink"/>
                  <w:rFonts w:ascii="Times New Roman;sans-serif" w:hAnsi="Times New Roman;sans-serif"/>
                  <w:b w:val="false"/>
                  <w:color w:val="000080"/>
                  <w:sz w:val="22"/>
                  <w:u w:val="single"/>
                </w:rPr>
                <w:t>Unaudited Consolidated Statements of S</w:t>
              </w:r>
            </w:hyperlink>
            <w:r>
              <w:rPr>
                <w:rFonts w:ascii="Times New Roman;sans-serif" w:hAnsi="Times New Roman;sans-serif"/>
                <w:b w:val="false"/>
                <w:color w:val="0000FF"/>
                <w:sz w:val="22"/>
                <w:u w:val="single"/>
              </w:rPr>
              <w:t>hareholder</w:t>
            </w:r>
            <w:hyperlink w:anchor="i17580975659b425187c24ec4c365c471_22">
              <w:r>
                <w:rPr>
                  <w:rStyle w:val="InternetLink"/>
                  <w:rFonts w:ascii="Times New Roman;sans-serif" w:hAnsi="Times New Roman;sans-serif"/>
                  <w:b w:val="false"/>
                  <w:color w:val="000080"/>
                  <w:sz w:val="22"/>
                  <w:u w:val="single"/>
                </w:rPr>
                <w:t xml:space="preserve">s’ Equity for the </w:t>
              </w:r>
            </w:hyperlink>
            <w:r>
              <w:rPr>
                <w:rFonts w:ascii="Times New Roman;sans-serif" w:hAnsi="Times New Roman;sans-serif"/>
                <w:b w:val="false"/>
                <w:color w:val="0000FF"/>
                <w:sz w:val="22"/>
                <w:u w:val="single"/>
              </w:rPr>
              <w:t>Three and Six</w:t>
            </w:r>
            <w:hyperlink w:anchor="i17580975659b425187c24ec4c365c471_22">
              <w:r>
                <w:rPr>
                  <w:rStyle w:val="InternetLink"/>
                  <w:rFonts w:ascii="Times New Roman;sans-serif" w:hAnsi="Times New Roman;sans-serif"/>
                  <w:b w:val="false"/>
                  <w:color w:val="000080"/>
                  <w:sz w:val="22"/>
                  <w:u w:val="single"/>
                </w:rPr>
                <w:t xml:space="preserve"> Months Ended </w:t>
              </w:r>
            </w:hyperlink>
            <w:r>
              <w:rPr>
                <w:rFonts w:ascii="Times New Roman;sans-serif" w:hAnsi="Times New Roman;sans-serif"/>
                <w:b w:val="false"/>
                <w:color w:val="0000FF"/>
                <w:sz w:val="22"/>
                <w:u w:val="single"/>
              </w:rPr>
              <w:t>June 30, 2023</w:t>
            </w:r>
            <w:hyperlink w:anchor="i17580975659b425187c24ec4c365c471_22">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2022</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22">
              <w:r>
                <w:rPr>
                  <w:rStyle w:val="InternetLink"/>
                  <w:rFonts w:ascii="Times New Roman;sans-serif" w:hAnsi="Times New Roman;sans-serif"/>
                  <w:b w:val="false"/>
                  <w:color w:val="0000FF"/>
                  <w:sz w:val="22"/>
                  <w:u w:val="single"/>
                </w:rPr>
                <w:t>4</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25">
              <w:r>
                <w:rPr>
                  <w:rStyle w:val="InternetLink"/>
                  <w:rFonts w:ascii="Times New Roman;sans-serif" w:hAnsi="Times New Roman;sans-serif"/>
                  <w:b w:val="false"/>
                  <w:color w:val="000080"/>
                  <w:sz w:val="22"/>
                  <w:u w:val="single"/>
                </w:rPr>
                <w:t xml:space="preserve">Unaudited Consolidated Statements of Cash Flows for the </w:t>
              </w:r>
            </w:hyperlink>
            <w:r>
              <w:rPr>
                <w:rFonts w:ascii="Times New Roman;sans-serif" w:hAnsi="Times New Roman;sans-serif"/>
                <w:b w:val="false"/>
                <w:color w:val="0000FF"/>
                <w:sz w:val="22"/>
                <w:u w:val="single"/>
              </w:rPr>
              <w:t>Six Months Ended</w:t>
            </w:r>
            <w:hyperlink w:anchor="i17580975659b425187c24ec4c365c471_25">
              <w:r>
                <w:rPr>
                  <w:rStyle w:val="InternetLink"/>
                  <w:rFonts w:ascii="Times New Roman;sans-serif" w:hAnsi="Times New Roman;sans-serif"/>
                  <w:b w:val="false"/>
                  <w:color w:val="000080"/>
                  <w:sz w:val="22"/>
                  <w:u w:val="single"/>
                </w:rPr>
                <w:t xml:space="preserve"> </w:t>
              </w:r>
            </w:hyperlink>
            <w:r>
              <w:rPr>
                <w:rFonts w:ascii="Times New Roman;sans-serif" w:hAnsi="Times New Roman;sans-serif"/>
                <w:b w:val="false"/>
                <w:color w:val="0000FF"/>
                <w:sz w:val="22"/>
                <w:u w:val="single"/>
              </w:rPr>
              <w:t>June 30, 2023</w:t>
            </w:r>
            <w:hyperlink w:anchor="i17580975659b425187c24ec4c365c471_25">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2022</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25">
              <w:r>
                <w:rPr>
                  <w:rStyle w:val="InternetLink"/>
                  <w:rFonts w:ascii="Times New Roman;sans-serif" w:hAnsi="Times New Roman;sans-serif"/>
                  <w:b w:val="false"/>
                  <w:color w:val="0000FF"/>
                  <w:sz w:val="22"/>
                  <w:u w:val="single"/>
                </w:rPr>
                <w:t>5</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28">
              <w:r>
                <w:rPr>
                  <w:rStyle w:val="InternetLink"/>
                  <w:rFonts w:ascii="Times New Roman;sans-serif" w:hAnsi="Times New Roman;sans-serif"/>
                  <w:b w:val="false"/>
                  <w:color w:val="0000FF"/>
                  <w:sz w:val="22"/>
                  <w:u w:val="single"/>
                </w:rPr>
                <w:t>Notes to Unaudited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28">
              <w:r>
                <w:rPr>
                  <w:rStyle w:val="InternetLink"/>
                  <w:rFonts w:ascii="Times New Roman;sans-serif" w:hAnsi="Times New Roman;sans-serif"/>
                  <w:b w:val="false"/>
                  <w:color w:val="0000FF"/>
                  <w:sz w:val="22"/>
                  <w:u w:val="single"/>
                </w:rPr>
                <w:t>6</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7580975659b425187c24ec4c365c471_94">
              <w:r>
                <w:rPr>
                  <w:rStyle w:val="InternetLink"/>
                  <w:rFonts w:ascii="Times New Roman;sans-serif" w:hAnsi="Times New Roman;sans-serif"/>
                  <w:b w:val="false"/>
                  <w:color w:val="0000FF"/>
                  <w:sz w:val="22"/>
                  <w:u w:val="single"/>
                </w:rPr>
                <w:t>Item 2.</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94">
              <w:r>
                <w:rPr>
                  <w:rStyle w:val="InternetLink"/>
                  <w:rFonts w:ascii="Times New Roman;sans-serif" w:hAnsi="Times New Roman;sans-serif"/>
                  <w:b w:val="false"/>
                  <w:color w:val="0000FF"/>
                  <w:sz w:val="22"/>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94">
              <w:r>
                <w:rPr>
                  <w:rStyle w:val="InternetLink"/>
                  <w:rFonts w:ascii="Times New Roman;sans-serif" w:hAnsi="Times New Roman;sans-serif"/>
                  <w:b w:val="false"/>
                  <w:color w:val="0000FF"/>
                  <w:sz w:val="22"/>
                  <w:u w:val="single"/>
                </w:rPr>
                <w:t>21</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7580975659b425187c24ec4c365c471_133">
              <w:r>
                <w:rPr>
                  <w:rStyle w:val="InternetLink"/>
                  <w:rFonts w:ascii="Times New Roman;sans-serif" w:hAnsi="Times New Roman;sans-serif"/>
                  <w:b w:val="false"/>
                  <w:color w:val="0000FF"/>
                  <w:sz w:val="22"/>
                  <w:u w:val="single"/>
                </w:rPr>
                <w:t>Item 3.</w:t>
              </w:r>
            </w:hyperlink>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133">
              <w:r>
                <w:rPr>
                  <w:rStyle w:val="InternetLink"/>
                  <w:rFonts w:ascii="Times New Roman;sans-serif" w:hAnsi="Times New Roman;sans-serif"/>
                  <w:b w:val="false"/>
                  <w:color w:val="0000FF"/>
                  <w:sz w:val="22"/>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133">
              <w:r>
                <w:rPr>
                  <w:rStyle w:val="InternetLink"/>
                  <w:rFonts w:ascii="Times New Roman;sans-serif" w:hAnsi="Times New Roman;sans-serif"/>
                  <w:b w:val="false"/>
                  <w:color w:val="0000FF"/>
                  <w:sz w:val="22"/>
                  <w:u w:val="single"/>
                </w:rPr>
                <w:t>33</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7580975659b425187c24ec4c365c471_136">
              <w:r>
                <w:rPr>
                  <w:rStyle w:val="InternetLink"/>
                  <w:rFonts w:ascii="Times New Roman;sans-serif" w:hAnsi="Times New Roman;sans-serif"/>
                  <w:b w:val="false"/>
                  <w:color w:val="0000FF"/>
                  <w:sz w:val="22"/>
                  <w:u w:val="single"/>
                </w:rPr>
                <w:t>Item 4.</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136">
              <w:r>
                <w:rPr>
                  <w:rStyle w:val="InternetLink"/>
                  <w:rFonts w:ascii="Times New Roman;sans-serif" w:hAnsi="Times New Roman;sans-serif"/>
                  <w:b w:val="false"/>
                  <w:color w:val="0000FF"/>
                  <w:sz w:val="22"/>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136">
              <w:r>
                <w:rPr>
                  <w:rStyle w:val="InternetLink"/>
                  <w:rFonts w:ascii="Times New Roman;sans-serif" w:hAnsi="Times New Roman;sans-serif"/>
                  <w:b w:val="false"/>
                  <w:color w:val="0000FF"/>
                  <w:sz w:val="22"/>
                  <w:u w:val="single"/>
                </w:rPr>
                <w:t>33</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7580975659b425187c24ec4c365c471_139">
              <w:r>
                <w:rPr>
                  <w:rStyle w:val="InternetLink"/>
                  <w:rFonts w:ascii="Times New Roman;sans-serif" w:hAnsi="Times New Roman;sans-serif"/>
                  <w:b/>
                  <w:color w:val="0000FF"/>
                  <w:sz w:val="22"/>
                  <w:u w:val="single"/>
                </w:rPr>
                <w:t>Part II—Other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7580975659b425187c24ec4c365c471_142">
              <w:r>
                <w:rPr>
                  <w:rStyle w:val="InternetLink"/>
                  <w:rFonts w:ascii="Times New Roman;sans-serif" w:hAnsi="Times New Roman;sans-serif"/>
                  <w:b w:val="false"/>
                  <w:color w:val="0000FF"/>
                  <w:sz w:val="22"/>
                  <w:u w:val="single"/>
                </w:rPr>
                <w:t>Item 1.</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142">
              <w:r>
                <w:rPr>
                  <w:rStyle w:val="InternetLink"/>
                  <w:rFonts w:ascii="Times New Roman;sans-serif" w:hAnsi="Times New Roman;sans-serif"/>
                  <w:b w:val="false"/>
                  <w:color w:val="0000FF"/>
                  <w:sz w:val="22"/>
                  <w:u w:val="single"/>
                </w:rPr>
                <w:t>Legal Proceedings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142">
              <w:r>
                <w:rPr>
                  <w:rStyle w:val="InternetLink"/>
                  <w:rFonts w:ascii="Times New Roman;sans-serif" w:hAnsi="Times New Roman;sans-serif"/>
                  <w:b w:val="false"/>
                  <w:color w:val="0000FF"/>
                  <w:sz w:val="22"/>
                  <w:u w:val="single"/>
                </w:rPr>
                <w:t>34</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7580975659b425187c24ec4c365c471_145">
              <w:r>
                <w:rPr>
                  <w:rStyle w:val="InternetLink"/>
                  <w:rFonts w:ascii="Times New Roman;sans-serif" w:hAnsi="Times New Roman;sans-serif"/>
                  <w:b w:val="false"/>
                  <w:color w:val="0000FF"/>
                  <w:sz w:val="22"/>
                  <w:u w:val="single"/>
                </w:rPr>
                <w:t>Item 1A.</w:t>
              </w:r>
            </w:hyperlink>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145">
              <w:r>
                <w:rPr>
                  <w:rStyle w:val="InternetLink"/>
                  <w:rFonts w:ascii="Times New Roman;sans-serif" w:hAnsi="Times New Roman;sans-serif"/>
                  <w:b w:val="false"/>
                  <w:color w:val="0000FF"/>
                  <w:sz w:val="22"/>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145">
              <w:r>
                <w:rPr>
                  <w:rStyle w:val="InternetLink"/>
                  <w:rFonts w:ascii="Times New Roman;sans-serif" w:hAnsi="Times New Roman;sans-serif"/>
                  <w:b w:val="false"/>
                  <w:color w:val="0000FF"/>
                  <w:sz w:val="22"/>
                  <w:u w:val="single"/>
                </w:rPr>
                <w:t>34</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7580975659b425187c24ec4c365c471_148">
              <w:r>
                <w:rPr>
                  <w:rStyle w:val="InternetLink"/>
                  <w:rFonts w:ascii="Times New Roman;sans-serif" w:hAnsi="Times New Roman;sans-serif"/>
                  <w:b w:val="false"/>
                  <w:color w:val="0000FF"/>
                  <w:sz w:val="22"/>
                  <w:u w:val="single"/>
                </w:rPr>
                <w:t>Item 2.</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148">
              <w:r>
                <w:rPr>
                  <w:rStyle w:val="InternetLink"/>
                  <w:rFonts w:ascii="Times New Roman;sans-serif" w:hAnsi="Times New Roman;sans-serif"/>
                  <w:b w:val="false"/>
                  <w:color w:val="0000FF"/>
                  <w:sz w:val="22"/>
                  <w:u w:val="single"/>
                </w:rPr>
                <w:t>Unregistered Sales of Equity Securities and Use of Proceeds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148">
              <w:r>
                <w:rPr>
                  <w:rStyle w:val="InternetLink"/>
                  <w:rFonts w:ascii="Times New Roman;sans-serif" w:hAnsi="Times New Roman;sans-serif"/>
                  <w:b w:val="false"/>
                  <w:color w:val="0000FF"/>
                  <w:sz w:val="22"/>
                  <w:u w:val="single"/>
                </w:rPr>
                <w:t>34</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7580975659b425187c24ec4c365c471_1191">
              <w:r>
                <w:rPr>
                  <w:rStyle w:val="InternetLink"/>
                  <w:rFonts w:ascii="Times New Roman;sans-serif" w:hAnsi="Times New Roman;sans-serif"/>
                  <w:b w:val="false"/>
                  <w:color w:val="0000FF"/>
                  <w:sz w:val="22"/>
                  <w:u w:val="single"/>
                </w:rPr>
                <w:t>Item 5.</w:t>
              </w:r>
            </w:hyperlink>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1191">
              <w:r>
                <w:rPr>
                  <w:rStyle w:val="InternetLink"/>
                  <w:rFonts w:ascii="Times New Roman;sans-serif" w:hAnsi="Times New Roman;sans-serif"/>
                  <w:b w:val="false"/>
                  <w:color w:val="0000FF"/>
                  <w:sz w:val="22"/>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1191">
              <w:r>
                <w:rPr>
                  <w:rStyle w:val="InternetLink"/>
                  <w:rFonts w:ascii="Times New Roman;sans-serif" w:hAnsi="Times New Roman;sans-serif"/>
                  <w:b w:val="false"/>
                  <w:color w:val="0000FF"/>
                  <w:sz w:val="22"/>
                  <w:u w:val="single"/>
                </w:rPr>
                <w:t>34</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7580975659b425187c24ec4c365c471_151">
              <w:r>
                <w:rPr>
                  <w:rStyle w:val="InternetLink"/>
                  <w:rFonts w:ascii="Times New Roman;sans-serif" w:hAnsi="Times New Roman;sans-serif"/>
                  <w:b w:val="false"/>
                  <w:color w:val="0000FF"/>
                  <w:sz w:val="22"/>
                  <w:u w:val="single"/>
                </w:rPr>
                <w:t>Item 6.</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580975659b425187c24ec4c365c471_151">
              <w:r>
                <w:rPr>
                  <w:rStyle w:val="InternetLink"/>
                  <w:rFonts w:ascii="Times New Roman;sans-serif" w:hAnsi="Times New Roman;sans-serif"/>
                  <w:b w:val="false"/>
                  <w:color w:val="0000FF"/>
                  <w:sz w:val="22"/>
                  <w:u w:val="single"/>
                </w:rPr>
                <w:t>Exhibits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580975659b425187c24ec4c365c471_151">
              <w:r>
                <w:rPr>
                  <w:rStyle w:val="InternetLink"/>
                  <w:rFonts w:ascii="Times New Roman;sans-serif" w:hAnsi="Times New Roman;sans-serif"/>
                  <w:b w:val="false"/>
                  <w:color w:val="0000FF"/>
                  <w:sz w:val="22"/>
                  <w:u w:val="single"/>
                </w:rPr>
                <w:t>35</w:t>
              </w:r>
            </w:hyperlink>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report, references to “MYR Group,” the “Company,” “we,” “us” and “our” refer to MYR Group Inc. and its consolidated subsidiaries, except as otherwise indicated or as the context otherwise requires.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16"/>
        <w:gridCol w:w="2165"/>
        <w:gridCol w:w="2172"/>
        <w:gridCol w:w="109"/>
        <w:gridCol w:w="109"/>
        <w:gridCol w:w="109"/>
        <w:gridCol w:w="196"/>
        <w:gridCol w:w="871"/>
        <w:gridCol w:w="109"/>
        <w:gridCol w:w="109"/>
        <w:gridCol w:w="109"/>
        <w:gridCol w:w="109"/>
        <w:gridCol w:w="196"/>
        <w:gridCol w:w="871"/>
        <w:gridCol w:w="155"/>
      </w:tblGrid>
      <w:tr>
        <w:trPr/>
        <w:tc>
          <w:tcPr>
            <w:tcW w:w="2816"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allowances of $2,106 and $2,073,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472,543 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Contract assets, net of allowances of $601 and $499,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300,615 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Refundable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890,291 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 of accumulated depreciation of $363,112 and $351,753,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 of accumulated amortization of $28,061 and $25,439,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1,398,858 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accrued self-insurance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666,960 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838,658 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stock—$0.01 par value per share; 4,000,000 authorized shares; none issued and outstanding at June 30,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stock—$0.01 par value per share; 100,000,000 authorized shares; 16,709,534 and 16,563,767 shares issued and outstanding at June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404,908 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560,200 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1,398,858 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 AND COMPREHENSIVE INCOME</w:t>
      </w:r>
    </w:p>
    <w:tbl>
      <w:tblPr>
        <w:tblW w:w="10205" w:type="dxa"/>
        <w:jc w:val="left"/>
        <w:tblInd w:w="0" w:type="dxa"/>
        <w:tblLayout w:type="fixed"/>
        <w:tblCellMar>
          <w:top w:w="28" w:type="dxa"/>
          <w:left w:w="28" w:type="dxa"/>
          <w:bottom w:w="28" w:type="dxa"/>
          <w:right w:w="28" w:type="dxa"/>
        </w:tblCellMar>
      </w:tblPr>
      <w:tblGrid>
        <w:gridCol w:w="1602"/>
        <w:gridCol w:w="1180"/>
        <w:gridCol w:w="1184"/>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0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and potential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SHAREHOLDERS’ EQUITY</w:t>
      </w:r>
    </w:p>
    <w:p>
      <w:pPr>
        <w:pStyle w:val="TextBody"/>
        <w:bidi w:val="0"/>
        <w:spacing w:before="240" w:after="283"/>
        <w:jc w:val="center"/>
        <w:rPr/>
      </w:pPr>
      <w:r>
        <w:rPr/>
      </w:r>
    </w:p>
    <w:tbl>
      <w:tblPr>
        <w:tblW w:w="10819" w:type="dxa"/>
        <w:jc w:val="center"/>
        <w:tblInd w:w="0" w:type="dxa"/>
        <w:tblLayout w:type="fixed"/>
        <w:tblCellMar>
          <w:top w:w="28" w:type="dxa"/>
          <w:left w:w="28" w:type="dxa"/>
          <w:bottom w:w="28" w:type="dxa"/>
          <w:right w:w="28" w:type="dxa"/>
        </w:tblCellMar>
      </w:tblPr>
      <w:tblGrid>
        <w:gridCol w:w="592"/>
        <w:gridCol w:w="296"/>
        <w:gridCol w:w="298"/>
        <w:gridCol w:w="109"/>
        <w:gridCol w:w="109"/>
        <w:gridCol w:w="109"/>
        <w:gridCol w:w="227"/>
        <w:gridCol w:w="471"/>
        <w:gridCol w:w="128"/>
        <w:gridCol w:w="109"/>
        <w:gridCol w:w="109"/>
        <w:gridCol w:w="109"/>
        <w:gridCol w:w="323"/>
        <w:gridCol w:w="323"/>
        <w:gridCol w:w="211"/>
        <w:gridCol w:w="109"/>
        <w:gridCol w:w="109"/>
        <w:gridCol w:w="109"/>
        <w:gridCol w:w="202"/>
        <w:gridCol w:w="435"/>
        <w:gridCol w:w="114"/>
        <w:gridCol w:w="109"/>
        <w:gridCol w:w="109"/>
        <w:gridCol w:w="109"/>
        <w:gridCol w:w="196"/>
        <w:gridCol w:w="736"/>
        <w:gridCol w:w="109"/>
        <w:gridCol w:w="109"/>
        <w:gridCol w:w="109"/>
        <w:gridCol w:w="109"/>
        <w:gridCol w:w="292"/>
        <w:gridCol w:w="851"/>
        <w:gridCol w:w="163"/>
        <w:gridCol w:w="109"/>
        <w:gridCol w:w="109"/>
        <w:gridCol w:w="109"/>
        <w:gridCol w:w="196"/>
        <w:gridCol w:w="736"/>
        <w:gridCol w:w="109"/>
        <w:gridCol w:w="109"/>
        <w:gridCol w:w="109"/>
        <w:gridCol w:w="109"/>
        <w:gridCol w:w="109"/>
        <w:gridCol w:w="109"/>
        <w:gridCol w:w="109"/>
        <w:gridCol w:w="109"/>
        <w:gridCol w:w="196"/>
        <w:gridCol w:w="736"/>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(4,024)</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604,300 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tbl>
      <w:tblPr>
        <w:tblW w:w="8840" w:type="dxa"/>
        <w:jc w:val="left"/>
        <w:tblInd w:w="0" w:type="dxa"/>
        <w:tblLayout w:type="fixed"/>
        <w:tblCellMar>
          <w:top w:w="28" w:type="dxa"/>
          <w:left w:w="28" w:type="dxa"/>
          <w:bottom w:w="28" w:type="dxa"/>
          <w:right w:w="28" w:type="dxa"/>
        </w:tblCellMar>
      </w:tblPr>
      <w:tblGrid>
        <w:gridCol w:w="2257"/>
        <w:gridCol w:w="1989"/>
        <w:gridCol w:w="1993"/>
        <w:gridCol w:w="109"/>
        <w:gridCol w:w="109"/>
        <w:gridCol w:w="109"/>
        <w:gridCol w:w="196"/>
        <w:gridCol w:w="646"/>
        <w:gridCol w:w="109"/>
        <w:gridCol w:w="109"/>
        <w:gridCol w:w="109"/>
        <w:gridCol w:w="109"/>
        <w:gridCol w:w="196"/>
        <w:gridCol w:w="646"/>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for insurance claims in excess of deductibles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acquired business,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revolving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revolving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principal obligations under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principal obligations under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refinancing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Organization, Business and Basis of Presentation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Organization and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MYR Group Inc. (the “Company”) is a holding company of specialty electrical construction service providers and is currently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Interim Consolidated Financial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shareholders’ equity and cash flows with respect to the interim consolidated financial statements, have been included. Certain reclassifications were made to prior year amounts to conform to the current year presentation. The consolidated balance sheet as of December 31, 2022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2022, included in the Company’s Annual Report on Form 10-K, which was filed with the SEC on February 22, 2023 (the "2022 Annual Report").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Joint Ventures and Noncontrolling Interests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As of June 30, 2023, the Company did not have a controlling interest in any current joint venture partnerships.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joint ventures in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intercompany loans that are not deemed long-term investment accounts are recorded in the “other income, net” line on the Company’s consolidated statements of operations. Foreign currency gains, recorded in other income, net, for the six months ended June 30, 2023 and 2022 were not significant. Foreign currency translation gains and losses, arising from intercompany loans that are deemed long-term investment accounts, are recorded in the foreign currency translation adjustment line on the Company’s consolidated statements of comprehensive income.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estimates are related to estimates of costs to complete contracts, pending change orders and claims, shared savings, insurance reserves, income tax reserves, estimates surrounding stock-based compensation, acquisition-related contingent earn-out consideration liabilities,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had recognized revenues of $38.1 million and $19.6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cost-to-cost method of accounting requires the Company to make estimates about the expected revenue and gross profit on each of its contracts in process. During the three months ended June 30, 2023, changes in estimates pertaining to certain projects decreased consolidated gross margin by 1.3%, which resulted in decreases in operating income of $11.5 million, net income of $8.0 million and diluted earnings per common share of $0.48. During the six months ended June 30, 2023, changes in estimates pertaining to certain projects decreased consolidated gross margin by 1.0% and resulted in decreases in operating income of $17.8 million, net income of $12.4 million and diluted earnings per common share of $0.74. Additional discussion on the impact of these estimate changes can be found in Item 2, “Management’s Discussion and Analysis of Financial Condition and Results of Operations - Consolidated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2022, changes in estimates pertaining to certain projects decreased consolidated gross margin by 0.1%, which resulted in decreases in operating income of $0.5 million, net income of $0.3 million and diluted earnings per common share of $0.02. During the six months ended June 30, 2022, changes in estimates pertaining to certain projects increased consolidated gross margin by 0.3%, which resulted in increases in operating income of $3.7 million, net income of $2.5 million and diluted earnings per common share of $0.15.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are either not applicable to the Company or will have minimal impact on its consolidated financial statements when adopted.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Contract Assets and Liabilities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$0.6 million as of June 30, 2023 and $0.5 million as of December 31, 2022.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consisted of the following:</w:t>
      </w:r>
    </w:p>
    <w:tbl>
      <w:tblPr>
        <w:tblW w:w="6399"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retainages,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present contract liabilities that contain deferred revenue and an accrual for contracts in a loss provision.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consisted of the following:</w:t>
      </w:r>
    </w:p>
    <w:tbl>
      <w:tblPr>
        <w:tblW w:w="6234" w:type="dxa"/>
        <w:jc w:val="left"/>
        <w:tblInd w:w="0" w:type="dxa"/>
        <w:tblLayout w:type="fixed"/>
        <w:tblCellMar>
          <w:top w:w="28" w:type="dxa"/>
          <w:left w:w="28" w:type="dxa"/>
          <w:bottom w:w="28" w:type="dxa"/>
          <w:right w:w="28" w:type="dxa"/>
        </w:tblCellMar>
      </w:tblPr>
      <w:tblGrid>
        <w:gridCol w:w="716"/>
        <w:gridCol w:w="631"/>
        <w:gridCol w:w="633"/>
        <w:gridCol w:w="109"/>
        <w:gridCol w:w="109"/>
        <w:gridCol w:w="109"/>
        <w:gridCol w:w="211"/>
        <w:gridCol w:w="826"/>
        <w:gridCol w:w="109"/>
        <w:gridCol w:w="109"/>
        <w:gridCol w:w="109"/>
        <w:gridCol w:w="109"/>
        <w:gridCol w:w="211"/>
        <w:gridCol w:w="826"/>
        <w:gridCol w:w="109"/>
        <w:gridCol w:w="109"/>
        <w:gridCol w:w="109"/>
        <w:gridCol w:w="109"/>
        <w:gridCol w:w="211"/>
        <w:gridCol w:w="61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loss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from contracts with customers:</w:t>
      </w:r>
    </w:p>
    <w:tbl>
      <w:tblPr>
        <w:tblW w:w="6039"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$17.3 million and $107.0 million for the three and six months ended June 30, 2023, respectively. The amounts of revenue recognized in the period that were included in the opening contract liability balances were $25.8 million and $58.6 million for the three and six months ended June 30,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asset position for contracts in process consisted of the following:</w:t>
      </w:r>
    </w:p>
    <w:tbl>
      <w:tblPr>
        <w:tblW w:w="7910" w:type="dxa"/>
        <w:jc w:val="left"/>
        <w:tblInd w:w="0" w:type="dxa"/>
        <w:tblLayout w:type="fixed"/>
        <w:tblCellMar>
          <w:top w:w="28" w:type="dxa"/>
          <w:left w:w="28" w:type="dxa"/>
          <w:bottom w:w="28" w:type="dxa"/>
          <w:right w:w="28" w:type="dxa"/>
        </w:tblCellMar>
      </w:tblPr>
      <w:tblGrid>
        <w:gridCol w:w="1667"/>
        <w:gridCol w:w="1468"/>
        <w:gridCol w:w="1484"/>
        <w:gridCol w:w="109"/>
        <w:gridCol w:w="109"/>
        <w:gridCol w:w="109"/>
        <w:gridCol w:w="211"/>
        <w:gridCol w:w="976"/>
        <w:gridCol w:w="109"/>
        <w:gridCol w:w="109"/>
        <w:gridCol w:w="109"/>
        <w:gridCol w:w="109"/>
        <w:gridCol w:w="211"/>
        <w:gridCol w:w="976"/>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on uncompleted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billings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5,457,923 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asset position for contracts in process is included within the contract asset and contract liability in the accompanying consolidated balance sheets as follows:</w:t>
      </w:r>
    </w:p>
    <w:tbl>
      <w:tblPr>
        <w:tblW w:w="4566" w:type="dxa"/>
        <w:jc w:val="left"/>
        <w:tblInd w:w="0" w:type="dxa"/>
        <w:tblLayout w:type="fixed"/>
        <w:tblCellMar>
          <w:top w:w="28" w:type="dxa"/>
          <w:left w:w="28" w:type="dxa"/>
          <w:bottom w:w="28" w:type="dxa"/>
          <w:right w:w="28" w:type="dxa"/>
        </w:tblCellMar>
      </w:tblPr>
      <w:tblGrid>
        <w:gridCol w:w="570"/>
        <w:gridCol w:w="502"/>
        <w:gridCol w:w="503"/>
        <w:gridCol w:w="109"/>
        <w:gridCol w:w="109"/>
        <w:gridCol w:w="109"/>
        <w:gridCol w:w="211"/>
        <w:gridCol w:w="826"/>
        <w:gridCol w:w="109"/>
        <w:gridCol w:w="109"/>
        <w:gridCol w:w="109"/>
        <w:gridCol w:w="109"/>
        <w:gridCol w:w="211"/>
        <w:gridCol w:w="82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Unbilled revenue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Lease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June 30, 2023,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lease-related assets and liabilities recorded:</w:t>
      </w:r>
    </w:p>
    <w:tbl>
      <w:tblPr>
        <w:tblW w:w="10205" w:type="dxa"/>
        <w:jc w:val="left"/>
        <w:tblInd w:w="0" w:type="dxa"/>
        <w:tblLayout w:type="fixed"/>
        <w:tblCellMar>
          <w:top w:w="28" w:type="dxa"/>
          <w:left w:w="28" w:type="dxa"/>
          <w:bottom w:w="28" w:type="dxa"/>
          <w:right w:w="28" w:type="dxa"/>
        </w:tblCellMar>
      </w:tblPr>
      <w:tblGrid>
        <w:gridCol w:w="976"/>
        <w:gridCol w:w="857"/>
        <w:gridCol w:w="851"/>
        <w:gridCol w:w="109"/>
        <w:gridCol w:w="109"/>
        <w:gridCol w:w="109"/>
        <w:gridCol w:w="1457"/>
        <w:gridCol w:w="1451"/>
        <w:gridCol w:w="1454"/>
        <w:gridCol w:w="109"/>
        <w:gridCol w:w="109"/>
        <w:gridCol w:w="109"/>
        <w:gridCol w:w="211"/>
        <w:gridCol w:w="721"/>
        <w:gridCol w:w="109"/>
        <w:gridCol w:w="109"/>
        <w:gridCol w:w="109"/>
        <w:gridCol w:w="109"/>
        <w:gridCol w:w="219"/>
        <w:gridCol w:w="753"/>
        <w:gridCol w:w="165"/>
      </w:tblGrid>
      <w:tr>
        <w:trPr/>
        <w:tc>
          <w:tcPr>
            <w:tcW w:w="9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 on the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lease terms and discount rates:</w:t>
      </w:r>
    </w:p>
    <w:tbl>
      <w:tblPr>
        <w:tblW w:w="7124" w:type="dxa"/>
        <w:jc w:val="left"/>
        <w:tblInd w:w="0" w:type="dxa"/>
        <w:tblLayout w:type="fixed"/>
        <w:tblCellMar>
          <w:top w:w="28" w:type="dxa"/>
          <w:left w:w="28" w:type="dxa"/>
          <w:bottom w:w="28" w:type="dxa"/>
          <w:right w:w="28" w:type="dxa"/>
        </w:tblCellMar>
      </w:tblPr>
      <w:tblGrid>
        <w:gridCol w:w="1734"/>
        <w:gridCol w:w="1522"/>
        <w:gridCol w:w="1528"/>
        <w:gridCol w:w="232"/>
        <w:gridCol w:w="183"/>
        <w:gridCol w:w="459"/>
        <w:gridCol w:w="109"/>
        <w:gridCol w:w="109"/>
        <w:gridCol w:w="109"/>
        <w:gridCol w:w="231"/>
        <w:gridCol w:w="231"/>
        <w:gridCol w:w="677"/>
      </w:tblGrid>
      <w:tr>
        <w:trPr/>
        <w:tc>
          <w:tcPr>
            <w:tcW w:w="173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w:t>
            </w:r>
          </w:p>
        </w:tc>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years</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years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4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information related to the lease costs for finance and operating leases:</w:t>
      </w:r>
    </w:p>
    <w:tbl>
      <w:tblPr>
        <w:tblW w:w="8006" w:type="dxa"/>
        <w:jc w:val="left"/>
        <w:tblInd w:w="0" w:type="dxa"/>
        <w:tblLayout w:type="fixed"/>
        <w:tblCellMar>
          <w:top w:w="28" w:type="dxa"/>
          <w:left w:w="28" w:type="dxa"/>
          <w:bottom w:w="28" w:type="dxa"/>
          <w:right w:w="28" w:type="dxa"/>
        </w:tblCellMar>
      </w:tblPr>
      <w:tblGrid>
        <w:gridCol w:w="1053"/>
        <w:gridCol w:w="927"/>
        <w:gridCol w:w="92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other information and supplemental cash flow information related to finance and operating leases:</w:t>
      </w:r>
    </w:p>
    <w:tbl>
      <w:tblPr>
        <w:tblW w:w="8945" w:type="dxa"/>
        <w:jc w:val="left"/>
        <w:tblInd w:w="0" w:type="dxa"/>
        <w:tblLayout w:type="fixed"/>
        <w:tblCellMar>
          <w:top w:w="28" w:type="dxa"/>
          <w:left w:w="28" w:type="dxa"/>
          <w:bottom w:w="28" w:type="dxa"/>
          <w:right w:w="28" w:type="dxa"/>
        </w:tblCellMar>
      </w:tblPr>
      <w:tblGrid>
        <w:gridCol w:w="2264"/>
        <w:gridCol w:w="1994"/>
        <w:gridCol w:w="2011"/>
        <w:gridCol w:w="109"/>
        <w:gridCol w:w="109"/>
        <w:gridCol w:w="109"/>
        <w:gridCol w:w="211"/>
        <w:gridCol w:w="616"/>
        <w:gridCol w:w="109"/>
        <w:gridCol w:w="109"/>
        <w:gridCol w:w="109"/>
        <w:gridCol w:w="109"/>
        <w:gridCol w:w="211"/>
        <w:gridCol w:w="721"/>
        <w:gridCol w:w="154"/>
      </w:tblGrid>
      <w:tr>
        <w:trPr/>
        <w:tc>
          <w:tcPr>
            <w:tcW w:w="226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new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new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undiscounted minimum lease payments, as reconciled to the discounted minimum lease obligation indicated on the Company’s consolidated balance sheets, under financial leases, less interest, and under operating leases, less imputed interest, as of June 30, 2023 were as follows:</w:t>
      </w:r>
    </w:p>
    <w:tbl>
      <w:tblPr>
        <w:tblW w:w="10016" w:type="dxa"/>
        <w:jc w:val="left"/>
        <w:tblInd w:w="0" w:type="dxa"/>
        <w:tblLayout w:type="fixed"/>
        <w:tblCellMar>
          <w:top w:w="28" w:type="dxa"/>
          <w:left w:w="28" w:type="dxa"/>
          <w:bottom w:w="28" w:type="dxa"/>
          <w:right w:w="28" w:type="dxa"/>
        </w:tblCellMar>
      </w:tblPr>
      <w:tblGrid>
        <w:gridCol w:w="1901"/>
        <w:gridCol w:w="1671"/>
        <w:gridCol w:w="1678"/>
        <w:gridCol w:w="109"/>
        <w:gridCol w:w="109"/>
        <w:gridCol w:w="109"/>
        <w:gridCol w:w="373"/>
        <w:gridCol w:w="826"/>
        <w:gridCol w:w="196"/>
        <w:gridCol w:w="109"/>
        <w:gridCol w:w="109"/>
        <w:gridCol w:w="109"/>
        <w:gridCol w:w="264"/>
        <w:gridCol w:w="904"/>
        <w:gridCol w:w="136"/>
        <w:gridCol w:w="109"/>
        <w:gridCol w:w="109"/>
        <w:gridCol w:w="109"/>
        <w:gridCol w:w="211"/>
        <w:gridCol w:w="721"/>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Finance</w:t>
              <w:br/>
              <w:t>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Lease</w:t>
              <w:br/>
              <w:t>Obligations</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component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present value of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finance and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finance and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subsidiaries of the Company have operating leases for facilities from third party companies that are owned, in whole or part, by employees of the subsidiaries. The terms and rental rates of these leases are at or below market rental rates. As of June 30, 2023, the minimum lease payments required under these leases totaled $5.9 million, which are due over the next 3.5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the Company determined that the carrying value of cash and cash equivalents approximated fair value based on Level 1 inputs. As of June 30, 2023 and December 31, 2022, the fair value of the Company’s long-term debt and finance lease obligations was based on Level 2 inputs. The Company’s long-term debt was based on variable and fixed interest rates at June 30, 2023 and December 31, 2022, for new issues with similar remaining maturities, and approximated carrying value. In addition, based on borrowing rates currently available to the Company for borrowings with similar terms, the carrying value of the Company’s finance lease obligations also approximated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fair value of the Company’s contingent earn-out consideration liability associated with the acquisition of Powerline Plus Ltd. and its affiliate PLP Redimix Ltd. (collectively, the “Powerline Plus Companies") was based on Level 3 inputs. The contingent earn-out consideration recorded represents the estimated fair value of future amounts potentially payable to the former owners of the acquired Powerline Plus Companies and was initially determined using a Monte Carlo simulation valuation methodology based on probability-weighted performance projections and other inputs, including a discount rate and an expected volatility factor. The fair value of this contingent earn-out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 As of the acquisition date, the fair value of the contingent earn-out consideration was $0.9 million. As of June 30, 2023 and December 31, 2022, the fair value of the contingent earn-out consideration was $0.2 million. The future payout of the contingent earn-out consideration, if any, is unlimited and could be significantly higher than the acquisition date fair value. If the minimum thresholds of the performance targets are achieved the contingent earn-out consideration payment will be approximately $17.0 million. There were no changes in contingent earn-out consideration during the three and six months ended June 30, 2023 and 2022. Any changes in contingent earn-out consideration are recorded in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Debt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Company’s total debt, including borrowings under its credit agreement and master loan agreements for equipment notes:</w:t>
      </w:r>
    </w:p>
    <w:tbl>
      <w:tblPr>
        <w:tblW w:w="10205" w:type="dxa"/>
        <w:jc w:val="left"/>
        <w:tblInd w:w="0" w:type="dxa"/>
        <w:tblLayout w:type="fixed"/>
        <w:tblCellMar>
          <w:top w:w="28" w:type="dxa"/>
          <w:left w:w="28" w:type="dxa"/>
          <w:bottom w:w="28" w:type="dxa"/>
          <w:right w:w="28" w:type="dxa"/>
        </w:tblCellMar>
      </w:tblPr>
      <w:tblGrid>
        <w:gridCol w:w="636"/>
        <w:gridCol w:w="474"/>
        <w:gridCol w:w="475"/>
        <w:gridCol w:w="109"/>
        <w:gridCol w:w="109"/>
        <w:gridCol w:w="109"/>
        <w:gridCol w:w="390"/>
        <w:gridCol w:w="390"/>
        <w:gridCol w:w="391"/>
        <w:gridCol w:w="109"/>
        <w:gridCol w:w="109"/>
        <w:gridCol w:w="109"/>
        <w:gridCol w:w="453"/>
        <w:gridCol w:w="453"/>
        <w:gridCol w:w="454"/>
        <w:gridCol w:w="109"/>
        <w:gridCol w:w="109"/>
        <w:gridCol w:w="109"/>
        <w:gridCol w:w="374"/>
        <w:gridCol w:w="374"/>
        <w:gridCol w:w="378"/>
        <w:gridCol w:w="109"/>
        <w:gridCol w:w="109"/>
        <w:gridCol w:w="109"/>
        <w:gridCol w:w="193"/>
        <w:gridCol w:w="193"/>
        <w:gridCol w:w="194"/>
        <w:gridCol w:w="109"/>
        <w:gridCol w:w="109"/>
        <w:gridCol w:w="109"/>
        <w:gridCol w:w="221"/>
        <w:gridCol w:w="756"/>
        <w:gridCol w:w="114"/>
        <w:gridCol w:w="109"/>
        <w:gridCol w:w="109"/>
        <w:gridCol w:w="109"/>
        <w:gridCol w:w="256"/>
        <w:gridCol w:w="877"/>
        <w:gridCol w:w="197"/>
      </w:tblGrid>
      <w:tr>
        <w:trPr/>
        <w:tc>
          <w:tcPr>
            <w:tcW w:w="63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w:t>
              <w:br/>
              <w:t>Rate (per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w:t>
              <w:br/>
              <w:t>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12/27/2019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Semi-annual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equipment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Monthly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Of the Facility, up to $75 million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The Credit Agreement establishes Adjusted Term Secured Overnight Financing Rate (“SOFR”) (as defined in the Credit Agreement) as the benchmark rate, in replacement of LIBOR.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for the six months ended June 30, 2023 was 6.88% per annum.</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June 30,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$20.0 million of borrowings outstanding under the Facility and letters of credit outstanding under the Facility of approximately $19.0 million, including $11.7 million related to the Company's payment obligation under its insurance programs and approximately $7.3 million related to contract performance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had $12.9 million of borrowings outstanding under the revolving credit facility under its previous credit agreement and letters of credit outstanding under the revolving credit facility under its previous credit agreement of approximately $12.8 million, which were almost entirely related to the Company's payment obligation under its insurance programs.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remaining deferred debt issuance costs totaling $2.5 million as of June 30, 2023, related to the line of credit. As permitted, debt issuance costs have been deferred and are presented as an asset within other assets, which is amortized as interest expense over the term of the line of credit. Unamortized deferred debt issuance costs totaling $0.4 million relating to our previous credit agreement will be amortized over the life of the Facility.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Equipment Notes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two Equipment Notes outstanding under the Master Loan Agreements that are collateralized by equipment and vehicles owned by the Company. As of June 30, 2023, the Company had one other equipment note outstanding that is collateralized by a vehicle owned by the Company. The following table sets forth our remaining principal payments for all of the Company’s outstanding equipment notes as of June 30, 2023:</w:t>
      </w:r>
    </w:p>
    <w:tbl>
      <w:tblPr>
        <w:tblW w:w="5293" w:type="dxa"/>
        <w:jc w:val="left"/>
        <w:tblInd w:w="0" w:type="dxa"/>
        <w:tblLayout w:type="fixed"/>
        <w:tblCellMar>
          <w:top w:w="28" w:type="dxa"/>
          <w:left w:w="28" w:type="dxa"/>
          <w:bottom w:w="28" w:type="dxa"/>
          <w:right w:w="28" w:type="dxa"/>
        </w:tblCellMar>
      </w:tblPr>
      <w:tblGrid>
        <w:gridCol w:w="1233"/>
        <w:gridCol w:w="1084"/>
        <w:gridCol w:w="1088"/>
        <w:gridCol w:w="109"/>
        <w:gridCol w:w="109"/>
        <w:gridCol w:w="109"/>
        <w:gridCol w:w="303"/>
        <w:gridCol w:w="1036"/>
        <w:gridCol w:w="222"/>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Future</w:t>
              <w:br/>
              <w:t>Equipment Notes</w:t>
              <w:br/>
              <w:t>Principal Payments</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principal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19,951 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Revenue Recognition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contract type for the three months ended June 30, 2023 and 2022 were as follows:</w:t>
      </w:r>
    </w:p>
    <w:tbl>
      <w:tblPr>
        <w:tblW w:w="10079" w:type="dxa"/>
        <w:jc w:val="left"/>
        <w:tblInd w:w="0" w:type="dxa"/>
        <w:tblLayout w:type="fixed"/>
        <w:tblCellMar>
          <w:top w:w="28" w:type="dxa"/>
          <w:left w:w="28" w:type="dxa"/>
          <w:bottom w:w="28" w:type="dxa"/>
          <w:right w:w="28" w:type="dxa"/>
        </w:tblCellMar>
      </w:tblPr>
      <w:tblGrid>
        <w:gridCol w:w="607"/>
        <w:gridCol w:w="535"/>
        <w:gridCol w:w="53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079" w:type="dxa"/>
        <w:jc w:val="left"/>
        <w:tblInd w:w="0" w:type="dxa"/>
        <w:tblLayout w:type="fixed"/>
        <w:tblCellMar>
          <w:top w:w="28" w:type="dxa"/>
          <w:left w:w="28" w:type="dxa"/>
          <w:bottom w:w="28" w:type="dxa"/>
          <w:right w:w="28" w:type="dxa"/>
        </w:tblCellMar>
      </w:tblPr>
      <w:tblGrid>
        <w:gridCol w:w="607"/>
        <w:gridCol w:w="535"/>
        <w:gridCol w:w="53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contract type for the six months ended June 30, 2023 and 2022 were as follows:</w:t>
      </w:r>
    </w:p>
    <w:tbl>
      <w:tblPr>
        <w:tblW w:w="10205" w:type="dxa"/>
        <w:jc w:val="left"/>
        <w:tblInd w:w="0" w:type="dxa"/>
        <w:tblLayout w:type="fixed"/>
        <w:tblCellMar>
          <w:top w:w="28" w:type="dxa"/>
          <w:left w:w="28" w:type="dxa"/>
          <w:bottom w:w="28" w:type="dxa"/>
          <w:right w:w="28" w:type="dxa"/>
        </w:tblCellMar>
      </w:tblPr>
      <w:tblGrid>
        <w:gridCol w:w="598"/>
        <w:gridCol w:w="527"/>
        <w:gridCol w:w="529"/>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9"/>
      </w:tblGrid>
      <w:tr>
        <w:trPr/>
        <w:tc>
          <w:tcPr>
            <w:tcW w:w="59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598"/>
        <w:gridCol w:w="527"/>
        <w:gridCol w:w="529"/>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9"/>
      </w:tblGrid>
      <w:tr>
        <w:trPr/>
        <w:tc>
          <w:tcPr>
            <w:tcW w:w="59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market type for the three months ended June 30, 2023 and 2022 were as follows:</w:t>
      </w:r>
    </w:p>
    <w:tbl>
      <w:tblPr>
        <w:tblW w:w="9677" w:type="dxa"/>
        <w:jc w:val="left"/>
        <w:tblInd w:w="0" w:type="dxa"/>
        <w:tblLayout w:type="fixed"/>
        <w:tblCellMar>
          <w:top w:w="28" w:type="dxa"/>
          <w:left w:w="28" w:type="dxa"/>
          <w:bottom w:w="28" w:type="dxa"/>
          <w:right w:w="28" w:type="dxa"/>
        </w:tblCellMar>
      </w:tblPr>
      <w:tblGrid>
        <w:gridCol w:w="710"/>
        <w:gridCol w:w="626"/>
        <w:gridCol w:w="628"/>
        <w:gridCol w:w="109"/>
        <w:gridCol w:w="109"/>
        <w:gridCol w:w="109"/>
        <w:gridCol w:w="211"/>
        <w:gridCol w:w="829"/>
        <w:gridCol w:w="109"/>
        <w:gridCol w:w="109"/>
        <w:gridCol w:w="109"/>
        <w:gridCol w:w="109"/>
        <w:gridCol w:w="307"/>
        <w:gridCol w:w="309"/>
        <w:gridCol w:w="367"/>
        <w:gridCol w:w="109"/>
        <w:gridCol w:w="109"/>
        <w:gridCol w:w="109"/>
        <w:gridCol w:w="240"/>
        <w:gridCol w:w="240"/>
        <w:gridCol w:w="241"/>
        <w:gridCol w:w="109"/>
        <w:gridCol w:w="109"/>
        <w:gridCol w:w="109"/>
        <w:gridCol w:w="211"/>
        <w:gridCol w:w="829"/>
        <w:gridCol w:w="109"/>
        <w:gridCol w:w="109"/>
        <w:gridCol w:w="109"/>
        <w:gridCol w:w="109"/>
        <w:gridCol w:w="307"/>
        <w:gridCol w:w="309"/>
        <w:gridCol w:w="367"/>
        <w:gridCol w:w="109"/>
        <w:gridCol w:w="109"/>
        <w:gridCol w:w="109"/>
        <w:gridCol w:w="224"/>
        <w:gridCol w:w="224"/>
        <w:gridCol w:w="318"/>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Electrical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market type for the six months ended June 30, 2023 and 2022 were as follows:</w:t>
      </w:r>
    </w:p>
    <w:tbl>
      <w:tblPr>
        <w:tblW w:w="9971" w:type="dxa"/>
        <w:jc w:val="left"/>
        <w:tblInd w:w="0" w:type="dxa"/>
        <w:tblLayout w:type="fixed"/>
        <w:tblCellMar>
          <w:top w:w="28" w:type="dxa"/>
          <w:left w:w="28" w:type="dxa"/>
          <w:bottom w:w="28" w:type="dxa"/>
          <w:right w:w="28" w:type="dxa"/>
        </w:tblCellMar>
      </w:tblPr>
      <w:tblGrid>
        <w:gridCol w:w="710"/>
        <w:gridCol w:w="626"/>
        <w:gridCol w:w="628"/>
        <w:gridCol w:w="109"/>
        <w:gridCol w:w="109"/>
        <w:gridCol w:w="109"/>
        <w:gridCol w:w="211"/>
        <w:gridCol w:w="976"/>
        <w:gridCol w:w="109"/>
        <w:gridCol w:w="109"/>
        <w:gridCol w:w="109"/>
        <w:gridCol w:w="109"/>
        <w:gridCol w:w="307"/>
        <w:gridCol w:w="309"/>
        <w:gridCol w:w="367"/>
        <w:gridCol w:w="109"/>
        <w:gridCol w:w="109"/>
        <w:gridCol w:w="109"/>
        <w:gridCol w:w="240"/>
        <w:gridCol w:w="240"/>
        <w:gridCol w:w="241"/>
        <w:gridCol w:w="109"/>
        <w:gridCol w:w="109"/>
        <w:gridCol w:w="109"/>
        <w:gridCol w:w="211"/>
        <w:gridCol w:w="976"/>
        <w:gridCol w:w="109"/>
        <w:gridCol w:w="109"/>
        <w:gridCol w:w="109"/>
        <w:gridCol w:w="109"/>
        <w:gridCol w:w="307"/>
        <w:gridCol w:w="309"/>
        <w:gridCol w:w="367"/>
        <w:gridCol w:w="109"/>
        <w:gridCol w:w="109"/>
        <w:gridCol w:w="109"/>
        <w:gridCol w:w="224"/>
        <w:gridCol w:w="224"/>
        <w:gridCol w:w="318"/>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$2.54 billion of remaining performance obligations. The Company’s remaining performance obligations include projects that have a written award, a letter of intent, a notice to proceed or an agreed upon work order to perform work on mutually accepted terms and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amount of remaining performance obligations as of June 30, 2023 that the Company expects to be realized and the amount of the remaining performance obligations that the Company reasonably estimates will not be recognized within the next twelve months. </w:t>
      </w:r>
    </w:p>
    <w:tbl>
      <w:tblPr>
        <w:tblW w:w="8493"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306"/>
        <w:gridCol w:w="1416"/>
        <w:gridCol w:w="157"/>
        <w:gridCol w:w="157"/>
        <w:gridCol w:w="157"/>
        <w:gridCol w:w="157"/>
        <w:gridCol w:w="399"/>
        <w:gridCol w:w="1563"/>
        <w:gridCol w:w="214"/>
        <w:gridCol w:w="109"/>
        <w:gridCol w:w="109"/>
        <w:gridCol w:w="109"/>
        <w:gridCol w:w="342"/>
        <w:gridCol w:w="1583"/>
        <w:gridCol w:w="249"/>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Remaining Performance Obligations at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 estimated to not be</w:t>
              <w:br/>
              <w:t>recognized within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at December 31, 2022</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1,004,670 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898,617 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1,537,060 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387,745 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1,428,257 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2,541,730 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468,901 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2,326,874 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the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Income Taxes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statutory tax rate was 21% for each of the three and six months ended June 30, 2023 and 2022. The Company’s effective tax rate for the three and six months ended June 30, 2023 was 29.5% and 22.6%, respectively, of pretax income compared to the effective tax rate for the three and six months ended June 30, 2022 of 29.4% and 22.8%, respectively.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U.S. federal statutory tax rate and the Company’s effective tax rate for the three months ended June 30, 2023 and June 30, 2022, was primarily due to state income taxes, Canadian taxes and other permanent difference items.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U.S. federal statutory tax rate and the Company’s effective tax rate for the six months ended June 30, 2023 and June 30, 2022, was primarily due to state income taxes, Canadian taxes and other permanent difference items partially offset by a favorable impact from stock compensation excess tax benefits.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unrecognized tax benefits of approximately $0.5 million as of June 30, 2023 and December 31, 2022, respectively, which were included in other liabilities in the accompanying consolidated balance sheets.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six months ended June 30, 2023 and 2022.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various jurisdictions. The Company’s 2019 through 2021 tax returns are subject to examination by U.S. federal authorities. The Company’s tax returns are subject to examination by various state authorities for the years 2018 through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Commitments and Contingencies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approximately $24.7 million in outstanding purchase orders for certain construction equipment, with cash payments scheduled to occur in 2023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Insurance and Claims Accruals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carries insurance policies, which are subject to certain deductibles and limits,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Performance and Payment Bonds and Parent Guarantees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the Company is required to provide performance and payment bonds in connection with its future performance on certain contractual commitments. The Company has indemnified its sureties for any expenses paid out under these bonds. As of June 30, 2023, an aggregate of approximately $2.14 billion in original face amount of bonds issued by the Company’s sureties were outstanding. The Company estimated the remaining cost to complete these bonded projects was approximately $765.0 million as of June 30,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Indemnities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Collective Bargaining Agreements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Litigation and Other Legal Matters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routinely subject to other civil claims, litigation and arbitration, and regulatory investigations arising in the ordinary course of our present business. These claims, lawsuits and other proceedings include claims related to the Company’s current services and operations, as well as our historic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Stock-Based Compensation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two equity compensation plans under which stock-based compensation has been granted: the 2017 Long-Term Incentive Plan (Amended and Restated as of April 23, 2020) (the “LTIP”) and the 2007 Long-Term Incentive Plan (Amended and Restated as of May 1, 2014) (the “2007 LTIP”). Upon the initial adoption of the LTIP in 2017, awards were no longer granted under the 2007 LTIP. The LTIP was approved by our shareholders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grants. The Company has outstanding grants of non-qualified stock options, time-vested stock awards in the form of restricted stock units and internal metric-based and market-based performance stock units.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granted time-vested stock awards covering 51,167 shares of common stock under the LTIP, which vest ratably over three years for employee awards and after one year for non-employee director awards, at a weighted average grant date fair value of $117.60. During the six months ended June 30, 2023, time-vested stock awards covering 63,722 shares of common stock vested at a weighted average grant date fair value of $59.71.</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granted 32,994 performance share awards under the LTIP at target, which will cliff vest, if earned, on December 31, 2025, at a weighted average grant date fair value of $136.54. The number of shares ultimately earned under a performance award may vary from zero to 200% of the target shares granted,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plan participants exercised options to purchase 827 shares of the Company’s common stock with a weighted average exercise price of $24.68. During the six months ended June 30, 2023, 42 options expired. On March 25, 2023, the Company's final outstanding and exercisable options expired and the Company had no remaining awards outstanding under the 2007 LTIP.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Segment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1–Organization, Business and Significant Accounting Policies to the 2022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in response to hurricane, wildfire, ice or other damage. T&amp;D customers include investor-owned utilities, cooperatives, private developers, government-funded utilities, independent power producers, independent transmission companies, industrial facility owners and other contractors.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 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the following table is derived from the segment’s internal financial reports used for corporate management purposes:</w:t>
      </w:r>
    </w:p>
    <w:tbl>
      <w:tblPr>
        <w:tblW w:w="8457" w:type="dxa"/>
        <w:jc w:val="left"/>
        <w:tblInd w:w="0" w:type="dxa"/>
        <w:tblLayout w:type="fixed"/>
        <w:tblCellMar>
          <w:top w:w="28" w:type="dxa"/>
          <w:left w:w="28" w:type="dxa"/>
          <w:bottom w:w="28" w:type="dxa"/>
          <w:right w:w="28" w:type="dxa"/>
        </w:tblCellMar>
      </w:tblPr>
      <w:tblGrid>
        <w:gridCol w:w="803"/>
        <w:gridCol w:w="708"/>
        <w:gridCol w:w="7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564,647</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Earnings Per Share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computes earnings per share using the treasury stock method. Under the treasury stock method, basic earnings per share are computed by dividing net income available to shareholders by the weighted average number of common shares outstanding during the period, and diluted earnings per share are computed by dividing net income available to shareholders by the weighted average number of common shares outstanding during the period plus all potentially dilutive common stock equivalents, except in cases where the effect of the common stock equivalent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the weighted average number of common shares used to compute basic and diluted earnings per share were as follows:</w:t>
      </w:r>
    </w:p>
    <w:tbl>
      <w:tblPr>
        <w:tblW w:w="10092" w:type="dxa"/>
        <w:jc w:val="left"/>
        <w:tblInd w:w="0" w:type="dxa"/>
        <w:tblLayout w:type="fixed"/>
        <w:tblCellMar>
          <w:top w:w="28" w:type="dxa"/>
          <w:left w:w="28" w:type="dxa"/>
          <w:bottom w:w="28" w:type="dxa"/>
          <w:right w:w="28" w:type="dxa"/>
        </w:tblCellMar>
      </w:tblPr>
      <w:tblGrid>
        <w:gridCol w:w="1658"/>
        <w:gridCol w:w="1456"/>
        <w:gridCol w:w="146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and 2022, certain common stock equivalents were excluded from the calculation of dilutive securities because their inclusion would have been anti-dilutive. All of the Company’s unvested time-vested stock awards were included in the computation of weighted average dilutive securities.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shares of common stock underlying the Company’s unvested time-vested stock awards and performance awards that were excluded from the calculation of dilutive securities: </w:t>
      </w:r>
    </w:p>
    <w:tbl>
      <w:tblPr>
        <w:tblW w:w="6073" w:type="dxa"/>
        <w:jc w:val="left"/>
        <w:tblInd w:w="0" w:type="dxa"/>
        <w:tblLayout w:type="fixed"/>
        <w:tblCellMar>
          <w:top w:w="28" w:type="dxa"/>
          <w:left w:w="28" w:type="dxa"/>
          <w:bottom w:w="28" w:type="dxa"/>
          <w:right w:w="28" w:type="dxa"/>
        </w:tblCellMar>
      </w:tblPr>
      <w:tblGrid>
        <w:gridCol w:w="797"/>
        <w:gridCol w:w="703"/>
        <w:gridCol w:w="704"/>
        <w:gridCol w:w="109"/>
        <w:gridCol w:w="109"/>
        <w:gridCol w:w="109"/>
        <w:gridCol w:w="203"/>
        <w:gridCol w:w="203"/>
        <w:gridCol w:w="173"/>
        <w:gridCol w:w="173"/>
        <w:gridCol w:w="173"/>
        <w:gridCol w:w="173"/>
        <w:gridCol w:w="180"/>
        <w:gridCol w:w="181"/>
        <w:gridCol w:w="173"/>
        <w:gridCol w:w="109"/>
        <w:gridCol w:w="109"/>
        <w:gridCol w:w="109"/>
        <w:gridCol w:w="203"/>
        <w:gridCol w:w="203"/>
        <w:gridCol w:w="156"/>
        <w:gridCol w:w="149"/>
        <w:gridCol w:w="149"/>
        <w:gridCol w:w="149"/>
        <w:gridCol w:w="180"/>
        <w:gridCol w:w="181"/>
        <w:gridCol w:w="213"/>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Time-vested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Share Repurchases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repurchased 76,150 shares of stock, for approximately $7.9 million, from its employees to satisfy tax obligations on shares vested under the LTIP. During the six months ended June 30, 2022 the Company repurchased 68,675 shares of stock, for approximately $6.8 million, from its employees to satisfy tax obligations on shares vested under the LTIP.</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 2023, the Company announced that its Board of Directors had authorized a new $75.0 million share repurchase program (the "Repurchase Program"), which became effective on May 9, 2023. The Repurchase Program will expire on November 8, 2023, or when the authorized funds are exhausted, whichever is earlier. During the six months ended June 30, 2023, the Company had no repurchases of its common stock under the Repurchase Program or the prior repurchase program. During the six months ended June 30, 2022, the Company repurchased 280,907 shares of its common stock under a prior repurchase program at a weighted-average price of $83.54 per share. As of June 30, 2023, the Company had $75.0 million of remaining availability to repurchase shares of the Company’s common stock under the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2022 (the “2022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2022 Annual Report. We assume no obligation to update any of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 and Outlook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 </w:t>
      </w:r>
    </w:p>
    <w:p>
      <w:pPr>
        <w:pStyle w:val="TextBody"/>
        <w:bidi w:val="0"/>
        <w:spacing w:lineRule="auto" w:line="276"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legislative actions aimed at supporting infrastructure improvements in the United States may positively impact long-term demand, particularly in connection with electric power infrastructure, transportation and clean energy spending. We believe the legislative actions are likely to provide greater long-term opportunity in both of our reporting segments. However both of our segments and supporting operations may be subject to delays and cost volatility due to supply chain disruptions, inflationary pressures, tariffs and regulatory slowdowns, which may result in decelerations in project opportunities and awards.</w:t>
      </w:r>
    </w:p>
    <w:p>
      <w:pPr>
        <w:pStyle w:val="TextBody"/>
        <w:bidi w:val="0"/>
        <w:spacing w:lineRule="auto" w:line="276" w:before="200" w:after="283"/>
        <w:ind w:left="0" w:right="0" w:firstLine="720"/>
        <w:jc w:val="left"/>
        <w:rPr/>
      </w:pPr>
      <w:r>
        <w:rPr>
          <w:rFonts w:ascii="Times New Roman;sans-serif" w:hAnsi="Times New Roman;sans-serif"/>
          <w:b w:val="false"/>
          <w:color w:val="000000"/>
          <w:sz w:val="20"/>
        </w:rPr>
        <w:t>We had consolidated revenues for the six months ended June 30, 2023 of $1.70 billion, of which 55.8% was attributable to our T&amp;D customers and 44.2% was attributable to our C&amp;I customers. Our consolidated revenues for the six months ended June 30, 2022 were $1.34 billion. For the six months ended June 30, 2023, our net income and EBITDA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were $45.4 million and $88.4 million, respectively, compared to $40.4 million and $83.5 million, respectively, for the six months ended June 30, 2022.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there is an ongoing need for utilities to sustain investment in their transmission systems to improve reliability, reduce congestion and connect to new clean energy sources. Consequently, we believe that we will continue to see significant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2023 will not likely have a large impact on 2023 results. Bidding and construction activity for small to medium-size transmission projects and upgrades remain active, and we expect this trend to continue.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is a need for further investment by utilities on their distribution systems to properly maintain or meet reliability requirements. We continue to see increased bidding activity in some of our electric distribution markets. We believe the increased storm activity and destruction caused by wildfires will cause a push to strengthen utility distribution systems against catastrophic damage. Distribution systems may also require upgrades to accommodate additional distributed energy resources and increased electrification.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markets we serve during the rest of 2023.</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EBITDA is a non-GAAP measure. Refer to “Non-GAAP Measure—EBITDA” for a discussion of this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C&amp;I bidding opportunities remain strong, we may see impacts due to continued market disruptions and overall market volatility which could result in slower growth of our C&amp;I Segment. We believe that the primary markets we serve such as health care, transportation, data centers, warehousing, clean energy and water/waste-water projects, may be somewhat less vulnerable to an economic slowdown.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United States has experienced decades of underfunded economic expansion and aging infrastructure that has challenged the capacity of public water and transportation infrastructure forcing states and municipalities to seek creative means to fund needed expansion and repair. We believe the need for expanding public infrastructure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maintain our status as a preferred provider to our T&amp;D and C&amp;I customers. We continue to implement strategies that are designed to further expand our capabilities and effectively allocate capital. We have focused on strengthening our balance sheet by maintaining a low level of variable rate outstanding debt in the current higher interest rate environment and increasing our revolving credit facility to $490 million. This expanded availability of liquidity will allow us to take advantage of future opportunities as they arise. Additionally, as of June 30, 2023, we had $75.0 million of remaining availability to purchase shares under our share repurchase program, which continues in effect until November 8, 2023, or until the authorized funds are exhausted.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manage our increasing operating costs, including increasing insurance, equipment, labor and material costs. We believe that our financial position, positive cash flows and other operational strengths will enable us to manage our markets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backlog was $2.73 billion at June 30, 2023, compared to $2.50 billion at December 31, 2022 and $2.44 billion at June 30, 2022. Our backlog at June 30, 2023 increased $66.0 million from March 31, 2023. Backlog in the T&amp;D segment decreased $100.9 million and C&amp;I backlog increased $166.9 million compared to March 31, 2023. Our backlog as of June 30, 2023 included our proportionate share of joint venture backlog totaling $29.0 million, compared to $29.9 million at March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that amount of our backlog that we believe to be firm as of the dates shown and the amount of our current backlog that we reasonably estimate will not be recognized within the next twelve months:</w:t>
      </w:r>
    </w:p>
    <w:tbl>
      <w:tblPr>
        <w:tblW w:w="8590"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11"/>
        <w:gridCol w:w="976"/>
        <w:gridCol w:w="109"/>
        <w:gridCol w:w="109"/>
        <w:gridCol w:w="109"/>
        <w:gridCol w:w="109"/>
        <w:gridCol w:w="439"/>
        <w:gridCol w:w="1719"/>
        <w:gridCol w:w="226"/>
        <w:gridCol w:w="109"/>
        <w:gridCol w:w="109"/>
        <w:gridCol w:w="109"/>
        <w:gridCol w:w="439"/>
        <w:gridCol w:w="2031"/>
        <w:gridCol w:w="320"/>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Backlog at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estimated to not</w:t>
              <w:br/>
              <w:t>be recognized within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backlog at December 31, 2022</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1,065,476 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1,436,351 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468,901 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2,501,827 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consolidated statements of operations data and such data as a percentage of revenues for the periods indicated:</w:t>
      </w:r>
    </w:p>
    <w:tbl>
      <w:tblPr>
        <w:tblW w:w="10394" w:type="dxa"/>
        <w:jc w:val="left"/>
        <w:tblInd w:w="0" w:type="dxa"/>
        <w:tblLayout w:type="fixed"/>
        <w:tblCellMar>
          <w:top w:w="28" w:type="dxa"/>
          <w:left w:w="28" w:type="dxa"/>
          <w:bottom w:w="28" w:type="dxa"/>
          <w:right w:w="28" w:type="dxa"/>
        </w:tblCellMar>
      </w:tblPr>
      <w:tblGrid>
        <w:gridCol w:w="491"/>
        <w:gridCol w:w="234"/>
        <w:gridCol w:w="236"/>
        <w:gridCol w:w="109"/>
        <w:gridCol w:w="109"/>
        <w:gridCol w:w="109"/>
        <w:gridCol w:w="181"/>
        <w:gridCol w:w="616"/>
        <w:gridCol w:w="109"/>
        <w:gridCol w:w="109"/>
        <w:gridCol w:w="109"/>
        <w:gridCol w:w="109"/>
        <w:gridCol w:w="233"/>
        <w:gridCol w:w="233"/>
        <w:gridCol w:w="267"/>
        <w:gridCol w:w="109"/>
        <w:gridCol w:w="109"/>
        <w:gridCol w:w="109"/>
        <w:gridCol w:w="181"/>
        <w:gridCol w:w="616"/>
        <w:gridCol w:w="109"/>
        <w:gridCol w:w="109"/>
        <w:gridCol w:w="109"/>
        <w:gridCol w:w="109"/>
        <w:gridCol w:w="233"/>
        <w:gridCol w:w="233"/>
        <w:gridCol w:w="267"/>
        <w:gridCol w:w="109"/>
        <w:gridCol w:w="109"/>
        <w:gridCol w:w="109"/>
        <w:gridCol w:w="181"/>
        <w:gridCol w:w="721"/>
        <w:gridCol w:w="109"/>
        <w:gridCol w:w="109"/>
        <w:gridCol w:w="109"/>
        <w:gridCol w:w="109"/>
        <w:gridCol w:w="233"/>
        <w:gridCol w:w="233"/>
        <w:gridCol w:w="267"/>
        <w:gridCol w:w="109"/>
        <w:gridCol w:w="109"/>
        <w:gridCol w:w="109"/>
        <w:gridCol w:w="181"/>
        <w:gridCol w:w="721"/>
        <w:gridCol w:w="109"/>
        <w:gridCol w:w="109"/>
        <w:gridCol w:w="109"/>
        <w:gridCol w:w="109"/>
        <w:gridCol w:w="233"/>
        <w:gridCol w:w="233"/>
        <w:gridCol w:w="318"/>
      </w:tblGrid>
      <w:tr>
        <w:trPr/>
        <w:tc>
          <w:tcPr>
            <w:tcW w:w="49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w:t>
              <w:br/>
              <w:t>June 30,</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Percent</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888,616 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708,114 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1,700,232 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1,344,738 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2023 Compared to Three Months Ended June 30, 2022</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Revenues.</w:t>
      </w:r>
      <w:r>
        <w:rPr>
          <w:color w:val="000000"/>
        </w:rPr>
        <w:t xml:space="preserve"> </w:t>
      </w:r>
      <w:r>
        <w:rPr>
          <w:rFonts w:ascii="Times New Roman;sans-serif" w:hAnsi="Times New Roman;sans-serif"/>
          <w:b w:val="false"/>
          <w:color w:val="000000"/>
          <w:sz w:val="20"/>
        </w:rPr>
        <w:t>Revenues were $888.6 million for the three months ended June 30, 2023 compared to $708.1 million for the three months ended June 30, 2022. The increase of $180.5 million, or 25.5%, was primarily due to an increase in C&amp;I revenue in certain geographical areas and an increase in revenue on both transmission and distribution projects. Clean energy projects increased revenues in both of our segments during the three months ended June 30, 2023.</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 xml:space="preserve">Gross margin was 10.1% for the three months ended June 30, 2023 compared to 11.4% for the three months ended June 30, 2022. The decrease in gross margin was primarily due to labor and project inefficiencies, some of which were caused by supply chain disruptions and inclement weather experienced on certain projects. Gross margin was also negatively impacted by rising costs associated with inflation. These margin decreases were partially offset by better-than-anticipated productivity on certain projects and a favorable change order. Changes in estimates of gross profit on certain projects resulted in gross margin decreases of 1.3% and 0.1% for the three months ended June 30, 2023 and 2022, respectively. </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was $90.1 million for the three months ended June 30, 2023 compared to $80.9 million for the three months ended June 30, 2022. The increase of $9.2 million, or 11.5%, was due to higher revenues, partially offset by lower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Selling, general and administrative expenses (“SG&amp;A”) were $57.8 million for the three months ended June 30, 2023 compared to $52.0 million for the three months ended June 30, 2022. The period-over-period increase of $5.8 million was primarily due to an increase in employee-related expenses to support the growth in our operations and an increase in employee incentive compensation costs.</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Gain on sale of property and equipment</w:t>
      </w:r>
      <w:r>
        <w:rPr>
          <w:rFonts w:ascii="Times New Roman;sans-serif" w:hAnsi="Times New Roman;sans-serif"/>
          <w:b w:val="false"/>
          <w:color w:val="000000"/>
          <w:sz w:val="20"/>
        </w:rPr>
        <w:t>. Gains from the sale of property and equipment for the three months ended June 30, 2023 were $1.3 million compared to $0.7 million for the three months ended June 30, 2022. Gains from the sale of property and equipment are attributable to routine sales of property and equipment no longer useful or valuable to our ongoing operations.</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Interest expense was $1.2 million for three months ended June 30, 2023 compared to $0.7 million for the three months ended June 30, 2022. This increase was primarily attributable to higher interest rates, partially offset by lower average debt balances, during the three months ended June 30, 2023 as compared to the three months ended June 30, 2022.</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Income tax expense.</w:t>
      </w:r>
      <w:r>
        <w:rPr>
          <w:color w:val="000000"/>
        </w:rPr>
        <w:t xml:space="preserve"> </w:t>
      </w:r>
      <w:r>
        <w:rPr>
          <w:rFonts w:ascii="Times New Roman;sans-serif" w:hAnsi="Times New Roman;sans-serif"/>
          <w:b w:val="false"/>
          <w:color w:val="000000"/>
          <w:sz w:val="20"/>
        </w:rPr>
        <w:t>Income tax expense was $9.3 million for the three months ended June 30, 2023, with an effective tax rate of 29.5%, compared to the expense of $8.2 million for the three months ended June 30, 2022, with an effective tax rate of 29.4%. The increase in the tax rate for the three months ended June 30, 2023 was primarily due to higher other permanent difference items.</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Net income.</w:t>
      </w:r>
      <w:r>
        <w:rPr>
          <w:color w:val="000000"/>
        </w:rPr>
        <w:t xml:space="preserve"> </w:t>
      </w:r>
      <w:r>
        <w:rPr>
          <w:rFonts w:ascii="Times New Roman;sans-serif" w:hAnsi="Times New Roman;sans-serif"/>
          <w:b w:val="false"/>
          <w:color w:val="000000"/>
          <w:sz w:val="20"/>
        </w:rPr>
        <w:t>Net income was $22.3 million for the three months ended June 30, 2023 compared to $19.7 million for the three months ended June 30, 2022. The increase was primarily due to the reasons stated earlier.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statements of operations data by segment, segment net sales as percentage of total net sales and segment operating income as a percentage of segment net sales:</w:t>
      </w:r>
    </w:p>
    <w:tbl>
      <w:tblPr>
        <w:tblW w:w="8047"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Transmission &amp; Distribution</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for our T&amp;D segment for the three months ended June 30, 2023 were $503.7 million compared to $415.2 million for the three months ended June 30, 2022, an increase of $88.5 million, or 21.3%. The increase in revenue was related to an increase in revenue on transmission projects, primarily related to an increase in revenue on clean energy projects, and an increase in revenue on distribution projects. Revenues from transmission projects represented 64.0% and 60.2% of T&amp;D segment revenue for the three months ended June 30, 2023 and 2022, respectively. </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for our T&amp;D segment for the three months ended June 30, 2023 was $37.7 million, an increase of $4.9 million, or 15.0%, from the three months ended June 30, 2022. The increase in T&amp;D operating income from the prior year was primarily due to higher revenues. As a percentage of revenues, operating income for our T&amp;D segment was 7.5% for the three months ended June 30, 2023 compared to 7.9% for the three months ended June 30, 2022. The decrease in T&amp;D operating income as a percentage of revenues was primarily due to labor and project inefficiencies, some of which were caused by inclement weather on certain projects, partially offset by better-than-anticipated productivity on a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&amp; Industrial</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our C&amp;I segment for the three months ended June 30, 2023 were $384.9 million compared to $292.9 million for the three months ended June 30, 2022, an increase of $92.0 million, or 31.4%, primarily due to higher revenue related to clean energy projects in certain geographical areas.</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for our C&amp;I segment for the three months ended June 30, 2023 was $12.6 million, an increase of $3.1 million, over the three months ended June 30, 2022. The period-over-period increase in operating income was primarily due to higher revenues. As a percentage of revenues, operating income for our C&amp;I segment was 3.3% for the three months ended June 30, 2023 compared to 3.2% for the three months ended June 30, 2022. The increase in C&amp;I operating income as a percentage of revenues was primarily due to better-than-anticipated productivity on certain projects and a favorable change order. These increases were partially offset by labor and project inefficiencies, some of which were caused by supply chain disruptions, as well as rising costs associated with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2023 Compared to Six Months Ended June 30, 2022</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Revenues.</w:t>
      </w:r>
      <w:r>
        <w:rPr>
          <w:color w:val="000000"/>
        </w:rPr>
        <w:t xml:space="preserve"> </w:t>
      </w:r>
      <w:r>
        <w:rPr>
          <w:rFonts w:ascii="Times New Roman;sans-serif" w:hAnsi="Times New Roman;sans-serif"/>
          <w:b w:val="false"/>
          <w:color w:val="000000"/>
          <w:sz w:val="20"/>
        </w:rPr>
        <w:t>Revenues were $1.70 billion for the six months ended June 30, 2023 compared to $1.34 billion for the six months ended June 30, 2022. The increase of $355.5 million, or 26.4%, was primarily due to an increase in C&amp;I revenue in certain geographical areas and an increase in revenue on both transmission and distribution projects. Clean energy projects increased revenue in both of our segments during the six months ended June 30, 2023.</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Gross margin was 10.3% for the six months ended June 30, 2023 compared to 12.0% for the six months ended June 30, 2022. The decrease in gross margin was primarily due to labor and project inefficiencies, some of which were caused by inclement weather and supply chain disruptions experienced on certain projects. Gross margin was also negatively impacted by an increase in cost associated with an adjustment to sales tax accruals for prior periods in one of our operating areas as well as rising costs associated with inflation. These margin decreases were partially offset by better-than-anticipated productivity on a project and a favorable change order. Changes in estimates of gross profit on certain projects resulted in a gross margin decrease of 1.0% for the six months ended June 30, 2023 and resulted in a gross margin increase of 0.3% for the six months ended June 30, 2022.</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was $174.5 million for the six months ended June 30, 2023 compared to $161.3 million for the six months ended June 30, 2022, the increase of $13.2 million, or 8.2% was due to higher revenues, partially offset by lower margins.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SG&amp;A was $114.7 million for the six months ended June 30, 2023 compared to $105.6 million for the six months ended June 30, 2022. The period-over-period increase of $9.1 million was primarily due to an increase in employee-related expenses to support the growth in our operations and an increase in employee incentive compensation costs.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Gain on sale of property and equipment.</w:t>
      </w:r>
      <w:r>
        <w:rPr>
          <w:color w:val="000000"/>
        </w:rPr>
        <w:t xml:space="preserve"> </w:t>
      </w:r>
      <w:r>
        <w:rPr>
          <w:rFonts w:ascii="Times New Roman;sans-serif" w:hAnsi="Times New Roman;sans-serif"/>
          <w:b w:val="false"/>
          <w:color w:val="000000"/>
          <w:sz w:val="20"/>
        </w:rPr>
        <w:t>Gains from the sale of property and equipment for the six months ended June 30, 2023 were $2.5 million compared to $1.4 million for the six months ended June 30, 2022. Gains from the sale of property and equipment are attributable to routine sales of property and equipment no longer useful or valuable to our ongoing operations.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Interest expense was $1.7 million for the six months ended June 30, 2023 compared to $1.1 million for the six months ended June 30, 2022. This increase was primarily attributable to higher interest rates, partially offset by lower average debt balances during the six months ended June 30, 2023 as compared to the six months ended June 30, 2022.</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Income tax expense.</w:t>
      </w:r>
      <w:r>
        <w:rPr>
          <w:color w:val="000000"/>
        </w:rPr>
        <w:t xml:space="preserve"> </w:t>
      </w:r>
      <w:r>
        <w:rPr>
          <w:rFonts w:ascii="Times New Roman;sans-serif" w:hAnsi="Times New Roman;sans-serif"/>
          <w:b w:val="false"/>
          <w:color w:val="000000"/>
          <w:sz w:val="20"/>
        </w:rPr>
        <w:t>Income tax expense was $13.2 million for the six months ended June 30, 2023, with an effective tax rate of 22.6%, compared to the expense of $12.0 million for the six months ended June 30, 2022, with an effective tax rate of 22.8%. The decrease in the tax rate for the six months ended June 30, 2023 was primarily due to a higher favorable impact from stock compensation excess tax benefits, partially offset by higher other permanent difference items.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Net income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Net income was $45.4 million for the six months ended June 30, 2023 compared to $40.4 million for the six months ended June 30, 2022. The increase was primarily due to the reasons stated earlier.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statements of operations data by segment, segment net sales as percentage of total net sales and segment operating income as a percentage of segment net sales:</w:t>
      </w:r>
    </w:p>
    <w:tbl>
      <w:tblPr>
        <w:tblW w:w="8348" w:type="dxa"/>
        <w:jc w:val="left"/>
        <w:tblInd w:w="0" w:type="dxa"/>
        <w:tblLayout w:type="fixed"/>
        <w:tblCellMar>
          <w:top w:w="28" w:type="dxa"/>
          <w:left w:w="28" w:type="dxa"/>
          <w:bottom w:w="28" w:type="dxa"/>
          <w:right w:w="28" w:type="dxa"/>
        </w:tblCellMar>
      </w:tblPr>
      <w:tblGrid>
        <w:gridCol w:w="932"/>
        <w:gridCol w:w="748"/>
        <w:gridCol w:w="751"/>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8"/>
      </w:tblGrid>
      <w:tr>
        <w:trPr/>
        <w:tc>
          <w:tcPr>
            <w:tcW w:w="93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3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4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Transmission &amp; Distribution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our T&amp;D segment for the six months ended June 30, 2023 were $949.1 million compared to $780.1 million for the six months ended June 30, 2022, an increase of $169.0 million, or 21.7%. The increase in revenue was related to an increase in revenue on transmission projects, primarily related to an increase in revenue on clean energy projects, and an increase in revenue on distribution projects. Revenues from transmission projects represented 65.4% and 60.5% of T&amp;D segment revenue for the six months ended June 30, 2023 and 2022, respectively.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for our T&amp;D segment for the six months ended June 30, 2023 was $70.6 million, an increase of $7.4 million, or 11.6%, from the six months ended June 30, 2022. The increase in T&amp;D operating income from the prior year was primarily due to higher revenues. As a percentage of revenues, operating income for our T&amp;D segment was 7.4% for the six months ended June 30, 2023 compared to 8.1% for the six months ended June 30, 2022. The decrease in T&amp;D operating income as a percentage of revenues was primarily due to labor and project inefficiencies some of which were caused by inclement weather.</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&amp; Industrial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for our C&amp;I segment for the six months ended June 30, 2023 were $751.2 million compared to $564.6 million for the six months ended June 30, 2022, an increase of $186.6 million, or 33.0%, primarily due to higher revenue related to clean energy projects in certain geographical areas.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for our C&amp;I segment for the six months ended June 30, 2023 was $23.3 million, an increase of $3.7 million over the six months ended June 30, 2022. The period-over-period increase in operating income was primarily due to higher revenues. As a percentage of revenues, operating income for our C&amp;I segment was 3.1% for the six months ended June 30, 2023 compared to 3.5% for the six months ended June 30, 2022. The decrease in C&amp;I operating income as a percentage of revenues was primarily due to labor and project inefficiencies, some of which were caused by supply chain disruptions, and an increase in cost associated with an adjustment to sales tax accruals for prior periods in one of our operating areas. C&amp;I operating income margin was also negatively impacted by rising costs associated with inflation. These decreases were partially offset by better-than-anticipated productivity on a project and a favorable change order.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Measure—EBITDA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EBITDA:</w:t>
      </w:r>
    </w:p>
    <w:tbl>
      <w:tblPr>
        <w:tblW w:w="7963" w:type="dxa"/>
        <w:jc w:val="left"/>
        <w:tblInd w:w="0" w:type="dxa"/>
        <w:tblLayout w:type="fixed"/>
        <w:tblCellMar>
          <w:top w:w="28" w:type="dxa"/>
          <w:left w:w="28" w:type="dxa"/>
          <w:bottom w:w="28" w:type="dxa"/>
          <w:right w:w="28" w:type="dxa"/>
        </w:tblCellMar>
      </w:tblPr>
      <w:tblGrid>
        <w:gridCol w:w="884"/>
        <w:gridCol w:w="779"/>
        <w:gridCol w:w="78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4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cash flows provided by operating activities to EBITDA:</w:t>
      </w:r>
    </w:p>
    <w:tbl>
      <w:tblPr>
        <w:tblW w:w="10205" w:type="dxa"/>
        <w:jc w:val="left"/>
        <w:tblInd w:w="0" w:type="dxa"/>
        <w:tblLayout w:type="fixed"/>
        <w:tblCellMar>
          <w:top w:w="28" w:type="dxa"/>
          <w:left w:w="28" w:type="dxa"/>
          <w:bottom w:w="28" w:type="dxa"/>
          <w:right w:w="28" w:type="dxa"/>
        </w:tblCellMar>
      </w:tblPr>
      <w:tblGrid>
        <w:gridCol w:w="2202"/>
        <w:gridCol w:w="1230"/>
        <w:gridCol w:w="1211"/>
        <w:gridCol w:w="109"/>
        <w:gridCol w:w="109"/>
        <w:gridCol w:w="109"/>
        <w:gridCol w:w="211"/>
        <w:gridCol w:w="764"/>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2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Add/(subtract):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Capital Resources and Material Cash Requirements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working capital of $255.6 million. We define working capital as current assets less current liabilities. During the six months ended June 30, 2023, operating activities of our business provided net cash of $15.8 million, compared to $60.1 million of cash provided for the six months ended June 30, 2022. Cash flow from operations is primarily influenced by operating margins, timing of contract performance and the type of services we provide to our customers. The $44.3 million year-over-year decrease in cash provided by operating activities was primarily due to unfavorable net changes in operating assets and liabilities of $46.4 million, offset by an increase of $5.1 million in net income. The unfavorable change in operating assets and liabilities was primarily due to the net unfavorable year-over-year changes in various working capital accounts that relate primarily to construction activities (accounts receivable, contract assets, accounts payable and contract liabilities) of $71.0 million partially offset by the favorable change of $18.6 million in other liabilities and by the favorable change of $8.1 million in other assets. The net unfavorable changes of $71.0 million in cash provided by working capital accounts, mainly related to construction activities, was due to the timing of billings and payments under our contracts. The favorable change of $18.6 million in other liabilities was primarily due to changes in our employee incentive compensation accruals. The favorable change of $8.1 million in other assets was primarily due to the timing of prepayments related to materials required for certain projects.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six months ended June 30, 2023, we used net cash of $38.4 million in investing activities consisting of $41.7 million for capital expenditures, partially offset by $3.3 million of proceeds from the sale of equipment.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six months ended June 30, 2023, financing activities used net cash of $6.0 million, consisting primarily of $7.9 million of shares repurchased to satisfy tax obligations under our stock compensation programs, $7.1 million of net borrowings under our revolving line of credit, $2.5 million of payments under our equipment notes and $2.1 million of debt refinancing costs.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$451.0 million borrowing availability under our revolving line of credit at June 30, 2023, future cash flow from operations and our ability to utilize short-term and long-term leases will provide sufficient liquidity for our short-term and long-term needs. Our primary short-term liquidity needs include cash for operations, debt service requirements, capital expenditures, acquisition and joint venture opportunities. We believe that we have adequate sources of liquidity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historically paid dividends and currently do not expect to pay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Debt Instruments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 US currencies, up to the U.S. dollar equivalent of $150 million. Of the Facility, up to $75 million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The Credit Agreement establishes Adjusted Term Secured Overnight Financing Rate (“SOFR”) (as defined in the Credit Agreement) as the benchmark rate, in replacement of LIBOR.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June 30, 2023.</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$20.0 million of borrowings outstanding under the Facility as of June 30, 2023. We had $12.9 million of borrowings outstanding under our revolving credit facility under our previous credit agreement as of December 31, 2022.</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vendors require letters of credit to ensure reimbursement for amounts they are disbursing on our behalf, such as to beneficiaries under our insurance programs. In addition, from time-to-time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it is likely that any claims will be made under any letter of credit.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$19.0 million in letters of credit outstanding under our Credit Agreement, including $11.7 million related to the Company's payment obligation under its insurance programs and approximately $7.3 million related to contract performance obligations. As of December 31, 2022, we had $12.8 million in letters of credit outstanding under our previous credit agreement, which were almost entirely related to the Company's payment obligation under its insurance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Equipment Notes</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we had two outstanding Equipment Notes collateralized by equipment and vehicles owned by us. As of June 30, 2023 and December 31, 2022, we also had one other equipment note outstanding collateralized by a vehicle owned by us. The outstanding balance of all equipment notes was $25.1 million as of June 30, 2023 and $27.6 million as of December 31, 2022. As of June 30, 2023, we had outstanding short-term and long-term equipment notes of approximately $5.2 million and $20.0 million, respectively. As of December 31, 2022, we had an outstanding short-term and long-term Equipment Notes of approximately $5.1 million and $22.6 million,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Obligations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balance of operating lease obligations was $28.5 million as of June 30, 2023, consisting of short-term and long-term operating lease obligations of approximately $9.8 million and $18.6 million, respectively. The outstanding balance of operating lease obligations was $30.5 million as of December 31, 2022, consisting of short-term and long-term operating lease obligations of approximately $9.7 million and $20.8 million, respectively.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outstanding balance of finance lease obligations was $2.9 million as of June 30, 2023, consisting of short-term and long-term finance lease obligations of approximately $2.3 million and $0.6 million, respectively. As of December 31, 2022 we had $3.4 million outstanding finance lease obligations, consisting of short-term and long-term finance lease obligations of approximately $1.1 million and $2.3 million, respectively.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Commitments for Construction Equipment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approximately $24.7 million in outstanding purchase obligations for certain construction equipment to be paid with cash outlays scheduled to occur in 2023 and 2024.</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and Payment Bonds and Parent Guarantees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our sureties, with the consent of our lenders under the Credit Agreement, we have granted security interests in certain of our assets to collateralize our obligations to the surety. We may be required to post letters of credit or other collateral in favor of the surety or our customers. Posting letters of credit in favor of the surety or our customers reduces the borrowing availability under the Credit Agreement. To date, we have not been required to make any reimbursements to any of our sureties for bond-related costs. We believe that it is unlikely that we will have to fund significant claims under our surety arrangements. As of June 30, 2023, an aggregate of approximately $2.14 billion in original face amount of bonds issued by our sureties were outstanding. Our estimated remaining cost to complete these bonded projects was approximately $765.0 million as of June 30, 2023.</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June 30, 2023 and 2022, none of our customers individually exceeded 10% of consolidated accounts receivable. Management believes the terms and conditions in its contracts, billing and collection policies are adequate to minimize the potential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regarding new accounting pronouncements, please refer to Note 1–Organization, Business and Basis of Presentation—Recent Accounting Pronouncements in the accompanying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2022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Cautionary Statement Concerning Forward-Looking Statements and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including the following discussion to inform you of some of the risks and uncertainties that can affect our company and to take advantage of the protections for forward-looking statements that applicable federal securities law affords.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2022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contingencies and uncertainties include, but are not limited to, the following: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operating results may vary significantly from period to period.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industry is highly competitive.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Negative economic and market conditions including tariffs on materials and recessionary conditions may in the future adversely impact our customers’ spending and, as a result, our operations and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be unsuccessful in generating internal growth, which could impact the projects available to the Company.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inability to successfully execute or integrate acquisitions or joint ventures may have an adverse impact on our growth strategy and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Project performance issues, including those caused by third parties, or certain contractual obligations may result in additional costs to us, reductions or delays in revenues or the payment of penalties, including liquidated damages.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be unable to attract and retain qualified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timing of new contracts and termination of existing contracts may result in unpredictable fluctuations in our cash flows and financial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During the ordinary course of our business, we may become subject to lawsuits or indemnity claims.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Backlog may not be realized or may not result in profits and may not accurately represent future revenue.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Risks associated with operating in the Canadian market could impact our profitability.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tax laws or our interpretations of tax laws could materially impact our income tax liabilities.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nature of our business exposes us to potential liability for warranty claims and faulty engineering, which may reduce our profitability.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Pandemic outbreaks of disease, such as the COVID-19 pandemic, have in the past had and may in the future have an adverse impact on our business, employees, liquidity, financial condition, results of operations and cash flows.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dependence on suppliers, subcontractors and equipment manufacturers could expose us to the risk of loss in our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participation in joint ventures and other projects with third parties may expose us to liability for failures of our partners.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Legislative or regulatory actions relating to electricity transmission and clean energy may impact demand for our services.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incur liabilities and suffer negative financial or reputational impacts relating to occupational health and safety matters, including those related to environmental hazards such as wildfires and other natural disasters.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failure to comply with environmental and other laws and regulations could result in significant liabilities.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business may be affected by seasonal and other variations, including severe weather conditions and the nature of our work environment.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Opportunities associated with government contracts could lead to increased governmental regulation applicable to us.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are subject to risks associated with climate change including financial risks and physical risks such as an increase in extreme weather events (such as floods, wildfires or hurricanes), rising sea levels and limitations on water availability and quality.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use of percentage-of-completion accounting could result in a reduction or reversal of previously recognized revenues and profits.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financial results are based upon estimates and assumptions that may differ from actual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actual costs may be greater than expected in performing our fixed-price and unit-price contracts.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increase in the cost or availability for items such as materials, parts, commodities, equipment and tooling may also be impacted by trade regulations, tariffs, global relations, taxes, transportation costs and inflation which could adversely affect our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not be able to compete for, or work on, certain projects if we are not able to obtain necessary bonds, letters of credit, bank guarantees or other financial assurances.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Work stoppages or other labor issues with our unionized workforce could adversely affect our business, and we may be subject to unionization attempts.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Multi-employer pension plan obligations related to our unionized workforce could adversely impact our earnings.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were not party to any derivative instruments. We did not use any material derivative financial instruments during the six months ended June 30, 2023 and 2022, including instruments for trading, hedging or speculating on changes in interest rates or commodity prices of materials used in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borrowings under our Facility are based upon interest rates that will vary depending upon the prime rate, Canadian prime rate, the NYFRB overnight bank funding rate, CDOR, and Term SOFR Reference Rate. If the prime rate, Canadian prime rate, the NYFRB overnight bank funding rate, CDOR, or Term SOFR Reference Rate rises, any interest payment obligations would increase and have a negative effect on our cash flow and financial condition. We currently do not maintain any hedging contracts that would limit our exposure to variable rates of interest when we have outstanding borrowings. As of June 30, 2023, we had $20.0 million of borrowings outstanding under the Facility. If market rates of interest on all our revolving debt as of June 30, 2023, which is subject to variable rates, permanently increased by 1%, the increase in interest expense on all revolving debt would decrease future income before provision for income taxes and cash flows by approximately $0.2 million annually. If market rates of interest on all our revolving debt, which is subject to variable rates as of June 30, 2023, permanently decreased by 1%, the decrease in interest expense on all debt would increase future income before provision for income taxes and cash flows by approximately $0.2 million annually.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our equipment notes are at fixed rates established on the date the respective equipment note was executed.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covered by this report, there were no changes in our internal control over financial reporting that materially affected, or that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discussion regarding legal proceedings, please refer to Note 8–Commitments and Contingencies—Litigation and Other Legal Matters in the accompanying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a number of risks that could materially and adversely affect our business, employees, liquidity, financial condition, results of operations and cash flows. A discussion of our risk factors can be found in Item 1A. “Risk Factors” in our 2022 Annual Report. As of the date of this filing, there have been no material changes to the risk factors previously discussed in Item 1A. “Risk Factors” in our 2022 Annual Report. An investment in our common stock involves various risks. When considering an investment in the Company, you should carefully consider all of the risk factors described in our 2022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 xml:space="preserve">Purchases of Common Stock. </w:t>
      </w:r>
      <w:r>
        <w:rPr>
          <w:rFonts w:ascii="Times New Roman;sans-serif" w:hAnsi="Times New Roman;sans-serif"/>
          <w:b w:val="false"/>
          <w:color w:val="000000"/>
          <w:sz w:val="20"/>
        </w:rPr>
        <w:t>The Company did not repurchase any shares of its common stock during the period from April 1, 2023 through June 30, 2023.</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 xml:space="preserve">Share Repurchase Program. </w:t>
      </w:r>
      <w:r>
        <w:rPr>
          <w:rFonts w:ascii="Times New Roman;sans-serif" w:hAnsi="Times New Roman;sans-serif"/>
          <w:b w:val="false"/>
          <w:color w:val="000000"/>
          <w:sz w:val="20"/>
        </w:rPr>
        <w:t>On May 2, 2023, the Company announced that its Board of Directors had authorized a new $75.0 million share repurchase program (the "Repurchase Program"), which became effective on May 9, 2023. The Repurchase Program will expire on November 8, 2023, or when the authorized funds are exhausted, whichever is earlier. As of June 30, 2023, the Company had $75.0 million of remaining availability to repurchase shares of the Company’s common stock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as each term is defined in Item 408 of Regulation S-K, during the Company’s fiscal quarter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3"/>
        <w:gridCol w:w="266"/>
        <w:gridCol w:w="267"/>
        <w:gridCol w:w="109"/>
        <w:gridCol w:w="109"/>
        <w:gridCol w:w="109"/>
        <w:gridCol w:w="2638"/>
        <w:gridCol w:w="2638"/>
        <w:gridCol w:w="3766"/>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Certificate of Amendment to the Restated Certificate of Incorporation of MYR Group Inc., incorporated by reference to exhibit 3.1 of the Company’s Current Report on Form 8-K (File No. 001-08325), filed with the SEC on April 24, 2023</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Amended and Restated By-Laws of MYR Group Inc., incorporated by reference to exhibit 3.2 of the Company’s Current Report on Form 8-K (File No. 001-08325), filed with the SEC on April 24, 2023</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ex101myr-eganemploymentagr.htm">
              <w:r>
                <w:rPr>
                  <w:rStyle w:val="InternetLink"/>
                  <w:rFonts w:ascii="Times New Roman;sans-serif" w:hAnsi="Times New Roman;sans-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101myr-eganemploymentagr.htm">
              <w:r>
                <w:rPr>
                  <w:rStyle w:val="InternetLink"/>
                  <w:rFonts w:ascii="Times New Roman;sans-serif" w:hAnsi="Times New Roman;sans-serif"/>
                  <w:b w:val="false"/>
                  <w:color w:val="0000FF"/>
                  <w:sz w:val="20"/>
                  <w:u w:val="single"/>
                </w:rPr>
                <w:t>Employment Agreement, dated May 1, 2023 between the Company and Don A. Egan†+</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myr-thirdamendedandrestate.htm">
              <w:r>
                <w:rPr>
                  <w:rStyle w:val="InternetLink"/>
                  <w:rFonts w:ascii="Times New Roman;sans-serif" w:hAnsi="Times New Roman;sans-serif"/>
                  <w:b w:val="false"/>
                  <w:color w:val="0000FF"/>
                  <w:sz w:val="20"/>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yr-thirdamendedandrestate.htm">
              <w:r>
                <w:rPr>
                  <w:rStyle w:val="InternetLink"/>
                  <w:rFonts w:ascii="Times New Roman;sans-serif" w:hAnsi="Times New Roman;sans-serif"/>
                  <w:b w:val="false"/>
                  <w:color w:val="0000FF"/>
                  <w:sz w:val="20"/>
                  <w:u w:val="single"/>
                </w:rPr>
                <w:t>Third Amended and Restated Credit Agreement, dated May 31, 2023†</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myrg-20230630xexx311.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myrg-20230630xexx311.htm">
              <w:r>
                <w:rPr>
                  <w:rStyle w:val="InternetLink"/>
                  <w:rFonts w:ascii="Times New Roman;sans-serif" w:hAnsi="Times New Roman;sans-serif"/>
                  <w:b w:val="false"/>
                  <w:color w:val="0000FF"/>
                  <w:sz w:val="20"/>
                  <w:u w:val="single"/>
                </w:rPr>
                <w:t>Certification of Chief Executive Officer pursuant to SEC Rule 13a-14(a)/15d-14(a)†</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myrg-20230630xexx312.htm">
              <w:r>
                <w:rPr>
                  <w:rStyle w:val="InternetLink"/>
                  <w:rFonts w:ascii="Times New Roman;sans-serif" w:hAnsi="Times New Roman;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yrg-20230630xexx312.htm">
              <w:r>
                <w:rPr>
                  <w:rStyle w:val="InternetLink"/>
                  <w:rFonts w:ascii="Times New Roman;sans-serif" w:hAnsi="Times New Roman;sans-serif"/>
                  <w:b w:val="false"/>
                  <w:color w:val="0000FF"/>
                  <w:sz w:val="20"/>
                  <w:u w:val="single"/>
                </w:rPr>
                <w:t>Certification of Chief Financial Officer pursuant to SEC Rule 13a-14(a)/15d-14(a)†</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myrg-20230630xexx321.htm">
              <w:r>
                <w:rPr>
                  <w:rStyle w:val="InternetLink"/>
                  <w:rFonts w:ascii="Times New Roman;sans-serif" w:hAnsi="Times New Roman;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myrg-20230630xexx321.htm">
              <w:r>
                <w:rPr>
                  <w:rStyle w:val="InternetLink"/>
                  <w:rFonts w:ascii="Times New Roman;sans-serif" w:hAnsi="Times New Roman;sans-serif"/>
                  <w:b w:val="false"/>
                  <w:color w:val="0000FF"/>
                  <w:sz w:val="20"/>
                  <w:u w:val="single"/>
                </w:rPr>
                <w:t>Certification of Chief Executive Officer pursuant to 18 U.S.C. §1350†</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myrg-20230630xex322.htm">
              <w:r>
                <w:rPr>
                  <w:rStyle w:val="InternetLink"/>
                  <w:rFonts w:ascii="Times New Roman;sans-serif" w:hAnsi="Times New Roman;sans-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yrg-20230630xex322.htm">
              <w:r>
                <w:rPr>
                  <w:rStyle w:val="InternetLink"/>
                  <w:rFonts w:ascii="Times New Roman;sans-serif" w:hAnsi="Times New Roman;sans-serif"/>
                  <w:b w:val="false"/>
                  <w:color w:val="0000FF"/>
                  <w:sz w:val="20"/>
                  <w:u w:val="single"/>
                </w:rPr>
                <w:t>Certification of Chief Financial Officer pursuant to 18 U.S.C. §1350†</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 or arrangement</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Electronically filed</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7580975659b425187c24ec4c365c4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369" w:type="dxa"/>
        <w:jc w:val="left"/>
        <w:tblInd w:w="0" w:type="dxa"/>
        <w:tblLayout w:type="fixed"/>
        <w:tblCellMar>
          <w:top w:w="28" w:type="dxa"/>
          <w:left w:w="28" w:type="dxa"/>
          <w:bottom w:w="28" w:type="dxa"/>
          <w:right w:w="28" w:type="dxa"/>
        </w:tblCellMar>
      </w:tblPr>
      <w:tblGrid>
        <w:gridCol w:w="443"/>
        <w:gridCol w:w="390"/>
        <w:gridCol w:w="396"/>
        <w:gridCol w:w="1209"/>
        <w:gridCol w:w="1209"/>
        <w:gridCol w:w="1722"/>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GROUP INC.</w:t>
              <w:br/>
              <w:t>(Registrant)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M. Huntington</w:t>
              <w:b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40" w:before="0" w:after="480"/>
        <w:ind w:left="0" w:right="0" w:firstLine="72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EMPLOYMENT AGREEMENT            </w:t>
        <w:br/>
        <w:t>Don Egan</w:t>
      </w:r>
    </w:p>
    <w:p>
      <w:pPr>
        <w:pStyle w:val="TextBody"/>
        <w:bidi w:val="0"/>
        <w:spacing w:before="0" w:after="0"/>
        <w:jc w:val="center"/>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This </w:t>
      </w:r>
      <w:r>
        <w:rPr>
          <w:rFonts w:ascii="Times New Roman;sans-serif" w:hAnsi="Times New Roman;sans-serif"/>
          <w:b/>
          <w:color w:val="000000"/>
          <w:sz w:val="24"/>
        </w:rPr>
        <w:t>EMPLOYMENT AGREEMENT</w:t>
      </w:r>
      <w:r>
        <w:rPr>
          <w:rFonts w:ascii="Times New Roman;sans-serif" w:hAnsi="Times New Roman;sans-serif"/>
          <w:b w:val="false"/>
          <w:color w:val="000000"/>
          <w:sz w:val="24"/>
        </w:rPr>
        <w:t>, dated as of May 1, 2023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by and between MYR Group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and Don A. Egan, (the “</w:t>
      </w:r>
      <w:r>
        <w:rPr>
          <w:rFonts w:ascii="Times New Roman;sans-serif" w:hAnsi="Times New Roman;sans-serif"/>
          <w:b/>
          <w:color w:val="000000"/>
          <w:sz w:val="24"/>
        </w:rPr>
        <w:t>Key Employee</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W I T N E S S E T H:</w:t>
      </w:r>
    </w:p>
    <w:p>
      <w:pPr>
        <w:pStyle w:val="TextBody"/>
        <w:bidi w:val="0"/>
        <w:spacing w:lineRule="auto" w:line="240" w:before="0" w:after="240"/>
        <w:ind w:left="0" w:right="0" w:firstLine="720"/>
        <w:jc w:val="left"/>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desires to secure the benefit of the Key Employee’s experience and ability by employing the Key Employee in the capacity and on the terms set forth below, and the Key Employee desires to commit to serve the Company on the terms herein provided;</w:t>
      </w:r>
    </w:p>
    <w:p>
      <w:pPr>
        <w:pStyle w:val="TextBody"/>
        <w:bidi w:val="0"/>
        <w:spacing w:lineRule="auto" w:line="240" w:before="0" w:after="240"/>
        <w:ind w:left="0" w:right="0" w:firstLine="720"/>
        <w:jc w:val="left"/>
        <w:rPr/>
      </w:pPr>
      <w:r>
        <w:rPr>
          <w:rFonts w:ascii="Times New Roman;sans-serif" w:hAnsi="Times New Roman;sans-serif"/>
          <w:b/>
          <w:color w:val="000000"/>
          <w:sz w:val="24"/>
        </w:rPr>
        <w:t>NOW</w:t>
      </w:r>
      <w:r>
        <w:rPr>
          <w:rFonts w:ascii="Times New Roman;sans-serif" w:hAnsi="Times New Roman;sans-serif"/>
          <w:b w:val="false"/>
          <w:color w:val="000000"/>
          <w:sz w:val="24"/>
        </w:rPr>
        <w:t xml:space="preserve">, </w:t>
      </w:r>
      <w:r>
        <w:rPr>
          <w:rFonts w:ascii="Times New Roman;sans-serif" w:hAnsi="Times New Roman;sans-serif"/>
          <w:b/>
          <w:color w:val="000000"/>
          <w:sz w:val="24"/>
        </w:rPr>
        <w:t>THEREFORE</w:t>
      </w:r>
      <w:r>
        <w:rPr>
          <w:rFonts w:ascii="Times New Roman;sans-serif" w:hAnsi="Times New Roman;sans-serif"/>
          <w:b w:val="false"/>
          <w:color w:val="000000"/>
          <w:sz w:val="24"/>
        </w:rPr>
        <w:t>, in consideration of the foregoing and of the respective covenants and agreements set forth below, the parties hereto agree as follows:</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I</w:t>
        <w:br/>
        <w:t>DEFINITIONS AND INTERPRETATIONS</w:t>
      </w:r>
    </w:p>
    <w:p>
      <w:pPr>
        <w:pStyle w:val="TextBody"/>
        <w:bidi w:val="0"/>
        <w:spacing w:lineRule="auto" w:line="240" w:before="0" w:after="240"/>
        <w:ind w:left="0" w:right="0" w:firstLine="720"/>
        <w:jc w:val="left"/>
        <w:rPr/>
      </w:pPr>
      <w:r>
        <w:rPr>
          <w:rFonts w:ascii="Times New Roman;sans-serif" w:hAnsi="Times New Roman;sans-serif"/>
          <w:b/>
          <w:color w:val="000000"/>
          <w:sz w:val="24"/>
        </w:rPr>
        <w:t>1.1    </w:t>
      </w:r>
      <w:r>
        <w:rPr>
          <w:rFonts w:ascii="Times New Roman;sans-serif" w:hAnsi="Times New Roman;sans-serif"/>
          <w:b/>
          <w:color w:val="000000"/>
          <w:sz w:val="24"/>
          <w:u w:val="single"/>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    “</w:t>
      </w:r>
      <w:r>
        <w:rPr>
          <w:rFonts w:ascii="Times New Roman;sans-serif" w:hAnsi="Times New Roman;sans-serif"/>
          <w:b/>
          <w:color w:val="000000"/>
          <w:sz w:val="24"/>
        </w:rPr>
        <w:t>Base Salary</w:t>
      </w:r>
      <w:r>
        <w:rPr>
          <w:color w:val="000000"/>
        </w:rPr>
        <w:t xml:space="preserve">” </w:t>
      </w:r>
      <w:r>
        <w:rPr>
          <w:rFonts w:ascii="Times New Roman;sans-serif" w:hAnsi="Times New Roman;sans-serif"/>
          <w:b w:val="false"/>
          <w:color w:val="000000"/>
          <w:sz w:val="24"/>
        </w:rPr>
        <w:t xml:space="preserve">means the Key Employee’s base salary as in effect from time to time, as described in </w:t>
      </w:r>
      <w:r>
        <w:rPr>
          <w:rFonts w:ascii="Times New Roman;sans-serif" w:hAnsi="Times New Roman;sans-serif"/>
          <w:b w:val="false"/>
          <w:color w:val="000000"/>
          <w:sz w:val="24"/>
          <w:u w:val="single"/>
        </w:rPr>
        <w:t>Section 2.3(a)</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    “</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    “</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firstLine="2160"/>
        <w:jc w:val="left"/>
        <w:rPr/>
      </w:pPr>
      <w:r>
        <w:rPr>
          <w:rFonts w:ascii="Times New Roman;sans-serif" w:hAnsi="Times New Roman;sans-serif"/>
          <w:b w:val="false"/>
          <w:color w:val="000000"/>
          <w:sz w:val="24"/>
        </w:rPr>
        <w:t xml:space="preserve">(i)    A material breach by the Key Employee of </w:t>
      </w:r>
      <w:r>
        <w:rPr>
          <w:rFonts w:ascii="Times New Roman;sans-serif" w:hAnsi="Times New Roman;sans-serif"/>
          <w:b w:val="false"/>
          <w:color w:val="000000"/>
          <w:sz w:val="24"/>
          <w:u w:val="single"/>
        </w:rPr>
        <w:t>Sections 3.9(b), (c), (d), (e) or (f)</w:t>
      </w:r>
      <w:r>
        <w:rPr>
          <w:color w:val="000000"/>
        </w:rPr>
        <w:t xml:space="preserve"> </w:t>
      </w:r>
      <w:r>
        <w:rPr>
          <w:rFonts w:ascii="Times New Roman;sans-serif" w:hAnsi="Times New Roman;sans-serif"/>
          <w:b w:val="false"/>
          <w:color w:val="000000"/>
          <w:sz w:val="24"/>
        </w:rPr>
        <w:t>of this Agreement (regarding the non-competition, non-solicitation and confidentiality provisions);</w:t>
      </w:r>
    </w:p>
    <w:p>
      <w:pPr>
        <w:pStyle w:val="TextBody"/>
        <w:bidi w:val="0"/>
        <w:spacing w:lineRule="auto" w:line="240" w:before="0" w:after="24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(ii)    The commission of a criminal act by the Key Employee against the Company, including but not limited to fraud, embezzlement or theft;</w:t>
      </w:r>
    </w:p>
    <w:p>
      <w:pPr>
        <w:pStyle w:val="TextBody"/>
        <w:bidi w:val="0"/>
        <w:spacing w:lineRule="auto" w:line="240" w:before="0" w:after="240"/>
        <w:ind w:left="0" w:right="0" w:firstLine="2160"/>
        <w:jc w:val="left"/>
        <w:rPr/>
      </w:pPr>
      <w:r>
        <w:rPr>
          <w:rFonts w:ascii="Times New Roman;sans-serif" w:hAnsi="Times New Roman;sans-serif"/>
          <w:b w:val="false"/>
          <w:color w:val="000000"/>
          <w:sz w:val="24"/>
        </w:rPr>
        <w:t xml:space="preserve">(iii)    The conviction or plea of no contest or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of the Key Employee for any felony or any misdemeanor that may result in a term of imprisonment greater than one (1) year; or</w:t>
      </w:r>
    </w:p>
    <w:p>
      <w:pPr>
        <w:pStyle w:val="TextBody"/>
        <w:bidi w:val="0"/>
        <w:spacing w:lineRule="auto" w:line="240" w:before="0" w:after="24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(iv)    The Key Employee’s failure or refusal to carry out, or comply with, in any material respect, any lawful directive of the Board consistent with the terms of this Agreement which is not remedied within thirty (30) days after the Key Employee’s receipt of written notice from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Notwithstanding the foregoing, the Key Employee shall not be deemed to have been terminated for Cause pursuant to this </w:t>
      </w:r>
      <w:r>
        <w:rPr>
          <w:rFonts w:ascii="Times New Roman;sans-serif" w:hAnsi="Times New Roman;sans-serif"/>
          <w:b w:val="false"/>
          <w:color w:val="000000"/>
          <w:sz w:val="24"/>
          <w:u w:val="single"/>
        </w:rPr>
        <w:t>Section 1.1(c)</w:t>
      </w:r>
      <w:r>
        <w:rPr>
          <w:color w:val="000000"/>
        </w:rPr>
        <w:t xml:space="preserve"> </w:t>
      </w:r>
      <w:r>
        <w:rPr>
          <w:rFonts w:ascii="Times New Roman;sans-serif" w:hAnsi="Times New Roman;sans-serif"/>
          <w:b w:val="false"/>
          <w:color w:val="000000"/>
          <w:sz w:val="24"/>
        </w:rPr>
        <w:t xml:space="preserve">unless and until there shall have been delivered to the Key Employee a copy of a resolution duly adopted by at least seventy-five percent (75%) of the entire membership of the Board (not including for this purpose the Key Employee if the Key Employee is then a member of the Board) at a meeting of the Board called and held for such purpose (after reasonable notice to the Key Employee and a reasonable opportunity for the Key Employee, together with the Key Employee’s counsel, to be heard before the Board), finding that in the good faith opinion of the Board, the Key Employee engaged in conduct set forth in this </w:t>
      </w:r>
      <w:r>
        <w:rPr>
          <w:rFonts w:ascii="Times New Roman;sans-serif" w:hAnsi="Times New Roman;sans-serif"/>
          <w:b w:val="false"/>
          <w:color w:val="000000"/>
          <w:sz w:val="24"/>
          <w:u w:val="single"/>
        </w:rPr>
        <w:t>Section 1.1(c)</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    “</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means the occurrence of a “change in the ownership of the Company,” a “change in the effective control of the Company,” or a “change in the ownership of a substantial portion of the Company’s assets,” as defined in Treasury Regulation §§1.409A-3(i)(5)(v), (vi) and (vii), respectively.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    “</w:t>
      </w:r>
      <w:r>
        <w:rPr>
          <w:rFonts w:ascii="Times New Roman;sans-serif" w:hAnsi="Times New Roman;sans-serif"/>
          <w:b/>
          <w:color w:val="000000"/>
          <w:sz w:val="24"/>
        </w:rPr>
        <w:t>COBRA</w:t>
      </w:r>
      <w:r>
        <w:rPr>
          <w:color w:val="000000"/>
        </w:rPr>
        <w:t xml:space="preserve">” </w:t>
      </w:r>
      <w:r>
        <w:rPr>
          <w:rFonts w:ascii="Times New Roman;sans-serif" w:hAnsi="Times New Roman;sans-serif"/>
          <w:b w:val="false"/>
          <w:color w:val="000000"/>
          <w:sz w:val="24"/>
        </w:rPr>
        <w:t>means the Consolidated Omnibus Budget Reconciliation Act of 1985, as amended.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    “</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and any regulations thereunder.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    “</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that, by reason of any medically determinable physical or mental impairment that can be expected to result in death or can be expected to last for a continuous period of not less than twelve months, the Key Employee is unable to engage in any substantial gainful activity or is receiving income replacement benefits under an accident and health benefit plan covering employees of the Company for a period of not less than three months.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(h)    “</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    a reduction of the Key Employee’s Base Salary and/or annual target bonus opportunity without the Key Employee’s prior written consent;</w:t>
      </w:r>
    </w:p>
    <w:p>
      <w:pPr>
        <w:pStyle w:val="TextBody"/>
        <w:bidi w:val="0"/>
        <w:spacing w:lineRule="auto" w:line="240" w:before="0" w:after="24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(ii)    the relocation of the Key Employee’s primary work site to a location greater than fifty (50) miles from the Key Employee’s work site as of the Effective Date; or</w:t>
      </w:r>
    </w:p>
    <w:p>
      <w:pPr>
        <w:pStyle w:val="TextBody"/>
        <w:bidi w:val="0"/>
        <w:spacing w:lineRule="auto" w:line="240" w:before="0" w:after="24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(iii)    any other material breach by the Company of a material provision of this Agreement for which the Key Employee shall have given the Company written notice of such breach and the Company shall have failed to cure such breach within thirty (30) days after receipt of such notice.</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solely with respect to a termination of employment by the Key Employee during the Protection Period, in addition to clauses (i), (ii) and (iii), “Good Reason,” shall also mean a material reduction of the Key Employee’s duties (without the Key Employee’s prior written consent) from those in effect as of the Effective Date or as subsequently agreed to by the Key Employee and the Company for which the Key Employee shall have given the Company written notice of such breach and the Company shall have failed to cure such breach within thirty (30) days after receipt of such notice.</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- 2 -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- 2 -    </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    “</w:t>
      </w:r>
      <w:r>
        <w:rPr>
          <w:rFonts w:ascii="Times New Roman;sans-serif" w:hAnsi="Times New Roman;sans-serif"/>
          <w:b/>
          <w:color w:val="000000"/>
          <w:sz w:val="24"/>
        </w:rPr>
        <w:t>Post-Termination Period</w:t>
      </w:r>
      <w:r>
        <w:rPr>
          <w:color w:val="000000"/>
        </w:rPr>
        <w:t xml:space="preserve">” </w:t>
      </w:r>
      <w:r>
        <w:rPr>
          <w:rFonts w:ascii="Times New Roman;sans-serif" w:hAnsi="Times New Roman;sans-serif"/>
          <w:b w:val="false"/>
          <w:color w:val="000000"/>
          <w:sz w:val="24"/>
        </w:rPr>
        <w:t>means the period beginning on the date that the Key Employee’s employment terminates and ending on the first anniversary of such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(j)    “</w:t>
      </w:r>
      <w:r>
        <w:rPr>
          <w:rFonts w:ascii="Times New Roman;sans-serif" w:hAnsi="Times New Roman;sans-serif"/>
          <w:b/>
          <w:color w:val="000000"/>
          <w:sz w:val="24"/>
        </w:rPr>
        <w:t>Protection Period</w:t>
      </w:r>
      <w:r>
        <w:rPr>
          <w:color w:val="000000"/>
        </w:rPr>
        <w:t xml:space="preserve">” </w:t>
      </w:r>
      <w:r>
        <w:rPr>
          <w:rFonts w:ascii="Times New Roman;sans-serif" w:hAnsi="Times New Roman;sans-serif"/>
          <w:b w:val="false"/>
          <w:color w:val="000000"/>
          <w:sz w:val="24"/>
        </w:rPr>
        <w:t>means the period beginning on the date of the occurrence of a Change in Control and ending 12 months following the occurrence of a Change in Control.</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(k)    “</w:t>
      </w:r>
      <w:r>
        <w:rPr>
          <w:rFonts w:ascii="Times New Roman;sans-serif" w:hAnsi="Times New Roman;sans-serif"/>
          <w:b/>
          <w:color w:val="000000"/>
          <w:sz w:val="24"/>
        </w:rPr>
        <w:t>Severance Pay</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    two (2) times the sum of the Key Employee’s annual Base Salary and Target Bonus as of the date of the Key Employee’s termination of employment (without giving effect to any reduction that would otherwise constitute Good Reason), in the case of a termination Without Cause outside the Protection Period or a termination by the Key Employee with Good Reason outside the Protection Period; and</w:t>
      </w:r>
    </w:p>
    <w:p>
      <w:pPr>
        <w:pStyle w:val="TextBody"/>
        <w:bidi w:val="0"/>
        <w:spacing w:lineRule="auto" w:line="240" w:before="0" w:after="24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(ii)    three (3) times the sum of the Key Employee’s annual Base Salary and Target Bonus as of the date of the Key Employee’s termination of employment, or if higher, the Key Employee’s annual Base Salary and Target Bonus for the fiscal year immediately preceding the fiscal year in which there occurs a Change in Control, in the case of a termination Without Cause during the Protection Period or a termination by the Key Employee for Good Reason during the Protection Period.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(l)    “</w:t>
      </w:r>
      <w:r>
        <w:rPr>
          <w:rFonts w:ascii="Times New Roman;sans-serif" w:hAnsi="Times New Roman;sans-serif"/>
          <w:b/>
          <w:color w:val="000000"/>
          <w:sz w:val="24"/>
        </w:rPr>
        <w:t>Severance Period</w:t>
      </w:r>
      <w:r>
        <w:rPr>
          <w:color w:val="000000"/>
        </w:rPr>
        <w:t xml:space="preserve">” </w:t>
      </w:r>
      <w:r>
        <w:rPr>
          <w:rFonts w:ascii="Times New Roman;sans-serif" w:hAnsi="Times New Roman;sans-serif"/>
          <w:b w:val="false"/>
          <w:color w:val="000000"/>
          <w:sz w:val="24"/>
        </w:rPr>
        <w:t>means the two (2) year period following the date of the Key Employee’s termination of employment, in the case of a termination Without Cause or a termination by the Key Employee for Good Reason, whether or not during the Protection Period.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(m)    “</w:t>
      </w:r>
      <w:r>
        <w:rPr>
          <w:rFonts w:ascii="Times New Roman;sans-serif" w:hAnsi="Times New Roman;sans-serif"/>
          <w:b/>
          <w:color w:val="000000"/>
          <w:sz w:val="24"/>
        </w:rPr>
        <w:t>Without Cause</w:t>
      </w:r>
      <w:r>
        <w:rPr>
          <w:color w:val="000000"/>
        </w:rPr>
        <w:t xml:space="preserve">” </w:t>
      </w:r>
      <w:r>
        <w:rPr>
          <w:rFonts w:ascii="Times New Roman;sans-serif" w:hAnsi="Times New Roman;sans-serif"/>
          <w:b w:val="false"/>
          <w:color w:val="000000"/>
          <w:sz w:val="24"/>
        </w:rPr>
        <w:t>means termination by the Company of the Key Employee’s employment at the Company’s sole discretion for any reason, other than by reason of the Key Employee’s death or Disability, and other than a termination based upon Cause.</w:t>
      </w:r>
    </w:p>
    <w:p>
      <w:pPr>
        <w:pStyle w:val="TextBody"/>
        <w:bidi w:val="0"/>
        <w:spacing w:lineRule="auto" w:line="240" w:before="0" w:after="240"/>
        <w:ind w:left="0" w:right="0" w:firstLine="720"/>
        <w:jc w:val="left"/>
        <w:rPr/>
      </w:pPr>
      <w:r>
        <w:rPr>
          <w:rFonts w:ascii="Times New Roman;sans-serif" w:hAnsi="Times New Roman;sans-serif"/>
          <w:b/>
          <w:color w:val="000000"/>
          <w:sz w:val="24"/>
        </w:rPr>
        <w:t>1.2    </w:t>
      </w:r>
      <w:r>
        <w:rPr>
          <w:rFonts w:ascii="Times New Roman;sans-serif" w:hAnsi="Times New Roman;sans-serif"/>
          <w:b/>
          <w:color w:val="000000"/>
          <w:sz w:val="24"/>
          <w:u w:val="single"/>
        </w:rPr>
        <w:t>Interpretations</w:t>
      </w:r>
      <w:r>
        <w:rPr>
          <w:rFonts w:ascii="Times New Roman;sans-serif" w:hAnsi="Times New Roman;sans-serif"/>
          <w:b w:val="false"/>
          <w:color w:val="000000"/>
          <w:sz w:val="24"/>
        </w:rPr>
        <w:t>. In this Agreement, unless a clear contrary intention appears, (a) the words “herein,” “hereof” and “hereunder” and other words of similar import refer to this Agreement as a whole and not to any particular Article, Section or other subdivision; (b) reference to any Article or Section, means such Article or Section hereof; and (c) the word “including” (and with correlative meaning “include”) means including, without limiting the generality of any description preceding such term.</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II</w:t>
        <w:br/>
        <w:t>EMPLOYMENT AND DUTIES</w:t>
      </w:r>
    </w:p>
    <w:p>
      <w:pPr>
        <w:pStyle w:val="TextBody"/>
        <w:bidi w:val="0"/>
        <w:spacing w:lineRule="auto" w:line="240" w:before="0" w:after="240"/>
        <w:ind w:left="0" w:right="0" w:firstLine="720"/>
        <w:jc w:val="left"/>
        <w:rPr/>
      </w:pPr>
      <w:r>
        <w:rPr>
          <w:rFonts w:ascii="Times New Roman;sans-serif" w:hAnsi="Times New Roman;sans-serif"/>
          <w:b/>
          <w:color w:val="000000"/>
          <w:sz w:val="24"/>
        </w:rPr>
        <w:t>2.1    </w:t>
      </w:r>
      <w:r>
        <w:rPr>
          <w:rFonts w:ascii="Times New Roman;sans-serif" w:hAnsi="Times New Roman;sans-serif"/>
          <w:b/>
          <w:color w:val="000000"/>
          <w:sz w:val="24"/>
          <w:u w:val="single"/>
        </w:rPr>
        <w:t>Term</w:t>
      </w:r>
      <w:r>
        <w:rPr>
          <w:rFonts w:ascii="Times New Roman;sans-serif" w:hAnsi="Times New Roman;sans-serif"/>
          <w:b w:val="false"/>
          <w:color w:val="000000"/>
          <w:sz w:val="24"/>
        </w:rPr>
        <w:t>. The term of this Agreement shall be for a period commencing on May 1, 2023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and ending on May 1, 2024 (the “</w:t>
      </w:r>
      <w:r>
        <w:rPr>
          <w:rFonts w:ascii="Times New Roman;sans-serif" w:hAnsi="Times New Roman;sans-serif"/>
          <w:b/>
          <w:color w:val="000000"/>
          <w:sz w:val="24"/>
        </w:rPr>
        <w:t>Initial Term</w:t>
      </w:r>
      <w:r>
        <w:rPr>
          <w:color w:val="000000"/>
        </w:rPr>
        <w:t>”</w:t>
      </w:r>
      <w:r>
        <w:rPr>
          <w:rFonts w:ascii="Times New Roman;sans-serif" w:hAnsi="Times New Roman;sans-serif"/>
          <w:b w:val="false"/>
          <w:color w:val="000000"/>
          <w:sz w:val="24"/>
        </w:rPr>
        <w:t>), provided, however, that this Agreement shall automatically be extended for an additional one-year period at the end of the Initial Term and each one-year anniversary thereafter (each a “</w:t>
      </w:r>
      <w:r>
        <w:rPr>
          <w:rFonts w:ascii="Times New Roman;sans-serif" w:hAnsi="Times New Roman;sans-serif"/>
          <w:b/>
          <w:color w:val="000000"/>
          <w:sz w:val="24"/>
        </w:rPr>
        <w:t>Renewal Term</w:t>
      </w:r>
      <w:r>
        <w:rPr>
          <w:color w:val="000000"/>
        </w:rPr>
        <w:t xml:space="preserve">” </w:t>
      </w:r>
      <w:r>
        <w:rPr>
          <w:rFonts w:ascii="Times New Roman;sans-serif" w:hAnsi="Times New Roman;sans-serif"/>
          <w:b w:val="false"/>
          <w:color w:val="000000"/>
          <w:sz w:val="24"/>
        </w:rPr>
        <w:t>and together with the Initial Term being referred to herein as the “</w:t>
      </w:r>
      <w:r>
        <w:rPr>
          <w:rFonts w:ascii="Times New Roman;sans-serif" w:hAnsi="Times New Roman;sans-serif"/>
          <w:b/>
          <w:color w:val="000000"/>
          <w:sz w:val="24"/>
        </w:rPr>
        <w:t>Employment Term</w:t>
      </w:r>
      <w:r>
        <w:rPr>
          <w:color w:val="000000"/>
        </w:rPr>
        <w:t>”</w:t>
      </w:r>
      <w:r>
        <w:rPr>
          <w:rFonts w:ascii="Times New Roman;sans-serif" w:hAnsi="Times New Roman;sans-serif"/>
          <w:b w:val="false"/>
          <w:color w:val="000000"/>
          <w:sz w:val="24"/>
        </w:rPr>
        <w:t>), unless not later than one-hundred eighty (180) days prior to the end of the then-current period, either the Key Employee or the Company shall have provided written notice to the other party that it does not wish to extend this Agreement; provided, further, that if there occurs a Change in Control during the Employment Term, the Employment Term shall automatically be extended for an additional one-year period (in addition to any then remaining Initial Term or a Renewal Term,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- 3 -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- 3 -    </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color w:val="000000"/>
          <w:sz w:val="24"/>
        </w:rPr>
        <w:t>2.2    </w:t>
      </w:r>
      <w:r>
        <w:rPr>
          <w:rFonts w:ascii="Times New Roman;sans-serif" w:hAnsi="Times New Roman;sans-serif"/>
          <w:b/>
          <w:color w:val="000000"/>
          <w:sz w:val="24"/>
          <w:u w:val="single"/>
        </w:rPr>
        <w:t>Position, Duties and Services</w:t>
      </w:r>
      <w:r>
        <w:rPr>
          <w:rFonts w:ascii="Times New Roman;sans-serif" w:hAnsi="Times New Roman;sans-serif"/>
          <w:b w:val="false"/>
          <w:color w:val="000000"/>
          <w:sz w:val="24"/>
        </w:rPr>
        <w:t>. The Key Employee shall serve in the position of Senior Vice President and Chief Operating Officer – C&amp;I and shall have duties and responsibilities consistent with an executive serving in such capacity. The Key Employee shall perform such duties and responsibilities diligently and to the best of the Key Employee’s abilities. The Key Employee’s employment will be subject to the supervision and direction of the Chief Executive Officer of the Company and the Board.</w:t>
      </w:r>
    </w:p>
    <w:p>
      <w:pPr>
        <w:pStyle w:val="TextBody"/>
        <w:bidi w:val="0"/>
        <w:spacing w:lineRule="auto" w:line="240" w:before="0" w:after="240"/>
        <w:ind w:left="0" w:right="0" w:firstLine="720"/>
        <w:jc w:val="left"/>
        <w:rPr/>
      </w:pPr>
      <w:r>
        <w:rPr>
          <w:rFonts w:ascii="Times New Roman;sans-serif" w:hAnsi="Times New Roman;sans-serif"/>
          <w:b/>
          <w:color w:val="000000"/>
          <w:sz w:val="24"/>
        </w:rPr>
        <w:t>2.3    </w:t>
      </w:r>
      <w:r>
        <w:rPr>
          <w:rFonts w:ascii="Times New Roman;sans-serif" w:hAnsi="Times New Roman;sans-serif"/>
          <w:b/>
          <w:color w:val="000000"/>
          <w:sz w:val="24"/>
          <w:u w:val="single"/>
        </w:rPr>
        <w:t>Compensation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The Key Employee shall receive an initial Base Salary at the rate of Three Hundred Ninety Thousand Dollars ($390,000.00) per annum payable in periodic installments in accordance with the Company’s normal payroll practices and procedures, which Base Salary may be increased (but not decreased) by the Board or (a committee thereof) from time to time.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Target Bonus</w:t>
      </w:r>
      <w:r>
        <w:rPr>
          <w:rFonts w:ascii="Times New Roman;sans-serif" w:hAnsi="Times New Roman;sans-serif"/>
          <w:b w:val="false"/>
          <w:color w:val="000000"/>
          <w:sz w:val="24"/>
        </w:rPr>
        <w:t>. During the Employment Term, the Key Employee shall be eligible to receive an annual target bonus (the “</w:t>
      </w:r>
      <w:r>
        <w:rPr>
          <w:rFonts w:ascii="Times New Roman;sans-serif" w:hAnsi="Times New Roman;sans-serif"/>
          <w:b/>
          <w:color w:val="000000"/>
          <w:sz w:val="24"/>
        </w:rPr>
        <w:t>Target Bonus</w:t>
      </w:r>
      <w:r>
        <w:rPr>
          <w:color w:val="000000"/>
        </w:rPr>
        <w:t>”</w:t>
      </w:r>
      <w:r>
        <w:rPr>
          <w:rFonts w:ascii="Times New Roman;sans-serif" w:hAnsi="Times New Roman;sans-serif"/>
          <w:b w:val="false"/>
          <w:color w:val="000000"/>
          <w:sz w:val="24"/>
        </w:rPr>
        <w:t>) based on the achievement of annual performance objectives, as determined by the Board (or a committee thereof) in its discretion.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Incentive, Savings, Profit Sharing, and Retirement Plans</w:t>
      </w:r>
      <w:r>
        <w:rPr>
          <w:rFonts w:ascii="Times New Roman;sans-serif" w:hAnsi="Times New Roman;sans-serif"/>
          <w:b w:val="false"/>
          <w:color w:val="000000"/>
          <w:sz w:val="24"/>
        </w:rPr>
        <w:t>. During the Employment Term, the Key Employee shall be entitled to participate in all incentive, savings, profit sharing and retirement plans, practices, policies and programs applicable generally, from time to time, to other similarly situated employees of the Company.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Welfare Benefit Plans</w:t>
      </w:r>
      <w:r>
        <w:rPr>
          <w:rFonts w:ascii="Times New Roman;sans-serif" w:hAnsi="Times New Roman;sans-serif"/>
          <w:b w:val="false"/>
          <w:color w:val="000000"/>
          <w:sz w:val="24"/>
        </w:rPr>
        <w:t>. During the Employment Term, the Key Employee and/or the Key Employee’s family, as the case may be, shall be eligible for participation in and will receive all benefits under the welfare benefit plans, practices, policies and programs applicable generally, from time to time, to other similarly situated employees of the Company.</w:t>
      </w:r>
    </w:p>
    <w:p>
      <w:pPr>
        <w:pStyle w:val="TextBody"/>
        <w:bidi w:val="0"/>
        <w:spacing w:lineRule="auto" w:line="240" w:before="0" w:after="240"/>
        <w:ind w:left="0" w:right="0" w:firstLine="720"/>
        <w:jc w:val="left"/>
        <w:rPr/>
      </w:pPr>
      <w:r>
        <w:rPr>
          <w:rFonts w:ascii="Times New Roman;sans-serif" w:hAnsi="Times New Roman;sans-serif"/>
          <w:b/>
          <w:color w:val="000000"/>
          <w:sz w:val="24"/>
        </w:rPr>
        <w:t>2.4    </w:t>
      </w:r>
      <w:r>
        <w:rPr>
          <w:rFonts w:ascii="Times New Roman;sans-serif" w:hAnsi="Times New Roman;sans-serif"/>
          <w:b/>
          <w:color w:val="000000"/>
          <w:sz w:val="24"/>
          <w:u w:val="single"/>
        </w:rPr>
        <w:t>Severance Benefit</w:t>
      </w:r>
      <w:r>
        <w:rPr>
          <w:rFonts w:ascii="Times New Roman;sans-serif" w:hAnsi="Times New Roman;sans-serif"/>
          <w:b w:val="false"/>
          <w:color w:val="000000"/>
          <w:sz w:val="24"/>
        </w:rPr>
        <w:t xml:space="preserve">. The Key Employee shall be entitled to receive the severance benefits described in </w:t>
      </w:r>
      <w:r>
        <w:rPr>
          <w:rFonts w:ascii="Times New Roman;sans-serif" w:hAnsi="Times New Roman;sans-serif"/>
          <w:b w:val="false"/>
          <w:color w:val="000000"/>
          <w:sz w:val="24"/>
          <w:u w:val="single"/>
        </w:rPr>
        <w:t>ARTICLE III</w:t>
      </w:r>
      <w:r>
        <w:rPr>
          <w:color w:val="000000"/>
        </w:rPr>
        <w:t xml:space="preserve"> </w:t>
      </w:r>
      <w:r>
        <w:rPr>
          <w:rFonts w:ascii="Times New Roman;sans-serif" w:hAnsi="Times New Roman;sans-serif"/>
          <w:b w:val="false"/>
          <w:color w:val="000000"/>
          <w:sz w:val="24"/>
        </w:rPr>
        <w:t xml:space="preserve">upon the Key Employee’s termination of employment during the Employment Term, provided the Key Employee satisfies the requirements outlined in </w:t>
      </w:r>
      <w:r>
        <w:rPr>
          <w:rFonts w:ascii="Times New Roman;sans-serif" w:hAnsi="Times New Roman;sans-serif"/>
          <w:b w:val="false"/>
          <w:color w:val="000000"/>
          <w:sz w:val="24"/>
          <w:u w:val="single"/>
        </w:rPr>
        <w:t>ARTICLE III</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color w:val="000000"/>
          <w:sz w:val="24"/>
        </w:rPr>
        <w:t>2.5    </w:t>
      </w:r>
      <w:r>
        <w:rPr>
          <w:rFonts w:ascii="Times New Roman;sans-serif" w:hAnsi="Times New Roman;sans-serif"/>
          <w:b/>
          <w:color w:val="000000"/>
          <w:sz w:val="24"/>
          <w:u w:val="single"/>
        </w:rPr>
        <w:t>Indemnification</w:t>
      </w:r>
      <w:r>
        <w:rPr>
          <w:rFonts w:ascii="Times New Roman;sans-serif" w:hAnsi="Times New Roman;sans-serif"/>
          <w:b w:val="false"/>
          <w:color w:val="000000"/>
          <w:sz w:val="24"/>
        </w:rPr>
        <w:t xml:space="preserve">. The Company shall (i) indemnify, hold harmless and defend the Key Employee to the extent permitted under applicable law from and against reasonable costs, including reasonable attorney’s fees, incurred by the Key Employee in connection with or arising out of any acts or decisions made by the Key Employee in the course and scope of the Key Employee’s employment hereunder and (ii) pay all reasonable expenses and reasonable attorney’s fees actually incurred by the Key Employee in connection with or relating to the defense of any claim, action, suit or proceeding by any third party against the Key Employee arising out of or relating to any acts or decisions made by the Key Employee in the course and scope of the Key Employee’s employment hereunder; provided, however, that such indemnification shall not apply with respect to the commission of a criminal act or any gross misconduct by the Key Employee. This </w:t>
      </w:r>
      <w:r>
        <w:rPr>
          <w:rFonts w:ascii="Times New Roman;sans-serif" w:hAnsi="Times New Roman;sans-serif"/>
          <w:b w:val="false"/>
          <w:color w:val="000000"/>
          <w:sz w:val="24"/>
          <w:u w:val="single"/>
        </w:rPr>
        <w:t>Section 2.5</w:t>
      </w:r>
      <w:r>
        <w:rPr>
          <w:color w:val="000000"/>
        </w:rPr>
        <w:t xml:space="preserve"> </w:t>
      </w:r>
      <w:r>
        <w:rPr>
          <w:rFonts w:ascii="Times New Roman;sans-serif" w:hAnsi="Times New Roman;sans-serif"/>
          <w:b w:val="false"/>
          <w:color w:val="000000"/>
          <w:sz w:val="24"/>
        </w:rPr>
        <w:t>shall survive the termination or expiration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- 4 -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- 4 -    </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III</w:t>
        <w:br/>
        <w:t>EARLY TERMINATION</w:t>
      </w:r>
    </w:p>
    <w:p>
      <w:pPr>
        <w:pStyle w:val="TextBody"/>
        <w:bidi w:val="0"/>
        <w:spacing w:lineRule="auto" w:line="240" w:before="0" w:after="240"/>
        <w:ind w:left="0" w:right="0" w:firstLine="720"/>
        <w:jc w:val="left"/>
        <w:rPr/>
      </w:pPr>
      <w:r>
        <w:rPr>
          <w:rFonts w:ascii="Times New Roman;sans-serif" w:hAnsi="Times New Roman;sans-serif"/>
          <w:b/>
          <w:color w:val="000000"/>
          <w:sz w:val="24"/>
        </w:rPr>
        <w:t>3.1    </w:t>
      </w:r>
      <w:r>
        <w:rPr>
          <w:rFonts w:ascii="Times New Roman;sans-serif" w:hAnsi="Times New Roman;sans-serif"/>
          <w:b/>
          <w:color w:val="000000"/>
          <w:sz w:val="24"/>
          <w:u w:val="single"/>
        </w:rPr>
        <w:t>Death</w:t>
      </w:r>
      <w:r>
        <w:rPr>
          <w:rFonts w:ascii="Times New Roman;sans-serif" w:hAnsi="Times New Roman;sans-serif"/>
          <w:b w:val="false"/>
          <w:color w:val="000000"/>
          <w:sz w:val="24"/>
        </w:rPr>
        <w:t xml:space="preserve">. Upon the death of the Key Employee during the Employment Term, this Agreement shall terminate and the Key Employee’s estate shall be entitled to payment of the Key Employee’s Base Salary through the date of such termination plus any compensation and benefits payable pursuant to the terms of the compensation and benefit plans specified in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in which the Key Employee is a participant.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death.</w:t>
      </w:r>
    </w:p>
    <w:p>
      <w:pPr>
        <w:pStyle w:val="TextBody"/>
        <w:bidi w:val="0"/>
        <w:spacing w:lineRule="auto" w:line="240" w:before="0" w:after="240"/>
        <w:ind w:left="0" w:right="0" w:firstLine="720"/>
        <w:jc w:val="left"/>
        <w:rPr/>
      </w:pPr>
      <w:r>
        <w:rPr>
          <w:rFonts w:ascii="Times New Roman;sans-serif" w:hAnsi="Times New Roman;sans-serif"/>
          <w:b/>
          <w:color w:val="000000"/>
          <w:sz w:val="24"/>
        </w:rPr>
        <w:t>3.2    </w:t>
      </w:r>
      <w:r>
        <w:rPr>
          <w:rFonts w:ascii="Times New Roman;sans-serif" w:hAnsi="Times New Roman;sans-serif"/>
          <w:b/>
          <w:color w:val="000000"/>
          <w:sz w:val="24"/>
          <w:u w:val="single"/>
        </w:rPr>
        <w:t>Disability</w:t>
      </w:r>
      <w:r>
        <w:rPr>
          <w:rFonts w:ascii="Times New Roman;sans-serif" w:hAnsi="Times New Roman;sans-serif"/>
          <w:b w:val="false"/>
          <w:color w:val="000000"/>
          <w:sz w:val="24"/>
        </w:rPr>
        <w:t xml:space="preserve">. In the event of the Key Employee’s Disability during the Employment Term, this Agreement and the Key Employee’s employment with the Company shall terminate and the Key Employee shall be entitled to payment of the following benefits: (a) the Key Employee’s Base Salary through the date of such termination; (b) long-term disability benefits pursuant to the terms of any long-term disability policy provided to similarly situated employees of the Company in which the Key Employee is a participant; and (c) any compensation and benefits payable pursuant to the terms of the compensation and benefit plans specified in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in which the Key Employee is a participant. Subject to </w:t>
      </w:r>
      <w:r>
        <w:rPr>
          <w:rFonts w:ascii="Times New Roman;sans-serif" w:hAnsi="Times New Roman;sans-serif"/>
          <w:b w:val="false"/>
          <w:color w:val="000000"/>
          <w:sz w:val="24"/>
          <w:u w:val="single"/>
        </w:rPr>
        <w:t>Section 3.12(a)</w:t>
      </w:r>
      <w:r>
        <w:rPr>
          <w:rFonts w:ascii="Times New Roman;sans-serif" w:hAnsi="Times New Roman;sans-serif"/>
          <w:b w:val="false"/>
          <w:color w:val="000000"/>
          <w:sz w:val="24"/>
        </w:rPr>
        <w:t xml:space="preserve">, the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termination. Subject to </w:t>
      </w:r>
      <w:r>
        <w:rPr>
          <w:rFonts w:ascii="Times New Roman;sans-serif" w:hAnsi="Times New Roman;sans-serif"/>
          <w:b w:val="false"/>
          <w:color w:val="000000"/>
          <w:sz w:val="24"/>
          <w:u w:val="single"/>
        </w:rPr>
        <w:t>Section 3.12(a)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3.12(b)</w:t>
      </w:r>
      <w:r>
        <w:rPr>
          <w:rFonts w:ascii="Times New Roman;sans-serif" w:hAnsi="Times New Roman;sans-serif"/>
          <w:b w:val="false"/>
          <w:color w:val="000000"/>
          <w:sz w:val="24"/>
        </w:rPr>
        <w:t>, reimbursements or in-kind benefits to which the Key Employee is entitled that are not exempt from Code Section 409A shall be paid as soon as administratively reasonable following the date of payments as set forth in this Agreement, or the applicable plan, practice, policy or program.</w:t>
      </w:r>
    </w:p>
    <w:p>
      <w:pPr>
        <w:pStyle w:val="TextBody"/>
        <w:bidi w:val="0"/>
        <w:spacing w:lineRule="auto" w:line="240" w:before="0" w:after="240"/>
        <w:ind w:left="0" w:right="0" w:firstLine="720"/>
        <w:jc w:val="left"/>
        <w:rPr/>
      </w:pPr>
      <w:r>
        <w:rPr>
          <w:rFonts w:ascii="Times New Roman;sans-serif" w:hAnsi="Times New Roman;sans-serif"/>
          <w:b/>
          <w:color w:val="000000"/>
          <w:sz w:val="24"/>
        </w:rPr>
        <w:t>3.3    </w:t>
      </w:r>
      <w:r>
        <w:rPr>
          <w:rFonts w:ascii="Times New Roman;sans-serif" w:hAnsi="Times New Roman;sans-serif"/>
          <w:b/>
          <w:color w:val="000000"/>
          <w:sz w:val="24"/>
          <w:u w:val="single"/>
        </w:rPr>
        <w:t>Termination for Cause by Company</w:t>
      </w:r>
      <w:r>
        <w:rPr>
          <w:rFonts w:ascii="Times New Roman;sans-serif" w:hAnsi="Times New Roman;sans-serif"/>
          <w:b w:val="false"/>
          <w:color w:val="000000"/>
          <w:sz w:val="24"/>
        </w:rPr>
        <w:t xml:space="preserve">. If the Key Employee’s employment is terminated during the Employment Term for Cause, the Company shall pay the Key Employee through the date of termination (a) the Key Employee’s Base Salary in effect at the time notice of termination is given at the applicable payment date under the Company’s regular and customary payroll practices and (b) any compensation and benefits payable pursuant to the terms of the compensation and benefit plans specified in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in which the Key Employee is a participant.</w:t>
      </w:r>
    </w:p>
    <w:p>
      <w:pPr>
        <w:pStyle w:val="TextBody"/>
        <w:bidi w:val="0"/>
        <w:spacing w:lineRule="auto" w:line="240" w:before="0" w:after="240"/>
        <w:ind w:left="0" w:right="0" w:firstLine="720"/>
        <w:jc w:val="left"/>
        <w:rPr/>
      </w:pPr>
      <w:r>
        <w:rPr>
          <w:rFonts w:ascii="Times New Roman;sans-serif" w:hAnsi="Times New Roman;sans-serif"/>
          <w:b/>
          <w:color w:val="000000"/>
          <w:sz w:val="24"/>
        </w:rPr>
        <w:t>3.4    </w:t>
      </w:r>
      <w:r>
        <w:rPr>
          <w:rFonts w:ascii="Times New Roman;sans-serif" w:hAnsi="Times New Roman;sans-serif"/>
          <w:b/>
          <w:color w:val="000000"/>
          <w:sz w:val="24"/>
          <w:u w:val="single"/>
        </w:rPr>
        <w:t>Termination Without Good Reason by the Key Employee</w:t>
      </w:r>
      <w:r>
        <w:rPr>
          <w:rFonts w:ascii="Times New Roman;sans-serif" w:hAnsi="Times New Roman;sans-serif"/>
          <w:b w:val="false"/>
          <w:color w:val="000000"/>
          <w:sz w:val="24"/>
        </w:rPr>
        <w:t xml:space="preserve">. If the Key Employee terminates the Key Employee’s employment with the Company during the Employment Term without Good Reason, whether or not during the Protection Period, the Company shall pay the Key Employee through the date of termination (a) the Key Employee’s Base Salary in effect at the time notice of termination is given at the applicable payment date under the Company’s regular and customary payroll practices and (b) any compensation and benefits payable pursuant to the terms of the compensation and benefit plans specified in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in which the Key Employee is a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- 5 -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- 5 -    </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color w:val="000000"/>
          <w:sz w:val="24"/>
        </w:rPr>
        <w:t>3.5    </w:t>
      </w:r>
      <w:r>
        <w:rPr>
          <w:rFonts w:ascii="Times New Roman;sans-serif" w:hAnsi="Times New Roman;sans-serif"/>
          <w:b/>
          <w:color w:val="000000"/>
          <w:sz w:val="24"/>
          <w:u w:val="single"/>
        </w:rPr>
        <w:t>Termination Without Cause or for Good Reason Outside the Protection Period</w:t>
      </w:r>
      <w:r>
        <w:rPr>
          <w:rFonts w:ascii="Times New Roman;sans-serif" w:hAnsi="Times New Roman;sans-serif"/>
          <w:b w:val="false"/>
          <w:color w:val="000000"/>
          <w:sz w:val="24"/>
        </w:rPr>
        <w:t xml:space="preserve">. If, during the Employment Term and outside the Protection Period, the Key Employee’s employment is terminated by the Company Without Cause or the Key Employee terminates the Key Employee’s employment with the Company for Good Reason, the Key Employee shall be entitled to (a) the Key Employee’s unpaid Base Salary through the date of termination; (b) any compensation and benefits payable pursuant to the terms of the compensation and benefit plans specified in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in which the Key Employee is a participant in accordance with the terms and conditions of such compensation and benefit plans; (c) a lump sum payment equal to the Key Employee’s Severance Pay; and (d) a lump sum payment equal to the product of (i) the number of months in the Severance Period multiplied by (ii) the monthly cost of maintaining health benefits for the Key Employee (and the Key Employee’s spouse and eligible dependents) as of the date of the Key Employee’s termination of employment under a group health plan of the Company for purposes of COBRA, on an after-tax basis and excluding any short-term or long-term disability insurance benefits. Unless otherwise indicated in this Agreement and subject to </w:t>
      </w:r>
      <w:r>
        <w:rPr>
          <w:rFonts w:ascii="Times New Roman;sans-serif" w:hAnsi="Times New Roman;sans-serif"/>
          <w:b w:val="false"/>
          <w:color w:val="000000"/>
          <w:sz w:val="24"/>
          <w:u w:val="single"/>
        </w:rPr>
        <w:t>Section 3.12(a)</w:t>
      </w:r>
      <w:r>
        <w:rPr>
          <w:rFonts w:ascii="Times New Roman;sans-serif" w:hAnsi="Times New Roman;sans-serif"/>
          <w:b w:val="false"/>
          <w:color w:val="000000"/>
          <w:sz w:val="24"/>
        </w:rPr>
        <w:t xml:space="preserve">, the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termination. Subject to </w:t>
      </w:r>
      <w:r>
        <w:rPr>
          <w:rFonts w:ascii="Times New Roman;sans-serif" w:hAnsi="Times New Roman;sans-serif"/>
          <w:b w:val="false"/>
          <w:color w:val="000000"/>
          <w:sz w:val="24"/>
          <w:u w:val="single"/>
        </w:rPr>
        <w:t>Section 3.12(a)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3.12(b)</w:t>
      </w:r>
      <w:r>
        <w:rPr>
          <w:rFonts w:ascii="Times New Roman;sans-serif" w:hAnsi="Times New Roman;sans-serif"/>
          <w:b w:val="false"/>
          <w:color w:val="000000"/>
          <w:sz w:val="24"/>
        </w:rPr>
        <w:t xml:space="preserve">, reimbursements or in-kind benefits to which the Key Employee is entitled that are not exempt from Code Section 409A shall be paid as soon as administratively reasonable following the date of payments as set forth in this Agreement, or the applicable plan, practice, policy or program. Subject to </w:t>
      </w:r>
      <w:r>
        <w:rPr>
          <w:rFonts w:ascii="Times New Roman;sans-serif" w:hAnsi="Times New Roman;sans-serif"/>
          <w:b w:val="false"/>
          <w:color w:val="000000"/>
          <w:sz w:val="24"/>
          <w:u w:val="single"/>
        </w:rPr>
        <w:t>Section 3.8</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3.12(a)</w:t>
      </w:r>
      <w:r>
        <w:rPr>
          <w:rFonts w:ascii="Times New Roman;sans-serif" w:hAnsi="Times New Roman;sans-serif"/>
          <w:b w:val="false"/>
          <w:color w:val="000000"/>
          <w:sz w:val="24"/>
        </w:rPr>
        <w:t xml:space="preserve">, the payment of any Severance Pay and any amounts in respect of health benefits shall be made (or commence) in the month immediately following the month in which the waiver and release of claims described in </w:t>
      </w:r>
      <w:r>
        <w:rPr>
          <w:rFonts w:ascii="Times New Roman;sans-serif" w:hAnsi="Times New Roman;sans-serif"/>
          <w:b w:val="false"/>
          <w:color w:val="000000"/>
          <w:sz w:val="24"/>
          <w:u w:val="single"/>
        </w:rPr>
        <w:t>Section 3.8</w:t>
      </w:r>
      <w:r>
        <w:rPr>
          <w:color w:val="000000"/>
        </w:rPr>
        <w:t xml:space="preserve"> </w:t>
      </w:r>
      <w:r>
        <w:rPr>
          <w:rFonts w:ascii="Times New Roman;sans-serif" w:hAnsi="Times New Roman;sans-serif"/>
          <w:b w:val="false"/>
          <w:color w:val="000000"/>
          <w:sz w:val="24"/>
        </w:rPr>
        <w:t xml:space="preserve">becomes non-revocable, except that, if the maximum period in which the waiver and release of claims described in </w:t>
      </w:r>
      <w:r>
        <w:rPr>
          <w:rFonts w:ascii="Times New Roman;sans-serif" w:hAnsi="Times New Roman;sans-serif"/>
          <w:b w:val="false"/>
          <w:color w:val="000000"/>
          <w:sz w:val="24"/>
          <w:u w:val="single"/>
        </w:rPr>
        <w:t>Section 3.8</w:t>
      </w:r>
      <w:r>
        <w:rPr>
          <w:color w:val="000000"/>
        </w:rPr>
        <w:t xml:space="preserve"> </w:t>
      </w:r>
      <w:r>
        <w:rPr>
          <w:rFonts w:ascii="Times New Roman;sans-serif" w:hAnsi="Times New Roman;sans-serif"/>
          <w:b w:val="false"/>
          <w:color w:val="000000"/>
          <w:sz w:val="24"/>
        </w:rPr>
        <w:t>may be revoked ends in the year following the year in which Key Employee incurs a “</w:t>
      </w:r>
      <w:r>
        <w:rPr>
          <w:rFonts w:ascii="Times New Roman;sans-serif" w:hAnsi="Times New Roman;sans-serif"/>
          <w:b/>
          <w:color w:val="000000"/>
          <w:sz w:val="24"/>
        </w:rPr>
        <w:t>Separation from Service</w:t>
      </w:r>
      <w:r>
        <w:rPr>
          <w:color w:val="000000"/>
        </w:rPr>
        <w:t xml:space="preserve">” </w:t>
      </w:r>
      <w:r>
        <w:rPr>
          <w:rFonts w:ascii="Times New Roman;sans-serif" w:hAnsi="Times New Roman;sans-serif"/>
          <w:b w:val="false"/>
          <w:color w:val="000000"/>
          <w:sz w:val="24"/>
        </w:rPr>
        <w:t xml:space="preserve">(as such term is defined in Treasury regulations issued under Code Section 409A), then the date on which the waiver and release of claims described in </w:t>
      </w:r>
      <w:r>
        <w:rPr>
          <w:rFonts w:ascii="Times New Roman;sans-serif" w:hAnsi="Times New Roman;sans-serif"/>
          <w:b w:val="false"/>
          <w:color w:val="000000"/>
          <w:sz w:val="24"/>
          <w:u w:val="single"/>
        </w:rPr>
        <w:t>Section 3.8</w:t>
      </w:r>
      <w:r>
        <w:rPr>
          <w:color w:val="000000"/>
        </w:rPr>
        <w:t xml:space="preserve"> </w:t>
      </w:r>
      <w:r>
        <w:rPr>
          <w:rFonts w:ascii="Times New Roman;sans-serif" w:hAnsi="Times New Roman;sans-serif"/>
          <w:b w:val="false"/>
          <w:color w:val="000000"/>
          <w:sz w:val="24"/>
        </w:rPr>
        <w:t xml:space="preserve">becomes non-revocable will be deemed to be the later of the (A) the first business day in the year following the year in which Key Employee incurs a Separation from Service and (B) the date on which the waiver and release of claims described in </w:t>
      </w:r>
      <w:r>
        <w:rPr>
          <w:rFonts w:ascii="Times New Roman;sans-serif" w:hAnsi="Times New Roman;sans-serif"/>
          <w:b w:val="false"/>
          <w:color w:val="000000"/>
          <w:sz w:val="24"/>
          <w:u w:val="single"/>
        </w:rPr>
        <w:t>Section 3.8</w:t>
      </w:r>
      <w:r>
        <w:rPr>
          <w:color w:val="000000"/>
        </w:rPr>
        <w:t xml:space="preserve"> </w:t>
      </w:r>
      <w:r>
        <w:rPr>
          <w:rFonts w:ascii="Times New Roman;sans-serif" w:hAnsi="Times New Roman;sans-serif"/>
          <w:b w:val="false"/>
          <w:color w:val="000000"/>
          <w:sz w:val="24"/>
        </w:rPr>
        <w:t>becomes non-revocable (without regard to this exception).</w:t>
      </w:r>
    </w:p>
    <w:p>
      <w:pPr>
        <w:pStyle w:val="TextBody"/>
        <w:bidi w:val="0"/>
        <w:spacing w:lineRule="auto" w:line="240" w:before="0" w:after="240"/>
        <w:ind w:left="0" w:right="0" w:firstLine="720"/>
        <w:jc w:val="left"/>
        <w:rPr/>
      </w:pPr>
      <w:r>
        <w:rPr>
          <w:rFonts w:ascii="Times New Roman;sans-serif" w:hAnsi="Times New Roman;sans-serif"/>
          <w:b/>
          <w:color w:val="000000"/>
          <w:sz w:val="24"/>
        </w:rPr>
        <w:t>3.6    </w:t>
      </w:r>
      <w:r>
        <w:rPr>
          <w:rFonts w:ascii="Times New Roman;sans-serif" w:hAnsi="Times New Roman;sans-serif"/>
          <w:b/>
          <w:color w:val="000000"/>
          <w:sz w:val="24"/>
          <w:u w:val="single"/>
        </w:rPr>
        <w:t>Termination Without Cause or for Good Reason During the Protection Period</w:t>
      </w:r>
      <w:r>
        <w:rPr>
          <w:rFonts w:ascii="Times New Roman;sans-serif" w:hAnsi="Times New Roman;sans-serif"/>
          <w:b w:val="false"/>
          <w:color w:val="000000"/>
          <w:sz w:val="24"/>
        </w:rPr>
        <w:t xml:space="preserve">. If, during the Employment Term and during the Protection Period, the Key Employee’s employment is terminated by the Company Without Cause or the Key Employee terminates the Key Employee’s employment with the Company for Good Reason, the Key Employee shall be entitled to (a) the Key Employee’s unpaid Base Salary through the date of termination; (b) any compensation and benefits payable pursuant to the terms of the compensation and benefit plans specified in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in which the Key Employee is a participant in accordance with the terms and conditions of such compensation and benefit plans; (c) a lump sum payment equal to the Key Employee’s Severance Pay; and (d) a lump sum payment equal to the product of (i) the number of months in the Severance Period multiplied by (ii) the monthly cost of maintaining health benefits for the Key Employee (and the Key Employee’s spouse and eligible dependents) as of the date of the Key Employee’s termination of employment under a group health plan of the Company for purposes of COBRA, on an after-tax basis and excluding any short-term or long-term disability insurance benefits. Unless otherwise indicated in this Agreement and subject to </w:t>
      </w:r>
      <w:r>
        <w:rPr>
          <w:rFonts w:ascii="Times New Roman;sans-serif" w:hAnsi="Times New Roman;sans-serif"/>
          <w:b w:val="false"/>
          <w:color w:val="000000"/>
          <w:sz w:val="24"/>
          <w:u w:val="single"/>
        </w:rPr>
        <w:t>Section 3.12(a)</w:t>
      </w:r>
      <w:r>
        <w:rPr>
          <w:rFonts w:ascii="Times New Roman;sans-serif" w:hAnsi="Times New Roman;sans-serif"/>
          <w:b w:val="false"/>
          <w:color w:val="000000"/>
          <w:sz w:val="24"/>
        </w:rPr>
        <w:t xml:space="preserve">, the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termination. Subject to </w:t>
      </w:r>
      <w:r>
        <w:rPr>
          <w:rFonts w:ascii="Times New Roman;sans-serif" w:hAnsi="Times New Roman;sans-serif"/>
          <w:b w:val="false"/>
          <w:color w:val="000000"/>
          <w:sz w:val="24"/>
          <w:u w:val="single"/>
        </w:rPr>
        <w:t>Section 3.12(a)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3.12(b)</w:t>
      </w:r>
      <w:r>
        <w:rPr>
          <w:rFonts w:ascii="Times New Roman;sans-serif" w:hAnsi="Times New Roman;sans-serif"/>
          <w:b w:val="false"/>
          <w:color w:val="000000"/>
          <w:sz w:val="24"/>
        </w:rPr>
        <w:t xml:space="preserve">, reimbursements or in-kind benefits to which the Key Employee is entitled that are not exempt from Code Section 409A shall be paid as soon as administratively reasonable following the date of payments as set forth in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- 6 -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- 6 -    </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this Agreement, or the applicable plan, practice, policy or program. Subject to </w:t>
      </w:r>
      <w:r>
        <w:rPr>
          <w:rFonts w:ascii="Times New Roman;sans-serif" w:hAnsi="Times New Roman;sans-serif"/>
          <w:b w:val="false"/>
          <w:color w:val="000000"/>
          <w:sz w:val="24"/>
          <w:u w:val="single"/>
        </w:rPr>
        <w:t>Section 3.8</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3.12(a)</w:t>
      </w:r>
      <w:r>
        <w:rPr>
          <w:rFonts w:ascii="Times New Roman;sans-serif" w:hAnsi="Times New Roman;sans-serif"/>
          <w:b w:val="false"/>
          <w:color w:val="000000"/>
          <w:sz w:val="24"/>
        </w:rPr>
        <w:t xml:space="preserve">, the payment of any Severance Pay and any amounts in respect of health benefits shall be made (or commence) in the month immediately following the month in which the waiver and release of claims described in </w:t>
      </w:r>
      <w:r>
        <w:rPr>
          <w:rFonts w:ascii="Times New Roman;sans-serif" w:hAnsi="Times New Roman;sans-serif"/>
          <w:b w:val="false"/>
          <w:color w:val="000000"/>
          <w:sz w:val="24"/>
          <w:u w:val="single"/>
        </w:rPr>
        <w:t>Section 3.8</w:t>
      </w:r>
      <w:r>
        <w:rPr>
          <w:color w:val="000000"/>
        </w:rPr>
        <w:t xml:space="preserve"> </w:t>
      </w:r>
      <w:r>
        <w:rPr>
          <w:rFonts w:ascii="Times New Roman;sans-serif" w:hAnsi="Times New Roman;sans-serif"/>
          <w:b w:val="false"/>
          <w:color w:val="000000"/>
          <w:sz w:val="24"/>
        </w:rPr>
        <w:t xml:space="preserve">becomes non-revocable, except that, if the maximum period in which the waiver and release of claims described in </w:t>
      </w:r>
      <w:r>
        <w:rPr>
          <w:rFonts w:ascii="Times New Roman;sans-serif" w:hAnsi="Times New Roman;sans-serif"/>
          <w:b w:val="false"/>
          <w:color w:val="000000"/>
          <w:sz w:val="24"/>
          <w:u w:val="single"/>
        </w:rPr>
        <w:t>Section 3.8</w:t>
      </w:r>
      <w:r>
        <w:rPr>
          <w:color w:val="000000"/>
        </w:rPr>
        <w:t xml:space="preserve"> </w:t>
      </w:r>
      <w:r>
        <w:rPr>
          <w:rFonts w:ascii="Times New Roman;sans-serif" w:hAnsi="Times New Roman;sans-serif"/>
          <w:b w:val="false"/>
          <w:color w:val="000000"/>
          <w:sz w:val="24"/>
        </w:rPr>
        <w:t xml:space="preserve">may be revoked ends in the year following the year in which Key Employee incurs a Separation from Service, then the date on which the waiver and release of claims described in </w:t>
      </w:r>
      <w:r>
        <w:rPr>
          <w:rFonts w:ascii="Times New Roman;sans-serif" w:hAnsi="Times New Roman;sans-serif"/>
          <w:b w:val="false"/>
          <w:color w:val="000000"/>
          <w:sz w:val="24"/>
          <w:u w:val="single"/>
        </w:rPr>
        <w:t>Section 3.8</w:t>
      </w:r>
      <w:r>
        <w:rPr>
          <w:color w:val="000000"/>
        </w:rPr>
        <w:t xml:space="preserve"> </w:t>
      </w:r>
      <w:r>
        <w:rPr>
          <w:rFonts w:ascii="Times New Roman;sans-serif" w:hAnsi="Times New Roman;sans-serif"/>
          <w:b w:val="false"/>
          <w:color w:val="000000"/>
          <w:sz w:val="24"/>
        </w:rPr>
        <w:t xml:space="preserve">becomes non-revocable will be deemed to be the later of the (A) the first business day in the year following the year in which Key Employee incurs a Separation from Service and (B) the date on which the waiver and release of claims described in </w:t>
      </w:r>
      <w:r>
        <w:rPr>
          <w:rFonts w:ascii="Times New Roman;sans-serif" w:hAnsi="Times New Roman;sans-serif"/>
          <w:b w:val="false"/>
          <w:color w:val="000000"/>
          <w:sz w:val="24"/>
          <w:u w:val="single"/>
        </w:rPr>
        <w:t>Section 3.8</w:t>
      </w:r>
      <w:r>
        <w:rPr>
          <w:color w:val="000000"/>
        </w:rPr>
        <w:t xml:space="preserve"> </w:t>
      </w:r>
      <w:r>
        <w:rPr>
          <w:rFonts w:ascii="Times New Roman;sans-serif" w:hAnsi="Times New Roman;sans-serif"/>
          <w:b w:val="false"/>
          <w:color w:val="000000"/>
          <w:sz w:val="24"/>
        </w:rPr>
        <w:t xml:space="preserve">becomes non-revocable (without regard to this exception). In the event of the Key Employee’s termination under this </w:t>
      </w:r>
      <w:r>
        <w:rPr>
          <w:rFonts w:ascii="Times New Roman;sans-serif" w:hAnsi="Times New Roman;sans-serif"/>
          <w:b w:val="false"/>
          <w:color w:val="000000"/>
          <w:sz w:val="24"/>
          <w:u w:val="single"/>
        </w:rPr>
        <w:t>Section 3.6</w:t>
      </w:r>
      <w:r>
        <w:rPr>
          <w:rFonts w:ascii="Times New Roman;sans-serif" w:hAnsi="Times New Roman;sans-serif"/>
          <w:b w:val="false"/>
          <w:color w:val="000000"/>
          <w:sz w:val="24"/>
        </w:rPr>
        <w:t xml:space="preserve">, the Key Employee shall not be bound by the provisions of </w:t>
      </w:r>
      <w:r>
        <w:rPr>
          <w:rFonts w:ascii="Times New Roman;sans-serif" w:hAnsi="Times New Roman;sans-serif"/>
          <w:b w:val="false"/>
          <w:color w:val="000000"/>
          <w:sz w:val="24"/>
          <w:u w:val="single"/>
        </w:rPr>
        <w:t>Section 3.9(b)</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color w:val="000000"/>
          <w:sz w:val="24"/>
        </w:rPr>
        <w:t>3.7    </w:t>
      </w:r>
      <w:r>
        <w:rPr>
          <w:rFonts w:ascii="Times New Roman;sans-serif" w:hAnsi="Times New Roman;sans-serif"/>
          <w:b/>
          <w:color w:val="000000"/>
          <w:sz w:val="24"/>
          <w:u w:val="single"/>
        </w:rPr>
        <w:t>Termination of Company’s Obligations</w:t>
      </w:r>
      <w:r>
        <w:rPr>
          <w:rFonts w:ascii="Times New Roman;sans-serif" w:hAnsi="Times New Roman;sans-serif"/>
          <w:b w:val="false"/>
          <w:color w:val="000000"/>
          <w:sz w:val="24"/>
        </w:rPr>
        <w:t xml:space="preserve">. Upon termination of the Key Employee’s employment for any reason, the Company’s obligations under this Agreement shall terminate and the Key Employee shall be entitled to no compensation and benefits other than that provided in this </w:t>
      </w:r>
      <w:r>
        <w:rPr>
          <w:rFonts w:ascii="Times New Roman;sans-serif" w:hAnsi="Times New Roman;sans-serif"/>
          <w:b w:val="false"/>
          <w:color w:val="000000"/>
          <w:sz w:val="24"/>
          <w:u w:val="single"/>
        </w:rPr>
        <w:t>ARTICLE III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xml:space="preserve">. Notwithstanding such termination, the parties’ obligations under </w:t>
      </w:r>
      <w:r>
        <w:rPr>
          <w:rFonts w:ascii="Times New Roman;sans-serif" w:hAnsi="Times New Roman;sans-serif"/>
          <w:b w:val="false"/>
          <w:color w:val="000000"/>
          <w:sz w:val="24"/>
          <w:u w:val="single"/>
        </w:rPr>
        <w:t>Sections 2.5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3.9</w:t>
      </w:r>
      <w:r>
        <w:rPr>
          <w:color w:val="000000"/>
        </w:rPr>
        <w:t xml:space="preserve"> </w:t>
      </w:r>
      <w:r>
        <w:rPr>
          <w:rFonts w:ascii="Times New Roman;sans-serif" w:hAnsi="Times New Roman;sans-serif"/>
          <w:b w:val="false"/>
          <w:color w:val="000000"/>
          <w:sz w:val="24"/>
        </w:rPr>
        <w:t>of this Agreement shall remain in full force and effect.</w:t>
      </w:r>
    </w:p>
    <w:p>
      <w:pPr>
        <w:pStyle w:val="TextBody"/>
        <w:bidi w:val="0"/>
        <w:spacing w:lineRule="auto" w:line="240" w:before="0" w:after="240"/>
        <w:ind w:left="0" w:right="0" w:firstLine="720"/>
        <w:jc w:val="left"/>
        <w:rPr/>
      </w:pPr>
      <w:r>
        <w:rPr>
          <w:rFonts w:ascii="Times New Roman;sans-serif" w:hAnsi="Times New Roman;sans-serif"/>
          <w:b/>
          <w:color w:val="000000"/>
          <w:sz w:val="24"/>
        </w:rPr>
        <w:t>3.8    </w:t>
      </w:r>
      <w:r>
        <w:rPr>
          <w:rFonts w:ascii="Times New Roman;sans-serif" w:hAnsi="Times New Roman;sans-serif"/>
          <w:b/>
          <w:color w:val="000000"/>
          <w:sz w:val="24"/>
          <w:u w:val="single"/>
        </w:rPr>
        <w:t>Release</w:t>
      </w:r>
      <w:r>
        <w:rPr>
          <w:rFonts w:ascii="Times New Roman;sans-serif" w:hAnsi="Times New Roman;sans-serif"/>
          <w:b w:val="false"/>
          <w:color w:val="000000"/>
          <w:sz w:val="24"/>
        </w:rPr>
        <w:t xml:space="preserve">. Notwithstanding the foregoing provisions of this </w:t>
      </w:r>
      <w:r>
        <w:rPr>
          <w:rFonts w:ascii="Times New Roman;sans-serif" w:hAnsi="Times New Roman;sans-serif"/>
          <w:b w:val="false"/>
          <w:color w:val="000000"/>
          <w:sz w:val="24"/>
          <w:u w:val="single"/>
        </w:rPr>
        <w:t>ARTICLE III</w:t>
      </w:r>
      <w:r>
        <w:rPr>
          <w:rFonts w:ascii="Times New Roman;sans-serif" w:hAnsi="Times New Roman;sans-serif"/>
          <w:b w:val="false"/>
          <w:color w:val="000000"/>
          <w:sz w:val="24"/>
        </w:rPr>
        <w:t xml:space="preserve">, the Key Employee shall be entitled to the additional benefits specified in </w:t>
      </w:r>
      <w:r>
        <w:rPr>
          <w:rFonts w:ascii="Times New Roman;sans-serif" w:hAnsi="Times New Roman;sans-serif"/>
          <w:b w:val="false"/>
          <w:color w:val="000000"/>
          <w:sz w:val="24"/>
          <w:u w:val="single"/>
        </w:rPr>
        <w:t>Section 3.5</w:t>
      </w:r>
      <w:r>
        <w:rPr>
          <w:color w:val="000000"/>
        </w:rPr>
        <w:t xml:space="preserve"> </w:t>
      </w:r>
      <w:r>
        <w:rPr>
          <w:rFonts w:ascii="Times New Roman;sans-serif" w:hAnsi="Times New Roman;sans-serif"/>
          <w:b w:val="false"/>
          <w:color w:val="000000"/>
          <w:sz w:val="24"/>
        </w:rPr>
        <w:t xml:space="preserve">(regarding termination Without Cause or for Good Reason outside the Protection Period) and </w:t>
      </w:r>
      <w:r>
        <w:rPr>
          <w:rFonts w:ascii="Times New Roman;sans-serif" w:hAnsi="Times New Roman;sans-serif"/>
          <w:b w:val="false"/>
          <w:color w:val="000000"/>
          <w:sz w:val="24"/>
          <w:u w:val="single"/>
        </w:rPr>
        <w:t>Section 3.6</w:t>
      </w:r>
      <w:r>
        <w:rPr>
          <w:color w:val="000000"/>
        </w:rPr>
        <w:t xml:space="preserve"> </w:t>
      </w:r>
      <w:r>
        <w:rPr>
          <w:rFonts w:ascii="Times New Roman;sans-serif" w:hAnsi="Times New Roman;sans-serif"/>
          <w:b w:val="false"/>
          <w:color w:val="000000"/>
          <w:sz w:val="24"/>
        </w:rPr>
        <w:t xml:space="preserve">(regarding termination Without Cause or for Good Reason during the Protection Period) (i.e., those in addition to the payment of the Key Employee’s Base Salary through the date of termination and any benefits payable pursuant to the terms of the compensation and benefit plans specified in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in which the Key Employee is a participant), only upon the Key Employee’s execution (and non-revocation) and delivery to the Company of a waiver and release of all claims substantially in the form used by the Company for similarly situated employees, which execution (and non-revocation) and delivery must occur before the forty-fifth (45th) day immediately following the date of termination. The Company shall have no obligations under </w:t>
      </w:r>
      <w:r>
        <w:rPr>
          <w:rFonts w:ascii="Times New Roman;sans-serif" w:hAnsi="Times New Roman;sans-serif"/>
          <w:b w:val="false"/>
          <w:color w:val="000000"/>
          <w:sz w:val="24"/>
          <w:u w:val="single"/>
        </w:rPr>
        <w:t>Section 3.5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3.6</w:t>
      </w:r>
      <w:r>
        <w:rPr>
          <w:rFonts w:ascii="Times New Roman;sans-serif" w:hAnsi="Times New Roman;sans-serif"/>
          <w:b w:val="false"/>
          <w:color w:val="000000"/>
          <w:sz w:val="24"/>
        </w:rPr>
        <w:t xml:space="preserve">, as applicable, if the Key Employee fails to deliver (and not revoke) the executed waiver and release of claims to the Company within the specified period of time. Notwithstanding the foregoing, if the Company does not deliver the form of release to the Key Employee within three (3) business days following the date of termination, then any requirement for the Key Employee to execute (and not revoke) and deliver the release as a condition of receiving any payments under </w:t>
      </w:r>
      <w:r>
        <w:rPr>
          <w:rFonts w:ascii="Times New Roman;sans-serif" w:hAnsi="Times New Roman;sans-serif"/>
          <w:b w:val="false"/>
          <w:color w:val="000000"/>
          <w:sz w:val="24"/>
          <w:u w:val="single"/>
        </w:rPr>
        <w:t>Section 3.5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3.6</w:t>
      </w:r>
      <w:r>
        <w:rPr>
          <w:rFonts w:ascii="Times New Roman;sans-serif" w:hAnsi="Times New Roman;sans-serif"/>
          <w:b w:val="false"/>
          <w:color w:val="000000"/>
          <w:sz w:val="24"/>
        </w:rPr>
        <w:t xml:space="preserve">, as applicable, will have no effect, and the Key Employee will be entitled to receive any payments to which the Key Employee otherwise qualifies under </w:t>
      </w:r>
      <w:r>
        <w:rPr>
          <w:rFonts w:ascii="Times New Roman;sans-serif" w:hAnsi="Times New Roman;sans-serif"/>
          <w:b w:val="false"/>
          <w:color w:val="000000"/>
          <w:sz w:val="24"/>
          <w:u w:val="single"/>
        </w:rPr>
        <w:t>Section 3.5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3.6</w:t>
      </w:r>
      <w:r>
        <w:rPr>
          <w:rFonts w:ascii="Times New Roman;sans-serif" w:hAnsi="Times New Roman;sans-serif"/>
          <w:b w:val="false"/>
          <w:color w:val="000000"/>
          <w:sz w:val="24"/>
        </w:rPr>
        <w:t>,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- 7 -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- 7 -    </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color w:val="000000"/>
          <w:sz w:val="24"/>
        </w:rPr>
        <w:t>3.9    </w:t>
      </w:r>
      <w:r>
        <w:rPr>
          <w:rFonts w:ascii="Times New Roman;sans-serif" w:hAnsi="Times New Roman;sans-serif"/>
          <w:b/>
          <w:color w:val="000000"/>
          <w:sz w:val="24"/>
          <w:u w:val="single"/>
        </w:rPr>
        <w:t>Non-Competition; Non-Solicitation; Confidentiality</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    The Key Employee acknowledges and agrees that: (i) the Company is engaged in the business of power line and commercial/industrial electrical construction services for electric utilities, telecommunication providers, commercial/industrial facilities, and government agencies and electrical construction and maintenance services for industrial and power generation clients (the “</w:t>
      </w:r>
      <w:r>
        <w:rPr>
          <w:rFonts w:ascii="Times New Roman;sans-serif" w:hAnsi="Times New Roman;sans-serif"/>
          <w:b/>
          <w:color w:val="000000"/>
          <w:sz w:val="24"/>
        </w:rPr>
        <w:t>Business</w:t>
      </w:r>
      <w:r>
        <w:rPr>
          <w:color w:val="000000"/>
        </w:rPr>
        <w:t>”</w:t>
      </w:r>
      <w:r>
        <w:rPr>
          <w:rFonts w:ascii="Times New Roman;sans-serif" w:hAnsi="Times New Roman;sans-serif"/>
          <w:b w:val="false"/>
          <w:color w:val="000000"/>
          <w:sz w:val="24"/>
        </w:rPr>
        <w:t xml:space="preserve">); (ii) the Business is intensely competitive; (iii) the Key Employee’s customer relationships are near permanent and but for the Key Employee’s association with the Company, the Key Employee would not have had contact with the customers; (iv) the Key Employee will continue to develop and have access to and knowledge of non-public information of the Company and its clients; (v) the direct or indirect disclosure of any such confidential information to existing or potential competitors of the Company would place the Company at a competitive disadvantage and would do damage to the Company; (vi) the Key Employee has developed goodwill with the Company’s clients at the substantial expense of the Company; (vii) but for the Key Employee entering into the covenants set forth in this </w:t>
      </w:r>
      <w:r>
        <w:rPr>
          <w:rFonts w:ascii="Times New Roman;sans-serif" w:hAnsi="Times New Roman;sans-serif"/>
          <w:b w:val="false"/>
          <w:color w:val="000000"/>
          <w:sz w:val="24"/>
          <w:u w:val="single"/>
        </w:rPr>
        <w:t>Section 3.9</w:t>
      </w:r>
      <w:r>
        <w:rPr>
          <w:rFonts w:ascii="Times New Roman;sans-serif" w:hAnsi="Times New Roman;sans-serif"/>
          <w:b w:val="false"/>
          <w:color w:val="000000"/>
          <w:sz w:val="24"/>
        </w:rPr>
        <w:t xml:space="preserve">, the Company would not have entered into this Agreement; (viii) the Key Employee engaging in any of the activities prohibited by this </w:t>
      </w:r>
      <w:r>
        <w:rPr>
          <w:rFonts w:ascii="Times New Roman;sans-serif" w:hAnsi="Times New Roman;sans-serif"/>
          <w:b w:val="false"/>
          <w:color w:val="000000"/>
          <w:sz w:val="24"/>
          <w:u w:val="single"/>
        </w:rPr>
        <w:t>Section 3.9</w:t>
      </w:r>
      <w:r>
        <w:rPr>
          <w:rFonts w:ascii="Times New Roman;sans-serif" w:hAnsi="Times New Roman;sans-serif"/>
          <w:b w:val="false"/>
          <w:color w:val="000000"/>
          <w:sz w:val="24"/>
        </w:rPr>
        <w:t xml:space="preserve">, would constitute improper appropriation and/or use of the Company’s confidential information and/or goodwill; (ix) the Key Employee’s association with the Company is expected to be critical to the success of the Company; (x) the services to be rendered by the Key Employee to the Company are of a special and unique character; (xi) the Company conducts the Business throughout North America; (xii) the noncompetition and other restrictive covenants and agreements set forth in this Agreement are fair and reasonable and it would not be reasonable for the Company to enter into this Agreement without obtaining such non-competition and other restrictive covenants and agreements; and (xiii) in light of the foregoing and of the Key Employee’s education, skills, abilities and financial resources, the Key Employee acknowledges and agrees that the Key Employee will not assert, and it should not be considered, that enforcement of any of the covenants set forth in this </w:t>
      </w:r>
      <w:r>
        <w:rPr>
          <w:rFonts w:ascii="Times New Roman;sans-serif" w:hAnsi="Times New Roman;sans-serif"/>
          <w:b w:val="false"/>
          <w:color w:val="000000"/>
          <w:sz w:val="24"/>
          <w:u w:val="single"/>
        </w:rPr>
        <w:t>Section 3.9</w:t>
      </w:r>
      <w:r>
        <w:rPr>
          <w:color w:val="000000"/>
        </w:rPr>
        <w:t xml:space="preserve"> </w:t>
      </w:r>
      <w:r>
        <w:rPr>
          <w:rFonts w:ascii="Times New Roman;sans-serif" w:hAnsi="Times New Roman;sans-serif"/>
          <w:b w:val="false"/>
          <w:color w:val="000000"/>
          <w:sz w:val="24"/>
        </w:rPr>
        <w:t>would prevent the Key Employee from earning a living or otherwise are void, voidable or unenforceable or should be voided or held unenforceable.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Agreement not to Compete</w:t>
      </w:r>
      <w:r>
        <w:rPr>
          <w:rFonts w:ascii="Times New Roman;sans-serif" w:hAnsi="Times New Roman;sans-serif"/>
          <w:b w:val="false"/>
          <w:color w:val="000000"/>
          <w:sz w:val="24"/>
        </w:rPr>
        <w:t>. The Key Employee will not, during the Key Employee’s employment and the Post-Termination Period, directly or indirectly, carry on or conduct, the Business or any business of the nature in which the Company or its subsidiaries are then engaged in any geographical area in which the Company or its subsidiaries or affiliates engage in business at the time of such termination or any new line of business with respect to which the Key Employee has created, received or had access to confidential information (as set forth below). The Key Employee agrees that the Key Employee will not so conduct or engage in the Business or any such business in any capacity, including as an individual on the Key Employee’s own account or as a partner or joint venturer or as an employee, agent, consultant or salesman for any other person or entity, or as an officer or director of a corporation, provided, that the Key Employee may be a shareholder in any public corporation if the Key Employee does not own ten percent (10%) or more of any class of its stock.</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- 8 -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- 8 -    </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The Key Employee will not, directly or indirectly, during the Key Employee’s employment and at any time following termination of the Key Employee’s employment with the Company for any reason, reveal, divulge or make known to any person or entity, or use for the Key Employee’s personal benefit (including for the purpose of soliciting business, whether or not competitive with any business of the Company or its subsidiaries or affiliates), any information acquired during the Employment Term with regard to the financial, business or other affairs of the Company or its subsidiaries or affiliates (including any list or record of persons or entities with which the Company or its subsidiaries or affiliates has any dealings), other than (i) for purposes of performing the Key Employee’s duties and responsibilities pursuant to this Agreement; (ii) information already in the public domain; or (iii) information that the Key Employee is required to disclose under the following circumstances: (A) at the direction of any authorized governmental entity; (B) pursuant to a subpoena or other court process; (C) as otherwise required by law or the rules, regulations, or orders of any applicable regulatory body; or (D) as otherwise necessary, in the opinion of counsel for the Key Employee, to be disclosed by the Key Employee in connection with any legal action or proceeding involving the Key Employee in the Key Employee’s capacity as an employee, officer, director, or stockholder of the Company or any subsidiary or affiliate of the Company.</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The Key Employee will, upon the earlier of (i) any time requested by the Company or (ii) termination of the Key Employee’s employment with the Company for any reason, promptly deliver to the Company all documents, memoranda, notes, reports, lists, files, customer lists, mailing lists, software, disks, credit cards, door and file keys, computer access codes, instructional manuals, and other physical or personal property which the Key Employee received or prepared or helped to prepare in connection with the Key Employee’s relationship with the Company including, but not limited to, any confidential information (as set forth above) of the Company or any of its subsidiaries and affiliates which the Key Employee may then possess or have under the Key Employee’s control, and the Key Employee shall not retain any copies, duplicates, reproductions or excerpts thereof.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Agreement not to Solicit</w:t>
      </w:r>
      <w:r>
        <w:rPr>
          <w:rFonts w:ascii="Times New Roman;sans-serif" w:hAnsi="Times New Roman;sans-serif"/>
          <w:b w:val="false"/>
          <w:color w:val="000000"/>
          <w:sz w:val="24"/>
        </w:rPr>
        <w:t>. During the Employment Term and for the Post-Termination Period, the Key Employee shall not (except on behalf of or with the written consent of the Company), either directly or indirectly, on the Key Employee’s own behalf or in the service or on behalf of others, (i) solicit, divert, or appropriate, or (ii) attempt to solicit, divert, or appropriate, any person or entity that is or was a customer of the Company or any of its affiliates at any time during the twelve (12) months prior to the date of the Key Employee’s termination and with whom the Key Employee has had material contact.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Agreement not to Recruit</w:t>
      </w:r>
      <w:r>
        <w:rPr>
          <w:rFonts w:ascii="Times New Roman;sans-serif" w:hAnsi="Times New Roman;sans-serif"/>
          <w:b w:val="false"/>
          <w:color w:val="000000"/>
          <w:sz w:val="24"/>
        </w:rPr>
        <w:t>. During the Employment Term and for the Post-Termination Period, the Key Employee shall not, either directly or indirectly, on the Key Employee’s behalf or in the service or on behalf of others, (i) solicit, divert, or hire away, or (ii) attempt to solicit, divert, or hire away, any employee of or consultant to the Company or its subsidiaries or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- 9 -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- 9 -    </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Reasonableness of Restrictions</w:t>
      </w:r>
      <w:r>
        <w:rPr>
          <w:rFonts w:ascii="Times New Roman;sans-serif" w:hAnsi="Times New Roman;sans-serif"/>
          <w:b w:val="false"/>
          <w:color w:val="000000"/>
          <w:sz w:val="24"/>
        </w:rPr>
        <w:t xml:space="preserve">. The Key Employee acknowledges that the geographic boundaries, scope of prohibited activities, and time duration set forth in this </w:t>
      </w:r>
      <w:r>
        <w:rPr>
          <w:rFonts w:ascii="Times New Roman;sans-serif" w:hAnsi="Times New Roman;sans-serif"/>
          <w:b w:val="false"/>
          <w:color w:val="000000"/>
          <w:sz w:val="24"/>
          <w:u w:val="single"/>
        </w:rPr>
        <w:t>Section 3.9</w:t>
      </w:r>
      <w:r>
        <w:rPr>
          <w:color w:val="000000"/>
        </w:rPr>
        <w:t xml:space="preserve"> </w:t>
      </w:r>
      <w:r>
        <w:rPr>
          <w:rFonts w:ascii="Times New Roman;sans-serif" w:hAnsi="Times New Roman;sans-serif"/>
          <w:b w:val="false"/>
          <w:color w:val="000000"/>
          <w:sz w:val="24"/>
        </w:rPr>
        <w:t xml:space="preserve">are reasonable in nature and are no broader than are necessary to maintain the goodwill of the Company and the confidentiality of its confidential information and to protect the legitimate business interests of the Company, and that the enforcement of such provisions would not cause the Key Employee any undue hardship nor unreasonably interfere with the Key Employee’s ability to earn a livelihood. If any court determines that any portion of this </w:t>
      </w:r>
      <w:r>
        <w:rPr>
          <w:rFonts w:ascii="Times New Roman;sans-serif" w:hAnsi="Times New Roman;sans-serif"/>
          <w:b w:val="false"/>
          <w:color w:val="000000"/>
          <w:sz w:val="24"/>
          <w:u w:val="single"/>
        </w:rPr>
        <w:t>Section 3.9</w:t>
      </w:r>
      <w:r>
        <w:rPr>
          <w:color w:val="000000"/>
        </w:rPr>
        <w:t xml:space="preserve"> </w:t>
      </w:r>
      <w:r>
        <w:rPr>
          <w:rFonts w:ascii="Times New Roman;sans-serif" w:hAnsi="Times New Roman;sans-serif"/>
          <w:b w:val="false"/>
          <w:color w:val="000000"/>
          <w:sz w:val="24"/>
        </w:rPr>
        <w:t xml:space="preserve">is invalid or unenforceable, the remainder of this </w:t>
      </w:r>
      <w:r>
        <w:rPr>
          <w:rFonts w:ascii="Times New Roman;sans-serif" w:hAnsi="Times New Roman;sans-serif"/>
          <w:b w:val="false"/>
          <w:color w:val="000000"/>
          <w:sz w:val="24"/>
          <w:u w:val="single"/>
        </w:rPr>
        <w:t>Section 3.9</w:t>
      </w:r>
      <w:r>
        <w:rPr>
          <w:color w:val="000000"/>
        </w:rPr>
        <w:t xml:space="preserve"> </w:t>
      </w:r>
      <w:r>
        <w:rPr>
          <w:rFonts w:ascii="Times New Roman;sans-serif" w:hAnsi="Times New Roman;sans-serif"/>
          <w:b w:val="false"/>
          <w:color w:val="000000"/>
          <w:sz w:val="24"/>
        </w:rPr>
        <w:t xml:space="preserve">will not thereby be affected and will be given full effect without regard to the invalid provisions. If any court construes any of the provisions of this </w:t>
      </w:r>
      <w:r>
        <w:rPr>
          <w:rFonts w:ascii="Times New Roman;sans-serif" w:hAnsi="Times New Roman;sans-serif"/>
          <w:b w:val="false"/>
          <w:color w:val="000000"/>
          <w:sz w:val="24"/>
          <w:u w:val="single"/>
        </w:rPr>
        <w:t>Section 3.9</w:t>
      </w:r>
      <w:r>
        <w:rPr>
          <w:rFonts w:ascii="Times New Roman;sans-serif" w:hAnsi="Times New Roman;sans-serif"/>
          <w:b w:val="false"/>
          <w:color w:val="000000"/>
          <w:sz w:val="24"/>
        </w:rPr>
        <w:t>, or any part thereof, to be unreasonable because of the duration or scope of such provision, such court shall reduce the duration or scope of such provision and enforce such provision as so reduced.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Enforcement</w:t>
      </w:r>
      <w:r>
        <w:rPr>
          <w:rFonts w:ascii="Times New Roman;sans-serif" w:hAnsi="Times New Roman;sans-serif"/>
          <w:b w:val="false"/>
          <w:color w:val="000000"/>
          <w:sz w:val="24"/>
        </w:rPr>
        <w:t>. Upon the Key Employee’s employment with an entity that is not a subsidiary or affiliate of the Company (a “</w:t>
      </w:r>
      <w:r>
        <w:rPr>
          <w:rFonts w:ascii="Times New Roman;sans-serif" w:hAnsi="Times New Roman;sans-serif"/>
          <w:b/>
          <w:color w:val="000000"/>
          <w:sz w:val="24"/>
        </w:rPr>
        <w:t>Successor Employer</w:t>
      </w:r>
      <w:r>
        <w:rPr>
          <w:color w:val="000000"/>
        </w:rPr>
        <w:t>”</w:t>
      </w:r>
      <w:r>
        <w:rPr>
          <w:rFonts w:ascii="Times New Roman;sans-serif" w:hAnsi="Times New Roman;sans-serif"/>
          <w:b w:val="false"/>
          <w:color w:val="000000"/>
          <w:sz w:val="24"/>
        </w:rPr>
        <w:t xml:space="preserve">) during the period that the provisions of this </w:t>
      </w:r>
      <w:r>
        <w:rPr>
          <w:rFonts w:ascii="Times New Roman;sans-serif" w:hAnsi="Times New Roman;sans-serif"/>
          <w:b w:val="false"/>
          <w:color w:val="000000"/>
          <w:sz w:val="24"/>
          <w:u w:val="single"/>
        </w:rPr>
        <w:t>Section 3.9</w:t>
      </w:r>
      <w:r>
        <w:rPr>
          <w:color w:val="000000"/>
        </w:rPr>
        <w:t xml:space="preserve"> </w:t>
      </w:r>
      <w:r>
        <w:rPr>
          <w:rFonts w:ascii="Times New Roman;sans-serif" w:hAnsi="Times New Roman;sans-serif"/>
          <w:b w:val="false"/>
          <w:color w:val="000000"/>
          <w:sz w:val="24"/>
        </w:rPr>
        <w:t xml:space="preserve">remain in effect, the Key Employee will provide such Successor Employer with a copy of this Agreement and will notify the Company of such employment within thirty (30) days thereof. The Key Employee agrees that in the event of a breach or threatened breach of the terms and conditions of this </w:t>
      </w:r>
      <w:r>
        <w:rPr>
          <w:rFonts w:ascii="Times New Roman;sans-serif" w:hAnsi="Times New Roman;sans-serif"/>
          <w:b w:val="false"/>
          <w:color w:val="000000"/>
          <w:sz w:val="24"/>
          <w:u w:val="single"/>
        </w:rPr>
        <w:t>Section 3.9</w:t>
      </w:r>
      <w:r>
        <w:rPr>
          <w:color w:val="000000"/>
        </w:rPr>
        <w:t xml:space="preserve"> </w:t>
      </w:r>
      <w:r>
        <w:rPr>
          <w:rFonts w:ascii="Times New Roman;sans-serif" w:hAnsi="Times New Roman;sans-serif"/>
          <w:b w:val="false"/>
          <w:color w:val="000000"/>
          <w:sz w:val="24"/>
        </w:rPr>
        <w:t xml:space="preserve">by the Key Employee, the Company will be entitled, if it so elects, to institute and prosecute proceedings, either in law or in equity, against the Key Employee, to obtain damages for any such breach, or to enjoin (in the form of specific performance, temporary restraining order, temporary or permanent injunction or otherwise) the Key Employee from any conduct in violation of this </w:t>
      </w:r>
      <w:r>
        <w:rPr>
          <w:rFonts w:ascii="Times New Roman;sans-serif" w:hAnsi="Times New Roman;sans-serif"/>
          <w:b w:val="false"/>
          <w:color w:val="000000"/>
          <w:sz w:val="24"/>
          <w:u w:val="single"/>
        </w:rPr>
        <w:t>Section 3.9</w:t>
      </w:r>
      <w:r>
        <w:rPr>
          <w:rFonts w:ascii="Times New Roman;sans-serif" w:hAnsi="Times New Roman;sans-serif"/>
          <w:b w:val="false"/>
          <w:color w:val="000000"/>
          <w:sz w:val="24"/>
        </w:rPr>
        <w:t>, without having to post a bond.</w:t>
      </w:r>
    </w:p>
    <w:p>
      <w:pPr>
        <w:pStyle w:val="TextBody"/>
        <w:bidi w:val="0"/>
        <w:spacing w:lineRule="auto" w:line="240" w:before="0" w:after="240"/>
        <w:ind w:left="0" w:right="0" w:firstLine="720"/>
        <w:jc w:val="left"/>
        <w:rPr/>
      </w:pPr>
      <w:r>
        <w:rPr>
          <w:rFonts w:ascii="Times New Roman;sans-serif" w:hAnsi="Times New Roman;sans-serif"/>
          <w:b/>
          <w:color w:val="000000"/>
          <w:sz w:val="24"/>
        </w:rPr>
        <w:t>3.10    </w:t>
      </w:r>
      <w:r>
        <w:rPr>
          <w:rFonts w:ascii="Times New Roman;sans-serif" w:hAnsi="Times New Roman;sans-serif"/>
          <w:b/>
          <w:color w:val="000000"/>
          <w:sz w:val="24"/>
          <w:u w:val="single"/>
        </w:rPr>
        <w:t>Parachute Payments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    Notwithstanding anything to the contrary in this Agreement, in the event that any payment or distribution to or for the Key Employee’s benefit,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(all such payments and benefits, together, the “</w:t>
      </w:r>
      <w:r>
        <w:rPr>
          <w:rFonts w:ascii="Times New Roman;sans-serif" w:hAnsi="Times New Roman;sans-serif"/>
          <w:b/>
          <w:color w:val="000000"/>
          <w:sz w:val="24"/>
        </w:rPr>
        <w:t>Total Payments</w:t>
      </w:r>
      <w:r>
        <w:rPr>
          <w:color w:val="000000"/>
        </w:rPr>
        <w:t>”</w:t>
      </w:r>
      <w:r>
        <w:rPr>
          <w:rFonts w:ascii="Times New Roman;sans-serif" w:hAnsi="Times New Roman;sans-serif"/>
          <w:b w:val="false"/>
          <w:color w:val="000000"/>
          <w:sz w:val="24"/>
        </w:rPr>
        <w:t>), would be subject (in whole or part), to any excise tax imposed under Section 4999 of the Code, or any successor provision thereto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xml:space="preserve">), then, after taking into account any reduction in the Total Payments provided by reason of Section 280G of the Code in such other agreement, policy, plan, program or arrangement, the Company will reduce the Total Payments to the extent necessary so that no portion of the Total Payments is subject to the Excise Tax (but in no event to less than zero), in the following order: (i) the payments that are payable in cash that are valued at full value under Treasury Regulation Section 1.280G-1, Q&amp;A 24(a) shall be reduced (if necessary, to zero), with amounts that are payable last reduced first; (ii) payments and benefits due in respect of any equity valued at full value under Treasury Regulation Section 1.280G-1, Q&amp;A 24(a), with the highest values reduced first (as such values are determined under Treasury Regulation Section 1.280G-1, Q&amp;A 24) shall next be reduced; (iii) the payments that are payable in cash that are valued at less than full value under Treasury Regulation Section 1.280G-1, Q&amp;A 24, with amounts that are payable last reduced first, shall next be reduced; (iv) payments and benefits due in respect of any equity valued at less than full value under Treasury Regulation Section 1.280G-1, Q&amp;A 24, with the highest values reduced first (as such values are determined under Treasury Regulation Section 1.280G-1, Q&amp;A 24) shall next be reduced; and (v) all other non-cash benefits not otherwise described in clauses (ii) or (iv) shall be next reduced pro-rata; provided, however, that the Total Payments shall only be reduced if (A) the net amount of such Total Payments, as so reduced (and after subtracting the net amount of federal, state, municipal and local income taxes on such reduced Total Payments and after taking into account the phase out of itemized deductions and personal exemptions attributable to such reduced Total Payments), is greater than or equal to (B)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- 10 -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- 10 -    </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net amount of such Total Payments without such reduction (but after subtracting the net amount of federal, state, municipal and local income taxes on such Total Payments and the amount of Excise Tax to which the Key Employee would be subject in respect of such unreduced Total Payments and after taking into account the phase out of itemized deductions and personal exemptions attributable to such unreduced Total Payments).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    For purposes of determining whether and the extent to which the Total Payments will be subject to the Excise Tax: (i) no portion of the Total Payments the receipt or enjoyment of which the Key Employee shall have waived at such time and in such manner as not to constitute a “payment” within the meaning of Section 280G(b) of the Code shall be taken into account; (ii) no portion of the Total Payments shall be taken into account which, in the opinion of tax counsel (“</w:t>
      </w:r>
      <w:r>
        <w:rPr>
          <w:rFonts w:ascii="Times New Roman;sans-serif" w:hAnsi="Times New Roman;sans-serif"/>
          <w:b/>
          <w:color w:val="000000"/>
          <w:sz w:val="24"/>
        </w:rPr>
        <w:t>Tax Counsel</w:t>
      </w:r>
      <w:r>
        <w:rPr>
          <w:color w:val="000000"/>
        </w:rPr>
        <w:t>”</w:t>
      </w:r>
      <w:r>
        <w:rPr>
          <w:rFonts w:ascii="Times New Roman;sans-serif" w:hAnsi="Times New Roman;sans-serif"/>
          <w:b w:val="false"/>
          <w:color w:val="000000"/>
          <w:sz w:val="24"/>
        </w:rPr>
        <w:t>) reasonably acceptable to the Key Employee and selected by the accounting firm which was, immediately prior to the change in control, the Company’s independent auditor (the “</w:t>
      </w:r>
      <w:r>
        <w:rPr>
          <w:rFonts w:ascii="Times New Roman;sans-serif" w:hAnsi="Times New Roman;sans-serif"/>
          <w:b/>
          <w:color w:val="000000"/>
          <w:sz w:val="24"/>
        </w:rPr>
        <w:t>Auditor</w:t>
      </w:r>
      <w:r>
        <w:rPr>
          <w:color w:val="000000"/>
        </w:rPr>
        <w:t>”</w:t>
      </w:r>
      <w:r>
        <w:rPr>
          <w:rFonts w:ascii="Times New Roman;sans-serif" w:hAnsi="Times New Roman;sans-serif"/>
          <w:b w:val="false"/>
          <w:color w:val="000000"/>
          <w:sz w:val="24"/>
        </w:rPr>
        <w:t>), does not constitute a “parachute payment” within the meaning of Section 280G(b)(2) of the Code (including by reason of Section 280G(b)(4)(A) of the Code) and, in calculating the Excise Tax, no portion of such Total Payments shall be taken into account which, in the opinion of Tax Counsel, constitutes reasonable compensation for services actually rendered, within the meaning of Section 280G(b)(4)(B) of the Code, in excess of the “base amount” (as set forth in Section 280G(b)(3) of the Code) that is allocable to such reasonable compensation; and (iii) the value of any non-cash benefit or any deferred payment or benefit included in the Total Payments shall be determined by the Auditor in accordance with the principles of Sections 280G(d)(3) and (4) of the Code.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 xml:space="preserve">(c)    At the time that payments are made under this Agreement, the Company shall provide the Key Employee with a written statement setting forth the manner in which such payments were calculated and the basis for such calculations, including any opinions or other advice the Company received from Tax Counsel, the Auditor, or other advisors or consultants (and any such opinions or advice which are in writing shall be attached to the statement). If the Key Employee objects to the Company’s calculations, the Company shall pay to the Key Employee such portion of the Total Payments (up to 100% thereof) as the Key Employee determines is necessary to result in the proper application of this </w:t>
      </w:r>
      <w:r>
        <w:rPr>
          <w:rFonts w:ascii="Times New Roman;sans-serif" w:hAnsi="Times New Roman;sans-serif"/>
          <w:b w:val="false"/>
          <w:color w:val="000000"/>
          <w:sz w:val="24"/>
          <w:u w:val="single"/>
        </w:rPr>
        <w:t>Section 3.10</w:t>
      </w:r>
      <w:r>
        <w:rPr>
          <w:rFonts w:ascii="Times New Roman;sans-serif" w:hAnsi="Times New Roman;sans-serif"/>
          <w:b w:val="false"/>
          <w:color w:val="000000"/>
          <w:sz w:val="24"/>
        </w:rPr>
        <w:t xml:space="preserve">. All determinations required by this </w:t>
      </w:r>
      <w:r>
        <w:rPr>
          <w:rFonts w:ascii="Times New Roman;sans-serif" w:hAnsi="Times New Roman;sans-serif"/>
          <w:b w:val="false"/>
          <w:color w:val="000000"/>
          <w:sz w:val="24"/>
          <w:u w:val="single"/>
        </w:rPr>
        <w:t>Section 3.10</w:t>
      </w:r>
      <w:r>
        <w:rPr>
          <w:color w:val="000000"/>
        </w:rPr>
        <w:t xml:space="preserve"> </w:t>
      </w:r>
      <w:r>
        <w:rPr>
          <w:rFonts w:ascii="Times New Roman;sans-serif" w:hAnsi="Times New Roman;sans-serif"/>
          <w:b w:val="false"/>
          <w:color w:val="000000"/>
          <w:sz w:val="24"/>
        </w:rPr>
        <w:t xml:space="preserve">(or requested by either the Key Employee or the Company in connection with this </w:t>
      </w:r>
      <w:r>
        <w:rPr>
          <w:rFonts w:ascii="Times New Roman;sans-serif" w:hAnsi="Times New Roman;sans-serif"/>
          <w:b w:val="false"/>
          <w:color w:val="000000"/>
          <w:sz w:val="24"/>
          <w:u w:val="single"/>
        </w:rPr>
        <w:t>Section 3.10</w:t>
      </w:r>
      <w:r>
        <w:rPr>
          <w:rFonts w:ascii="Times New Roman;sans-serif" w:hAnsi="Times New Roman;sans-serif"/>
          <w:b w:val="false"/>
          <w:color w:val="000000"/>
          <w:sz w:val="24"/>
        </w:rPr>
        <w:t>) shall be at the expense of the Company.</w:t>
      </w:r>
    </w:p>
    <w:p>
      <w:pPr>
        <w:pStyle w:val="TextBody"/>
        <w:bidi w:val="0"/>
        <w:spacing w:lineRule="auto" w:line="240" w:before="0" w:after="240"/>
        <w:ind w:left="0" w:right="0" w:firstLine="720"/>
        <w:jc w:val="left"/>
        <w:rPr/>
      </w:pPr>
      <w:r>
        <w:rPr>
          <w:rFonts w:ascii="Times New Roman;sans-serif" w:hAnsi="Times New Roman;sans-serif"/>
          <w:b/>
          <w:color w:val="000000"/>
          <w:sz w:val="24"/>
        </w:rPr>
        <w:t>3.11    </w:t>
      </w:r>
      <w:r>
        <w:rPr>
          <w:rFonts w:ascii="Times New Roman;sans-serif" w:hAnsi="Times New Roman;sans-serif"/>
          <w:b/>
          <w:color w:val="000000"/>
          <w:sz w:val="24"/>
          <w:u w:val="single"/>
        </w:rPr>
        <w:t>Intentionally Omitted</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color w:val="000000"/>
          <w:sz w:val="24"/>
        </w:rPr>
        <w:t>3.12    </w:t>
      </w:r>
      <w:r>
        <w:rPr>
          <w:rFonts w:ascii="Times New Roman;sans-serif" w:hAnsi="Times New Roman;sans-serif"/>
          <w:b/>
          <w:color w:val="000000"/>
          <w:sz w:val="24"/>
          <w:u w:val="single"/>
        </w:rPr>
        <w:t>Payments Subject to Section 409A of the Code</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 xml:space="preserve">(a)    Notwithstanding the foregoing provisions of this </w:t>
      </w:r>
      <w:r>
        <w:rPr>
          <w:rFonts w:ascii="Times New Roman;sans-serif" w:hAnsi="Times New Roman;sans-serif"/>
          <w:b w:val="false"/>
          <w:color w:val="000000"/>
          <w:sz w:val="24"/>
          <w:u w:val="single"/>
        </w:rPr>
        <w:t>ARTICLE III</w:t>
      </w:r>
      <w:r>
        <w:rPr>
          <w:rFonts w:ascii="Times New Roman;sans-serif" w:hAnsi="Times New Roman;sans-serif"/>
          <w:b w:val="false"/>
          <w:color w:val="000000"/>
          <w:sz w:val="24"/>
        </w:rPr>
        <w:t>, to the extent required by Section 409A of the Code and applicable guidance thereunder, payments that the Key Employee would otherwise be entitled to receive hereunder during the first six months following the date of the Key Employee’s termination of employment will be accumulated and paid on the date that is six months and one day after the date of the Key Employee’s termination of employment (or if such payment date does not fall on a business day of the Company, the next following business day of the Company), or such earlier date upon which such amount can be paid without adverse tax consequences to the Key Employee under Section 409A of the Code; provided, however, that no such delay shall apply with respect to payments to which the Key Employee is entitled in the event of the Key Employee’s death.</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- 11 -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- 11 -    </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 xml:space="preserve">(b)    Any reimbursement of expenses or in-kind benefits provided under this Agreement, that is subject to and not exempt from Section 409A of the Code, shall be subject to the following additional rules: (i) any reimbursement of eligible expenses shall be paid as they are incurred (but not prior to the end of the six-month delay period set forth in </w:t>
      </w:r>
      <w:r>
        <w:rPr>
          <w:rFonts w:ascii="Times New Roman;sans-serif" w:hAnsi="Times New Roman;sans-serif"/>
          <w:b w:val="false"/>
          <w:color w:val="000000"/>
          <w:sz w:val="24"/>
          <w:u w:val="single"/>
        </w:rPr>
        <w:t>Section 3.12(a)</w:t>
      </w:r>
      <w:r>
        <w:rPr>
          <w:rFonts w:ascii="Times New Roman;sans-serif" w:hAnsi="Times New Roman;sans-serif"/>
          <w:b w:val="false"/>
          <w:color w:val="000000"/>
          <w:sz w:val="24"/>
        </w:rPr>
        <w:t>); provided that the Key Employee first provides documentation thereof in reasonable detail not later than sixty (60) days following the end of the calendar year in which the eligible expenses were incurred; (ii) the amount of expenses eligible for reimbursement, or in-kind benefits provided, during any calendar year shall not affect the amount of expenses eligible for reimbursement, or in-kind benefits to be provided, during any other calendar year; and (iii) the right to reimbursement or in-kind benefits shall not be subject to liquidation or exchange for another benefit.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For purposes of determining the Key Employee’s entitlement to payment of any cash or other remuneration which is deferred compensation under Section 409A of the Code, any provision of this Agreement providing for payment of any such cash or remuneration upon “termination,” “termination of employment” or other event which is a termination of an employment relationship with the Company means that such payment is to be made upon a Separation from Service, with the Company and all of its subsidiaries and affiliates, for any reason, including without limitation, quit, discharge and retirement, and the Company and the Key Employee reasonably anticipate that no further services will be performed after such date or that the level of bona fide services performed after such date (whether as an employee or as an independent contractor) will permanently decrease to no more than twenty percent (20%) of the average level of bona fide services performed (whether as an employee or an independent contractor) over the immediately preceding 36-month period (or the full period of services if the Key Employee has been providing services for less than 36 months).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It is intended that the payments and benefits provided under this Agreement shall either be exempt from application of, or comply with, the requirements of Section 409A of the Code. This Agreement shall be construed, administered, and governed in a manner that affects such intent, and the Company shall not take any action that would be inconsistent with such intent. Without limiting the foregoing, the payments and benefits provided under this Agreement may not be deferred, accelerated, extended, paid out, or modified in a manner that would result in the imposition of an additional tax under Section 409A of the Code. Although the Company shall use its best efforts to avoid the imposition of taxation, interest and penalties under Section 409A of the Code, the tax treatment of the benefits provided under this Agreement is not warranted or guaranteed. The Company shall not be held liable for any taxes, interest, penalties, or other monetary amounts owed by the Key Employee or other taxpayers as a result of this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IV</w:t>
        <w:br/>
        <w:t>MISCELLANEOUS</w:t>
      </w:r>
    </w:p>
    <w:p>
      <w:pPr>
        <w:pStyle w:val="TextBody"/>
        <w:bidi w:val="0"/>
        <w:spacing w:lineRule="auto" w:line="240" w:before="0" w:after="240"/>
        <w:ind w:left="0" w:right="0" w:firstLine="720"/>
        <w:jc w:val="left"/>
        <w:rPr/>
      </w:pPr>
      <w:r>
        <w:rPr>
          <w:rFonts w:ascii="Times New Roman;sans-serif" w:hAnsi="Times New Roman;sans-serif"/>
          <w:b/>
          <w:color w:val="000000"/>
          <w:sz w:val="24"/>
        </w:rPr>
        <w:t>4.1    </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Agreement is governed by and will be construed in accordance with the laws of the State of Illinois, without regard to the conflicts of law principles of such State.</w:t>
      </w:r>
    </w:p>
    <w:p>
      <w:pPr>
        <w:pStyle w:val="TextBody"/>
        <w:bidi w:val="0"/>
        <w:spacing w:lineRule="auto" w:line="240" w:before="0" w:after="240"/>
        <w:ind w:left="0" w:right="0" w:firstLine="720"/>
        <w:jc w:val="left"/>
        <w:rPr/>
      </w:pPr>
      <w:r>
        <w:rPr>
          <w:rFonts w:ascii="Times New Roman;sans-serif" w:hAnsi="Times New Roman;sans-serif"/>
          <w:b/>
          <w:color w:val="000000"/>
          <w:sz w:val="24"/>
        </w:rPr>
        <w:t>4.2    </w:t>
      </w:r>
      <w:r>
        <w:rPr>
          <w:rFonts w:ascii="Times New Roman;sans-serif" w:hAnsi="Times New Roman;sans-serif"/>
          <w:b/>
          <w:color w:val="000000"/>
          <w:sz w:val="24"/>
          <w:u w:val="single"/>
        </w:rPr>
        <w:t>Amendment and Waiver</w:t>
      </w:r>
      <w:r>
        <w:rPr>
          <w:rFonts w:ascii="Times New Roman;sans-serif" w:hAnsi="Times New Roman;sans-serif"/>
          <w:b w:val="false"/>
          <w:color w:val="000000"/>
          <w:sz w:val="24"/>
        </w:rPr>
        <w:t>. The provisions of this Agreement may be amended, modified or waived only with the prior written consent of the Company and the Key Employee, and no course of conduct or failure or delay in enforcing the provisions of this Agreement will be construed as a waiver of such provisions or affect the validity, binding effect or enforceability of this Agreement or any provision hereof.</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- 12 -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- 12 -    </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color w:val="000000"/>
          <w:sz w:val="24"/>
        </w:rPr>
        <w:t>4.3    </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Any provision in this Agreement which is prohibited or unenforceable in any jurisdiction by reason of applicable law will, as to such jurisdiction, be ineffective only to the extent of such prohibition or unenforceability without invalidating or affecting the remaining provisions hereof, and any such prohibition or unenforceability in any jurisdiction will not invalidate or render unenforceable such provision in any other jurisdiction.</w:t>
      </w:r>
    </w:p>
    <w:p>
      <w:pPr>
        <w:pStyle w:val="TextBody"/>
        <w:bidi w:val="0"/>
        <w:spacing w:lineRule="auto" w:line="240" w:before="0" w:after="240"/>
        <w:ind w:left="0" w:right="0" w:firstLine="720"/>
        <w:jc w:val="left"/>
        <w:rPr/>
      </w:pPr>
      <w:r>
        <w:rPr>
          <w:rFonts w:ascii="Times New Roman;sans-serif" w:hAnsi="Times New Roman;sans-serif"/>
          <w:b/>
          <w:color w:val="000000"/>
          <w:sz w:val="24"/>
        </w:rPr>
        <w:t>4.4    </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xml:space="preserve">. Except as provided in the written benefit plans and programs referenced in </w:t>
      </w:r>
      <w:r>
        <w:rPr>
          <w:rFonts w:ascii="Times New Roman;sans-serif" w:hAnsi="Times New Roman;sans-serif"/>
          <w:b w:val="false"/>
          <w:color w:val="000000"/>
          <w:sz w:val="24"/>
          <w:u w:val="single"/>
        </w:rPr>
        <w:t>Section 2.3(c)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2.3(d)</w:t>
      </w:r>
      <w:r>
        <w:rPr>
          <w:rFonts w:ascii="Times New Roman;sans-serif" w:hAnsi="Times New Roman;sans-serif"/>
          <w:b w:val="false"/>
          <w:color w:val="000000"/>
          <w:sz w:val="24"/>
        </w:rPr>
        <w:t>, this Agreement embodies the complete agreement and understanding among the parties hereto with respect to the subject matter hereof and supersedes and preempts any prior understandings, agreements or representations by or among the parties, written or oral, which may have related to the employment of the Key Employee or the subject matter hereof in any way.</w:t>
      </w:r>
    </w:p>
    <w:p>
      <w:pPr>
        <w:pStyle w:val="TextBody"/>
        <w:bidi w:val="0"/>
        <w:spacing w:lineRule="auto" w:line="240" w:before="0" w:after="240"/>
        <w:ind w:left="0" w:right="0" w:firstLine="720"/>
        <w:jc w:val="left"/>
        <w:rPr/>
      </w:pPr>
      <w:r>
        <w:rPr>
          <w:rFonts w:ascii="Times New Roman;sans-serif" w:hAnsi="Times New Roman;sans-serif"/>
          <w:b/>
          <w:color w:val="000000"/>
          <w:sz w:val="24"/>
        </w:rPr>
        <w:t>4.5    </w:t>
      </w:r>
      <w:r>
        <w:rPr>
          <w:rFonts w:ascii="Times New Roman;sans-serif" w:hAnsi="Times New Roman;sans-serif"/>
          <w:b/>
          <w:color w:val="000000"/>
          <w:sz w:val="24"/>
          <w:u w:val="single"/>
        </w:rPr>
        <w:t>Withholding of Taxes and Other Employee Deductions</w:t>
      </w:r>
      <w:r>
        <w:rPr>
          <w:rFonts w:ascii="Times New Roman;sans-serif" w:hAnsi="Times New Roman;sans-serif"/>
          <w:b w:val="false"/>
          <w:color w:val="000000"/>
          <w:sz w:val="24"/>
        </w:rPr>
        <w:t>. The Company may withhold from any benefits and payments made pursuant to this Agreement all federal, state, city, and other taxes as may be required pursuant to any law or governmental regulation or ruling and all other normal employee deductions made with respect to the Company’s employees generally.</w:t>
      </w:r>
    </w:p>
    <w:p>
      <w:pPr>
        <w:pStyle w:val="TextBody"/>
        <w:bidi w:val="0"/>
        <w:spacing w:lineRule="auto" w:line="240" w:before="0" w:after="240"/>
        <w:ind w:left="0" w:right="0" w:firstLine="720"/>
        <w:jc w:val="left"/>
        <w:rPr/>
      </w:pPr>
      <w:r>
        <w:rPr>
          <w:rFonts w:ascii="Times New Roman;sans-serif" w:hAnsi="Times New Roman;sans-serif"/>
          <w:b/>
          <w:color w:val="000000"/>
          <w:sz w:val="24"/>
        </w:rPr>
        <w:t>4.6    </w:t>
      </w:r>
      <w:r>
        <w:rPr>
          <w:rFonts w:ascii="Times New Roman;sans-serif" w:hAnsi="Times New Roman;sans-serif"/>
          <w:b/>
          <w:color w:val="000000"/>
          <w:sz w:val="24"/>
          <w:u w:val="single"/>
        </w:rPr>
        <w:t>Legal Fees</w:t>
      </w:r>
      <w:r>
        <w:rPr>
          <w:rFonts w:ascii="Times New Roman;sans-serif" w:hAnsi="Times New Roman;sans-serif"/>
          <w:b w:val="false"/>
          <w:color w:val="000000"/>
          <w:sz w:val="24"/>
        </w:rPr>
        <w:t>. The Company shall reimburse the Key Employee for all reasonable legal fees and expenses incurred by the Key Employee in a dispute regarding the Key Employee’s rights under this Agreement, within forty-five (45) days of when such fees and expenses are incurred, but in no event later than the end of the taxable year in which such fees and expenses are incurred, unless a court of competent jurisdiction determines the Key Employee’s position in such dispute not to be bona fide.</w:t>
      </w:r>
    </w:p>
    <w:p>
      <w:pPr>
        <w:pStyle w:val="TextBody"/>
        <w:bidi w:val="0"/>
        <w:spacing w:lineRule="auto" w:line="240" w:before="0" w:after="240"/>
        <w:ind w:left="0" w:right="0" w:firstLine="720"/>
        <w:jc w:val="left"/>
        <w:rPr/>
      </w:pPr>
      <w:r>
        <w:rPr>
          <w:rFonts w:ascii="Times New Roman;sans-serif" w:hAnsi="Times New Roman;sans-serif"/>
          <w:b/>
          <w:color w:val="000000"/>
          <w:sz w:val="24"/>
        </w:rPr>
        <w:t>4.7    </w:t>
      </w:r>
      <w:r>
        <w:rPr>
          <w:rFonts w:ascii="Times New Roman;sans-serif" w:hAnsi="Times New Roman;sans-serif"/>
          <w:b/>
          <w:color w:val="000000"/>
          <w:sz w:val="24"/>
          <w:u w:val="single"/>
        </w:rPr>
        <w:t>Headings</w:t>
      </w:r>
      <w:r>
        <w:rPr>
          <w:rFonts w:ascii="Times New Roman;sans-serif" w:hAnsi="Times New Roman;sans-serif"/>
          <w:b w:val="false"/>
          <w:color w:val="000000"/>
          <w:sz w:val="24"/>
        </w:rPr>
        <w:t>. The paragraph headings have been inserted for purposes of convenience and will not be used for interpretive purposes.</w:t>
      </w:r>
    </w:p>
    <w:p>
      <w:pPr>
        <w:pStyle w:val="TextBody"/>
        <w:bidi w:val="0"/>
        <w:spacing w:lineRule="auto" w:line="240" w:before="0" w:after="240"/>
        <w:ind w:left="0" w:right="0" w:firstLine="720"/>
        <w:jc w:val="left"/>
        <w:rPr/>
      </w:pPr>
      <w:r>
        <w:rPr>
          <w:rFonts w:ascii="Times New Roman;sans-serif" w:hAnsi="Times New Roman;sans-serif"/>
          <w:b/>
          <w:color w:val="000000"/>
          <w:sz w:val="24"/>
        </w:rPr>
        <w:t>4.8    </w:t>
      </w:r>
      <w:r>
        <w:rPr>
          <w:rFonts w:ascii="Times New Roman;sans-serif" w:hAnsi="Times New Roman;sans-serif"/>
          <w:b/>
          <w:color w:val="000000"/>
          <w:sz w:val="24"/>
          <w:u w:val="single"/>
        </w:rPr>
        <w:t>Actions by the Board</w:t>
      </w:r>
      <w:r>
        <w:rPr>
          <w:rFonts w:ascii="Times New Roman;sans-serif" w:hAnsi="Times New Roman;sans-serif"/>
          <w:b w:val="false"/>
          <w:color w:val="000000"/>
          <w:sz w:val="24"/>
        </w:rPr>
        <w:t>. Any and all determinations or other actions required of the Board (or a committee thereof) hereunder that relate specifically to the Key Employee’s employment by the Company or the terms and conditions of such employment will be made by the members of the Board or such committee other than the Key Employee (if the Key Employee is a member of the Board or such committee), and the Key Employee will not have any right to vote or decide upon any such matter.</w:t>
      </w:r>
    </w:p>
    <w:p>
      <w:pPr>
        <w:pStyle w:val="TextBody"/>
        <w:bidi w:val="0"/>
        <w:spacing w:lineRule="auto" w:line="240" w:before="0" w:after="240"/>
        <w:ind w:left="0" w:right="0" w:firstLine="720"/>
        <w:jc w:val="left"/>
        <w:rPr/>
      </w:pPr>
      <w:r>
        <w:rPr>
          <w:rFonts w:ascii="Times New Roman;sans-serif" w:hAnsi="Times New Roman;sans-serif"/>
          <w:b/>
          <w:color w:val="000000"/>
          <w:sz w:val="24"/>
        </w:rPr>
        <w:t>4.9    </w:t>
      </w:r>
      <w:r>
        <w:rPr>
          <w:rFonts w:ascii="Times New Roman;sans-serif" w:hAnsi="Times New Roman;sans-serif"/>
          <w:b/>
          <w:color w:val="000000"/>
          <w:sz w:val="24"/>
          <w:u w:val="single"/>
        </w:rPr>
        <w:t>Construction</w:t>
      </w:r>
      <w:r>
        <w:rPr>
          <w:rFonts w:ascii="Times New Roman;sans-serif" w:hAnsi="Times New Roman;sans-serif"/>
          <w:b w:val="false"/>
          <w:color w:val="000000"/>
          <w:sz w:val="24"/>
        </w:rPr>
        <w:t>. The language used in this Agreement will be deemed to be the language chosen by the parties to express their mutual intent, and no rule of strict construction will be applied against any party.</w:t>
      </w:r>
    </w:p>
    <w:p>
      <w:pPr>
        <w:pStyle w:val="TextBody"/>
        <w:bidi w:val="0"/>
        <w:spacing w:lineRule="auto" w:line="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- 13 -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- 13 -    </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color w:val="000000"/>
          <w:sz w:val="24"/>
        </w:rPr>
        <w:t>INTENDING TO BE BOUND</w:t>
      </w:r>
      <w:r>
        <w:rPr>
          <w:rFonts w:ascii="Times New Roman;sans-serif" w:hAnsi="Times New Roman;sans-serif"/>
          <w:b w:val="false"/>
          <w:color w:val="000000"/>
          <w:sz w:val="24"/>
        </w:rPr>
        <w:t>, the parties hereto have executed this Agreement as of the date first set forth above.</w:t>
      </w:r>
    </w:p>
    <w:tbl>
      <w:tblPr>
        <w:tblW w:w="3597" w:type="dxa"/>
        <w:jc w:val="left"/>
        <w:tblInd w:w="0" w:type="dxa"/>
        <w:tblLayout w:type="fixed"/>
        <w:tblCellMar>
          <w:top w:w="28" w:type="dxa"/>
          <w:left w:w="28" w:type="dxa"/>
          <w:bottom w:w="28" w:type="dxa"/>
          <w:right w:w="28" w:type="dxa"/>
        </w:tblCellMar>
      </w:tblPr>
      <w:tblGrid>
        <w:gridCol w:w="124"/>
        <w:gridCol w:w="109"/>
        <w:gridCol w:w="109"/>
        <w:gridCol w:w="951"/>
        <w:gridCol w:w="951"/>
        <w:gridCol w:w="1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MYR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/s/ RICHARD S. SWARTZ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Richard S. Swartz</w:t>
              <w:br/>
              <w:t>Title : President &amp; CEO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KEY EMPLOYEE: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/s/ DON A. EGAN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Don A. Egan</w:t>
            </w:r>
          </w:p>
        </w:tc>
      </w:tr>
    </w:tbl>
    <w:p>
      <w:pPr>
        <w:pStyle w:val="TextBody"/>
        <w:bidi w:val="0"/>
        <w:spacing w:before="0" w:after="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- 14 -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ans-serif" w:hAnsi="Times New Roman;sans-serif"/>
                          <w:b w:val="false"/>
                          <w:color w:val="000000"/>
                          <w:sz w:val="24"/>
                        </w:rPr>
                        <w:t>- 14 -    </w:t>
                      </w:r>
                    </w:p>
                  </w:txbxContent>
                </v:textbox>
                <w10:wrap type="none"/>
              </v:rect>
            </w:pict>
          </mc:Fallback>
        </mc:AlternateContent>
      </w:r>
    </w:p>
    <w:p>
      <w:pPr>
        <w:pStyle w:val="TextBody"/>
        <w:bidi w:val="0"/>
        <w:spacing w:lineRule="auto" w:line="240" w:before="0" w:after="2"/>
        <w:jc w:val="right"/>
        <w:rPr>
          <w:rFonts w:ascii="Times New Roman;sans-serif" w:hAnsi="Times New Roman;sans-serif"/>
          <w:b/>
          <w:color w:val="000000"/>
          <w:sz w:val="22"/>
        </w:rPr>
      </w:pPr>
      <w:r>
        <w:rPr>
          <w:rFonts w:ascii="Times New Roman;sans-serif" w:hAnsi="Times New Roman;sans-serif"/>
          <w:b/>
          <w:color w:val="000000"/>
          <w:sz w:val="22"/>
        </w:rPr>
        <w:t>EXECUTION VERSION</w:t>
      </w:r>
    </w:p>
    <w:p>
      <w:pPr>
        <w:pStyle w:val="TextBody"/>
        <w:bidi w:val="0"/>
        <w:spacing w:before="0" w:after="240"/>
        <w:jc w:val="center"/>
        <w:rPr/>
      </w:pPr>
      <w:r>
        <w:rPr/>
        <w:drawing>
          <wp:inline distT="0" distB="0" distL="0" distR="0">
            <wp:extent cx="1838325" cy="390525"/>
            <wp:effectExtent l="0" t="0" r="0" b="0"/>
            <wp:docPr id="5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 descr=""/>
                    <pic:cNvPicPr>
                      <a:picLocks noChangeAspect="1" noChangeArrowheads="1"/>
                    </pic:cNvPicPr>
                  </pic:nvPicPr>
                  <pic:blipFill>
                    <a:blip r:embed="rId6"/>
                    <a:stretch>
                      <a:fillRect/>
                    </a:stretch>
                  </pic:blipFill>
                  <pic:spPr bwMode="auto">
                    <a:xfrm>
                      <a:off x="0" y="0"/>
                      <a:ext cx="1838325" cy="390525"/>
                    </a:xfrm>
                    <a:prstGeom prst="rect">
                      <a:avLst/>
                    </a:prstGeom>
                  </pic:spPr>
                </pic:pic>
              </a:graphicData>
            </a:graphic>
          </wp:inline>
        </w:drawing>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THIRD AMENDED AND RESTATED CREDIT AGREEMENT</w:t>
        <w:br/>
        <w:br/>
        <w:t>dated as of</w:t>
        <w:br/>
        <w:br/>
        <w:br/>
        <w:t>May 31, 2023</w:t>
        <w:br/>
        <w:br/>
        <w:t>among</w:t>
        <w:br/>
        <w:br/>
        <w:br/>
        <w:t>MYR GROUP INC.</w:t>
        <w:br/>
        <w:br/>
        <w:br/>
        <w:t>The Lenders Party Hereto</w:t>
        <w:br/>
        <w:br/>
        <w:br/>
        <w:t>BANK OF MONTREAL, CIBC BANK USA, TD BANK, N.A. and WELLS FARGO BANK, NATIONAL ASSOCIATION,</w:t>
        <w:br/>
        <w:t>as Co-Documentation Agents</w:t>
        <w:br/>
        <w:br/>
        <w:br/>
        <w:t>BANK OF AMERICA, N.A.</w:t>
        <w:br/>
        <w:t>as Syndication Agent</w:t>
        <w:br/>
        <w:br/>
        <w:t>and</w:t>
        <w:br/>
        <w:br/>
        <w:t>JPMORGAN CHASE BANK, N.A.,</w:t>
        <w:br/>
        <w:t>as Administrative Agent</w:t>
        <w:br/>
        <w:br/>
        <w:t>___________________________</w:t>
        <w:br/>
        <w:br/>
        <w:t>JPMORGAN CHASE BANK, N.A.</w:t>
        <w:br/>
        <w:br/>
        <w:t>and</w:t>
        <w:br/>
        <w:br/>
        <w:t>BOFA SECURITIES, INC.</w:t>
        <w:br/>
        <w:t>as Joint Bookrunners and Joint Lead Arrangers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w:t>
      </w:r>
    </w:p>
    <w:p>
      <w:pPr>
        <w:pStyle w:val="TextBody"/>
        <w:bidi w:val="0"/>
        <w:spacing w:lineRule="auto" w:line="240" w:before="0" w:after="24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p>
    <w:tbl>
      <w:tblPr>
        <w:tblW w:w="7621" w:type="dxa"/>
        <w:jc w:val="left"/>
        <w:tblInd w:w="0" w:type="dxa"/>
        <w:tblLayout w:type="fixed"/>
        <w:tblCellMar>
          <w:top w:w="28" w:type="dxa"/>
          <w:left w:w="28" w:type="dxa"/>
          <w:bottom w:w="28" w:type="dxa"/>
          <w:right w:w="28" w:type="dxa"/>
        </w:tblCellMar>
      </w:tblPr>
      <w:tblGrid>
        <w:gridCol w:w="2623"/>
        <w:gridCol w:w="2301"/>
        <w:gridCol w:w="2306"/>
        <w:gridCol w:w="114"/>
        <w:gridCol w:w="114"/>
        <w:gridCol w:w="163"/>
      </w:tblGrid>
      <w:tr>
        <w:trPr/>
        <w:tc>
          <w:tcPr>
            <w:tcW w:w="2623"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01">
              <w:r>
                <w:rPr>
                  <w:rStyle w:val="InternetLink"/>
                  <w:rFonts w:ascii="Times New Roman;sans-serif" w:hAnsi="Times New Roman;sans-serif"/>
                  <w:b w:val="false"/>
                  <w:color w:val="0000FF"/>
                  <w:sz w:val="22"/>
                  <w:u w:val="single"/>
                </w:rPr>
                <w:t>ARTICLE I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01">
              <w:r>
                <w:rPr>
                  <w:rStyle w:val="InternetLink"/>
                  <w:rFonts w:ascii="Times New Roman;sans-serif" w:hAnsi="Times New Roman;sans-serif"/>
                  <w:b w:val="false"/>
                  <w:color w:val="0000FF"/>
                  <w:sz w:val="22"/>
                  <w:u w:val="single"/>
                </w:rPr>
                <w:t>1</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466">
              <w:r>
                <w:rPr>
                  <w:rStyle w:val="InternetLink"/>
                  <w:rFonts w:ascii="Times New Roman;sans-serif" w:hAnsi="Times New Roman;sans-serif"/>
                  <w:b w:val="false"/>
                  <w:color w:val="0000FF"/>
                  <w:sz w:val="22"/>
                  <w:u w:val="single"/>
                </w:rPr>
                <w:t>SECTION 1.01. Defined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466">
              <w:r>
                <w:rPr>
                  <w:rStyle w:val="InternetLink"/>
                  <w:rFonts w:ascii="Times New Roman;sans-serif" w:hAnsi="Times New Roman;sans-serif"/>
                  <w:b w:val="false"/>
                  <w:color w:val="0000FF"/>
                  <w:sz w:val="22"/>
                  <w:u w:val="single"/>
                </w:rPr>
                <w:t>1</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489">
              <w:r>
                <w:rPr>
                  <w:rStyle w:val="InternetLink"/>
                  <w:rFonts w:ascii="Times New Roman;sans-serif" w:hAnsi="Times New Roman;sans-serif"/>
                  <w:b w:val="false"/>
                  <w:color w:val="0000FF"/>
                  <w:sz w:val="22"/>
                  <w:u w:val="single"/>
                </w:rPr>
                <w:t>SECTION 1.02. Classification of Loans and Borrowings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489">
              <w:r>
                <w:rPr>
                  <w:rStyle w:val="InternetLink"/>
                  <w:rFonts w:ascii="Times New Roman;sans-serif" w:hAnsi="Times New Roman;sans-serif"/>
                  <w:b w:val="false"/>
                  <w:color w:val="0000FF"/>
                  <w:sz w:val="22"/>
                  <w:u w:val="single"/>
                </w:rPr>
                <w:t>35</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510">
              <w:r>
                <w:rPr>
                  <w:rStyle w:val="InternetLink"/>
                  <w:rFonts w:ascii="Times New Roman;sans-serif" w:hAnsi="Times New Roman;sans-serif"/>
                  <w:b w:val="false"/>
                  <w:color w:val="0000FF"/>
                  <w:sz w:val="22"/>
                  <w:u w:val="single"/>
                </w:rPr>
                <w:t>SECTION 1.03. Terms Generally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510">
              <w:r>
                <w:rPr>
                  <w:rStyle w:val="InternetLink"/>
                  <w:rFonts w:ascii="Times New Roman;sans-serif" w:hAnsi="Times New Roman;sans-serif"/>
                  <w:b w:val="false"/>
                  <w:color w:val="0000FF"/>
                  <w:sz w:val="22"/>
                  <w:u w:val="single"/>
                </w:rPr>
                <w:t>35</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531">
              <w:r>
                <w:rPr>
                  <w:rStyle w:val="InternetLink"/>
                  <w:rFonts w:ascii="Times New Roman;sans-serif" w:hAnsi="Times New Roman;sans-serif"/>
                  <w:b w:val="false"/>
                  <w:color w:val="0000FF"/>
                  <w:sz w:val="22"/>
                  <w:u w:val="single"/>
                </w:rPr>
                <w:t>SECTION 1.04. Accounting Terms; GAAP; Pro Forma Calculations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531">
              <w:r>
                <w:rPr>
                  <w:rStyle w:val="InternetLink"/>
                  <w:rFonts w:ascii="Times New Roman;sans-serif" w:hAnsi="Times New Roman;sans-serif"/>
                  <w:b w:val="false"/>
                  <w:color w:val="0000FF"/>
                  <w:sz w:val="22"/>
                  <w:u w:val="single"/>
                </w:rPr>
                <w:t>36</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552">
              <w:r>
                <w:rPr>
                  <w:rStyle w:val="InternetLink"/>
                  <w:rFonts w:ascii="Times New Roman;sans-serif" w:hAnsi="Times New Roman;sans-serif"/>
                  <w:b w:val="false"/>
                  <w:color w:val="0000FF"/>
                  <w:sz w:val="22"/>
                  <w:u w:val="single"/>
                </w:rPr>
                <w:t>SECTION 1.05. Status of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552">
              <w:r>
                <w:rPr>
                  <w:rStyle w:val="InternetLink"/>
                  <w:rFonts w:ascii="Times New Roman;sans-serif" w:hAnsi="Times New Roman;sans-serif"/>
                  <w:b w:val="false"/>
                  <w:color w:val="0000FF"/>
                  <w:sz w:val="22"/>
                  <w:u w:val="single"/>
                </w:rPr>
                <w:t>37</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573">
              <w:r>
                <w:rPr>
                  <w:rStyle w:val="InternetLink"/>
                  <w:rFonts w:ascii="Times New Roman;sans-serif" w:hAnsi="Times New Roman;sans-serif"/>
                  <w:b w:val="false"/>
                  <w:color w:val="0000FF"/>
                  <w:sz w:val="22"/>
                  <w:u w:val="single"/>
                </w:rPr>
                <w:t>SECTION 1.06. Amendment and Restatement of Existing Credit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573">
              <w:r>
                <w:rPr>
                  <w:rStyle w:val="InternetLink"/>
                  <w:rFonts w:ascii="Times New Roman;sans-serif" w:hAnsi="Times New Roman;sans-serif"/>
                  <w:b w:val="false"/>
                  <w:color w:val="0000FF"/>
                  <w:sz w:val="22"/>
                  <w:u w:val="single"/>
                </w:rPr>
                <w:t>37</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594">
              <w:r>
                <w:rPr>
                  <w:rStyle w:val="InternetLink"/>
                  <w:rFonts w:ascii="Times New Roman;sans-serif" w:hAnsi="Times New Roman;sans-serif"/>
                  <w:b w:val="false"/>
                  <w:color w:val="0000FF"/>
                  <w:sz w:val="22"/>
                  <w:u w:val="single"/>
                </w:rPr>
                <w:t>SECTION 1.07.</w:t>
              </w:r>
            </w:hyperlink>
            <w:hyperlink w:anchor="i0466b7c00e4d40a09e54db74613ed61e_594">
              <w:r>
                <w:rPr>
                  <w:rStyle w:val="InternetLink"/>
                  <w:color w:val="0000FF"/>
                  <w:u w:val="single"/>
                  <w:shd w:fill="FFFFFF" w:val="clear"/>
                </w:rPr>
                <w:t xml:space="preserve"> </w:t>
              </w:r>
            </w:hyperlink>
            <w:hyperlink w:anchor="i0466b7c00e4d40a09e54db74613ed61e_594">
              <w:r>
                <w:rPr>
                  <w:rStyle w:val="InternetLink"/>
                  <w:rFonts w:ascii="Times New Roman;sans-serif" w:hAnsi="Times New Roman;sans-serif"/>
                  <w:b w:val="false"/>
                  <w:color w:val="0000FF"/>
                  <w:sz w:val="22"/>
                  <w:u w:val="single"/>
                  <w:shd w:fill="FFFFFF" w:val="clear"/>
                </w:rPr>
                <w:t>Interest Rates; Benchmark Notification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594">
              <w:r>
                <w:rPr>
                  <w:rStyle w:val="InternetLink"/>
                  <w:rFonts w:ascii="Times New Roman;sans-serif" w:hAnsi="Times New Roman;sans-serif"/>
                  <w:b w:val="false"/>
                  <w:color w:val="0000FF"/>
                  <w:sz w:val="22"/>
                  <w:u w:val="single"/>
                </w:rPr>
                <w:t>37</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615">
              <w:r>
                <w:rPr>
                  <w:rStyle w:val="InternetLink"/>
                  <w:rFonts w:ascii="Times New Roman;sans-serif" w:hAnsi="Times New Roman;sans-serif"/>
                  <w:b w:val="false"/>
                  <w:color w:val="0000FF"/>
                  <w:sz w:val="22"/>
                  <w:u w:val="single"/>
                </w:rPr>
                <w:t>SECTION 1.08.</w:t>
              </w:r>
            </w:hyperlink>
            <w:hyperlink w:anchor="i0466b7c00e4d40a09e54db74613ed61e_615">
              <w:r>
                <w:rPr>
                  <w:rStyle w:val="InternetLink"/>
                  <w:color w:val="0000FF"/>
                  <w:u w:val="single"/>
                  <w:shd w:fill="FFFFFF" w:val="clear"/>
                </w:rPr>
                <w:t xml:space="preserve"> </w:t>
              </w:r>
            </w:hyperlink>
            <w:hyperlink w:anchor="i0466b7c00e4d40a09e54db74613ed61e_615">
              <w:r>
                <w:rPr>
                  <w:rStyle w:val="InternetLink"/>
                  <w:rFonts w:ascii="Times New Roman;sans-serif" w:hAnsi="Times New Roman;sans-serif"/>
                  <w:b w:val="false"/>
                  <w:color w:val="0000FF"/>
                  <w:sz w:val="22"/>
                  <w:u w:val="single"/>
                  <w:shd w:fill="FFFFFF" w:val="clear"/>
                </w:rPr>
                <w:t>Letter of Credit Amounts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615">
              <w:r>
                <w:rPr>
                  <w:rStyle w:val="InternetLink"/>
                  <w:rFonts w:ascii="Times New Roman;sans-serif" w:hAnsi="Times New Roman;sans-serif"/>
                  <w:b w:val="false"/>
                  <w:color w:val="0000FF"/>
                  <w:sz w:val="22"/>
                  <w:u w:val="single"/>
                </w:rPr>
                <w:t>38</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636">
              <w:r>
                <w:rPr>
                  <w:rStyle w:val="InternetLink"/>
                  <w:rFonts w:ascii="Times New Roman;sans-serif" w:hAnsi="Times New Roman;sans-serif"/>
                  <w:b w:val="false"/>
                  <w:color w:val="0000FF"/>
                  <w:sz w:val="22"/>
                  <w:u w:val="single"/>
                </w:rPr>
                <w:t>SECTION 1.09.</w:t>
              </w:r>
            </w:hyperlink>
            <w:hyperlink w:anchor="i0466b7c00e4d40a09e54db74613ed61e_636">
              <w:r>
                <w:rPr>
                  <w:rStyle w:val="InternetLink"/>
                  <w:color w:val="0000FF"/>
                  <w:u w:val="single"/>
                  <w:shd w:fill="FFFFFF" w:val="clear"/>
                </w:rPr>
                <w:t xml:space="preserve"> </w:t>
              </w:r>
            </w:hyperlink>
            <w:hyperlink w:anchor="i0466b7c00e4d40a09e54db74613ed61e_636">
              <w:r>
                <w:rPr>
                  <w:rStyle w:val="InternetLink"/>
                  <w:rFonts w:ascii="Times New Roman;sans-serif" w:hAnsi="Times New Roman;sans-serif"/>
                  <w:b w:val="false"/>
                  <w:color w:val="0000FF"/>
                  <w:sz w:val="22"/>
                  <w:u w:val="single"/>
                  <w:shd w:fill="FFFFFF" w:val="clear"/>
                </w:rPr>
                <w:t>Divisions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636">
              <w:r>
                <w:rPr>
                  <w:rStyle w:val="InternetLink"/>
                  <w:rFonts w:ascii="Times New Roman;sans-serif" w:hAnsi="Times New Roman;sans-serif"/>
                  <w:b w:val="false"/>
                  <w:color w:val="0000FF"/>
                  <w:sz w:val="22"/>
                  <w:u w:val="single"/>
                </w:rPr>
                <w:t>38</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657">
              <w:r>
                <w:rPr>
                  <w:rStyle w:val="InternetLink"/>
                  <w:rFonts w:ascii="Times New Roman;sans-serif" w:hAnsi="Times New Roman;sans-serif"/>
                  <w:b w:val="false"/>
                  <w:color w:val="0000FF"/>
                  <w:sz w:val="22"/>
                  <w:u w:val="single"/>
                </w:rPr>
                <w:t>SECTION 1.10. Exchange Rates; Currency Equivalents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657">
              <w:r>
                <w:rPr>
                  <w:rStyle w:val="InternetLink"/>
                  <w:rFonts w:ascii="Times New Roman;sans-serif" w:hAnsi="Times New Roman;sans-serif"/>
                  <w:b w:val="false"/>
                  <w:color w:val="0000FF"/>
                  <w:sz w:val="22"/>
                  <w:u w:val="single"/>
                </w:rPr>
                <w:t>38</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688">
              <w:r>
                <w:rPr>
                  <w:rStyle w:val="InternetLink"/>
                  <w:rFonts w:ascii="Times New Roman;sans-serif" w:hAnsi="Times New Roman;sans-serif"/>
                  <w:b w:val="false"/>
                  <w:color w:val="0000FF"/>
                  <w:sz w:val="22"/>
                  <w:u w:val="single"/>
                </w:rPr>
                <w:t>ARTICLE II The Credits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688">
              <w:r>
                <w:rPr>
                  <w:rStyle w:val="InternetLink"/>
                  <w:rFonts w:ascii="Times New Roman;sans-serif" w:hAnsi="Times New Roman;sans-serif"/>
                  <w:b w:val="false"/>
                  <w:color w:val="0000FF"/>
                  <w:sz w:val="22"/>
                  <w:u w:val="single"/>
                </w:rPr>
                <w:t>38</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710">
              <w:r>
                <w:rPr>
                  <w:rStyle w:val="InternetLink"/>
                  <w:rFonts w:ascii="Times New Roman;sans-serif" w:hAnsi="Times New Roman;sans-serif"/>
                  <w:b w:val="false"/>
                  <w:color w:val="0000FF"/>
                  <w:sz w:val="22"/>
                  <w:u w:val="single"/>
                </w:rPr>
                <w:t>SECTION 2.01. Commitments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710">
              <w:r>
                <w:rPr>
                  <w:rStyle w:val="InternetLink"/>
                  <w:rFonts w:ascii="Times New Roman;sans-serif" w:hAnsi="Times New Roman;sans-serif"/>
                  <w:b w:val="false"/>
                  <w:color w:val="0000FF"/>
                  <w:sz w:val="22"/>
                  <w:u w:val="single"/>
                </w:rPr>
                <w:t>38</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731">
              <w:r>
                <w:rPr>
                  <w:rStyle w:val="InternetLink"/>
                  <w:rFonts w:ascii="Times New Roman;sans-serif" w:hAnsi="Times New Roman;sans-serif"/>
                  <w:b w:val="false"/>
                  <w:color w:val="0000FF"/>
                  <w:sz w:val="22"/>
                  <w:u w:val="single"/>
                </w:rPr>
                <w:t>SECTION 2.02. Loans and Borrowings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731">
              <w:r>
                <w:rPr>
                  <w:rStyle w:val="InternetLink"/>
                  <w:rFonts w:ascii="Times New Roman;sans-serif" w:hAnsi="Times New Roman;sans-serif"/>
                  <w:b w:val="false"/>
                  <w:color w:val="0000FF"/>
                  <w:sz w:val="22"/>
                  <w:u w:val="single"/>
                </w:rPr>
                <w:t>38</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754">
              <w:r>
                <w:rPr>
                  <w:rStyle w:val="InternetLink"/>
                  <w:rFonts w:ascii="Times New Roman;sans-serif" w:hAnsi="Times New Roman;sans-serif"/>
                  <w:b w:val="false"/>
                  <w:color w:val="0000FF"/>
                  <w:sz w:val="22"/>
                  <w:u w:val="single"/>
                </w:rPr>
                <w:t>SECTION 2.03. Requests for Revolving Borrowings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754">
              <w:r>
                <w:rPr>
                  <w:rStyle w:val="InternetLink"/>
                  <w:rFonts w:ascii="Times New Roman;sans-serif" w:hAnsi="Times New Roman;sans-serif"/>
                  <w:b w:val="false"/>
                  <w:color w:val="0000FF"/>
                  <w:sz w:val="22"/>
                  <w:u w:val="single"/>
                </w:rPr>
                <w:t>39</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775">
              <w:r>
                <w:rPr>
                  <w:rStyle w:val="InternetLink"/>
                  <w:rFonts w:ascii="Times New Roman;sans-serif" w:hAnsi="Times New Roman;sans-serif"/>
                  <w:b w:val="false"/>
                  <w:color w:val="0000FF"/>
                  <w:sz w:val="22"/>
                  <w:u w:val="single"/>
                </w:rPr>
                <w:t>SECTION 2.04. Expansion Options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775">
              <w:r>
                <w:rPr>
                  <w:rStyle w:val="InternetLink"/>
                  <w:rFonts w:ascii="Times New Roman;sans-serif" w:hAnsi="Times New Roman;sans-serif"/>
                  <w:b w:val="false"/>
                  <w:color w:val="0000FF"/>
                  <w:sz w:val="22"/>
                  <w:u w:val="single"/>
                </w:rPr>
                <w:t>40</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796">
              <w:r>
                <w:rPr>
                  <w:rStyle w:val="InternetLink"/>
                  <w:rFonts w:ascii="Times New Roman;sans-serif" w:hAnsi="Times New Roman;sans-serif"/>
                  <w:b w:val="false"/>
                  <w:color w:val="0000FF"/>
                  <w:sz w:val="22"/>
                  <w:u w:val="single"/>
                </w:rPr>
                <w:t>SECTION 2.05. Swingline Loans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796">
              <w:r>
                <w:rPr>
                  <w:rStyle w:val="InternetLink"/>
                  <w:rFonts w:ascii="Times New Roman;sans-serif" w:hAnsi="Times New Roman;sans-serif"/>
                  <w:b w:val="false"/>
                  <w:color w:val="0000FF"/>
                  <w:sz w:val="22"/>
                  <w:u w:val="single"/>
                </w:rPr>
                <w:t>41</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817">
              <w:r>
                <w:rPr>
                  <w:rStyle w:val="InternetLink"/>
                  <w:rFonts w:ascii="Times New Roman;sans-serif" w:hAnsi="Times New Roman;sans-serif"/>
                  <w:b w:val="false"/>
                  <w:color w:val="0000FF"/>
                  <w:sz w:val="22"/>
                  <w:u w:val="single"/>
                </w:rPr>
                <w:t>SECTION 2.06. Letters of Credit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817">
              <w:r>
                <w:rPr>
                  <w:rStyle w:val="InternetLink"/>
                  <w:rFonts w:ascii="Times New Roman;sans-serif" w:hAnsi="Times New Roman;sans-serif"/>
                  <w:b w:val="false"/>
                  <w:color w:val="0000FF"/>
                  <w:sz w:val="22"/>
                  <w:u w:val="single"/>
                </w:rPr>
                <w:t>43</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838">
              <w:r>
                <w:rPr>
                  <w:rStyle w:val="InternetLink"/>
                  <w:rFonts w:ascii="Times New Roman;sans-serif" w:hAnsi="Times New Roman;sans-serif"/>
                  <w:b w:val="false"/>
                  <w:color w:val="0000FF"/>
                  <w:sz w:val="22"/>
                  <w:u w:val="single"/>
                </w:rPr>
                <w:t>SECTION 2.07. Funding of Borrowings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838">
              <w:r>
                <w:rPr>
                  <w:rStyle w:val="InternetLink"/>
                  <w:rFonts w:ascii="Times New Roman;sans-serif" w:hAnsi="Times New Roman;sans-serif"/>
                  <w:b w:val="false"/>
                  <w:color w:val="0000FF"/>
                  <w:sz w:val="22"/>
                  <w:u w:val="single"/>
                </w:rPr>
                <w:t>49</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859">
              <w:r>
                <w:rPr>
                  <w:rStyle w:val="InternetLink"/>
                  <w:rFonts w:ascii="Times New Roman;sans-serif" w:hAnsi="Times New Roman;sans-serif"/>
                  <w:b w:val="false"/>
                  <w:color w:val="0000FF"/>
                  <w:sz w:val="22"/>
                  <w:u w:val="single"/>
                </w:rPr>
                <w:t>SECTION 2.08. Interest Elections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859">
              <w:r>
                <w:rPr>
                  <w:rStyle w:val="InternetLink"/>
                  <w:rFonts w:ascii="Times New Roman;sans-serif" w:hAnsi="Times New Roman;sans-serif"/>
                  <w:b w:val="false"/>
                  <w:color w:val="0000FF"/>
                  <w:sz w:val="22"/>
                  <w:u w:val="single"/>
                </w:rPr>
                <w:t>50</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882">
              <w:r>
                <w:rPr>
                  <w:rStyle w:val="InternetLink"/>
                  <w:rFonts w:ascii="Times New Roman;sans-serif" w:hAnsi="Times New Roman;sans-serif"/>
                  <w:b w:val="false"/>
                  <w:color w:val="0000FF"/>
                  <w:sz w:val="22"/>
                  <w:u w:val="single"/>
                </w:rPr>
                <w:t>SECTION 2.09. Termination and Reduction of Commitments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882">
              <w:r>
                <w:rPr>
                  <w:rStyle w:val="InternetLink"/>
                  <w:rFonts w:ascii="Times New Roman;sans-serif" w:hAnsi="Times New Roman;sans-serif"/>
                  <w:b w:val="false"/>
                  <w:color w:val="0000FF"/>
                  <w:sz w:val="22"/>
                  <w:u w:val="single"/>
                </w:rPr>
                <w:t>51</w:t>
              </w:r>
            </w:hyperlink>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903">
              <w:r>
                <w:rPr>
                  <w:rStyle w:val="InternetLink"/>
                  <w:rFonts w:ascii="Times New Roman;sans-serif" w:hAnsi="Times New Roman;sans-serif"/>
                  <w:b w:val="false"/>
                  <w:color w:val="0000FF"/>
                  <w:sz w:val="22"/>
                  <w:u w:val="single"/>
                </w:rPr>
                <w:t>SECTION 2.10. Repayment of Loans; Evidence of Debt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903">
              <w:r>
                <w:rPr>
                  <w:rStyle w:val="InternetLink"/>
                  <w:rFonts w:ascii="Times New Roman;sans-serif" w:hAnsi="Times New Roman;sans-serif"/>
                  <w:b w:val="false"/>
                  <w:color w:val="0000FF"/>
                  <w:sz w:val="22"/>
                  <w:u w:val="single"/>
                </w:rPr>
                <w:t>52</w:t>
              </w:r>
            </w:hyperlink>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xbxContent>
                </v:textbox>
                <w10:wrap type="none"/>
              </v:rect>
            </w:pict>
          </mc:Fallback>
        </mc:AlternateContent>
      </w:r>
    </w:p>
    <w:tbl>
      <w:tblPr>
        <w:tblW w:w="8055" w:type="dxa"/>
        <w:jc w:val="left"/>
        <w:tblInd w:w="0" w:type="dxa"/>
        <w:tblLayout w:type="fixed"/>
        <w:tblCellMar>
          <w:top w:w="28" w:type="dxa"/>
          <w:left w:w="28" w:type="dxa"/>
          <w:bottom w:w="28" w:type="dxa"/>
          <w:right w:w="28" w:type="dxa"/>
        </w:tblCellMar>
      </w:tblPr>
      <w:tblGrid>
        <w:gridCol w:w="2778"/>
        <w:gridCol w:w="2440"/>
        <w:gridCol w:w="2446"/>
        <w:gridCol w:w="114"/>
        <w:gridCol w:w="114"/>
        <w:gridCol w:w="163"/>
      </w:tblGrid>
      <w:tr>
        <w:trPr/>
        <w:tc>
          <w:tcPr>
            <w:tcW w:w="2778"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924">
              <w:r>
                <w:rPr>
                  <w:rStyle w:val="InternetLink"/>
                  <w:rFonts w:ascii="Times New Roman;sans-serif" w:hAnsi="Times New Roman;sans-serif"/>
                  <w:b w:val="false"/>
                  <w:color w:val="0000FF"/>
                  <w:sz w:val="22"/>
                  <w:u w:val="single"/>
                </w:rPr>
                <w:t>SECTION 2.11. Prepayment of Loans.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924">
              <w:r>
                <w:rPr>
                  <w:rStyle w:val="InternetLink"/>
                  <w:rFonts w:ascii="Times New Roman;sans-serif" w:hAnsi="Times New Roman;sans-serif"/>
                  <w:b w:val="false"/>
                  <w:color w:val="0000FF"/>
                  <w:sz w:val="22"/>
                  <w:u w:val="single"/>
                </w:rPr>
                <w:t>52</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945">
              <w:r>
                <w:rPr>
                  <w:rStyle w:val="InternetLink"/>
                  <w:rFonts w:ascii="Times New Roman;sans-serif" w:hAnsi="Times New Roman;sans-serif"/>
                  <w:b w:val="false"/>
                  <w:color w:val="0000FF"/>
                  <w:sz w:val="22"/>
                  <w:u w:val="single"/>
                </w:rPr>
                <w:t>SECTION 2.12. Fees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945">
              <w:r>
                <w:rPr>
                  <w:rStyle w:val="InternetLink"/>
                  <w:rFonts w:ascii="Times New Roman;sans-serif" w:hAnsi="Times New Roman;sans-serif"/>
                  <w:b w:val="false"/>
                  <w:color w:val="0000FF"/>
                  <w:sz w:val="22"/>
                  <w:u w:val="single"/>
                </w:rPr>
                <w:t>53</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966">
              <w:r>
                <w:rPr>
                  <w:rStyle w:val="InternetLink"/>
                  <w:rFonts w:ascii="Times New Roman;sans-serif" w:hAnsi="Times New Roman;sans-serif"/>
                  <w:b w:val="false"/>
                  <w:color w:val="0000FF"/>
                  <w:sz w:val="22"/>
                  <w:u w:val="single"/>
                </w:rPr>
                <w:t>SECTION 2.13. Interest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966">
              <w:r>
                <w:rPr>
                  <w:rStyle w:val="InternetLink"/>
                  <w:rFonts w:ascii="Times New Roman;sans-serif" w:hAnsi="Times New Roman;sans-serif"/>
                  <w:b w:val="false"/>
                  <w:color w:val="0000FF"/>
                  <w:sz w:val="22"/>
                  <w:u w:val="single"/>
                </w:rPr>
                <w:t>54</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987">
              <w:r>
                <w:rPr>
                  <w:rStyle w:val="InternetLink"/>
                  <w:rFonts w:ascii="Times New Roman;sans-serif" w:hAnsi="Times New Roman;sans-serif"/>
                  <w:b w:val="false"/>
                  <w:color w:val="0000FF"/>
                  <w:sz w:val="22"/>
                  <w:u w:val="single"/>
                </w:rPr>
                <w:t>SECTION 2.14. Alternate Rate of Interest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987">
              <w:r>
                <w:rPr>
                  <w:rStyle w:val="InternetLink"/>
                  <w:rFonts w:ascii="Times New Roman;sans-serif" w:hAnsi="Times New Roman;sans-serif"/>
                  <w:b w:val="false"/>
                  <w:color w:val="0000FF"/>
                  <w:sz w:val="22"/>
                  <w:u w:val="single"/>
                </w:rPr>
                <w:t>54</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008">
              <w:r>
                <w:rPr>
                  <w:rStyle w:val="InternetLink"/>
                  <w:rFonts w:ascii="Times New Roman;sans-serif" w:hAnsi="Times New Roman;sans-serif"/>
                  <w:b w:val="false"/>
                  <w:color w:val="0000FF"/>
                  <w:sz w:val="22"/>
                  <w:u w:val="single"/>
                </w:rPr>
                <w:t>SECTION 2.15. Increased Costs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008">
              <w:r>
                <w:rPr>
                  <w:rStyle w:val="InternetLink"/>
                  <w:rFonts w:ascii="Times New Roman;sans-serif" w:hAnsi="Times New Roman;sans-serif"/>
                  <w:b w:val="false"/>
                  <w:color w:val="0000FF"/>
                  <w:sz w:val="22"/>
                  <w:u w:val="single"/>
                </w:rPr>
                <w:t>57</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029">
              <w:r>
                <w:rPr>
                  <w:rStyle w:val="InternetLink"/>
                  <w:rFonts w:ascii="Times New Roman;sans-serif" w:hAnsi="Times New Roman;sans-serif"/>
                  <w:b w:val="false"/>
                  <w:color w:val="0000FF"/>
                  <w:sz w:val="22"/>
                  <w:u w:val="single"/>
                </w:rPr>
                <w:t>SECTION 2.16. Break Funding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029">
              <w:r>
                <w:rPr>
                  <w:rStyle w:val="InternetLink"/>
                  <w:rFonts w:ascii="Times New Roman;sans-serif" w:hAnsi="Times New Roman;sans-serif"/>
                  <w:b w:val="false"/>
                  <w:color w:val="0000FF"/>
                  <w:sz w:val="22"/>
                  <w:u w:val="single"/>
                </w:rPr>
                <w:t>58</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050">
              <w:r>
                <w:rPr>
                  <w:rStyle w:val="InternetLink"/>
                  <w:rFonts w:ascii="Times New Roman;sans-serif" w:hAnsi="Times New Roman;sans-serif"/>
                  <w:b w:val="false"/>
                  <w:color w:val="0000FF"/>
                  <w:sz w:val="22"/>
                  <w:u w:val="single"/>
                </w:rPr>
                <w:t>SECTION 2.17. 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050">
              <w:r>
                <w:rPr>
                  <w:rStyle w:val="InternetLink"/>
                  <w:rFonts w:ascii="Times New Roman;sans-serif" w:hAnsi="Times New Roman;sans-serif"/>
                  <w:b w:val="false"/>
                  <w:color w:val="0000FF"/>
                  <w:sz w:val="22"/>
                  <w:u w:val="single"/>
                </w:rPr>
                <w:t>59</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071">
              <w:r>
                <w:rPr>
                  <w:rStyle w:val="InternetLink"/>
                  <w:rFonts w:ascii="Times New Roman;sans-serif" w:hAnsi="Times New Roman;sans-serif"/>
                  <w:b w:val="false"/>
                  <w:color w:val="0000FF"/>
                  <w:sz w:val="22"/>
                  <w:u w:val="single"/>
                </w:rPr>
                <w:t>SECTION 2.18. Payments Generally; Allocation of Proceeds; Sharing of Set-offs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071">
              <w:r>
                <w:rPr>
                  <w:rStyle w:val="InternetLink"/>
                  <w:rFonts w:ascii="Times New Roman;sans-serif" w:hAnsi="Times New Roman;sans-serif"/>
                  <w:b w:val="false"/>
                  <w:color w:val="0000FF"/>
                  <w:sz w:val="22"/>
                  <w:u w:val="single"/>
                </w:rPr>
                <w:t>61</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092">
              <w:r>
                <w:rPr>
                  <w:rStyle w:val="InternetLink"/>
                  <w:rFonts w:ascii="Times New Roman;sans-serif" w:hAnsi="Times New Roman;sans-serif"/>
                  <w:b w:val="false"/>
                  <w:color w:val="0000FF"/>
                  <w:sz w:val="22"/>
                  <w:u w:val="single"/>
                </w:rPr>
                <w:t>SECTION 2.19. Mitigation Obligations; Replacement of Lenders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092">
              <w:r>
                <w:rPr>
                  <w:rStyle w:val="InternetLink"/>
                  <w:rFonts w:ascii="Times New Roman;sans-serif" w:hAnsi="Times New Roman;sans-serif"/>
                  <w:b w:val="false"/>
                  <w:color w:val="0000FF"/>
                  <w:sz w:val="22"/>
                  <w:u w:val="single"/>
                </w:rPr>
                <w:t>63</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113">
              <w:r>
                <w:rPr>
                  <w:rStyle w:val="InternetLink"/>
                  <w:rFonts w:ascii="Times New Roman;sans-serif" w:hAnsi="Times New Roman;sans-serif"/>
                  <w:b w:val="false"/>
                  <w:color w:val="0000FF"/>
                  <w:sz w:val="22"/>
                  <w:u w:val="single"/>
                </w:rPr>
                <w:t>SECTION 2.20. Defaulting Lenders.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113">
              <w:r>
                <w:rPr>
                  <w:rStyle w:val="InternetLink"/>
                  <w:rFonts w:ascii="Times New Roman;sans-serif" w:hAnsi="Times New Roman;sans-serif"/>
                  <w:b w:val="false"/>
                  <w:color w:val="0000FF"/>
                  <w:sz w:val="22"/>
                  <w:u w:val="single"/>
                </w:rPr>
                <w:t>64</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134">
              <w:r>
                <w:rPr>
                  <w:rStyle w:val="InternetLink"/>
                  <w:rFonts w:ascii="Times New Roman;sans-serif" w:hAnsi="Times New Roman;sans-serif"/>
                  <w:b w:val="false"/>
                  <w:color w:val="0000FF"/>
                  <w:sz w:val="22"/>
                  <w:u w:val="single"/>
                </w:rPr>
                <w:t>SECTION 2.21. Judgment Currency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134">
              <w:r>
                <w:rPr>
                  <w:rStyle w:val="InternetLink"/>
                  <w:rFonts w:ascii="Times New Roman;sans-serif" w:hAnsi="Times New Roman;sans-serif"/>
                  <w:b w:val="false"/>
                  <w:color w:val="0000FF"/>
                  <w:sz w:val="22"/>
                  <w:u w:val="single"/>
                </w:rPr>
                <w:t>66</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155">
              <w:r>
                <w:rPr>
                  <w:rStyle w:val="InternetLink"/>
                  <w:rFonts w:ascii="Times New Roman;sans-serif" w:hAnsi="Times New Roman;sans-serif"/>
                  <w:b w:val="false"/>
                  <w:color w:val="0000FF"/>
                  <w:sz w:val="22"/>
                  <w:u w:val="single"/>
                </w:rPr>
                <w:t>ARTICLE III 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155">
              <w:r>
                <w:rPr>
                  <w:rStyle w:val="InternetLink"/>
                  <w:rFonts w:ascii="Times New Roman;sans-serif" w:hAnsi="Times New Roman;sans-serif"/>
                  <w:b w:val="false"/>
                  <w:color w:val="0000FF"/>
                  <w:sz w:val="22"/>
                  <w:u w:val="single"/>
                </w:rPr>
                <w:t>66</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177">
              <w:r>
                <w:rPr>
                  <w:rStyle w:val="InternetLink"/>
                  <w:rFonts w:ascii="Times New Roman;sans-serif" w:hAnsi="Times New Roman;sans-serif"/>
                  <w:b w:val="false"/>
                  <w:color w:val="0000FF"/>
                  <w:sz w:val="22"/>
                  <w:u w:val="single"/>
                </w:rPr>
                <w:t>SECTION 3.01. Organization; Powers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177">
              <w:r>
                <w:rPr>
                  <w:rStyle w:val="InternetLink"/>
                  <w:rFonts w:ascii="Times New Roman;sans-serif" w:hAnsi="Times New Roman;sans-serif"/>
                  <w:b w:val="false"/>
                  <w:color w:val="0000FF"/>
                  <w:sz w:val="22"/>
                  <w:u w:val="single"/>
                </w:rPr>
                <w:t>66</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199">
              <w:r>
                <w:rPr>
                  <w:rStyle w:val="InternetLink"/>
                  <w:rFonts w:ascii="Times New Roman;sans-serif" w:hAnsi="Times New Roman;sans-serif"/>
                  <w:b w:val="false"/>
                  <w:color w:val="0000FF"/>
                  <w:sz w:val="22"/>
                  <w:u w:val="single"/>
                </w:rPr>
                <w:t>SECTION 3.02. Authorization; Enforceability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199">
              <w:r>
                <w:rPr>
                  <w:rStyle w:val="InternetLink"/>
                  <w:rFonts w:ascii="Times New Roman;sans-serif" w:hAnsi="Times New Roman;sans-serif"/>
                  <w:b w:val="false"/>
                  <w:color w:val="0000FF"/>
                  <w:sz w:val="22"/>
                  <w:u w:val="single"/>
                </w:rPr>
                <w:t>66</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220">
              <w:r>
                <w:rPr>
                  <w:rStyle w:val="InternetLink"/>
                  <w:rFonts w:ascii="Times New Roman;sans-serif" w:hAnsi="Times New Roman;sans-serif"/>
                  <w:b w:val="false"/>
                  <w:color w:val="0000FF"/>
                  <w:sz w:val="22"/>
                  <w:u w:val="single"/>
                </w:rPr>
                <w:t>SECTION 3.03. Governmental Approvals; No Conflicts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220">
              <w:r>
                <w:rPr>
                  <w:rStyle w:val="InternetLink"/>
                  <w:rFonts w:ascii="Times New Roman;sans-serif" w:hAnsi="Times New Roman;sans-serif"/>
                  <w:b w:val="false"/>
                  <w:color w:val="0000FF"/>
                  <w:sz w:val="22"/>
                  <w:u w:val="single"/>
                </w:rPr>
                <w:t>67</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241">
              <w:r>
                <w:rPr>
                  <w:rStyle w:val="InternetLink"/>
                  <w:rFonts w:ascii="Times New Roman;sans-serif" w:hAnsi="Times New Roman;sans-serif"/>
                  <w:b w:val="false"/>
                  <w:color w:val="0000FF"/>
                  <w:sz w:val="22"/>
                  <w:u w:val="single"/>
                </w:rPr>
                <w:t>SECTION 3.04. Financial Condition; No Material Adverse Change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241">
              <w:r>
                <w:rPr>
                  <w:rStyle w:val="InternetLink"/>
                  <w:rFonts w:ascii="Times New Roman;sans-serif" w:hAnsi="Times New Roman;sans-serif"/>
                  <w:b w:val="false"/>
                  <w:color w:val="0000FF"/>
                  <w:sz w:val="22"/>
                  <w:u w:val="single"/>
                </w:rPr>
                <w:t>67</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262">
              <w:r>
                <w:rPr>
                  <w:rStyle w:val="InternetLink"/>
                  <w:rFonts w:ascii="Times New Roman;sans-serif" w:hAnsi="Times New Roman;sans-serif"/>
                  <w:b w:val="false"/>
                  <w:color w:val="0000FF"/>
                  <w:sz w:val="22"/>
                  <w:u w:val="single"/>
                </w:rPr>
                <w:t>SECTION 3.05. Properties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262">
              <w:r>
                <w:rPr>
                  <w:rStyle w:val="InternetLink"/>
                  <w:rFonts w:ascii="Times New Roman;sans-serif" w:hAnsi="Times New Roman;sans-serif"/>
                  <w:b w:val="false"/>
                  <w:color w:val="0000FF"/>
                  <w:sz w:val="22"/>
                  <w:u w:val="single"/>
                </w:rPr>
                <w:t>67</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283">
              <w:r>
                <w:rPr>
                  <w:rStyle w:val="InternetLink"/>
                  <w:rFonts w:ascii="Times New Roman;sans-serif" w:hAnsi="Times New Roman;sans-serif"/>
                  <w:b w:val="false"/>
                  <w:color w:val="0000FF"/>
                  <w:sz w:val="22"/>
                  <w:u w:val="single"/>
                </w:rPr>
                <w:t>SECTION 3.06. Litigation and Environmental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283">
              <w:r>
                <w:rPr>
                  <w:rStyle w:val="InternetLink"/>
                  <w:rFonts w:ascii="Times New Roman;sans-serif" w:hAnsi="Times New Roman;sans-serif"/>
                  <w:b w:val="false"/>
                  <w:color w:val="0000FF"/>
                  <w:sz w:val="22"/>
                  <w:u w:val="single"/>
                </w:rPr>
                <w:t>67</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304">
              <w:r>
                <w:rPr>
                  <w:rStyle w:val="InternetLink"/>
                  <w:rFonts w:ascii="Times New Roman;sans-serif" w:hAnsi="Times New Roman;sans-serif"/>
                  <w:b w:val="false"/>
                  <w:color w:val="0000FF"/>
                  <w:sz w:val="22"/>
                  <w:u w:val="single"/>
                </w:rPr>
                <w:t>SECTION 3.07. Compliance with Laws and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304">
              <w:r>
                <w:rPr>
                  <w:rStyle w:val="InternetLink"/>
                  <w:rFonts w:ascii="Times New Roman;sans-serif" w:hAnsi="Times New Roman;sans-serif"/>
                  <w:b w:val="false"/>
                  <w:color w:val="0000FF"/>
                  <w:sz w:val="22"/>
                  <w:u w:val="single"/>
                </w:rPr>
                <w:t>67</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325">
              <w:r>
                <w:rPr>
                  <w:rStyle w:val="InternetLink"/>
                  <w:rFonts w:ascii="Times New Roman;sans-serif" w:hAnsi="Times New Roman;sans-serif"/>
                  <w:b w:val="false"/>
                  <w:color w:val="0000FF"/>
                  <w:sz w:val="22"/>
                  <w:u w:val="single"/>
                </w:rPr>
                <w:t>SECTION 3.08. Investment Company Status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325">
              <w:r>
                <w:rPr>
                  <w:rStyle w:val="InternetLink"/>
                  <w:rFonts w:ascii="Times New Roman;sans-serif" w:hAnsi="Times New Roman;sans-serif"/>
                  <w:b w:val="false"/>
                  <w:color w:val="0000FF"/>
                  <w:sz w:val="22"/>
                  <w:u w:val="single"/>
                </w:rPr>
                <w:t>68</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346">
              <w:r>
                <w:rPr>
                  <w:rStyle w:val="InternetLink"/>
                  <w:rFonts w:ascii="Times New Roman;sans-serif" w:hAnsi="Times New Roman;sans-serif"/>
                  <w:b w:val="false"/>
                  <w:color w:val="0000FF"/>
                  <w:sz w:val="22"/>
                  <w:u w:val="single"/>
                </w:rPr>
                <w:t>SECTION 3.09. 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346">
              <w:r>
                <w:rPr>
                  <w:rStyle w:val="InternetLink"/>
                  <w:rFonts w:ascii="Times New Roman;sans-serif" w:hAnsi="Times New Roman;sans-serif"/>
                  <w:b w:val="false"/>
                  <w:color w:val="0000FF"/>
                  <w:sz w:val="22"/>
                  <w:u w:val="single"/>
                </w:rPr>
                <w:t>68</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367">
              <w:r>
                <w:rPr>
                  <w:rStyle w:val="InternetLink"/>
                  <w:rFonts w:ascii="Times New Roman;sans-serif" w:hAnsi="Times New Roman;sans-serif"/>
                  <w:b w:val="false"/>
                  <w:color w:val="0000FF"/>
                  <w:sz w:val="22"/>
                  <w:u w:val="single"/>
                </w:rPr>
                <w:t>SECTION 3.10. ERISA</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367">
              <w:r>
                <w:rPr>
                  <w:rStyle w:val="InternetLink"/>
                  <w:rFonts w:ascii="Times New Roman;sans-serif" w:hAnsi="Times New Roman;sans-serif"/>
                  <w:b w:val="false"/>
                  <w:color w:val="0000FF"/>
                  <w:sz w:val="22"/>
                  <w:u w:val="single"/>
                </w:rPr>
                <w:t>68</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388">
              <w:r>
                <w:rPr>
                  <w:rStyle w:val="InternetLink"/>
                  <w:rFonts w:ascii="Times New Roman;sans-serif" w:hAnsi="Times New Roman;sans-serif"/>
                  <w:b w:val="false"/>
                  <w:color w:val="0000FF"/>
                  <w:sz w:val="22"/>
                  <w:u w:val="single"/>
                </w:rPr>
                <w:t>SECTION 3.11. Disclosure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388">
              <w:r>
                <w:rPr>
                  <w:rStyle w:val="InternetLink"/>
                  <w:rFonts w:ascii="Times New Roman;sans-serif" w:hAnsi="Times New Roman;sans-serif"/>
                  <w:b w:val="false"/>
                  <w:color w:val="0000FF"/>
                  <w:sz w:val="22"/>
                  <w:u w:val="single"/>
                </w:rPr>
                <w:t>68</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409">
              <w:r>
                <w:rPr>
                  <w:rStyle w:val="InternetLink"/>
                  <w:rFonts w:ascii="Times New Roman;sans-serif" w:hAnsi="Times New Roman;sans-serif"/>
                  <w:b w:val="false"/>
                  <w:color w:val="0000FF"/>
                  <w:sz w:val="22"/>
                  <w:u w:val="single"/>
                </w:rPr>
                <w:t>SECTION 3.12. Solvency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409">
              <w:r>
                <w:rPr>
                  <w:rStyle w:val="InternetLink"/>
                  <w:rFonts w:ascii="Times New Roman;sans-serif" w:hAnsi="Times New Roman;sans-serif"/>
                  <w:b w:val="false"/>
                  <w:color w:val="0000FF"/>
                  <w:sz w:val="22"/>
                  <w:u w:val="single"/>
                </w:rPr>
                <w:t>68</w:t>
              </w:r>
            </w:hyperlink>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430">
              <w:r>
                <w:rPr>
                  <w:rStyle w:val="InternetLink"/>
                  <w:rFonts w:ascii="Times New Roman;sans-serif" w:hAnsi="Times New Roman;sans-serif"/>
                  <w:b w:val="false"/>
                  <w:color w:val="0000FF"/>
                  <w:sz w:val="22"/>
                  <w:u w:val="single"/>
                </w:rPr>
                <w:t>SECTION 3.13. 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430">
              <w:r>
                <w:rPr>
                  <w:rStyle w:val="InternetLink"/>
                  <w:rFonts w:ascii="Times New Roman;sans-serif" w:hAnsi="Times New Roman;sans-serif"/>
                  <w:b w:val="false"/>
                  <w:color w:val="0000FF"/>
                  <w:sz w:val="22"/>
                  <w:u w:val="single"/>
                </w:rPr>
                <w:t>68</w:t>
              </w:r>
            </w:hyperlink>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xbxContent>
                </v:textbox>
                <w10:wrap type="none"/>
              </v:rect>
            </w:pict>
          </mc:Fallback>
        </mc:AlternateContent>
      </w:r>
    </w:p>
    <w:tbl>
      <w:tblPr>
        <w:tblW w:w="8970" w:type="dxa"/>
        <w:jc w:val="left"/>
        <w:tblInd w:w="0" w:type="dxa"/>
        <w:tblLayout w:type="fixed"/>
        <w:tblCellMar>
          <w:top w:w="28" w:type="dxa"/>
          <w:left w:w="28" w:type="dxa"/>
          <w:bottom w:w="28" w:type="dxa"/>
          <w:right w:w="28" w:type="dxa"/>
        </w:tblCellMar>
      </w:tblPr>
      <w:tblGrid>
        <w:gridCol w:w="3107"/>
        <w:gridCol w:w="2730"/>
        <w:gridCol w:w="2742"/>
        <w:gridCol w:w="114"/>
        <w:gridCol w:w="114"/>
        <w:gridCol w:w="163"/>
      </w:tblGrid>
      <w:tr>
        <w:trPr/>
        <w:tc>
          <w:tcPr>
            <w:tcW w:w="3107"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451">
              <w:r>
                <w:rPr>
                  <w:rStyle w:val="InternetLink"/>
                  <w:rFonts w:ascii="Times New Roman;sans-serif" w:hAnsi="Times New Roman;sans-serif"/>
                  <w:b w:val="false"/>
                  <w:color w:val="0000FF"/>
                  <w:sz w:val="22"/>
                  <w:u w:val="single"/>
                </w:rPr>
                <w:t>SECTION 3.14. Capitalization and Subsidiaries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451">
              <w:r>
                <w:rPr>
                  <w:rStyle w:val="InternetLink"/>
                  <w:rFonts w:ascii="Times New Roman;sans-serif" w:hAnsi="Times New Roman;sans-serif"/>
                  <w:b w:val="false"/>
                  <w:color w:val="0000FF"/>
                  <w:sz w:val="22"/>
                  <w:u w:val="single"/>
                </w:rPr>
                <w:t>68</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472">
              <w:r>
                <w:rPr>
                  <w:rStyle w:val="InternetLink"/>
                  <w:rFonts w:ascii="Times New Roman;sans-serif" w:hAnsi="Times New Roman;sans-serif"/>
                  <w:b w:val="false"/>
                  <w:color w:val="0000FF"/>
                  <w:sz w:val="22"/>
                  <w:u w:val="single"/>
                </w:rPr>
                <w:t>SECTION 3.15. Security Interest in Collateral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472">
              <w:r>
                <w:rPr>
                  <w:rStyle w:val="InternetLink"/>
                  <w:rFonts w:ascii="Times New Roman;sans-serif" w:hAnsi="Times New Roman;sans-serif"/>
                  <w:b w:val="false"/>
                  <w:color w:val="0000FF"/>
                  <w:sz w:val="22"/>
                  <w:u w:val="single"/>
                </w:rPr>
                <w:t>69</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493">
              <w:r>
                <w:rPr>
                  <w:rStyle w:val="InternetLink"/>
                  <w:rFonts w:ascii="Times New Roman;sans-serif" w:hAnsi="Times New Roman;sans-serif"/>
                  <w:b w:val="false"/>
                  <w:color w:val="0000FF"/>
                  <w:sz w:val="22"/>
                  <w:u w:val="single"/>
                </w:rPr>
                <w:t>SECTION 3.16. Labor Disputes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493">
              <w:r>
                <w:rPr>
                  <w:rStyle w:val="InternetLink"/>
                  <w:rFonts w:ascii="Times New Roman;sans-serif" w:hAnsi="Times New Roman;sans-serif"/>
                  <w:b w:val="false"/>
                  <w:color w:val="0000FF"/>
                  <w:sz w:val="22"/>
                  <w:u w:val="single"/>
                </w:rPr>
                <w:t>69</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514">
              <w:r>
                <w:rPr>
                  <w:rStyle w:val="InternetLink"/>
                  <w:rFonts w:ascii="Times New Roman;sans-serif" w:hAnsi="Times New Roman;sans-serif"/>
                  <w:b w:val="false"/>
                  <w:color w:val="0000FF"/>
                  <w:sz w:val="22"/>
                  <w:u w:val="single"/>
                </w:rPr>
                <w:t>SECTION 3.17. No Default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514">
              <w:r>
                <w:rPr>
                  <w:rStyle w:val="InternetLink"/>
                  <w:rFonts w:ascii="Times New Roman;sans-serif" w:hAnsi="Times New Roman;sans-serif"/>
                  <w:b w:val="false"/>
                  <w:color w:val="0000FF"/>
                  <w:sz w:val="22"/>
                  <w:u w:val="single"/>
                </w:rPr>
                <w:t>69</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535">
              <w:r>
                <w:rPr>
                  <w:rStyle w:val="InternetLink"/>
                  <w:rFonts w:ascii="Times New Roman;sans-serif" w:hAnsi="Times New Roman;sans-serif"/>
                  <w:b w:val="false"/>
                  <w:color w:val="0000FF"/>
                  <w:sz w:val="22"/>
                  <w:u w:val="single"/>
                </w:rPr>
                <w:t>SECTION 3.18. Anti-Corruption Laws and Sanctions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535">
              <w:r>
                <w:rPr>
                  <w:rStyle w:val="InternetLink"/>
                  <w:rFonts w:ascii="Times New Roman;sans-serif" w:hAnsi="Times New Roman;sans-serif"/>
                  <w:b w:val="false"/>
                  <w:color w:val="0000FF"/>
                  <w:sz w:val="22"/>
                  <w:u w:val="single"/>
                </w:rPr>
                <w:t>69</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556">
              <w:r>
                <w:rPr>
                  <w:rStyle w:val="InternetLink"/>
                  <w:rFonts w:ascii="Times New Roman;sans-serif" w:hAnsi="Times New Roman;sans-serif"/>
                  <w:b w:val="false"/>
                  <w:color w:val="0000FF"/>
                  <w:sz w:val="22"/>
                  <w:u w:val="single"/>
                </w:rPr>
                <w:t>SECTION 3.19. Affected Financial Institutions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556">
              <w:r>
                <w:rPr>
                  <w:rStyle w:val="InternetLink"/>
                  <w:rFonts w:ascii="Times New Roman;sans-serif" w:hAnsi="Times New Roman;sans-serif"/>
                  <w:b w:val="false"/>
                  <w:color w:val="0000FF"/>
                  <w:sz w:val="22"/>
                  <w:u w:val="single"/>
                </w:rPr>
                <w:t>69</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577">
              <w:r>
                <w:rPr>
                  <w:rStyle w:val="InternetLink"/>
                  <w:rFonts w:ascii="Times New Roman;sans-serif" w:hAnsi="Times New Roman;sans-serif"/>
                  <w:b w:val="false"/>
                  <w:color w:val="0000FF"/>
                  <w:sz w:val="22"/>
                  <w:u w:val="single"/>
                </w:rPr>
                <w:t>SECTION 3.20. Plan Assets; Prohibited Transactions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577">
              <w:r>
                <w:rPr>
                  <w:rStyle w:val="InternetLink"/>
                  <w:rFonts w:ascii="Times New Roman;sans-serif" w:hAnsi="Times New Roman;sans-serif"/>
                  <w:b w:val="false"/>
                  <w:color w:val="0000FF"/>
                  <w:sz w:val="22"/>
                  <w:u w:val="single"/>
                </w:rPr>
                <w:t>69</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598">
              <w:r>
                <w:rPr>
                  <w:rStyle w:val="InternetLink"/>
                  <w:rFonts w:ascii="Times New Roman;sans-serif" w:hAnsi="Times New Roman;sans-serif"/>
                  <w:b w:val="false"/>
                  <w:color w:val="0000FF"/>
                  <w:sz w:val="22"/>
                  <w:u w:val="single"/>
                </w:rPr>
                <w:t>SECTION 3.21. Covered Entity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598">
              <w:r>
                <w:rPr>
                  <w:rStyle w:val="InternetLink"/>
                  <w:rFonts w:ascii="Times New Roman;sans-serif" w:hAnsi="Times New Roman;sans-serif"/>
                  <w:b w:val="false"/>
                  <w:color w:val="0000FF"/>
                  <w:sz w:val="22"/>
                  <w:u w:val="single"/>
                </w:rPr>
                <w:t>69</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619">
              <w:r>
                <w:rPr>
                  <w:rStyle w:val="InternetLink"/>
                  <w:rFonts w:ascii="Times New Roman;sans-serif" w:hAnsi="Times New Roman;sans-serif"/>
                  <w:b w:val="false"/>
                  <w:color w:val="0000FF"/>
                  <w:sz w:val="22"/>
                  <w:u w:val="single"/>
                </w:rPr>
                <w:t>ARTICLE IV Conditions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619">
              <w:r>
                <w:rPr>
                  <w:rStyle w:val="InternetLink"/>
                  <w:rFonts w:ascii="Times New Roman;sans-serif" w:hAnsi="Times New Roman;sans-serif"/>
                  <w:b w:val="false"/>
                  <w:color w:val="0000FF"/>
                  <w:sz w:val="22"/>
                  <w:u w:val="single"/>
                </w:rPr>
                <w:t>69</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640">
              <w:r>
                <w:rPr>
                  <w:rStyle w:val="InternetLink"/>
                  <w:rFonts w:ascii="Times New Roman;sans-serif" w:hAnsi="Times New Roman;sans-serif"/>
                  <w:b w:val="false"/>
                  <w:color w:val="0000FF"/>
                  <w:sz w:val="22"/>
                  <w:u w:val="single"/>
                </w:rPr>
                <w:t>SECTION 4.01. Effective Date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640">
              <w:r>
                <w:rPr>
                  <w:rStyle w:val="InternetLink"/>
                  <w:rFonts w:ascii="Times New Roman;sans-serif" w:hAnsi="Times New Roman;sans-serif"/>
                  <w:b w:val="false"/>
                  <w:color w:val="0000FF"/>
                  <w:sz w:val="22"/>
                  <w:u w:val="single"/>
                </w:rPr>
                <w:t>70</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663">
              <w:r>
                <w:rPr>
                  <w:rStyle w:val="InternetLink"/>
                  <w:rFonts w:ascii="Times New Roman;sans-serif" w:hAnsi="Times New Roman;sans-serif"/>
                  <w:b w:val="false"/>
                  <w:color w:val="0000FF"/>
                  <w:sz w:val="22"/>
                  <w:u w:val="single"/>
                </w:rPr>
                <w:t>SECTION 4.02. Each Credit Event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663">
              <w:r>
                <w:rPr>
                  <w:rStyle w:val="InternetLink"/>
                  <w:rFonts w:ascii="Times New Roman;sans-serif" w:hAnsi="Times New Roman;sans-serif"/>
                  <w:b w:val="false"/>
                  <w:color w:val="0000FF"/>
                  <w:sz w:val="22"/>
                  <w:u w:val="single"/>
                </w:rPr>
                <w:t>71</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684">
              <w:r>
                <w:rPr>
                  <w:rStyle w:val="InternetLink"/>
                  <w:rFonts w:ascii="Times New Roman;sans-serif" w:hAnsi="Times New Roman;sans-serif"/>
                  <w:b w:val="false"/>
                  <w:color w:val="0000FF"/>
                  <w:sz w:val="22"/>
                  <w:u w:val="single"/>
                </w:rPr>
                <w:t>ARTICLE V Affirmative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684">
              <w:r>
                <w:rPr>
                  <w:rStyle w:val="InternetLink"/>
                  <w:rFonts w:ascii="Times New Roman;sans-serif" w:hAnsi="Times New Roman;sans-serif"/>
                  <w:b w:val="false"/>
                  <w:color w:val="0000FF"/>
                  <w:sz w:val="22"/>
                  <w:u w:val="single"/>
                </w:rPr>
                <w:t>71</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706">
              <w:r>
                <w:rPr>
                  <w:rStyle w:val="InternetLink"/>
                  <w:rFonts w:ascii="Times New Roman;sans-serif" w:hAnsi="Times New Roman;sans-serif"/>
                  <w:b w:val="false"/>
                  <w:color w:val="0000FF"/>
                  <w:sz w:val="22"/>
                  <w:u w:val="single"/>
                </w:rPr>
                <w:t>SECTION 5.01. Financial Statements and Other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706">
              <w:r>
                <w:rPr>
                  <w:rStyle w:val="InternetLink"/>
                  <w:rFonts w:ascii="Times New Roman;sans-serif" w:hAnsi="Times New Roman;sans-serif"/>
                  <w:b w:val="false"/>
                  <w:color w:val="0000FF"/>
                  <w:sz w:val="22"/>
                  <w:u w:val="single"/>
                </w:rPr>
                <w:t>71</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728">
              <w:r>
                <w:rPr>
                  <w:rStyle w:val="InternetLink"/>
                  <w:rFonts w:ascii="Times New Roman;sans-serif" w:hAnsi="Times New Roman;sans-serif"/>
                  <w:b w:val="false"/>
                  <w:color w:val="0000FF"/>
                  <w:sz w:val="22"/>
                  <w:u w:val="single"/>
                </w:rPr>
                <w:t>SECTION 5.02. Notices of Material Events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728">
              <w:r>
                <w:rPr>
                  <w:rStyle w:val="InternetLink"/>
                  <w:rFonts w:ascii="Times New Roman;sans-serif" w:hAnsi="Times New Roman;sans-serif"/>
                  <w:b w:val="false"/>
                  <w:color w:val="0000FF"/>
                  <w:sz w:val="22"/>
                  <w:u w:val="single"/>
                </w:rPr>
                <w:t>72</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749">
              <w:r>
                <w:rPr>
                  <w:rStyle w:val="InternetLink"/>
                  <w:rFonts w:ascii="Times New Roman;sans-serif" w:hAnsi="Times New Roman;sans-serif"/>
                  <w:b w:val="false"/>
                  <w:color w:val="0000FF"/>
                  <w:sz w:val="22"/>
                  <w:u w:val="single"/>
                </w:rPr>
                <w:t>SECTION 5.03. Existence; Conduct of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749">
              <w:r>
                <w:rPr>
                  <w:rStyle w:val="InternetLink"/>
                  <w:rFonts w:ascii="Times New Roman;sans-serif" w:hAnsi="Times New Roman;sans-serif"/>
                  <w:b w:val="false"/>
                  <w:color w:val="0000FF"/>
                  <w:sz w:val="22"/>
                  <w:u w:val="single"/>
                </w:rPr>
                <w:t>73</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770">
              <w:r>
                <w:rPr>
                  <w:rStyle w:val="InternetLink"/>
                  <w:rFonts w:ascii="Times New Roman;sans-serif" w:hAnsi="Times New Roman;sans-serif"/>
                  <w:b w:val="false"/>
                  <w:color w:val="0000FF"/>
                  <w:sz w:val="22"/>
                  <w:u w:val="single"/>
                </w:rPr>
                <w:t>SECTION 5.04. Payment of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770">
              <w:r>
                <w:rPr>
                  <w:rStyle w:val="InternetLink"/>
                  <w:rFonts w:ascii="Times New Roman;sans-serif" w:hAnsi="Times New Roman;sans-serif"/>
                  <w:b w:val="false"/>
                  <w:color w:val="0000FF"/>
                  <w:sz w:val="22"/>
                  <w:u w:val="single"/>
                </w:rPr>
                <w:t>73</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791">
              <w:r>
                <w:rPr>
                  <w:rStyle w:val="InternetLink"/>
                  <w:rFonts w:ascii="Times New Roman;sans-serif" w:hAnsi="Times New Roman;sans-serif"/>
                  <w:b w:val="false"/>
                  <w:color w:val="0000FF"/>
                  <w:sz w:val="22"/>
                  <w:u w:val="single"/>
                </w:rPr>
                <w:t>SECTION 5.05. Maintenance of Properties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791">
              <w:r>
                <w:rPr>
                  <w:rStyle w:val="InternetLink"/>
                  <w:rFonts w:ascii="Times New Roman;sans-serif" w:hAnsi="Times New Roman;sans-serif"/>
                  <w:b w:val="false"/>
                  <w:color w:val="0000FF"/>
                  <w:sz w:val="22"/>
                  <w:u w:val="single"/>
                </w:rPr>
                <w:t>73</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812">
              <w:r>
                <w:rPr>
                  <w:rStyle w:val="InternetLink"/>
                  <w:rFonts w:ascii="Times New Roman;sans-serif" w:hAnsi="Times New Roman;sans-serif"/>
                  <w:b w:val="false"/>
                  <w:color w:val="0000FF"/>
                  <w:sz w:val="22"/>
                  <w:u w:val="single"/>
                </w:rPr>
                <w:t>SECTION 5.06. Books and Records; Inspection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812">
              <w:r>
                <w:rPr>
                  <w:rStyle w:val="InternetLink"/>
                  <w:rFonts w:ascii="Times New Roman;sans-serif" w:hAnsi="Times New Roman;sans-serif"/>
                  <w:b w:val="false"/>
                  <w:color w:val="0000FF"/>
                  <w:sz w:val="22"/>
                  <w:u w:val="single"/>
                </w:rPr>
                <w:t>73</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833">
              <w:r>
                <w:rPr>
                  <w:rStyle w:val="InternetLink"/>
                  <w:rFonts w:ascii="Times New Roman;sans-serif" w:hAnsi="Times New Roman;sans-serif"/>
                  <w:b w:val="false"/>
                  <w:color w:val="0000FF"/>
                  <w:sz w:val="22"/>
                  <w:u w:val="single"/>
                </w:rPr>
                <w:t>SECTION 5.07. Compliance with Laws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833">
              <w:r>
                <w:rPr>
                  <w:rStyle w:val="InternetLink"/>
                  <w:rFonts w:ascii="Times New Roman;sans-serif" w:hAnsi="Times New Roman;sans-serif"/>
                  <w:b w:val="false"/>
                  <w:color w:val="0000FF"/>
                  <w:sz w:val="22"/>
                  <w:u w:val="single"/>
                </w:rPr>
                <w:t>73</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854">
              <w:r>
                <w:rPr>
                  <w:rStyle w:val="InternetLink"/>
                  <w:rFonts w:ascii="Times New Roman;sans-serif" w:hAnsi="Times New Roman;sans-serif"/>
                  <w:b w:val="false"/>
                  <w:color w:val="0000FF"/>
                  <w:sz w:val="22"/>
                  <w:u w:val="single"/>
                </w:rPr>
                <w:t>SECTION 5.08. Use of Proceeds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854">
              <w:r>
                <w:rPr>
                  <w:rStyle w:val="InternetLink"/>
                  <w:rFonts w:ascii="Times New Roman;sans-serif" w:hAnsi="Times New Roman;sans-serif"/>
                  <w:b w:val="false"/>
                  <w:color w:val="0000FF"/>
                  <w:sz w:val="22"/>
                  <w:u w:val="single"/>
                </w:rPr>
                <w:t>73</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875">
              <w:r>
                <w:rPr>
                  <w:rStyle w:val="InternetLink"/>
                  <w:rFonts w:ascii="Times New Roman;sans-serif" w:hAnsi="Times New Roman;sans-serif"/>
                  <w:b w:val="false"/>
                  <w:color w:val="0000FF"/>
                  <w:sz w:val="22"/>
                  <w:u w:val="single"/>
                </w:rPr>
                <w:t>SECTION 5.09. 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875">
              <w:r>
                <w:rPr>
                  <w:rStyle w:val="InternetLink"/>
                  <w:rFonts w:ascii="Times New Roman;sans-serif" w:hAnsi="Times New Roman;sans-serif"/>
                  <w:b w:val="false"/>
                  <w:color w:val="0000FF"/>
                  <w:sz w:val="22"/>
                  <w:u w:val="single"/>
                </w:rPr>
                <w:t>74</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896">
              <w:r>
                <w:rPr>
                  <w:rStyle w:val="InternetLink"/>
                  <w:rFonts w:ascii="Times New Roman;sans-serif" w:hAnsi="Times New Roman;sans-serif"/>
                  <w:b w:val="false"/>
                  <w:color w:val="0000FF"/>
                  <w:sz w:val="22"/>
                  <w:u w:val="single"/>
                </w:rPr>
                <w:t>SECTION 5.10. Casualty and Condemnation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896">
              <w:r>
                <w:rPr>
                  <w:rStyle w:val="InternetLink"/>
                  <w:rFonts w:ascii="Times New Roman;sans-serif" w:hAnsi="Times New Roman;sans-serif"/>
                  <w:b w:val="false"/>
                  <w:color w:val="0000FF"/>
                  <w:sz w:val="22"/>
                  <w:u w:val="single"/>
                </w:rPr>
                <w:t>74</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917">
              <w:r>
                <w:rPr>
                  <w:rStyle w:val="InternetLink"/>
                  <w:rFonts w:ascii="Times New Roman;sans-serif" w:hAnsi="Times New Roman;sans-serif"/>
                  <w:b w:val="false"/>
                  <w:color w:val="0000FF"/>
                  <w:sz w:val="22"/>
                  <w:u w:val="single"/>
                </w:rPr>
                <w:t>SECTION 5.11. Subsidiary Guarantors; Pledges; Additional Collateral; Further Assurances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917">
              <w:r>
                <w:rPr>
                  <w:rStyle w:val="InternetLink"/>
                  <w:rFonts w:ascii="Times New Roman;sans-serif" w:hAnsi="Times New Roman;sans-serif"/>
                  <w:b w:val="false"/>
                  <w:color w:val="0000FF"/>
                  <w:sz w:val="22"/>
                  <w:u w:val="single"/>
                </w:rPr>
                <w:t>74</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938">
              <w:r>
                <w:rPr>
                  <w:rStyle w:val="InternetLink"/>
                  <w:rFonts w:ascii="Times New Roman;sans-serif" w:hAnsi="Times New Roman;sans-serif"/>
                  <w:b w:val="false"/>
                  <w:color w:val="0000FF"/>
                  <w:sz w:val="22"/>
                  <w:u w:val="single"/>
                </w:rPr>
                <w:t>SECTION 5.12. Post-Closing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938">
              <w:r>
                <w:rPr>
                  <w:rStyle w:val="InternetLink"/>
                  <w:rFonts w:ascii="Times New Roman;sans-serif" w:hAnsi="Times New Roman;sans-serif"/>
                  <w:b w:val="false"/>
                  <w:color w:val="0000FF"/>
                  <w:sz w:val="22"/>
                  <w:u w:val="single"/>
                </w:rPr>
                <w:t>75</w:t>
              </w:r>
            </w:hyperlink>
          </w:p>
        </w:tc>
      </w:tr>
      <w:tr>
        <w:trPr/>
        <w:tc>
          <w:tcPr>
            <w:tcW w:w="85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959">
              <w:r>
                <w:rPr>
                  <w:rStyle w:val="InternetLink"/>
                  <w:rFonts w:ascii="Times New Roman;sans-serif" w:hAnsi="Times New Roman;sans-serif"/>
                  <w:b w:val="false"/>
                  <w:color w:val="0000FF"/>
                  <w:sz w:val="22"/>
                  <w:u w:val="single"/>
                </w:rPr>
                <w:t>ARTICLE VI Negative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959">
              <w:r>
                <w:rPr>
                  <w:rStyle w:val="InternetLink"/>
                  <w:rFonts w:ascii="Times New Roman;sans-serif" w:hAnsi="Times New Roman;sans-serif"/>
                  <w:b w:val="false"/>
                  <w:color w:val="0000FF"/>
                  <w:sz w:val="22"/>
                  <w:u w:val="single"/>
                </w:rPr>
                <w:t>75</w:t>
              </w:r>
            </w:hyperlink>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54"/>
        <w:gridCol w:w="3121"/>
        <w:gridCol w:w="3138"/>
        <w:gridCol w:w="114"/>
        <w:gridCol w:w="114"/>
        <w:gridCol w:w="164"/>
      </w:tblGrid>
      <w:tr>
        <w:trPr/>
        <w:tc>
          <w:tcPr>
            <w:tcW w:w="3554"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981">
              <w:r>
                <w:rPr>
                  <w:rStyle w:val="InternetLink"/>
                  <w:rFonts w:ascii="Times New Roman;sans-serif" w:hAnsi="Times New Roman;sans-serif"/>
                  <w:b w:val="false"/>
                  <w:color w:val="0000FF"/>
                  <w:sz w:val="22"/>
                  <w:u w:val="single"/>
                </w:rPr>
                <w:t>SECTION 6.01. Indebtedness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1981">
              <w:r>
                <w:rPr>
                  <w:rStyle w:val="InternetLink"/>
                  <w:rFonts w:ascii="Times New Roman;sans-serif" w:hAnsi="Times New Roman;sans-serif"/>
                  <w:b w:val="false"/>
                  <w:color w:val="0000FF"/>
                  <w:sz w:val="22"/>
                  <w:u w:val="single"/>
                </w:rPr>
                <w:t>76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003">
              <w:r>
                <w:rPr>
                  <w:rStyle w:val="InternetLink"/>
                  <w:rFonts w:ascii="Times New Roman;sans-serif" w:hAnsi="Times New Roman;sans-serif"/>
                  <w:b w:val="false"/>
                  <w:color w:val="0000FF"/>
                  <w:sz w:val="22"/>
                  <w:u w:val="single"/>
                </w:rPr>
                <w:t>SECTION 6.02. Liens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003">
              <w:r>
                <w:rPr>
                  <w:rStyle w:val="InternetLink"/>
                  <w:rFonts w:ascii="Times New Roman;sans-serif" w:hAnsi="Times New Roman;sans-serif"/>
                  <w:b w:val="false"/>
                  <w:color w:val="0000FF"/>
                  <w:sz w:val="22"/>
                  <w:u w:val="single"/>
                </w:rPr>
                <w:t>77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024">
              <w:r>
                <w:rPr>
                  <w:rStyle w:val="InternetLink"/>
                  <w:rFonts w:ascii="Times New Roman;sans-serif" w:hAnsi="Times New Roman;sans-serif"/>
                  <w:b w:val="false"/>
                  <w:color w:val="0000FF"/>
                  <w:sz w:val="22"/>
                  <w:u w:val="single"/>
                </w:rPr>
                <w:t>SECTION 6.03. Fundamental Changes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024">
              <w:r>
                <w:rPr>
                  <w:rStyle w:val="InternetLink"/>
                  <w:rFonts w:ascii="Times New Roman;sans-serif" w:hAnsi="Times New Roman;sans-serif"/>
                  <w:b w:val="false"/>
                  <w:color w:val="0000FF"/>
                  <w:sz w:val="22"/>
                  <w:u w:val="single"/>
                </w:rPr>
                <w:t>78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045">
              <w:r>
                <w:rPr>
                  <w:rStyle w:val="InternetLink"/>
                  <w:rFonts w:ascii="Times New Roman;sans-serif" w:hAnsi="Times New Roman;sans-serif"/>
                  <w:b w:val="false"/>
                  <w:color w:val="0000FF"/>
                  <w:sz w:val="22"/>
                  <w:u w:val="single"/>
                </w:rPr>
                <w:t>SECTION 6.04. Investments, Loans, Advances, Guarantees and Acquisitions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045">
              <w:r>
                <w:rPr>
                  <w:rStyle w:val="InternetLink"/>
                  <w:rFonts w:ascii="Times New Roman;sans-serif" w:hAnsi="Times New Roman;sans-serif"/>
                  <w:b w:val="false"/>
                  <w:color w:val="0000FF"/>
                  <w:sz w:val="22"/>
                  <w:u w:val="single"/>
                </w:rPr>
                <w:t>78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108">
              <w:r>
                <w:rPr>
                  <w:rStyle w:val="InternetLink"/>
                  <w:rFonts w:ascii="Times New Roman;sans-serif" w:hAnsi="Times New Roman;sans-serif"/>
                  <w:b w:val="false"/>
                  <w:color w:val="0000FF"/>
                  <w:sz w:val="22"/>
                  <w:u w:val="single"/>
                </w:rPr>
                <w:t>SECTION 6.05. Asset Sales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108">
              <w:r>
                <w:rPr>
                  <w:rStyle w:val="InternetLink"/>
                  <w:rFonts w:ascii="Times New Roman;sans-serif" w:hAnsi="Times New Roman;sans-serif"/>
                  <w:b w:val="false"/>
                  <w:color w:val="0000FF"/>
                  <w:sz w:val="22"/>
                  <w:u w:val="single"/>
                </w:rPr>
                <w:t>80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129">
              <w:r>
                <w:rPr>
                  <w:rStyle w:val="InternetLink"/>
                  <w:rFonts w:ascii="Times New Roman;sans-serif" w:hAnsi="Times New Roman;sans-serif"/>
                  <w:b w:val="false"/>
                  <w:color w:val="0000FF"/>
                  <w:sz w:val="22"/>
                  <w:u w:val="single"/>
                </w:rPr>
                <w:t>SECTION 6.06. Sale and Leaseback Transactions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129">
              <w:r>
                <w:rPr>
                  <w:rStyle w:val="InternetLink"/>
                  <w:rFonts w:ascii="Times New Roman;sans-serif" w:hAnsi="Times New Roman;sans-serif"/>
                  <w:b w:val="false"/>
                  <w:color w:val="0000FF"/>
                  <w:sz w:val="22"/>
                  <w:u w:val="single"/>
                </w:rPr>
                <w:t>80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150">
              <w:r>
                <w:rPr>
                  <w:rStyle w:val="InternetLink"/>
                  <w:rFonts w:ascii="Times New Roman;sans-serif" w:hAnsi="Times New Roman;sans-serif"/>
                  <w:b w:val="false"/>
                  <w:color w:val="0000FF"/>
                  <w:sz w:val="22"/>
                  <w:u w:val="single"/>
                </w:rPr>
                <w:t>SECTION 6.07. Restricted Payments; Certain Payments of Indebtedness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150">
              <w:r>
                <w:rPr>
                  <w:rStyle w:val="InternetLink"/>
                  <w:rFonts w:ascii="Times New Roman;sans-serif" w:hAnsi="Times New Roman;sans-serif"/>
                  <w:b w:val="false"/>
                  <w:color w:val="0000FF"/>
                  <w:sz w:val="22"/>
                  <w:u w:val="single"/>
                </w:rPr>
                <w:t>80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171">
              <w:r>
                <w:rPr>
                  <w:rStyle w:val="InternetLink"/>
                  <w:rFonts w:ascii="Times New Roman;sans-serif" w:hAnsi="Times New Roman;sans-serif"/>
                  <w:b w:val="false"/>
                  <w:color w:val="0000FF"/>
                  <w:sz w:val="22"/>
                  <w:u w:val="single"/>
                </w:rPr>
                <w:t>SECTION 6.08. Transactions with Affiliates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171">
              <w:r>
                <w:rPr>
                  <w:rStyle w:val="InternetLink"/>
                  <w:rFonts w:ascii="Times New Roman;sans-serif" w:hAnsi="Times New Roman;sans-serif"/>
                  <w:b w:val="false"/>
                  <w:color w:val="0000FF"/>
                  <w:sz w:val="22"/>
                  <w:u w:val="single"/>
                </w:rPr>
                <w:t>81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192">
              <w:r>
                <w:rPr>
                  <w:rStyle w:val="InternetLink"/>
                  <w:rFonts w:ascii="Times New Roman;sans-serif" w:hAnsi="Times New Roman;sans-serif"/>
                  <w:b w:val="false"/>
                  <w:color w:val="0000FF"/>
                  <w:sz w:val="22"/>
                  <w:u w:val="single"/>
                </w:rPr>
                <w:t>SECTION 6.09. Restrictive Agreements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192">
              <w:r>
                <w:rPr>
                  <w:rStyle w:val="InternetLink"/>
                  <w:rFonts w:ascii="Times New Roman;sans-serif" w:hAnsi="Times New Roman;sans-serif"/>
                  <w:b w:val="false"/>
                  <w:color w:val="0000FF"/>
                  <w:sz w:val="22"/>
                  <w:u w:val="single"/>
                </w:rPr>
                <w:t>81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213">
              <w:r>
                <w:rPr>
                  <w:rStyle w:val="InternetLink"/>
                  <w:rFonts w:ascii="Times New Roman;sans-serif" w:hAnsi="Times New Roman;sans-serif"/>
                  <w:b w:val="false"/>
                  <w:color w:val="0000FF"/>
                  <w:sz w:val="22"/>
                  <w:u w:val="single"/>
                </w:rPr>
                <w:t>SECTION 6.10. Subordinated Indebtedness and Amendments to Subordinated Indebtedness Documents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213">
              <w:r>
                <w:rPr>
                  <w:rStyle w:val="InternetLink"/>
                  <w:rFonts w:ascii="Times New Roman;sans-serif" w:hAnsi="Times New Roman;sans-serif"/>
                  <w:b w:val="false"/>
                  <w:color w:val="0000FF"/>
                  <w:sz w:val="22"/>
                  <w:u w:val="single"/>
                </w:rPr>
                <w:t>82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234">
              <w:r>
                <w:rPr>
                  <w:rStyle w:val="InternetLink"/>
                  <w:rFonts w:ascii="Times New Roman;sans-serif" w:hAnsi="Times New Roman;sans-serif"/>
                  <w:b w:val="false"/>
                  <w:color w:val="0000FF"/>
                  <w:sz w:val="22"/>
                  <w:u w:val="single"/>
                </w:rPr>
                <w:t>SECTION 6.11. [Reserved]</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234">
              <w:r>
                <w:rPr>
                  <w:rStyle w:val="InternetLink"/>
                  <w:rFonts w:ascii="Times New Roman;sans-serif" w:hAnsi="Times New Roman;sans-serif"/>
                  <w:b w:val="false"/>
                  <w:color w:val="0000FF"/>
                  <w:sz w:val="22"/>
                  <w:u w:val="single"/>
                </w:rPr>
                <w:t>82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255">
              <w:r>
                <w:rPr>
                  <w:rStyle w:val="InternetLink"/>
                  <w:rFonts w:ascii="Times New Roman;sans-serif" w:hAnsi="Times New Roman;sans-serif"/>
                  <w:b w:val="false"/>
                  <w:color w:val="0000FF"/>
                  <w:sz w:val="22"/>
                  <w:u w:val="single"/>
                </w:rPr>
                <w:t>SECTION 6.12. Financial Covenants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255">
              <w:r>
                <w:rPr>
                  <w:rStyle w:val="InternetLink"/>
                  <w:rFonts w:ascii="Times New Roman;sans-serif" w:hAnsi="Times New Roman;sans-serif"/>
                  <w:b w:val="false"/>
                  <w:color w:val="0000FF"/>
                  <w:sz w:val="22"/>
                  <w:u w:val="single"/>
                </w:rPr>
                <w:t>82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276">
              <w:r>
                <w:rPr>
                  <w:rStyle w:val="InternetLink"/>
                  <w:rFonts w:ascii="Times New Roman;sans-serif" w:hAnsi="Times New Roman;sans-serif"/>
                  <w:b w:val="false"/>
                  <w:color w:val="0000FF"/>
                  <w:sz w:val="22"/>
                  <w:u w:val="single"/>
                </w:rPr>
                <w:t>ARTICLE VII Events of Default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276">
              <w:r>
                <w:rPr>
                  <w:rStyle w:val="InternetLink"/>
                  <w:rFonts w:ascii="Times New Roman;sans-serif" w:hAnsi="Times New Roman;sans-serif"/>
                  <w:b w:val="false"/>
                  <w:color w:val="0000FF"/>
                  <w:sz w:val="22"/>
                  <w:u w:val="single"/>
                </w:rPr>
                <w:t>82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298">
              <w:r>
                <w:rPr>
                  <w:rStyle w:val="InternetLink"/>
                  <w:rFonts w:ascii="Times New Roman;sans-serif" w:hAnsi="Times New Roman;sans-serif"/>
                  <w:b w:val="false"/>
                  <w:color w:val="0000FF"/>
                  <w:sz w:val="22"/>
                  <w:u w:val="single"/>
                </w:rPr>
                <w:t>SECTION 7.01. Events of Default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298">
              <w:r>
                <w:rPr>
                  <w:rStyle w:val="InternetLink"/>
                  <w:rFonts w:ascii="Times New Roman;sans-serif" w:hAnsi="Times New Roman;sans-serif"/>
                  <w:b w:val="false"/>
                  <w:color w:val="0000FF"/>
                  <w:sz w:val="22"/>
                  <w:u w:val="single"/>
                </w:rPr>
                <w:t>83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330">
              <w:r>
                <w:rPr>
                  <w:rStyle w:val="InternetLink"/>
                  <w:rFonts w:ascii="Times New Roman;sans-serif" w:hAnsi="Times New Roman;sans-serif"/>
                  <w:b w:val="false"/>
                  <w:color w:val="0000FF"/>
                  <w:sz w:val="22"/>
                  <w:u w:val="single"/>
                </w:rPr>
                <w:t>SECTION 7.02. Remedies Upon an Event of Default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330">
              <w:r>
                <w:rPr>
                  <w:rStyle w:val="InternetLink"/>
                  <w:rFonts w:ascii="Times New Roman;sans-serif" w:hAnsi="Times New Roman;sans-serif"/>
                  <w:b w:val="false"/>
                  <w:color w:val="0000FF"/>
                  <w:sz w:val="22"/>
                  <w:u w:val="single"/>
                </w:rPr>
                <w:t>84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351">
              <w:r>
                <w:rPr>
                  <w:rStyle w:val="InternetLink"/>
                  <w:rFonts w:ascii="Times New Roman;sans-serif" w:hAnsi="Times New Roman;sans-serif"/>
                  <w:b w:val="false"/>
                  <w:color w:val="0000FF"/>
                  <w:sz w:val="22"/>
                  <w:u w:val="single"/>
                </w:rPr>
                <w:t>SECTION 7.03. Application of Payments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351">
              <w:r>
                <w:rPr>
                  <w:rStyle w:val="InternetLink"/>
                  <w:rFonts w:ascii="Times New Roman;sans-serif" w:hAnsi="Times New Roman;sans-serif"/>
                  <w:b w:val="false"/>
                  <w:color w:val="0000FF"/>
                  <w:sz w:val="22"/>
                  <w:u w:val="single"/>
                </w:rPr>
                <w:t>86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372">
              <w:r>
                <w:rPr>
                  <w:rStyle w:val="InternetLink"/>
                  <w:rFonts w:ascii="Times New Roman;sans-serif" w:hAnsi="Times New Roman;sans-serif"/>
                  <w:b w:val="false"/>
                  <w:color w:val="0000FF"/>
                  <w:sz w:val="22"/>
                  <w:u w:val="single"/>
                </w:rPr>
                <w:t>ARTICLE VIII The Administrative Agent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372">
              <w:r>
                <w:rPr>
                  <w:rStyle w:val="InternetLink"/>
                  <w:rFonts w:ascii="Times New Roman;sans-serif" w:hAnsi="Times New Roman;sans-serif"/>
                  <w:b w:val="false"/>
                  <w:color w:val="0000FF"/>
                  <w:sz w:val="22"/>
                  <w:u w:val="single"/>
                </w:rPr>
                <w:t>86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394">
              <w:r>
                <w:rPr>
                  <w:rStyle w:val="InternetLink"/>
                  <w:rFonts w:ascii="Times New Roman;sans-serif" w:hAnsi="Times New Roman;sans-serif"/>
                  <w:b w:val="false"/>
                  <w:color w:val="0000FF"/>
                  <w:sz w:val="22"/>
                  <w:u w:val="single"/>
                </w:rPr>
                <w:t>SECTION 8.01. Authorization and Action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394">
              <w:r>
                <w:rPr>
                  <w:rStyle w:val="InternetLink"/>
                  <w:rFonts w:ascii="Times New Roman;sans-serif" w:hAnsi="Times New Roman;sans-serif"/>
                  <w:b w:val="false"/>
                  <w:color w:val="0000FF"/>
                  <w:sz w:val="22"/>
                  <w:u w:val="single"/>
                </w:rPr>
                <w:t>86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416">
              <w:r>
                <w:rPr>
                  <w:rStyle w:val="InternetLink"/>
                  <w:rFonts w:ascii="Times New Roman;sans-serif" w:hAnsi="Times New Roman;sans-serif"/>
                  <w:b w:val="false"/>
                  <w:color w:val="0000FF"/>
                  <w:sz w:val="22"/>
                  <w:u w:val="single"/>
                </w:rPr>
                <w:t>SECTION 8.02. Administrative Agent’s Reliance, Limitation of Liability, Etc</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416">
              <w:r>
                <w:rPr>
                  <w:rStyle w:val="InternetLink"/>
                  <w:rFonts w:ascii="Times New Roman;sans-serif" w:hAnsi="Times New Roman;sans-serif"/>
                  <w:b w:val="false"/>
                  <w:color w:val="0000FF"/>
                  <w:sz w:val="22"/>
                  <w:u w:val="single"/>
                </w:rPr>
                <w:t>88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518">
              <w:r>
                <w:rPr>
                  <w:rStyle w:val="InternetLink"/>
                  <w:rFonts w:ascii="Times New Roman;sans-serif" w:hAnsi="Times New Roman;sans-serif"/>
                  <w:b w:val="false"/>
                  <w:color w:val="0000FF"/>
                  <w:sz w:val="22"/>
                  <w:u w:val="single"/>
                </w:rPr>
                <w:t>SECTION 8.03. The Administrative Agent Individually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518">
              <w:r>
                <w:rPr>
                  <w:rStyle w:val="InternetLink"/>
                  <w:rFonts w:ascii="Times New Roman;sans-serif" w:hAnsi="Times New Roman;sans-serif"/>
                  <w:b w:val="false"/>
                  <w:color w:val="0000FF"/>
                  <w:sz w:val="22"/>
                  <w:u w:val="single"/>
                </w:rPr>
                <w:t>89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539">
              <w:r>
                <w:rPr>
                  <w:rStyle w:val="InternetLink"/>
                  <w:rFonts w:ascii="Times New Roman;sans-serif" w:hAnsi="Times New Roman;sans-serif"/>
                  <w:b w:val="false"/>
                  <w:color w:val="0000FF"/>
                  <w:sz w:val="22"/>
                  <w:u w:val="single"/>
                </w:rPr>
                <w:t>SECTION 8.04. Successor Administrative Agent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539">
              <w:r>
                <w:rPr>
                  <w:rStyle w:val="InternetLink"/>
                  <w:rFonts w:ascii="Times New Roman;sans-serif" w:hAnsi="Times New Roman;sans-serif"/>
                  <w:b w:val="false"/>
                  <w:color w:val="0000FF"/>
                  <w:sz w:val="22"/>
                  <w:u w:val="single"/>
                </w:rPr>
                <w:t>90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560">
              <w:r>
                <w:rPr>
                  <w:rStyle w:val="InternetLink"/>
                  <w:rFonts w:ascii="Times New Roman;sans-serif" w:hAnsi="Times New Roman;sans-serif"/>
                  <w:b w:val="false"/>
                  <w:color w:val="0000FF"/>
                  <w:sz w:val="22"/>
                  <w:u w:val="single"/>
                </w:rPr>
                <w:t>SECTION 8.05. Acknowledgments of Lenders and Issuing Banks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560">
              <w:r>
                <w:rPr>
                  <w:rStyle w:val="InternetLink"/>
                  <w:rFonts w:ascii="Times New Roman;sans-serif" w:hAnsi="Times New Roman;sans-serif"/>
                  <w:b w:val="false"/>
                  <w:color w:val="0000FF"/>
                  <w:sz w:val="22"/>
                  <w:u w:val="single"/>
                </w:rPr>
                <w:t>90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581">
              <w:r>
                <w:rPr>
                  <w:rStyle w:val="InternetLink"/>
                  <w:rFonts w:ascii="Times New Roman;sans-serif" w:hAnsi="Times New Roman;sans-serif"/>
                  <w:b w:val="false"/>
                  <w:color w:val="0000FF"/>
                  <w:sz w:val="22"/>
                  <w:u w:val="single"/>
                </w:rPr>
                <w:t>SECTION 8.06. Collateral Matters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581">
              <w:r>
                <w:rPr>
                  <w:rStyle w:val="InternetLink"/>
                  <w:rFonts w:ascii="Times New Roman;sans-serif" w:hAnsi="Times New Roman;sans-serif"/>
                  <w:b w:val="false"/>
                  <w:color w:val="0000FF"/>
                  <w:sz w:val="22"/>
                  <w:u w:val="single"/>
                </w:rPr>
                <w:t>92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602">
              <w:r>
                <w:rPr>
                  <w:rStyle w:val="InternetLink"/>
                  <w:rFonts w:ascii="Times New Roman;sans-serif" w:hAnsi="Times New Roman;sans-serif"/>
                  <w:b w:val="false"/>
                  <w:color w:val="0000FF"/>
                  <w:sz w:val="22"/>
                  <w:u w:val="single"/>
                </w:rPr>
                <w:t>SECTION 8.07. Certain ERISA Matters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602">
              <w:r>
                <w:rPr>
                  <w:rStyle w:val="InternetLink"/>
                  <w:rFonts w:ascii="Times New Roman;sans-serif" w:hAnsi="Times New Roman;sans-serif"/>
                  <w:b w:val="false"/>
                  <w:color w:val="0000FF"/>
                  <w:sz w:val="22"/>
                  <w:u w:val="single"/>
                </w:rPr>
                <w:t>92</w:t>
              </w:r>
            </w:hyperlink>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iv</w:t>
                      </w:r>
                    </w:p>
                  </w:txbxContent>
                </v:textbox>
                <w10:wrap type="none"/>
              </v:rect>
            </w:pict>
          </mc:Fallback>
        </mc:AlternateContent>
      </w:r>
    </w:p>
    <w:tbl>
      <w:tblPr>
        <w:tblW w:w="9150" w:type="dxa"/>
        <w:jc w:val="left"/>
        <w:tblInd w:w="0" w:type="dxa"/>
        <w:tblLayout w:type="fixed"/>
        <w:tblCellMar>
          <w:top w:w="28" w:type="dxa"/>
          <w:left w:w="28" w:type="dxa"/>
          <w:bottom w:w="28" w:type="dxa"/>
          <w:right w:w="28" w:type="dxa"/>
        </w:tblCellMar>
      </w:tblPr>
      <w:tblGrid>
        <w:gridCol w:w="3131"/>
        <w:gridCol w:w="2752"/>
        <w:gridCol w:w="2756"/>
        <w:gridCol w:w="148"/>
        <w:gridCol w:w="148"/>
        <w:gridCol w:w="215"/>
      </w:tblGrid>
      <w:tr>
        <w:trPr/>
        <w:tc>
          <w:tcPr>
            <w:tcW w:w="3131"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623">
              <w:r>
                <w:rPr>
                  <w:rStyle w:val="InternetLink"/>
                  <w:rFonts w:ascii="Times New Roman;sans-serif" w:hAnsi="Times New Roman;sans-serif"/>
                  <w:b w:val="false"/>
                  <w:color w:val="0000FF"/>
                  <w:sz w:val="22"/>
                  <w:u w:val="single"/>
                </w:rPr>
                <w:t>SECTION 8.08. Posting of Communications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623">
              <w:r>
                <w:rPr>
                  <w:rStyle w:val="InternetLink"/>
                  <w:rFonts w:ascii="Times New Roman;sans-serif" w:hAnsi="Times New Roman;sans-serif"/>
                  <w:b w:val="false"/>
                  <w:color w:val="0000FF"/>
                  <w:sz w:val="22"/>
                  <w:u w:val="single"/>
                </w:rPr>
                <w:t>93</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644">
              <w:r>
                <w:rPr>
                  <w:rStyle w:val="InternetLink"/>
                  <w:rFonts w:ascii="Times New Roman;sans-serif" w:hAnsi="Times New Roman;sans-serif"/>
                  <w:b w:val="false"/>
                  <w:color w:val="0000FF"/>
                  <w:sz w:val="22"/>
                  <w:u w:val="single"/>
                </w:rPr>
                <w:t>SECTION 8.09. Credit Bidding.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644">
              <w:r>
                <w:rPr>
                  <w:rStyle w:val="InternetLink"/>
                  <w:rFonts w:ascii="Times New Roman;sans-serif" w:hAnsi="Times New Roman;sans-serif"/>
                  <w:b w:val="false"/>
                  <w:color w:val="0000FF"/>
                  <w:sz w:val="22"/>
                  <w:u w:val="single"/>
                </w:rPr>
                <w:t>94</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665">
              <w:r>
                <w:rPr>
                  <w:rStyle w:val="InternetLink"/>
                  <w:rFonts w:ascii="Times New Roman;sans-serif" w:hAnsi="Times New Roman;sans-serif"/>
                  <w:b w:val="false"/>
                  <w:color w:val="0000FF"/>
                  <w:sz w:val="22"/>
                  <w:u w:val="single"/>
                </w:rPr>
                <w:t>SECTION 8.10. Intercreditor Agreement.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665">
              <w:r>
                <w:rPr>
                  <w:rStyle w:val="InternetLink"/>
                  <w:rFonts w:ascii="Times New Roman;sans-serif" w:hAnsi="Times New Roman;sans-serif"/>
                  <w:b w:val="false"/>
                  <w:color w:val="0000FF"/>
                  <w:sz w:val="22"/>
                  <w:u w:val="single"/>
                </w:rPr>
                <w:t>95</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686">
              <w:r>
                <w:rPr>
                  <w:rStyle w:val="InternetLink"/>
                  <w:rFonts w:ascii="Times New Roman;sans-serif" w:hAnsi="Times New Roman;sans-serif"/>
                  <w:b w:val="false"/>
                  <w:color w:val="0000FF"/>
                  <w:sz w:val="22"/>
                  <w:u w:val="single"/>
                </w:rPr>
                <w:t>ARTICLE IX Miscellaneous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686">
              <w:r>
                <w:rPr>
                  <w:rStyle w:val="InternetLink"/>
                  <w:rFonts w:ascii="Times New Roman;sans-serif" w:hAnsi="Times New Roman;sans-serif"/>
                  <w:b w:val="false"/>
                  <w:color w:val="0000FF"/>
                  <w:sz w:val="22"/>
                  <w:u w:val="single"/>
                </w:rPr>
                <w:t>95</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708">
              <w:r>
                <w:rPr>
                  <w:rStyle w:val="InternetLink"/>
                  <w:rFonts w:ascii="Times New Roman;sans-serif" w:hAnsi="Times New Roman;sans-serif"/>
                  <w:b w:val="false"/>
                  <w:color w:val="0000FF"/>
                  <w:sz w:val="22"/>
                  <w:u w:val="single"/>
                </w:rPr>
                <w:t>SECTION 9.01. Notices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708">
              <w:r>
                <w:rPr>
                  <w:rStyle w:val="InternetLink"/>
                  <w:rFonts w:ascii="Times New Roman;sans-serif" w:hAnsi="Times New Roman;sans-serif"/>
                  <w:b w:val="false"/>
                  <w:color w:val="0000FF"/>
                  <w:sz w:val="22"/>
                  <w:u w:val="single"/>
                </w:rPr>
                <w:t>95</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730">
              <w:r>
                <w:rPr>
                  <w:rStyle w:val="InternetLink"/>
                  <w:rFonts w:ascii="Times New Roman;sans-serif" w:hAnsi="Times New Roman;sans-serif"/>
                  <w:b w:val="false"/>
                  <w:color w:val="0000FF"/>
                  <w:sz w:val="22"/>
                  <w:u w:val="single"/>
                </w:rPr>
                <w:t>SECTION 9.02. Waivers; Amendments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730">
              <w:r>
                <w:rPr>
                  <w:rStyle w:val="InternetLink"/>
                  <w:rFonts w:ascii="Times New Roman;sans-serif" w:hAnsi="Times New Roman;sans-serif"/>
                  <w:b w:val="false"/>
                  <w:color w:val="0000FF"/>
                  <w:sz w:val="22"/>
                  <w:u w:val="single"/>
                </w:rPr>
                <w:t>96</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751">
              <w:r>
                <w:rPr>
                  <w:rStyle w:val="InternetLink"/>
                  <w:rFonts w:ascii="Times New Roman;sans-serif" w:hAnsi="Times New Roman;sans-serif"/>
                  <w:b w:val="false"/>
                  <w:color w:val="0000FF"/>
                  <w:sz w:val="22"/>
                  <w:u w:val="single"/>
                </w:rPr>
                <w:t>SECTION 9.03. Expenses; Indemnity; Limitation of Liability; Damage Waiver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751">
              <w:r>
                <w:rPr>
                  <w:rStyle w:val="InternetLink"/>
                  <w:rFonts w:ascii="Times New Roman;sans-serif" w:hAnsi="Times New Roman;sans-serif"/>
                  <w:b w:val="false"/>
                  <w:color w:val="0000FF"/>
                  <w:sz w:val="22"/>
                  <w:u w:val="single"/>
                </w:rPr>
                <w:t>99</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772">
              <w:r>
                <w:rPr>
                  <w:rStyle w:val="InternetLink"/>
                  <w:rFonts w:ascii="Times New Roman;sans-serif" w:hAnsi="Times New Roman;sans-serif"/>
                  <w:b w:val="false"/>
                  <w:color w:val="0000FF"/>
                  <w:sz w:val="22"/>
                  <w:u w:val="single"/>
                </w:rPr>
                <w:t>SECTION 9.04. Successors and Assigns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772">
              <w:r>
                <w:rPr>
                  <w:rStyle w:val="InternetLink"/>
                  <w:rFonts w:ascii="Times New Roman;sans-serif" w:hAnsi="Times New Roman;sans-serif"/>
                  <w:b w:val="false"/>
                  <w:color w:val="0000FF"/>
                  <w:sz w:val="22"/>
                  <w:u w:val="single"/>
                </w:rPr>
                <w:t>100</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793">
              <w:r>
                <w:rPr>
                  <w:rStyle w:val="InternetLink"/>
                  <w:rFonts w:ascii="Times New Roman;sans-serif" w:hAnsi="Times New Roman;sans-serif"/>
                  <w:b w:val="false"/>
                  <w:color w:val="0000FF"/>
                  <w:sz w:val="22"/>
                  <w:u w:val="single"/>
                </w:rPr>
                <w:t>SECTION 9.05. Survival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793">
              <w:r>
                <w:rPr>
                  <w:rStyle w:val="InternetLink"/>
                  <w:rFonts w:ascii="Times New Roman;sans-serif" w:hAnsi="Times New Roman;sans-serif"/>
                  <w:b w:val="false"/>
                  <w:color w:val="0000FF"/>
                  <w:sz w:val="22"/>
                  <w:u w:val="single"/>
                </w:rPr>
                <w:t>103</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814">
              <w:r>
                <w:rPr>
                  <w:rStyle w:val="InternetLink"/>
                  <w:rFonts w:ascii="Times New Roman;sans-serif" w:hAnsi="Times New Roman;sans-serif"/>
                  <w:b w:val="false"/>
                  <w:color w:val="0000FF"/>
                  <w:sz w:val="22"/>
                  <w:u w:val="single"/>
                </w:rPr>
                <w:t>SECTION 9.06. Counterparts; Integration; Effectiveness; Electronic Execution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814">
              <w:r>
                <w:rPr>
                  <w:rStyle w:val="InternetLink"/>
                  <w:rFonts w:ascii="Times New Roman;sans-serif" w:hAnsi="Times New Roman;sans-serif"/>
                  <w:b w:val="false"/>
                  <w:color w:val="0000FF"/>
                  <w:sz w:val="22"/>
                  <w:u w:val="single"/>
                </w:rPr>
                <w:t>104</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835">
              <w:r>
                <w:rPr>
                  <w:rStyle w:val="InternetLink"/>
                  <w:rFonts w:ascii="Times New Roman;sans-serif" w:hAnsi="Times New Roman;sans-serif"/>
                  <w:b w:val="false"/>
                  <w:color w:val="0000FF"/>
                  <w:sz w:val="22"/>
                  <w:u w:val="single"/>
                </w:rPr>
                <w:t>SECTION 9.07. Severability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835">
              <w:r>
                <w:rPr>
                  <w:rStyle w:val="InternetLink"/>
                  <w:rFonts w:ascii="Times New Roman;sans-serif" w:hAnsi="Times New Roman;sans-serif"/>
                  <w:b w:val="false"/>
                  <w:color w:val="0000FF"/>
                  <w:sz w:val="22"/>
                  <w:u w:val="single"/>
                </w:rPr>
                <w:t>105</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856">
              <w:r>
                <w:rPr>
                  <w:rStyle w:val="InternetLink"/>
                  <w:rFonts w:ascii="Times New Roman;sans-serif" w:hAnsi="Times New Roman;sans-serif"/>
                  <w:b w:val="false"/>
                  <w:color w:val="0000FF"/>
                  <w:sz w:val="22"/>
                  <w:u w:val="single"/>
                </w:rPr>
                <w:t>SECTION 9.08. Right of Setoff</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856">
              <w:r>
                <w:rPr>
                  <w:rStyle w:val="InternetLink"/>
                  <w:rFonts w:ascii="Times New Roman;sans-serif" w:hAnsi="Times New Roman;sans-serif"/>
                  <w:b w:val="false"/>
                  <w:color w:val="0000FF"/>
                  <w:sz w:val="22"/>
                  <w:u w:val="single"/>
                </w:rPr>
                <w:t>105</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877">
              <w:r>
                <w:rPr>
                  <w:rStyle w:val="InternetLink"/>
                  <w:rFonts w:ascii="Times New Roman;sans-serif" w:hAnsi="Times New Roman;sans-serif"/>
                  <w:b w:val="false"/>
                  <w:color w:val="0000FF"/>
                  <w:sz w:val="22"/>
                  <w:u w:val="single"/>
                </w:rPr>
                <w:t>SECTION 9.09. Governing Law; Jurisdiction; Consent to Service of Process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877">
              <w:r>
                <w:rPr>
                  <w:rStyle w:val="InternetLink"/>
                  <w:rFonts w:ascii="Times New Roman;sans-serif" w:hAnsi="Times New Roman;sans-serif"/>
                  <w:b w:val="false"/>
                  <w:color w:val="0000FF"/>
                  <w:sz w:val="22"/>
                  <w:u w:val="single"/>
                </w:rPr>
                <w:t>105</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898">
              <w:r>
                <w:rPr>
                  <w:rStyle w:val="InternetLink"/>
                  <w:rFonts w:ascii="Times New Roman;sans-serif" w:hAnsi="Times New Roman;sans-serif"/>
                  <w:b w:val="false"/>
                  <w:color w:val="0000FF"/>
                  <w:sz w:val="22"/>
                  <w:u w:val="single"/>
                </w:rPr>
                <w:t>SECTION 9.10. WAIVER OF JURY TRIAL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898">
              <w:r>
                <w:rPr>
                  <w:rStyle w:val="InternetLink"/>
                  <w:rFonts w:ascii="Times New Roman;sans-serif" w:hAnsi="Times New Roman;sans-serif"/>
                  <w:b w:val="false"/>
                  <w:color w:val="0000FF"/>
                  <w:sz w:val="22"/>
                  <w:u w:val="single"/>
                </w:rPr>
                <w:t>106</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919">
              <w:r>
                <w:rPr>
                  <w:rStyle w:val="InternetLink"/>
                  <w:rFonts w:ascii="Times New Roman;sans-serif" w:hAnsi="Times New Roman;sans-serif"/>
                  <w:b w:val="false"/>
                  <w:color w:val="0000FF"/>
                  <w:sz w:val="22"/>
                  <w:u w:val="single"/>
                </w:rPr>
                <w:t>SECTION 9.11. Headings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919">
              <w:r>
                <w:rPr>
                  <w:rStyle w:val="InternetLink"/>
                  <w:rFonts w:ascii="Times New Roman;sans-serif" w:hAnsi="Times New Roman;sans-serif"/>
                  <w:b w:val="false"/>
                  <w:color w:val="0000FF"/>
                  <w:sz w:val="22"/>
                  <w:u w:val="single"/>
                </w:rPr>
                <w:t>106</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940">
              <w:r>
                <w:rPr>
                  <w:rStyle w:val="InternetLink"/>
                  <w:rFonts w:ascii="Times New Roman;sans-serif" w:hAnsi="Times New Roman;sans-serif"/>
                  <w:b w:val="false"/>
                  <w:color w:val="0000FF"/>
                  <w:sz w:val="22"/>
                  <w:u w:val="single"/>
                </w:rPr>
                <w:t>SECTION 9.12. Confidentiality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940">
              <w:r>
                <w:rPr>
                  <w:rStyle w:val="InternetLink"/>
                  <w:rFonts w:ascii="Times New Roman;sans-serif" w:hAnsi="Times New Roman;sans-serif"/>
                  <w:b w:val="false"/>
                  <w:color w:val="0000FF"/>
                  <w:sz w:val="22"/>
                  <w:u w:val="single"/>
                </w:rPr>
                <w:t>106</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961">
              <w:r>
                <w:rPr>
                  <w:rStyle w:val="InternetLink"/>
                  <w:rFonts w:ascii="Times New Roman;sans-serif" w:hAnsi="Times New Roman;sans-serif"/>
                  <w:b w:val="false"/>
                  <w:color w:val="0000FF"/>
                  <w:sz w:val="22"/>
                  <w:u w:val="single"/>
                </w:rPr>
                <w:t>SECTION 9.13. Several Obligations; Nonreliance; Violation of Law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961">
              <w:r>
                <w:rPr>
                  <w:rStyle w:val="InternetLink"/>
                  <w:rFonts w:ascii="Times New Roman;sans-serif" w:hAnsi="Times New Roman;sans-serif"/>
                  <w:b w:val="false"/>
                  <w:color w:val="0000FF"/>
                  <w:sz w:val="22"/>
                  <w:u w:val="single"/>
                </w:rPr>
                <w:t>107</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982">
              <w:r>
                <w:rPr>
                  <w:rStyle w:val="InternetLink"/>
                  <w:rFonts w:ascii="Times New Roman;sans-serif" w:hAnsi="Times New Roman;sans-serif"/>
                  <w:b w:val="false"/>
                  <w:color w:val="0000FF"/>
                  <w:sz w:val="22"/>
                  <w:u w:val="single"/>
                </w:rPr>
                <w:t>SECTION 9.14. USA PATRIOT Act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2982">
              <w:r>
                <w:rPr>
                  <w:rStyle w:val="InternetLink"/>
                  <w:rFonts w:ascii="Times New Roman;sans-serif" w:hAnsi="Times New Roman;sans-serif"/>
                  <w:b w:val="false"/>
                  <w:color w:val="0000FF"/>
                  <w:sz w:val="22"/>
                  <w:u w:val="single"/>
                </w:rPr>
                <w:t>107</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003">
              <w:r>
                <w:rPr>
                  <w:rStyle w:val="InternetLink"/>
                  <w:rFonts w:ascii="Times New Roman;sans-serif" w:hAnsi="Times New Roman;sans-serif"/>
                  <w:b w:val="false"/>
                  <w:color w:val="0000FF"/>
                  <w:sz w:val="22"/>
                  <w:u w:val="single"/>
                </w:rPr>
                <w:t>SECTION 9.15.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003">
              <w:r>
                <w:rPr>
                  <w:rStyle w:val="InternetLink"/>
                  <w:rFonts w:ascii="Times New Roman;sans-serif" w:hAnsi="Times New Roman;sans-serif"/>
                  <w:b w:val="false"/>
                  <w:color w:val="0000FF"/>
                  <w:sz w:val="22"/>
                  <w:u w:val="single"/>
                </w:rPr>
                <w:t>107</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024">
              <w:r>
                <w:rPr>
                  <w:rStyle w:val="InternetLink"/>
                  <w:rFonts w:ascii="Times New Roman;sans-serif" w:hAnsi="Times New Roman;sans-serif"/>
                  <w:b w:val="false"/>
                  <w:color w:val="0000FF"/>
                  <w:sz w:val="22"/>
                  <w:u w:val="single"/>
                </w:rPr>
                <w:t>SECTION 9.16. Appointment for Perfection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024">
              <w:r>
                <w:rPr>
                  <w:rStyle w:val="InternetLink"/>
                  <w:rFonts w:ascii="Times New Roman;sans-serif" w:hAnsi="Times New Roman;sans-serif"/>
                  <w:b w:val="false"/>
                  <w:color w:val="0000FF"/>
                  <w:sz w:val="22"/>
                  <w:u w:val="single"/>
                </w:rPr>
                <w:t>107</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045">
              <w:r>
                <w:rPr>
                  <w:rStyle w:val="InternetLink"/>
                  <w:rFonts w:ascii="Times New Roman;sans-serif" w:hAnsi="Times New Roman;sans-serif"/>
                  <w:b w:val="false"/>
                  <w:color w:val="0000FF"/>
                  <w:sz w:val="22"/>
                  <w:u w:val="single"/>
                </w:rPr>
                <w:t>SECTION 9.17. Releases of Subsidiary Guarantors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045">
              <w:r>
                <w:rPr>
                  <w:rStyle w:val="InternetLink"/>
                  <w:rFonts w:ascii="Times New Roman;sans-serif" w:hAnsi="Times New Roman;sans-serif"/>
                  <w:b w:val="false"/>
                  <w:color w:val="0000FF"/>
                  <w:sz w:val="22"/>
                  <w:u w:val="single"/>
                </w:rPr>
                <w:t>108</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066">
              <w:r>
                <w:rPr>
                  <w:rStyle w:val="InternetLink"/>
                  <w:rFonts w:ascii="Times New Roman;sans-serif" w:hAnsi="Times New Roman;sans-serif"/>
                  <w:b w:val="false"/>
                  <w:color w:val="0000FF"/>
                  <w:sz w:val="22"/>
                  <w:u w:val="single"/>
                </w:rPr>
                <w:t>SECTION 9.18. Interest Rate Limitation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066">
              <w:r>
                <w:rPr>
                  <w:rStyle w:val="InternetLink"/>
                  <w:rFonts w:ascii="Times New Roman;sans-serif" w:hAnsi="Times New Roman;sans-serif"/>
                  <w:b w:val="false"/>
                  <w:color w:val="0000FF"/>
                  <w:sz w:val="22"/>
                  <w:u w:val="single"/>
                </w:rPr>
                <w:t>108</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087">
              <w:r>
                <w:rPr>
                  <w:rStyle w:val="InternetLink"/>
                  <w:rFonts w:ascii="Times New Roman;sans-serif" w:hAnsi="Times New Roman;sans-serif"/>
                  <w:b w:val="false"/>
                  <w:color w:val="0000FF"/>
                  <w:sz w:val="22"/>
                  <w:u w:val="single"/>
                </w:rPr>
                <w:t>SECTION 9.19. No Advisory or Fiduciary Responsibility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087">
              <w:r>
                <w:rPr>
                  <w:rStyle w:val="InternetLink"/>
                  <w:rFonts w:ascii="Times New Roman;sans-serif" w:hAnsi="Times New Roman;sans-serif"/>
                  <w:b w:val="false"/>
                  <w:color w:val="0000FF"/>
                  <w:sz w:val="22"/>
                  <w:u w:val="single"/>
                </w:rPr>
                <w:t>108</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108">
              <w:r>
                <w:rPr>
                  <w:rStyle w:val="InternetLink"/>
                  <w:rFonts w:ascii="Times New Roman;sans-serif" w:hAnsi="Times New Roman;sans-serif"/>
                  <w:b w:val="false"/>
                  <w:color w:val="0000FF"/>
                  <w:sz w:val="22"/>
                  <w:u w:val="single"/>
                </w:rPr>
                <w:t>SECTION 9.20. Acknowledgment and Consent to Bail-In of Affected Financial Institutions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108">
              <w:r>
                <w:rPr>
                  <w:rStyle w:val="InternetLink"/>
                  <w:rFonts w:ascii="Times New Roman;sans-serif" w:hAnsi="Times New Roman;sans-serif"/>
                  <w:b w:val="false"/>
                  <w:color w:val="0000FF"/>
                  <w:sz w:val="22"/>
                  <w:u w:val="single"/>
                </w:rPr>
                <w:t>109</w:t>
              </w:r>
            </w:hyperlink>
          </w:p>
        </w:tc>
      </w:tr>
      <w:tr>
        <w:trPr/>
        <w:tc>
          <w:tcPr>
            <w:tcW w:w="863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129">
              <w:r>
                <w:rPr>
                  <w:rStyle w:val="InternetLink"/>
                  <w:rFonts w:ascii="Times New Roman;sans-serif" w:hAnsi="Times New Roman;sans-serif"/>
                  <w:b w:val="false"/>
                  <w:color w:val="0000FF"/>
                  <w:sz w:val="22"/>
                  <w:u w:val="single"/>
                </w:rPr>
                <w:t>SECTION 9.21. Acknowledgement Regarding Any Supported QFCs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129">
              <w:r>
                <w:rPr>
                  <w:rStyle w:val="InternetLink"/>
                  <w:rFonts w:ascii="Times New Roman;sans-serif" w:hAnsi="Times New Roman;sans-serif"/>
                  <w:b w:val="false"/>
                  <w:color w:val="0000FF"/>
                  <w:sz w:val="22"/>
                  <w:u w:val="single"/>
                </w:rPr>
                <w:t>109</w:t>
              </w:r>
            </w:hyperlink>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v</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11"/>
        <w:gridCol w:w="3088"/>
        <w:gridCol w:w="3093"/>
        <w:gridCol w:w="149"/>
        <w:gridCol w:w="149"/>
        <w:gridCol w:w="215"/>
      </w:tblGrid>
      <w:tr>
        <w:trPr/>
        <w:tc>
          <w:tcPr>
            <w:tcW w:w="3511"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150">
              <w:r>
                <w:rPr>
                  <w:rStyle w:val="InternetLink"/>
                  <w:rFonts w:ascii="Times New Roman;sans-serif" w:hAnsi="Times New Roman;sans-serif"/>
                  <w:b w:val="false"/>
                  <w:color w:val="0000FF"/>
                  <w:sz w:val="22"/>
                  <w:u w:val="single"/>
                </w:rPr>
                <w:t>SECTION 9.22. Lender Acknowledgment Regarding Name Change of MYR Transmission Services, Inc.</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150">
              <w:r>
                <w:rPr>
                  <w:rStyle w:val="InternetLink"/>
                  <w:rFonts w:ascii="Times New Roman;sans-serif" w:hAnsi="Times New Roman;sans-serif"/>
                  <w:b w:val="false"/>
                  <w:color w:val="0000FF"/>
                  <w:sz w:val="22"/>
                  <w:u w:val="single"/>
                </w:rPr>
                <w:t>110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171">
              <w:r>
                <w:rPr>
                  <w:rStyle w:val="InternetLink"/>
                  <w:rFonts w:ascii="Times New Roman;sans-serif" w:hAnsi="Times New Roman;sans-serif"/>
                  <w:b w:val="false"/>
                  <w:color w:val="0000FF"/>
                  <w:sz w:val="22"/>
                  <w:u w:val="single"/>
                </w:rPr>
                <w:t>ARTICLE X Borrower Guarantee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0466b7c00e4d40a09e54db74613ed61e_3171">
              <w:r>
                <w:rPr>
                  <w:rStyle w:val="InternetLink"/>
                  <w:rFonts w:ascii="Times New Roman;sans-serif" w:hAnsi="Times New Roman;sans-serif"/>
                  <w:b w:val="false"/>
                  <w:color w:val="0000FF"/>
                  <w:sz w:val="22"/>
                  <w:u w:val="single"/>
                </w:rPr>
                <w:t>110</w:t>
              </w:r>
            </w:hyperlink>
          </w:p>
        </w:tc>
      </w:tr>
    </w:tbl>
    <w:p>
      <w:pPr>
        <w:pStyle w:val="TextBody"/>
        <w:bidi w:val="0"/>
        <w:spacing w:before="0" w:after="120"/>
        <w:ind w:left="0" w:right="0" w:hanging="1440"/>
        <w:jc w:val="left"/>
        <w:rPr/>
      </w:pPr>
      <w:r>
        <w:rPr/>
      </w:r>
    </w:p>
    <w:p>
      <w:pPr>
        <w:pStyle w:val="TextBody"/>
        <w:bidi w:val="0"/>
        <w:spacing w:before="0" w:after="240"/>
        <w:jc w:val="left"/>
        <w:rPr/>
      </w:pPr>
      <w:r>
        <w:rPr/>
      </w:r>
    </w:p>
    <w:p>
      <w:pPr>
        <w:pStyle w:val="TextBody"/>
        <w:bidi w:val="0"/>
        <w:spacing w:lineRule="auto" w:line="240" w:before="0" w:after="240"/>
        <w:jc w:val="left"/>
        <w:rPr/>
      </w:pPr>
      <w:r>
        <w:rPr>
          <w:rFonts w:ascii="Times New Roman;sans-serif" w:hAnsi="Times New Roman;sans-serif"/>
          <w:b w:val="false"/>
          <w:color w:val="000000"/>
          <w:sz w:val="22"/>
          <w:u w:val="single"/>
        </w:rPr>
        <w:t>SCHEDULES</w:t>
      </w:r>
      <w:r>
        <w:rPr>
          <w:rFonts w:ascii="Times New Roman;sans-serif" w:hAnsi="Times New Roman;sans-serif"/>
          <w:b w:val="false"/>
          <w:color w:val="000000"/>
          <w:sz w:val="22"/>
        </w:rPr>
        <w: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Commitment Schedule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Letter of Credit Commitment Schedule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3.06 -- Disclosed Matters</w:t>
        <w:br/>
        <w:t>Schedule 3.14 -- Capitalization and Subsidiaries</w:t>
        <w:br/>
        <w:t>Schedule 3.15 -- Financing Statements</w:t>
        <w:br/>
        <w:t>Schedule 6.01 -- Existing Indebtedness</w:t>
        <w:br/>
        <w:t>Schedule 6.02 -- Existing Liens</w:t>
      </w:r>
    </w:p>
    <w:p>
      <w:pPr>
        <w:pStyle w:val="TextBody"/>
        <w:bidi w:val="0"/>
        <w:spacing w:lineRule="auto" w:line="240" w:before="0" w:after="0"/>
        <w:jc w:val="left"/>
        <w:rPr/>
      </w:pPr>
      <w:r>
        <w:rPr>
          <w:rFonts w:ascii="Times New Roman;sans-serif" w:hAnsi="Times New Roman;sans-serif"/>
          <w:b w:val="false"/>
          <w:color w:val="000000"/>
          <w:sz w:val="22"/>
        </w:rPr>
        <w:t>Schedule 6.04 -- Existing Investments</w:t>
        <w:br/>
        <w:br/>
        <w:br/>
      </w:r>
      <w:r>
        <w:rPr>
          <w:rFonts w:ascii="Times New Roman;sans-serif" w:hAnsi="Times New Roman;sans-serif"/>
          <w:b w:val="false"/>
          <w:color w:val="000000"/>
          <w:sz w:val="22"/>
          <w:u w:val="single"/>
        </w:rPr>
        <w:t>EXHIBITS</w:t>
      </w:r>
      <w:r>
        <w:rPr>
          <w:rFonts w:ascii="Times New Roman;sans-serif" w:hAnsi="Times New Roman;sans-serif"/>
          <w:b w:val="false"/>
          <w:color w:val="000000"/>
          <w:sz w:val="22"/>
        </w:rPr>
        <w:t>:</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Exhibit A -- Form of Assignment and Assumption</w:t>
        <w:br/>
        <w:t>Exhibit B -- List of Closing Documents</w:t>
        <w:br/>
        <w:t>Exhibit C-1 -- Form of Increasing Lender Supplement</w:t>
        <w:br/>
        <w:t xml:space="preserve">Exhibit C-2 -- Form of Augmenting Lender Supplement </w:t>
        <w:br/>
        <w:t>Exhibit D -- Form of Compliance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vi</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THIRD AMENDED AND RESTATED CREDIT AGREEMENT dated as of May 31, 2023 (as it may be amended or modified from time to time,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among MYR GROUP INC., the Lenders party hereto, BANK OF MONTREAL, CIBC BANK USA, TD BANK, N.A. and WELLS FARGO BANK, NATIONAL ASSOCIATION, as Co-Documentation Agents, BANK OF AMERICA, N.A., as Syndication Agent and JPMORGAN CHASE BANK, N.A., as Administrative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WHEREAS, the Borrower, the lenders party thereto and JPMorgan Chase Bank, N.A., as administrative agent thereunder, are currently party to the Second Amended and Restated Credit Agreement, dated as of September 13, 2019 (as amended, supplemented or otherwise modified prior to the date hereof,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 the Lenders and the Administrative Agent have entered into this Agreement in order to (i) amend and restate the Existing Credit Agreement in its entirety; (ii) re-evidence the “Obligations” under, and as defined in, the Existing Credit Agreement, which shall be repayable in accordance with the terms of this Agreement; and (iii) set forth the terms and conditions under which the Lenders will, from time to time, make loans and extend other financial accommodations to or for the benefit of the Borrower;</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 outstanding thereunder, which shall be payable in accordance with the terms hereof;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it is also the intent of the Borrower to confirm that all obligations under the applicable “Loan Documents” (as referred to and defined in the Existing Credit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and of the mutual covenants herein contained, the parties hereto agree as follows:</w:t>
      </w:r>
    </w:p>
    <w:p>
      <w:pPr>
        <w:pStyle w:val="TextBody"/>
        <w:bidi w:val="0"/>
        <w:spacing w:lineRule="auto" w:line="240" w:before="0" w:after="240"/>
        <w:jc w:val="center"/>
        <w:rPr/>
      </w:pPr>
      <w:r>
        <w:rPr>
          <w:rFonts w:ascii="Times New Roman;sans-serif" w:hAnsi="Times New Roman;sans-serif"/>
          <w:b w:val="false"/>
          <w:color w:val="000000"/>
          <w:sz w:val="22"/>
        </w:rPr>
        <w:t>ARTICLE I</w:t>
      </w:r>
      <w:r>
        <w:rPr>
          <w:rFonts w:ascii="Times New Roman;sans-serif" w:hAnsi="Times New Roman;sans-serif"/>
          <w:b w:val="false"/>
          <w:color w:val="000000"/>
          <w:sz w:val="22"/>
          <w:u w:val="single"/>
        </w:rPr>
        <w:br/>
        <w:br/>
        <w:t>Definitions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1.01. </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As used in this Agreement, the following terms have the meanings specified below:</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ABR</w:t>
      </w:r>
      <w:r>
        <w:rPr>
          <w:color w:val="000000"/>
        </w:rPr>
        <w:t xml:space="preserve">” </w:t>
      </w:r>
      <w:r>
        <w:rPr>
          <w:rFonts w:ascii="Times New Roman;sans-serif" w:hAnsi="Times New Roman;sans-serif"/>
          <w:b w:val="false"/>
          <w:color w:val="000000"/>
          <w:sz w:val="22"/>
        </w:rPr>
        <w:t>when used in reference to any Loan or Borrowing, refers to whether such Loan, or the Loans comprising such Borrowing, are bearing interest at a rate determined by reference to the Alternate Base Rate.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Adjusted CDOR Rate</w:t>
      </w:r>
      <w:r>
        <w:rPr>
          <w:color w:val="000000"/>
        </w:rPr>
        <w:t xml:space="preserve">” </w:t>
      </w:r>
      <w:r>
        <w:rPr>
          <w:rFonts w:ascii="Times New Roman;sans-serif" w:hAnsi="Times New Roman;sans-serif"/>
          <w:b w:val="false"/>
          <w:color w:val="000000"/>
          <w:sz w:val="22"/>
        </w:rPr>
        <w:t xml:space="preserve">means, with respect to any Term Benchmark Borrowing denominated in Canadian dollars for any Interest Period, an interest rate per annum equal to (a) the CDOR Rate for such Interest Period multiplied by (b) the Statutory Reserve Rate; </w:t>
      </w:r>
      <w:r>
        <w:rPr>
          <w:rFonts w:ascii="Times New Roman;sans-serif" w:hAnsi="Times New Roman;sans-serif"/>
          <w:b w:val="false"/>
          <w:i/>
          <w:color w:val="000000"/>
          <w:sz w:val="22"/>
        </w:rPr>
        <w:t>provided that</w:t>
      </w:r>
      <w:r>
        <w:rPr>
          <w:color w:val="000000"/>
        </w:rPr>
        <w:t xml:space="preserve"> </w:t>
      </w:r>
      <w:r>
        <w:rPr>
          <w:rFonts w:ascii="Times New Roman;sans-serif" w:hAnsi="Times New Roman;sans-serif"/>
          <w:b w:val="false"/>
          <w:color w:val="000000"/>
          <w:sz w:val="22"/>
        </w:rPr>
        <w:t>if the Adjusted CDOR Rate as so determined would be less than the Floor, such rate shall be deemed to be equal to the Floor for the purposes of this Agreement.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Adjusted Daily Simple RFR</w:t>
      </w:r>
      <w:r>
        <w:rPr>
          <w:color w:val="000000"/>
        </w:rPr>
        <w:t xml:space="preserve">” </w:t>
      </w:r>
      <w:r>
        <w:rPr>
          <w:rFonts w:ascii="Times New Roman;sans-serif" w:hAnsi="Times New Roman;sans-serif"/>
          <w:b w:val="false"/>
          <w:color w:val="000000"/>
          <w:sz w:val="22"/>
        </w:rPr>
        <w:t xml:space="preserve">means, with respect to any RFR Borrowing denominated in Dollars, an interest rate per annum equal to (a) the Daily Simple SOFR plus (b) 0.10%;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Adjusted Daily Simple RFR as so determined would be less than the Floor, such rate shall be deemed to be equal to the Floor for the purposes of this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Adjusted EURIBOR Rate</w:t>
      </w:r>
      <w:r>
        <w:rPr>
          <w:color w:val="000000"/>
        </w:rPr>
        <w:t xml:space="preserve">” </w:t>
      </w:r>
      <w:r>
        <w:rPr>
          <w:rFonts w:ascii="Times New Roman;sans-serif" w:hAnsi="Times New Roman;sans-serif"/>
          <w:b w:val="false"/>
          <w:color w:val="000000"/>
          <w:sz w:val="22"/>
        </w:rPr>
        <w:t xml:space="preserve">means, with respect to any Term Benchmark Borrowing denominated in Euros for any Interest Period, an interest rate per annum equal to (a) the EURIBOR Rate for such Interest Period multiplied by (b) the Statutory Reserve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Adjusted EURIBOR Rate as so determined would be less than the Floor, such rate shall be deemed to be equal to the Floor for the purposes of this Agreement.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Adjusted Term SOFR Rate</w:t>
      </w:r>
      <w:r>
        <w:rPr>
          <w:color w:val="000000"/>
        </w:rPr>
        <w:t xml:space="preserve">” </w:t>
      </w:r>
      <w:r>
        <w:rPr>
          <w:rFonts w:ascii="Times New Roman;sans-serif" w:hAnsi="Times New Roman;sans-serif"/>
          <w:b w:val="false"/>
          <w:color w:val="000000"/>
          <w:sz w:val="22"/>
        </w:rPr>
        <w:t xml:space="preserve">means, with respect to any Term Benchmark Borrowing denominated in Dollars for any Interest Period, an interest rate per annum equal to (a) the Term SOFR Rate for such Interest Period, plus (b) 0.10%;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Adjusted Term SOFR Rate as so determined would be less than the Floor, such rate shall be deemed to be equal to the Floor for the purposes of this Agreement.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Administrative Agent</w:t>
      </w:r>
      <w:r>
        <w:rPr>
          <w:color w:val="000000"/>
        </w:rPr>
        <w:t xml:space="preserve">” </w:t>
      </w:r>
      <w:r>
        <w:rPr>
          <w:rFonts w:ascii="Times New Roman;sans-serif" w:hAnsi="Times New Roman;sans-serif"/>
          <w:b w:val="false"/>
          <w:color w:val="000000"/>
          <w:sz w:val="22"/>
        </w:rPr>
        <w:t>means JPMorgan Chase Bank, N.A. (or any of its designated branch offices or affiliates), in its capacity as administrative agent for the Lenders hereunder.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means an Administrative Questionnaire in a form supplied by the Administrative Agent.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Agent Related Person</w:t>
      </w:r>
      <w:r>
        <w:rPr>
          <w:color w:val="000000"/>
        </w:rPr>
        <w:t xml:space="preserve">” </w:t>
      </w:r>
      <w:r>
        <w:rPr>
          <w:rFonts w:ascii="Times New Roman;sans-serif" w:hAnsi="Times New Roman;sans-serif"/>
          <w:b w:val="false"/>
          <w:color w:val="000000"/>
          <w:sz w:val="22"/>
        </w:rPr>
        <w:t>has the meaning assigned to it in Section 9.03(d).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Aggregate Commitment</w:t>
      </w:r>
      <w:r>
        <w:rPr>
          <w:color w:val="000000"/>
        </w:rPr>
        <w:t xml:space="preserve">” </w:t>
      </w:r>
      <w:r>
        <w:rPr>
          <w:rFonts w:ascii="Times New Roman;sans-serif" w:hAnsi="Times New Roman;sans-serif"/>
          <w:b w:val="false"/>
          <w:color w:val="000000"/>
          <w:sz w:val="22"/>
        </w:rPr>
        <w:t>means the aggregate of the Commitments of all of the Lenders, as reduced or increased from time to time pursuant to the terms and conditions hereof. As of the Effective Date, the Aggregate Commitment is $490,000,000.</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Agreed Currencies</w:t>
      </w:r>
      <w:r>
        <w:rPr>
          <w:color w:val="000000"/>
        </w:rPr>
        <w:t xml:space="preserve">” </w:t>
      </w:r>
      <w:r>
        <w:rPr>
          <w:rFonts w:ascii="Times New Roman;sans-serif" w:hAnsi="Times New Roman;sans-serif"/>
          <w:b w:val="false"/>
          <w:color w:val="000000"/>
          <w:sz w:val="22"/>
        </w:rPr>
        <w:t xml:space="preserve">means (i) Dollars, (ii) euro, (iii) Canadian Dollars and (iv) any other currency (x) that is a lawful currency (other than Dollars) that is readily available and freely transferable and convertible into Dollars and (y) that is agreed to by the Administrative Agent, the Issuing Banks and each of the Lenders;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each of euro and Canadian Dollars shall be Agreed Currencies so long as such currency, as applicable, is a lawful currency that is readily available and freely transferable and convertible into Dollars.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Alternate Base Rate</w:t>
      </w:r>
      <w:r>
        <w:rPr>
          <w:color w:val="000000"/>
        </w:rPr>
        <w:t xml:space="preserve">” </w:t>
      </w:r>
      <w:r>
        <w:rPr>
          <w:rFonts w:ascii="Times New Roman;sans-serif" w:hAnsi="Times New Roman;sans-serif"/>
          <w:b w:val="false"/>
          <w:color w:val="000000"/>
          <w:sz w:val="22"/>
        </w:rPr>
        <w:t xml:space="preserve">means, for any day, a rate per annum equal to (i) if the applicable Loan or Borrowing is denominated in Dollars,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and (ii) if the applicable Loan or Borrowing is denominated in Canadian Dollars, the Canadian Prime Rate. Any change in the Alternate Base Rate due to a change in the Prime Rate, the Canadian Prime Rate, the NYFRB Rate or the Adjusted Term SOFR Rate shall be effective from and including the effective date of such change in the Prime Rate, the Canadian Prime Rate, the NYFRB Rate or the Adjusted Term SOFR Rate, respectively. If the Alternate Base Rate for Dollars described in clause (i) is being used as an alternate rate of interest pursuant to Section 2.14 hereof (for the avoidance of doubt, only until the Benchmark Replacement has been determined pursuant to Section 2.14(b)), then the Alternate Base Rate shall be the greater of clauses (i)(a) and (i)(b) above and shall be determined without reference to clause (i)(c) above. For the avoidance of doubt, if the Alternate Base Rate as so determined would be less than 1.00%, such rate shall be deemed to be 1.00% for purposes of this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Ancillary Document</w:t>
      </w:r>
      <w:r>
        <w:rPr>
          <w:color w:val="000000"/>
        </w:rPr>
        <w:t xml:space="preserve">” </w:t>
      </w:r>
      <w:r>
        <w:rPr>
          <w:rFonts w:ascii="Times New Roman;sans-serif" w:hAnsi="Times New Roman;sans-serif"/>
          <w:b w:val="false"/>
          <w:color w:val="000000"/>
          <w:sz w:val="22"/>
        </w:rPr>
        <w:t>has the meaning assigned to it in Section 9.06(b).</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Ancillary Fees</w:t>
      </w:r>
      <w:r>
        <w:rPr>
          <w:color w:val="000000"/>
        </w:rPr>
        <w:t xml:space="preserve">” </w:t>
      </w:r>
      <w:r>
        <w:rPr>
          <w:rFonts w:ascii="Times New Roman;sans-serif" w:hAnsi="Times New Roman;sans-serif"/>
          <w:b w:val="false"/>
          <w:color w:val="000000"/>
          <w:sz w:val="22"/>
        </w:rPr>
        <w:t>has the meaning assigned to it in Section 9.02(b).</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Anti-Corruption Laws</w:t>
      </w:r>
      <w:r>
        <w:rPr>
          <w:color w:val="000000"/>
        </w:rPr>
        <w:t xml:space="preserve">” </w:t>
      </w:r>
      <w:r>
        <w:rPr>
          <w:rFonts w:ascii="Times New Roman;sans-serif" w:hAnsi="Times New Roman;sans-serif"/>
          <w:b w:val="false"/>
          <w:color w:val="000000"/>
          <w:sz w:val="22"/>
        </w:rPr>
        <w:t>means all laws, rules, and regulations of any jurisdiction applicable to the Borrower or any of its Subsidiaries from time to time concerning or relating to bribery or corruption.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 xml:space="preserve">means, with respect to any Lender, the percentage of the Aggregate Commitment represented by such Lender’s Commitment;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Section 2.20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Applicable Pledge Percentage</w:t>
      </w:r>
      <w:r>
        <w:rPr>
          <w:color w:val="000000"/>
        </w:rPr>
        <w:t xml:space="preserve">” </w:t>
      </w:r>
      <w:r>
        <w:rPr>
          <w:rFonts w:ascii="Times New Roman;sans-serif" w:hAnsi="Times New Roman;sans-serif"/>
          <w:b w:val="false"/>
          <w:color w:val="000000"/>
          <w:sz w:val="22"/>
        </w:rPr>
        <w:t>means (x) in the case of a Domestic Subsidiary (other than a Foreign Subsidiary Holdco), 100%, and (y) in the case of a First Tier Foreign Subsidiary or First Tier Foreign Subsidiary Holdco, 65% with respect to voting Equity Interests and 100% with respect to non-voting Equity Interests.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Applicable Rate</w:t>
      </w:r>
      <w:r>
        <w:rPr>
          <w:color w:val="000000"/>
        </w:rPr>
        <w:t xml:space="preserve">” </w:t>
      </w:r>
      <w:r>
        <w:rPr>
          <w:rFonts w:ascii="Times New Roman;sans-serif" w:hAnsi="Times New Roman;sans-serif"/>
          <w:b w:val="false"/>
          <w:color w:val="000000"/>
          <w:sz w:val="22"/>
        </w:rPr>
        <w:t xml:space="preserve">means, for any day, with respect to any ABR Loan, RFR Loan or Term Benchmark Loan, or with respect to the commitment fees payable hereunder, or with respect to the participation fees payable hereunder on non-performance Letters of Credit and performance Letters of Credit, as the case may be, the applicable rate per annum set forth below under the caption “ABR Spread”, “Term Benchmark/RFR Spread”, “Commitment Fee Rate”, “Non-Performance Letters of Credit” or “Performance Letters of Credit”, as the case may be, based upon the Borrower’s Net Leverage Ratio as of the most recent determination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until the delivery to the Administrative Agent, pursuant to Section 5.01, of the Borrower’s consolidated financial information for the Borrower’s first fiscal quarter ending after the Effective Date, the “Applicable Rate” shall be the applicable rate per annum set forth below in Category 1 (unless such Financials demonstrate that Category 2, 3 or 4 should have been applicable during such period, in which case such other Category shall be deemed to be applicable during such period), and adjustments to the Applicable Rate then in effect shall thereafter be effected in accordance with the paragraph below:</w:t>
      </w:r>
    </w:p>
    <w:p>
      <w:pPr>
        <w:pStyle w:val="TextBody"/>
        <w:bidi w:val="0"/>
        <w:spacing w:before="0" w:after="24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8"/>
        <w:gridCol w:w="411"/>
        <w:gridCol w:w="413"/>
        <w:gridCol w:w="519"/>
        <w:gridCol w:w="519"/>
        <w:gridCol w:w="520"/>
        <w:gridCol w:w="544"/>
        <w:gridCol w:w="544"/>
        <w:gridCol w:w="546"/>
        <w:gridCol w:w="532"/>
        <w:gridCol w:w="532"/>
        <w:gridCol w:w="534"/>
        <w:gridCol w:w="758"/>
        <w:gridCol w:w="758"/>
        <w:gridCol w:w="759"/>
        <w:gridCol w:w="538"/>
        <w:gridCol w:w="538"/>
        <w:gridCol w:w="772"/>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292" w:type="dxa"/>
            <w:gridSpan w:val="3"/>
            <w:tcBorders>
              <w:top w:val="single" w:sz="4" w:space="0" w:color="000000"/>
              <w:left w:val="single" w:sz="4" w:space="0" w:color="000000"/>
            </w:tcBorders>
            <w:shd w:fill="B3B3B3"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Net Leverage Ratio</w:t>
            </w:r>
          </w:p>
        </w:tc>
        <w:tc>
          <w:tcPr>
            <w:tcW w:w="1558" w:type="dxa"/>
            <w:gridSpan w:val="3"/>
            <w:tcBorders>
              <w:top w:val="single" w:sz="4" w:space="0" w:color="000000"/>
              <w:left w:val="single" w:sz="4" w:space="0" w:color="000000"/>
            </w:tcBorders>
            <w:shd w:fill="B3B3B3" w:val="clear"/>
            <w:tcMar>
              <w:top w:w="3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Term Benchmark/RFR</w:t>
            </w:r>
          </w:p>
          <w:p>
            <w:pPr>
              <w:pStyle w:val="TableContents"/>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Spread</w:t>
            </w:r>
          </w:p>
        </w:tc>
        <w:tc>
          <w:tcPr>
            <w:tcW w:w="1634" w:type="dxa"/>
            <w:gridSpan w:val="3"/>
            <w:tcBorders>
              <w:top w:val="single" w:sz="4" w:space="0" w:color="000000"/>
              <w:left w:val="single" w:sz="4" w:space="0" w:color="000000"/>
            </w:tcBorders>
            <w:shd w:fill="B3B3B3" w:val="clear"/>
            <w:tcMar>
              <w:top w:w="3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ABR and Canadian Prime Rate</w:t>
            </w:r>
          </w:p>
          <w:p>
            <w:pPr>
              <w:pStyle w:val="TableContents"/>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Spread</w:t>
            </w:r>
          </w:p>
        </w:tc>
        <w:tc>
          <w:tcPr>
            <w:tcW w:w="1598" w:type="dxa"/>
            <w:gridSpan w:val="3"/>
            <w:tcBorders>
              <w:top w:val="single" w:sz="4" w:space="0" w:color="000000"/>
              <w:left w:val="single" w:sz="4" w:space="0" w:color="000000"/>
            </w:tcBorders>
            <w:shd w:fill="B3B3B3"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Commitment Fee Rate</w:t>
            </w:r>
          </w:p>
        </w:tc>
        <w:tc>
          <w:tcPr>
            <w:tcW w:w="2275" w:type="dxa"/>
            <w:gridSpan w:val="3"/>
            <w:tcBorders>
              <w:top w:val="single" w:sz="4" w:space="0" w:color="000000"/>
              <w:left w:val="single" w:sz="4" w:space="0" w:color="000000"/>
            </w:tcBorders>
            <w:shd w:fill="B3B3B3"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Non-Performance Letters of Credit</w:t>
            </w:r>
          </w:p>
        </w:tc>
        <w:tc>
          <w:tcPr>
            <w:tcW w:w="1848" w:type="dxa"/>
            <w:gridSpan w:val="3"/>
            <w:tcBorders>
              <w:top w:val="single" w:sz="4" w:space="0" w:color="000000"/>
              <w:left w:val="single" w:sz="4" w:space="0" w:color="000000"/>
              <w:right w:val="single" w:sz="4" w:space="0" w:color="000000"/>
            </w:tcBorders>
            <w:shd w:fill="B3B3B3"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Performance Letters of Credit</w:t>
            </w:r>
          </w:p>
        </w:tc>
      </w:tr>
      <w:tr>
        <w:trPr/>
        <w:tc>
          <w:tcPr>
            <w:tcW w:w="12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Category 1</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&lt; 1.50 to 1.0</w:t>
            </w:r>
          </w:p>
        </w:tc>
        <w:tc>
          <w:tcPr>
            <w:tcW w:w="15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0.200%</w:t>
            </w:r>
          </w:p>
        </w:tc>
        <w:tc>
          <w:tcPr>
            <w:tcW w:w="22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c>
        <w:tc>
          <w:tcPr>
            <w:tcW w:w="184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0.625%</w:t>
            </w:r>
          </w:p>
        </w:tc>
      </w:tr>
      <w:tr>
        <w:trPr/>
        <w:tc>
          <w:tcPr>
            <w:tcW w:w="12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Category 2</w:t>
            </w:r>
          </w:p>
          <w:p>
            <w:pPr>
              <w:pStyle w:val="TableContents"/>
              <w:bidi w:val="0"/>
              <w:spacing w:lineRule="auto" w:line="240" w:before="0" w:after="0"/>
              <w:jc w:val="center"/>
              <w:rPr/>
            </w:pPr>
            <w:r>
              <w:rPr>
                <w:rFonts w:ascii="Times New Roman;sans-serif" w:hAnsi="Times New Roman;sans-serif"/>
                <w:b w:val="false"/>
                <w:color w:val="000000"/>
                <w:sz w:val="22"/>
                <w:u w:val="single"/>
              </w:rPr>
              <w:t>&gt;</w:t>
            </w:r>
            <w:r>
              <w:rPr>
                <w:color w:val="000000"/>
              </w:rPr>
              <w:t xml:space="preserve"> </w:t>
            </w:r>
            <w:r>
              <w:rPr>
                <w:rFonts w:ascii="Times New Roman;sans-serif" w:hAnsi="Times New Roman;sans-serif"/>
                <w:b w:val="false"/>
                <w:color w:val="000000"/>
                <w:sz w:val="22"/>
              </w:rPr>
              <w:t>1.50 to 1.0 but</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&lt; 2.00 to 1.0</w:t>
            </w:r>
          </w:p>
        </w:tc>
        <w:tc>
          <w:tcPr>
            <w:tcW w:w="15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0.50%</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0.225%</w:t>
            </w:r>
          </w:p>
        </w:tc>
        <w:tc>
          <w:tcPr>
            <w:tcW w:w="22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w:t>
            </w:r>
          </w:p>
        </w:tc>
        <w:tc>
          <w:tcPr>
            <w:tcW w:w="184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0.75%</w:t>
            </w:r>
          </w:p>
        </w:tc>
      </w:tr>
      <w:tr>
        <w:trPr/>
        <w:tc>
          <w:tcPr>
            <w:tcW w:w="12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Category 3</w:t>
            </w:r>
          </w:p>
          <w:p>
            <w:pPr>
              <w:pStyle w:val="TableContents"/>
              <w:bidi w:val="0"/>
              <w:spacing w:lineRule="auto" w:line="240" w:before="0" w:after="0"/>
              <w:jc w:val="center"/>
              <w:rPr/>
            </w:pPr>
            <w:r>
              <w:rPr>
                <w:rFonts w:ascii="Times New Roman;sans-serif" w:hAnsi="Times New Roman;sans-serif"/>
                <w:b w:val="false"/>
                <w:color w:val="000000"/>
                <w:sz w:val="22"/>
                <w:u w:val="single"/>
              </w:rPr>
              <w:t>&gt;</w:t>
            </w:r>
            <w:r>
              <w:rPr>
                <w:color w:val="000000"/>
              </w:rPr>
              <w:t xml:space="preserve"> </w:t>
            </w:r>
            <w:r>
              <w:rPr>
                <w:rFonts w:ascii="Times New Roman;sans-serif" w:hAnsi="Times New Roman;sans-serif"/>
                <w:b w:val="false"/>
                <w:color w:val="000000"/>
                <w:sz w:val="22"/>
              </w:rPr>
              <w:t>2.00 to 1.0 but</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&lt; 2.50 to 1.0</w:t>
            </w:r>
          </w:p>
        </w:tc>
        <w:tc>
          <w:tcPr>
            <w:tcW w:w="15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1.75%</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0.75%</w:t>
            </w:r>
          </w:p>
        </w:tc>
        <w:tc>
          <w:tcPr>
            <w:tcW w:w="15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0.275%</w:t>
            </w:r>
          </w:p>
        </w:tc>
        <w:tc>
          <w:tcPr>
            <w:tcW w:w="22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1.75%</w:t>
            </w:r>
          </w:p>
        </w:tc>
        <w:tc>
          <w:tcPr>
            <w:tcW w:w="184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0.875%</w:t>
            </w:r>
          </w:p>
        </w:tc>
      </w:tr>
      <w:tr>
        <w:trPr/>
        <w:tc>
          <w:tcPr>
            <w:tcW w:w="12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Category 4</w:t>
            </w:r>
          </w:p>
          <w:p>
            <w:pPr>
              <w:pStyle w:val="TableContents"/>
              <w:bidi w:val="0"/>
              <w:spacing w:lineRule="auto" w:line="240" w:before="0" w:after="0"/>
              <w:jc w:val="center"/>
              <w:rPr/>
            </w:pPr>
            <w:r>
              <w:rPr>
                <w:rFonts w:ascii="Times New Roman;sans-serif" w:hAnsi="Times New Roman;sans-serif"/>
                <w:b w:val="false"/>
                <w:color w:val="000000"/>
                <w:sz w:val="22"/>
                <w:u w:val="single"/>
              </w:rPr>
              <w:t>&gt;</w:t>
            </w:r>
            <w:r>
              <w:rPr>
                <w:color w:val="000000"/>
              </w:rPr>
              <w:t xml:space="preserve"> </w:t>
            </w:r>
            <w:r>
              <w:rPr>
                <w:rFonts w:ascii="Times New Roman;sans-serif" w:hAnsi="Times New Roman;sans-serif"/>
                <w:b w:val="false"/>
                <w:color w:val="000000"/>
                <w:sz w:val="22"/>
              </w:rPr>
              <w:t>2.50 to 1.0</w:t>
            </w:r>
          </w:p>
        </w:tc>
        <w:tc>
          <w:tcPr>
            <w:tcW w:w="155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c>
          <w:tcPr>
            <w:tcW w:w="16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59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0.300%</w:t>
            </w:r>
          </w:p>
        </w:tc>
        <w:tc>
          <w:tcPr>
            <w:tcW w:w="22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c>
          <w:tcPr>
            <w:tcW w:w="184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bl>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For purposes of the foregoing, (a) the Applicable Rate shall be determined as of the end of each fiscal quarter of the Borrower based upon the Borrower’s annual or quarterly consolidated financial statements delivered pursuant to Section 5.01 and (b) each change in the Applicable Rate resulting from a change in the Net Leverage Ratio shall be effective during the period commencing on and including five (5) Business Days after the date of delivery to the Administrative Agent of such consolidated financial statements indicating such change and ending on the date immediately preceding the effective date of the next such change,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Net Leverage Ratio shall be deemed to be in Category 4 at the option of the Administrative Agent or at the request of the Required Lenders if the Borrower fails to deliver the annual or quarterly consolidated financial statements required to be delivered by it pursuant to Section 5.01, during the period from the expiration of the time for delivery thereof until five (5) Business Days after such consolidated financial statements are delivered.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Approved Electronic Platform</w:t>
      </w:r>
      <w:r>
        <w:rPr>
          <w:color w:val="000000"/>
        </w:rPr>
        <w:t xml:space="preserve">” </w:t>
      </w:r>
      <w:r>
        <w:rPr>
          <w:rFonts w:ascii="Times New Roman;sans-serif" w:hAnsi="Times New Roman;sans-serif"/>
          <w:b w:val="false"/>
          <w:color w:val="000000"/>
          <w:sz w:val="22"/>
        </w:rPr>
        <w:t>has the meaning assigned to such term in Section 8.08(a).</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has the meaning assigned to such term in Section 9.04(b).</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Arrangers</w:t>
      </w:r>
      <w:r>
        <w:rPr>
          <w:color w:val="000000"/>
        </w:rPr>
        <w:t xml:space="preserve">” </w:t>
      </w:r>
      <w:r>
        <w:rPr>
          <w:rFonts w:ascii="Times New Roman;sans-serif" w:hAnsi="Times New Roman;sans-serif"/>
          <w:b w:val="false"/>
          <w:color w:val="000000"/>
          <w:sz w:val="22"/>
        </w:rPr>
        <w:t>means JPMorgan Chase Bank, N.A. and BofA Securities, Inc., in their capacities as joint bookrunners and joint lead arrangers hereunder.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 xml:space="preserve">means an assignment and assumption agreement entered into by a Lender and an assignee (with the consent of any party whose consent is required by Section 9.04), and accepted by the Administrative Agent, in the form of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or any other form (including electronic records generated by the use of an electronic platform) approved by the Administrative Agent.</w:t>
      </w:r>
    </w:p>
    <w:p>
      <w:pPr>
        <w:pStyle w:val="TextBody"/>
        <w:bidi w:val="0"/>
        <w:spacing w:before="0" w:after="24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Attributable Receivables Indebtedness</w:t>
      </w:r>
      <w:r>
        <w:rPr>
          <w:color w:val="000000"/>
        </w:rPr>
        <w:t xml:space="preserve">” </w:t>
      </w:r>
      <w:r>
        <w:rPr>
          <w:rFonts w:ascii="Times New Roman;sans-serif" w:hAnsi="Times New Roman;sans-serif"/>
          <w:b w:val="false"/>
          <w:color w:val="000000"/>
          <w:sz w:val="22"/>
        </w:rPr>
        <w:t>means, at any time, the principal amount of Indebtedness which (i) if a Receivables Facility is structured as a lending agreement or other similar agreement, constitutes the principal amount of such Indebtedness or (ii) if a Receivables Facility is structured as a purchase agreement or other similar agreement, would be outstanding at such time under the Receivables Facility if the same were structured as a lending agreement rather than a purchase agreement or such other similar agreement (whether such amount is described as “capital” or otherwise).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Augmenting Lender</w:t>
      </w:r>
      <w:r>
        <w:rPr>
          <w:color w:val="000000"/>
        </w:rPr>
        <w:t xml:space="preserve">” </w:t>
      </w:r>
      <w:r>
        <w:rPr>
          <w:rFonts w:ascii="Times New Roman;sans-serif" w:hAnsi="Times New Roman;sans-serif"/>
          <w:b w:val="false"/>
          <w:color w:val="000000"/>
          <w:sz w:val="22"/>
        </w:rPr>
        <w:t>has the meaning assigned to such term in Section 2.04.</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Availability Period</w:t>
      </w:r>
      <w:r>
        <w:rPr>
          <w:color w:val="000000"/>
        </w:rPr>
        <w:t xml:space="preserve">” </w:t>
      </w:r>
      <w:r>
        <w:rPr>
          <w:rFonts w:ascii="Times New Roman;sans-serif" w:hAnsi="Times New Roman;sans-serif"/>
          <w:b w:val="false"/>
          <w:color w:val="000000"/>
          <w:sz w:val="22"/>
        </w:rPr>
        <w:t>means the period from and including the Effective Date to but excluding the earlier of the Maturity Date and the date of termination of the Commitments.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Available Revolving Commitment</w:t>
      </w:r>
      <w:r>
        <w:rPr>
          <w:color w:val="000000"/>
        </w:rPr>
        <w:t xml:space="preserve">” </w:t>
      </w:r>
      <w:r>
        <w:rPr>
          <w:rFonts w:ascii="Times New Roman;sans-serif" w:hAnsi="Times New Roman;sans-serif"/>
          <w:b w:val="false"/>
          <w:color w:val="000000"/>
          <w:sz w:val="22"/>
        </w:rPr>
        <w:t>means, at any time with respect to any Lender, the Commitment of such Lender then in effect minus the Revolving Exposure of such Lender at such time.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Available Tenor</w:t>
      </w:r>
      <w:r>
        <w:rPr>
          <w:color w:val="000000"/>
        </w:rPr>
        <w:t xml:space="preserve">” </w:t>
      </w:r>
      <w:r>
        <w:rPr>
          <w:rFonts w:ascii="Times New Roman;sans-serif" w:hAnsi="Times New Roman;sans-serif"/>
          <w:b w:val="false"/>
          <w:color w:val="000000"/>
          <w:sz w:val="22"/>
        </w:rPr>
        <w:t>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2.14(e).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Banking Services</w:t>
      </w:r>
      <w:r>
        <w:rPr>
          <w:color w:val="000000"/>
        </w:rPr>
        <w:t xml:space="preserve">” </w:t>
      </w:r>
      <w:r>
        <w:rPr>
          <w:rFonts w:ascii="Times New Roman;sans-serif" w:hAnsi="Times New Roman;sans-serif"/>
          <w:b w:val="false"/>
          <w:color w:val="000000"/>
          <w:sz w:val="22"/>
        </w:rPr>
        <w:t>means each and any of the following bank services provided to the Borrower or any Subsidiary by any Lender or any of its Affiliates: (a) commercial credit cards, (b) stored value cards and (c) treasury management services (including, without limitation, controlled disbursement, automated clearinghouse transactions, return items, overdrafts and interstate depository network services).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Banking Services Agreement</w:t>
      </w:r>
      <w:r>
        <w:rPr>
          <w:color w:val="000000"/>
        </w:rPr>
        <w:t xml:space="preserve">” </w:t>
      </w:r>
      <w:r>
        <w:rPr>
          <w:rFonts w:ascii="Times New Roman;sans-serif" w:hAnsi="Times New Roman;sans-serif"/>
          <w:b w:val="false"/>
          <w:color w:val="000000"/>
          <w:sz w:val="22"/>
        </w:rPr>
        <w:t>means any agreement entered into by the Borrower or any Subsidiary in connection with Banking Services.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Banking Services Obligations</w:t>
      </w:r>
      <w:r>
        <w:rPr>
          <w:color w:val="000000"/>
        </w:rPr>
        <w:t xml:space="preserve">” </w:t>
      </w:r>
      <w:r>
        <w:rPr>
          <w:rFonts w:ascii="Times New Roman;sans-serif" w:hAnsi="Times New Roman;sans-serif"/>
          <w:b w:val="false"/>
          <w:color w:val="000000"/>
          <w:sz w:val="22"/>
        </w:rPr>
        <w:t>means any and all obligations of the Borrower or any Subsidiary, whether absolute or contingent and howsoever and whensoever created, arising, evidenced or acquired (including all renewals, extensions and modifications thereof and substitutions therefor) in connection with Banking Services.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Bankruptcy Code</w:t>
      </w:r>
      <w:r>
        <w:rPr>
          <w:color w:val="000000"/>
        </w:rPr>
        <w:t xml:space="preserve">” </w:t>
      </w:r>
      <w:r>
        <w:rPr>
          <w:rFonts w:ascii="Times New Roman;sans-serif" w:hAnsi="Times New Roman;sans-serif"/>
          <w:b w:val="false"/>
          <w:color w:val="000000"/>
          <w:sz w:val="22"/>
        </w:rPr>
        <w:t>means Title 11 of the United States Code entitled “Bankruptcy”, as now or hereafter in effect, or any successor thereto, as hereafter amended.</w:t>
      </w:r>
    </w:p>
    <w:p>
      <w:pPr>
        <w:pStyle w:val="TextBody"/>
        <w:bidi w:val="0"/>
        <w:spacing w:before="0" w:after="24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Bankruptcy Event</w:t>
      </w:r>
      <w:r>
        <w:rPr>
          <w:color w:val="000000"/>
        </w:rPr>
        <w:t xml:space="preserve">” </w:t>
      </w:r>
      <w:r>
        <w:rPr>
          <w:rFonts w:ascii="Times New Roman;sans-serif" w:hAnsi="Times New Roman;sans-serif"/>
          <w:b w:val="false"/>
          <w:color w:val="000000"/>
          <w:sz w:val="22"/>
        </w:rPr>
        <w:t xml:space="preserve">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Bankruptcy Event shall not result solely by virtue of any ownership interest, or the acquisition of any ownership interest, in such Person by a Governmental Authority or instrumentality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Benchmark</w:t>
      </w:r>
      <w:r>
        <w:rPr>
          <w:color w:val="000000"/>
          <w:shd w:fill="FFFFFF" w:val="clear"/>
        </w:rPr>
        <w:t xml:space="preserve">” </w:t>
      </w:r>
      <w:r>
        <w:rPr>
          <w:rFonts w:ascii="Times New Roman;sans-serif" w:hAnsi="Times New Roman;sans-serif"/>
          <w:b w:val="false"/>
          <w:color w:val="000000"/>
          <w:sz w:val="22"/>
          <w:shd w:fill="FFFFFF" w:val="clear"/>
        </w:rPr>
        <w:t xml:space="preserve">means, initially, with respect to any (i) RFR Loan in any Agreed Currency, the applicable Relevant Rate for such Agreed Currency or (ii) Term Benchmark Loan, the Relevant Rate for the applicable Agreed Currency; </w:t>
      </w:r>
      <w:r>
        <w:rPr>
          <w:rFonts w:ascii="Times New Roman;sans-serif" w:hAnsi="Times New Roman;sans-serif"/>
          <w:b w:val="false"/>
          <w:color w:val="000000"/>
          <w:sz w:val="22"/>
          <w:u w:val="single"/>
          <w:shd w:fill="FFFFFF" w:val="clear"/>
        </w:rPr>
        <w:t>provided</w:t>
      </w:r>
      <w:r>
        <w:rPr>
          <w:color w:val="000000"/>
          <w:shd w:fill="FFFFFF" w:val="clear"/>
        </w:rPr>
        <w:t xml:space="preserve"> </w:t>
      </w:r>
      <w:r>
        <w:rPr>
          <w:rFonts w:ascii="Times New Roman;sans-serif" w:hAnsi="Times New Roman;sans-serif"/>
          <w:b w:val="false"/>
          <w:color w:val="000000"/>
          <w:sz w:val="22"/>
          <w:shd w:fill="FFFFFF" w:val="clear"/>
        </w:rPr>
        <w:t>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Section 2.14(b).</w: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Benchmark Replacement</w:t>
      </w:r>
      <w:r>
        <w:rPr>
          <w:color w:val="000000"/>
          <w:shd w:fill="FFFFFF" w:val="clear"/>
        </w:rPr>
        <w:t xml:space="preserve">” </w:t>
      </w:r>
      <w:r>
        <w:rPr>
          <w:rFonts w:ascii="Times New Roman;sans-serif" w:hAnsi="Times New Roman;sans-serif"/>
          <w:b w:val="false"/>
          <w:color w:val="000000"/>
          <w:sz w:val="22"/>
          <w:shd w:fill="FFFFFF" w:val="clear"/>
        </w:rPr>
        <w:t xml:space="preserve">means, for any Available Tenor, the first alternative set forth in the order below that can be determined by the Administrative Agent for the applicable Benchmark Replacement Date; </w:t>
      </w:r>
      <w:r>
        <w:rPr>
          <w:rFonts w:ascii="Times New Roman;sans-serif" w:hAnsi="Times New Roman;sans-serif"/>
          <w:b w:val="false"/>
          <w:color w:val="000000"/>
          <w:sz w:val="22"/>
          <w:u w:val="single"/>
          <w:shd w:fill="FFFFFF" w:val="clear"/>
        </w:rPr>
        <w:t>provided</w:t>
      </w:r>
      <w:r>
        <w:rPr>
          <w:color w:val="000000"/>
          <w:shd w:fill="FFFFFF" w:val="clear"/>
        </w:rPr>
        <w:t xml:space="preserve"> </w:t>
      </w:r>
      <w:r>
        <w:rPr>
          <w:rFonts w:ascii="Times New Roman;sans-serif" w:hAnsi="Times New Roman;sans-serif"/>
          <w:b w:val="false"/>
          <w:color w:val="000000"/>
          <w:sz w:val="22"/>
          <w:shd w:fill="FFFFFF" w:val="clear"/>
        </w:rPr>
        <w:t>that, in the case of any Loan denominated in a Foreign Currency, “Benchmark Replacement” shall mean the alternative set forth in (2) below:</w:t>
      </w:r>
    </w:p>
    <w:p>
      <w:pPr>
        <w:pStyle w:val="TextBody"/>
        <w:bidi w:val="0"/>
        <w:spacing w:lineRule="auto" w:line="240" w:before="0" w:after="240"/>
        <w:ind w:left="0" w:right="0" w:firstLine="14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(1)    in the case of any Loan denominated in Dollars, the sum of: (a) Daily Simple SOFR and (b) the related Benchmark Replacement Adjustment, or</w:t>
      </w:r>
    </w:p>
    <w:p>
      <w:pPr>
        <w:pStyle w:val="TextBody"/>
        <w:bidi w:val="0"/>
        <w:spacing w:lineRule="auto" w:line="240" w:before="0" w:after="240"/>
        <w:ind w:left="0" w:right="0" w:firstLine="14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pStyle w:val="TextBody"/>
        <w:bidi w:val="0"/>
        <w:spacing w:lineRule="auto" w:line="240" w:before="0" w:after="2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If the Benchmark Replacement as determined pursuant to clauses (1) or (2) above would be less than the Floor, the Benchmark Replacement will be deemed to be the Floor for the purposes of this Agreement and the other Loan Documents.</w: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Benchmark Replacement Adjustment</w:t>
      </w:r>
      <w:r>
        <w:rPr>
          <w:color w:val="000000"/>
          <w:shd w:fill="FFFFFF" w:val="clear"/>
        </w:rPr>
        <w:t xml:space="preserve">” </w:t>
      </w:r>
      <w:r>
        <w:rPr>
          <w:rFonts w:ascii="Times New Roman;sans-serif" w:hAnsi="Times New Roman;sans-serif"/>
          <w:b w:val="false"/>
          <w:color w:val="000000"/>
          <w:sz w:val="22"/>
          <w:shd w:fill="FFFFFF" w:val="clear"/>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before="0" w:after="24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Benchmark Replacement Conforming Changes</w:t>
      </w:r>
      <w:r>
        <w:rPr>
          <w:color w:val="000000"/>
          <w:shd w:fill="FFFFFF" w:val="clear"/>
        </w:rPr>
        <w:t xml:space="preserve">” </w:t>
      </w:r>
      <w:r>
        <w:rPr>
          <w:rFonts w:ascii="Times New Roman;sans-serif" w:hAnsi="Times New Roman;sans-serif"/>
          <w:b w:val="false"/>
          <w:color w:val="000000"/>
          <w:sz w:val="22"/>
          <w:shd w:fill="FFFFFF" w:val="clear"/>
        </w:rPr>
        <w:t>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Benchmark Replacement Date</w:t>
      </w:r>
      <w:r>
        <w:rPr>
          <w:color w:val="000000"/>
          <w:shd w:fill="FFFFFF" w:val="clear"/>
        </w:rPr>
        <w:t xml:space="preserve">” </w:t>
      </w:r>
      <w:r>
        <w:rPr>
          <w:rFonts w:ascii="Times New Roman;sans-serif" w:hAnsi="Times New Roman;sans-serif"/>
          <w:b w:val="false"/>
          <w:color w:val="000000"/>
          <w:sz w:val="22"/>
          <w:shd w:fill="FFFFFF" w:val="clear"/>
        </w:rPr>
        <w:t>means, with respect to any Benchmark, the earliest to occur of the following events with respect to such then-current Benchmark:</w:t>
      </w:r>
    </w:p>
    <w:p>
      <w:pPr>
        <w:pStyle w:val="TextBody"/>
        <w:bidi w:val="0"/>
        <w:spacing w:lineRule="auto" w:line="240" w:before="0" w:after="240"/>
        <w:ind w:left="0" w:right="0" w:firstLine="14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(1)    in the case of clauses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shd w:fill="FFFFFF" w:val="clear"/>
        </w:rPr>
        <w:t xml:space="preserve">(2)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sans-serif" w:hAnsi="Times New Roman;sans-serif"/>
          <w:b w:val="false"/>
          <w:color w:val="000000"/>
          <w:sz w:val="22"/>
          <w:u w:val="single"/>
          <w:shd w:fill="FFFFFF" w:val="clear"/>
        </w:rPr>
        <w:t>provided</w:t>
      </w:r>
      <w:r>
        <w:rPr>
          <w:rFonts w:ascii="Times New Roman;sans-serif" w:hAnsi="Times New Roman;sans-serif"/>
          <w:b w:val="false"/>
          <w:color w:val="000000"/>
          <w:sz w:val="22"/>
          <w:shd w:fill="FFFFFF" w:val="clear"/>
        </w:rPr>
        <w:t>,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pStyle w:val="TextBody"/>
        <w:bidi w:val="0"/>
        <w:spacing w:lineRule="auto" w:line="240" w:before="0" w:after="2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Benchmark Transition Event</w:t>
      </w:r>
      <w:r>
        <w:rPr>
          <w:color w:val="000000"/>
          <w:shd w:fill="FFFFFF" w:val="clear"/>
        </w:rPr>
        <w:t xml:space="preserve">” </w:t>
      </w:r>
      <w:r>
        <w:rPr>
          <w:rFonts w:ascii="Times New Roman;sans-serif" w:hAnsi="Times New Roman;sans-serif"/>
          <w:b w:val="false"/>
          <w:color w:val="000000"/>
          <w:sz w:val="22"/>
          <w:shd w:fill="FFFFFF" w:val="clear"/>
        </w:rPr>
        <w:t>means, with respect to any Benchmark, the occurrence of one or more of the following events with respect to such then-current Benchmark:</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shd w:fill="FFFFFF" w:val="clear"/>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ans-serif" w:hAnsi="Times New Roman;sans-serif"/>
          <w:b w:val="false"/>
          <w:color w:val="000000"/>
          <w:sz w:val="22"/>
          <w:u w:val="single"/>
          <w:shd w:fill="FFFFFF" w:val="clear"/>
        </w:rPr>
        <w:t>provided</w:t>
      </w:r>
      <w:r>
        <w:rPr>
          <w:color w:val="000000"/>
          <w:shd w:fill="FFFFFF" w:val="clear"/>
        </w:rPr>
        <w:t xml:space="preserve"> </w:t>
      </w:r>
      <w:r>
        <w:rPr>
          <w:rFonts w:ascii="Times New Roman;sans-serif" w:hAnsi="Times New Roman;sans-serif"/>
          <w:b w:val="false"/>
          <w:color w:val="000000"/>
          <w:sz w:val="22"/>
          <w:shd w:fill="FFFFFF" w:val="clear"/>
        </w:rPr>
        <w:t>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24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shd w:fill="FFFFFF" w:val="clear"/>
        </w:rPr>
        <w:t xml:space="preserve">(2)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in each case,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sans-serif" w:hAnsi="Times New Roman;sans-serif"/>
          <w:b w:val="false"/>
          <w:color w:val="000000"/>
          <w:sz w:val="22"/>
          <w:u w:val="single"/>
          <w:shd w:fill="FFFFFF" w:val="clear"/>
        </w:rPr>
        <w:t>provided</w:t>
      </w:r>
      <w:r>
        <w:rPr>
          <w:color w:val="000000"/>
          <w:shd w:fill="FFFFFF" w:val="clear"/>
        </w:rPr>
        <w:t xml:space="preserve"> </w:t>
      </w:r>
      <w:r>
        <w:rPr>
          <w:rFonts w:ascii="Times New Roman;sans-serif" w:hAnsi="Times New Roman;sans-serif"/>
          <w:b w:val="false"/>
          <w:color w:val="000000"/>
          <w:sz w:val="22"/>
          <w:shd w:fill="FFFFFF" w:val="clear"/>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lineRule="auto" w:line="240" w:before="0" w:after="240"/>
        <w:ind w:left="0" w:right="0" w:firstLine="14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(3)    a public statement or publication of information by the regulatory supervisor for the administrator of such Benchmark (or the published component used in the calculation thereof) announcing that such Benchmark (or such component thereof) of, if such Benchmark is a term rate, all Available Tenors of such Benchmark (or such component thereof) are no longer, or as of a specified future date will no longer be, representative.</w:t>
      </w:r>
    </w:p>
    <w:p>
      <w:pPr>
        <w:pStyle w:val="TextBody"/>
        <w:bidi w:val="0"/>
        <w:spacing w:lineRule="auto" w:line="240" w:before="0" w:after="2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Benchmark Unavailability Period</w:t>
      </w:r>
      <w:r>
        <w:rPr>
          <w:color w:val="000000"/>
          <w:shd w:fill="FFFFFF" w:val="clear"/>
        </w:rPr>
        <w:t xml:space="preserve">” </w:t>
      </w:r>
      <w:r>
        <w:rPr>
          <w:rFonts w:ascii="Times New Roman;sans-serif" w:hAnsi="Times New Roman;sans-serif"/>
          <w:b w:val="false"/>
          <w:color w:val="000000"/>
          <w:sz w:val="22"/>
          <w:shd w:fill="FFFFFF" w:val="clear"/>
        </w:rPr>
        <w:t>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Beneficial Ownership Certification</w:t>
      </w:r>
      <w:r>
        <w:rPr>
          <w:color w:val="000000"/>
          <w:shd w:fill="FFFFFF" w:val="clear"/>
        </w:rPr>
        <w:t xml:space="preserve">” </w:t>
      </w:r>
      <w:r>
        <w:rPr>
          <w:rFonts w:ascii="Times New Roman;sans-serif" w:hAnsi="Times New Roman;sans-serif"/>
          <w:b w:val="false"/>
          <w:color w:val="000000"/>
          <w:sz w:val="22"/>
          <w:shd w:fill="FFFFFF" w:val="clear"/>
        </w:rPr>
        <w:t>means a certification regarding beneficial ownership or control as required by the Beneficial Ownership Regulation.</w: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Beneficial Ownership Regulation</w:t>
      </w:r>
      <w:r>
        <w:rPr>
          <w:color w:val="000000"/>
          <w:shd w:fill="FFFFFF" w:val="clear"/>
        </w:rPr>
        <w:t xml:space="preserve">” </w:t>
      </w:r>
      <w:r>
        <w:rPr>
          <w:rFonts w:ascii="Times New Roman;sans-serif" w:hAnsi="Times New Roman;sans-serif"/>
          <w:b w:val="false"/>
          <w:color w:val="000000"/>
          <w:sz w:val="22"/>
          <w:shd w:fill="FFFFFF" w:val="clear"/>
        </w:rPr>
        <w:t>means 31 C.F.R. § 1010.230.</w: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Benefit Plan</w:t>
      </w:r>
      <w:r>
        <w:rPr>
          <w:color w:val="000000"/>
          <w:shd w:fill="FFFFFF" w:val="clear"/>
        </w:rPr>
        <w:t xml:space="preserve">” </w:t>
      </w:r>
      <w:r>
        <w:rPr>
          <w:rFonts w:ascii="Times New Roman;sans-serif" w:hAnsi="Times New Roman;sans-serif"/>
          <w:b w:val="false"/>
          <w:color w:val="000000"/>
          <w:sz w:val="22"/>
          <w:shd w:fill="FFFFFF" w:val="clear"/>
        </w:rPr>
        <w:t>means any of (a) an “employee benefit plan” (as defined in Section 3(3) ERISA) that is subject to Title I of ERISA, (b) a “plan” as defined in Section 4975 of the Code to which Section 4975 of the Code applies, and (c) any Person whose assets include (for purposes of the Plan Asset Regulation or otherwise for purposes of Title I of ERISA or Section 4975 of the Code) the assets of any such “employee benefit plan” or “plan”.</w: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BHC Act Affiliate</w:t>
      </w:r>
      <w:r>
        <w:rPr>
          <w:color w:val="000000"/>
          <w:shd w:fill="FFFFFF" w:val="clear"/>
        </w:rPr>
        <w:t xml:space="preserve">” </w:t>
      </w:r>
      <w:r>
        <w:rPr>
          <w:rFonts w:ascii="Times New Roman;sans-serif" w:hAnsi="Times New Roman;sans-serif"/>
          <w:b w:val="false"/>
          <w:color w:val="000000"/>
          <w:sz w:val="22"/>
          <w:shd w:fill="FFFFFF" w:val="clear"/>
        </w:rPr>
        <w:t>of a party means an “affiliate” (as such term is defined under, and interpreted in accordance with, 12 U.S.C. 1841(k)) of such party.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Bonding Obligations</w:t>
      </w:r>
      <w:r>
        <w:rPr>
          <w:color w:val="000000"/>
        </w:rPr>
        <w:t xml:space="preserve">” </w:t>
      </w:r>
      <w:r>
        <w:rPr>
          <w:rFonts w:ascii="Times New Roman;sans-serif" w:hAnsi="Times New Roman;sans-serif"/>
          <w:b w:val="false"/>
          <w:color w:val="000000"/>
          <w:sz w:val="22"/>
        </w:rPr>
        <w:t>means any and all obligations of the Borrower or any of its Subsidiaries to any Person to secure or assure the performance of any bid, contract, lease or statutory obligation, or otherwise constituting a bid, performance, return-of-money, surety, appeal or payment bond, contract or like undertaking, in each case, entered into by the Borrower or such Subsidiary in the ordinary course of business or in connection with a transaction permitted hereby.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means MYR Group Inc., a Delaware corporation.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means Revolving Loans of the same Type, made, advanced, converted or continued on the same date and, in the case of a Term Benchmark Loan, as to which a single Interest Period is in effect.</w:t>
      </w:r>
    </w:p>
    <w:p>
      <w:pPr>
        <w:pStyle w:val="TextBody"/>
        <w:bidi w:val="0"/>
        <w:spacing w:before="0" w:after="24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Borrowing Request</w:t>
      </w:r>
      <w:r>
        <w:rPr>
          <w:color w:val="000000"/>
        </w:rPr>
        <w:t xml:space="preserve">” </w:t>
      </w:r>
      <w:r>
        <w:rPr>
          <w:rFonts w:ascii="Times New Roman;sans-serif" w:hAnsi="Times New Roman;sans-serif"/>
          <w:b w:val="false"/>
          <w:color w:val="000000"/>
          <w:sz w:val="22"/>
        </w:rPr>
        <w:t>means a request by the Borrower for a Revolving Borrowing in accordance with Section 2.03.</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 xml:space="preserve">means, any day (other than a Saturday or a Sunday) on which banks are open for business in New York City;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addition to the foregoing, a Business Day shall be (a) in relation to Loans denominated in Euros and in relation to the calculation or computation of EURIBOR, any day which is a TARGET Day, (b) in relation to RFR Loans and any interest rate settings, fundings, disbursements, settlements or payments of any such RFR Loan, or any other dealings in the applicable Agreed Currency of such RFR Loan, any such day that is only a RFR Business Day</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2"/>
        </w:rPr>
        <w:t>(c)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and (d) in relation to Loans denominated in Canadian Dollars and in relation to the calculation or computation of the Adjusted CDOR Rate or the Canadian Prime Rate, any day on which banks are open for general business in Toronto, Ontario.</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Canadian Dollars</w:t>
      </w:r>
      <w:r>
        <w:rPr>
          <w:color w:val="000000"/>
        </w:rPr>
        <w:t xml:space="preserve">” </w:t>
      </w:r>
      <w:r>
        <w:rPr>
          <w:rFonts w:ascii="Times New Roman;sans-serif" w:hAnsi="Times New Roman;sans-serif"/>
          <w:b w:val="false"/>
          <w:color w:val="000000"/>
          <w:sz w:val="22"/>
        </w:rPr>
        <w:t>means the lawful currency of Canada.</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Canadian Prime Rate</w:t>
      </w:r>
      <w:r>
        <w:rPr>
          <w:color w:val="000000"/>
        </w:rPr>
        <w:t xml:space="preserve">” </w:t>
      </w:r>
      <w:r>
        <w:rPr>
          <w:rFonts w:ascii="Times New Roman;sans-serif" w:hAnsi="Times New Roman;sans-serif"/>
          <w:b w:val="false"/>
          <w:color w:val="000000"/>
          <w:sz w:val="22"/>
        </w:rPr>
        <w:t xml:space="preserve">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any of the above rates shall be less than 1%, such rate shall be deemed to be 1% for purposes of this Agreement. Any change in the Canadian Prime Rate due to a change in the PRIMCAN Index or the rate appearing on the Reuters Screen CDOR Page shall be effective from and including the effective date of such change in the PRIMCAN Index or the rate appearing on the Reuters Screen CDOR Page, respectively.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CBR Loan</w:t>
      </w:r>
      <w:r>
        <w:rPr>
          <w:color w:val="000000"/>
        </w:rPr>
        <w:t xml:space="preserve">” </w:t>
      </w:r>
      <w:r>
        <w:rPr>
          <w:rFonts w:ascii="Times New Roman;sans-serif" w:hAnsi="Times New Roman;sans-serif"/>
          <w:b w:val="false"/>
          <w:color w:val="000000"/>
          <w:sz w:val="22"/>
        </w:rPr>
        <w:t>means a Loan (other than a Swingline Loan) that bears interest at a rate determined by reference to the Central Bank Rate.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CBR Spread</w:t>
      </w:r>
      <w:r>
        <w:rPr>
          <w:color w:val="000000"/>
        </w:rPr>
        <w:t xml:space="preserve">” </w:t>
      </w:r>
      <w:r>
        <w:rPr>
          <w:rFonts w:ascii="Times New Roman;sans-serif" w:hAnsi="Times New Roman;sans-serif"/>
          <w:b w:val="false"/>
          <w:color w:val="000000"/>
          <w:sz w:val="22"/>
        </w:rPr>
        <w:t>means (x) for CBR Loans, the Applicable Rate applicable to such Loan that is replaced by a CBR Loan and (y) for Canadian Prime Rate Loans, the Applicable Rate applicable to ABR Loans.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CDOR Rate</w:t>
      </w:r>
      <w:r>
        <w:rPr>
          <w:color w:val="000000"/>
        </w:rPr>
        <w:t xml:space="preserve">” </w:t>
      </w:r>
      <w:r>
        <w:rPr>
          <w:rFonts w:ascii="Times New Roman;sans-serif" w:hAnsi="Times New Roman;sans-serif"/>
          <w:b w:val="false"/>
          <w:color w:val="000000"/>
          <w:sz w:val="22"/>
        </w:rPr>
        <w:t>means, with respect to any Term Benchmark Borrowing denominated in Canadian dollars and for any Interest Period, the CDOR Screen Rate on the day of the commencement of such Interest Period.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CDOR Screen Rate</w:t>
      </w:r>
      <w:r>
        <w:rPr>
          <w:color w:val="000000"/>
        </w:rPr>
        <w:t xml:space="preserve">” </w:t>
      </w:r>
      <w:r>
        <w:rPr>
          <w:rFonts w:ascii="Times New Roman;sans-serif" w:hAnsi="Times New Roman;sans-serif"/>
          <w:b w:val="false"/>
          <w:color w:val="000000"/>
          <w:sz w:val="22"/>
        </w:rPr>
        <w:t>means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of 1% (with .005% being rounded up), as of 10:15 a.m. Toronto local time on the first day of such Interest Period and, if such day is not a Business Day, then on the immediately preceding Business Day (as adjusted by Administrative Agent after 10:15 a.m. Toronto local time to reflect any error in the posted rate of interest or in the posted average annual rate of interest). If the CDOR Screen Rate shall be less than zero, the CDOR Screen Rate shall be deemed to be zero for purposes of this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Central Bank Rate</w:t>
      </w:r>
      <w:r>
        <w:rPr>
          <w:color w:val="000000"/>
        </w:rPr>
        <w:t xml:space="preserve">” </w:t>
      </w:r>
      <w:r>
        <w:rPr>
          <w:rFonts w:ascii="Times New Roman;sans-serif" w:hAnsi="Times New Roman;sans-serif"/>
          <w:b w:val="false"/>
          <w:color w:val="000000"/>
          <w:sz w:val="22"/>
        </w:rPr>
        <w:t>means, the greater of (I)(A)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(b) any other Foreign Currency determined after the Effective Date, a central bank rate as determined by the Administrative Agent in its reasonable discretion plus (B) the applicable Central Bank Rate Adjustment and (II) the Floor.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Central Bank Rate Adjustment</w:t>
      </w:r>
      <w:r>
        <w:rPr>
          <w:color w:val="000000"/>
        </w:rPr>
        <w:t xml:space="preserve">” </w:t>
      </w:r>
      <w:r>
        <w:rPr>
          <w:rFonts w:ascii="Times New Roman;sans-serif" w:hAnsi="Times New Roman;sans-serif"/>
          <w:b w:val="false"/>
          <w:color w:val="000000"/>
          <w:sz w:val="22"/>
        </w:rPr>
        <w:t>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and (b) any other Foreign Currency determined after the Effective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Change in Control</w:t>
      </w:r>
      <w:r>
        <w:rPr>
          <w:color w:val="000000"/>
        </w:rPr>
        <w:t xml:space="preserve">” </w:t>
      </w:r>
      <w:r>
        <w:rPr>
          <w:rFonts w:ascii="Times New Roman;sans-serif" w:hAnsi="Times New Roman;sans-serif"/>
          <w:b w:val="false"/>
          <w:color w:val="000000"/>
          <w:sz w:val="22"/>
        </w:rPr>
        <w:t>means (i)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Borrower (calculated on a fully diluted basis taking into account all options or other rights to acquire voting common Equity Interests of the Borrower then outstanding, regardless of whether such options or other rights are then currently exercisable); or (ii) occupation at any time of a majority of the seats (other than vacant seats) on the board of directors of the Borrower by Persons who were not nominated or appointed by the board of directors of the Borrower.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Change in Law</w:t>
      </w:r>
      <w:r>
        <w:rPr>
          <w:color w:val="000000"/>
        </w:rPr>
        <w:t xml:space="preserve">” </w:t>
      </w:r>
      <w:r>
        <w:rPr>
          <w:rFonts w:ascii="Times New Roman;sans-serif" w:hAnsi="Times New Roman;sans-serif"/>
          <w:b w:val="false"/>
          <w:color w:val="000000"/>
          <w:sz w:val="22"/>
        </w:rPr>
        <w:t xml:space="preserve">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Section 2.15(b), by any lending office of such Lender or by such Lender’s or Issuing Bank’s holding company, if any) with any request, rule, guideline, requirement or directive (whether or not having the force of law) of any Governmental Authority made or issued after the date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CME Term SOFR Administrator</w:t>
      </w:r>
      <w:r>
        <w:rPr>
          <w:color w:val="000000"/>
        </w:rPr>
        <w:t xml:space="preserve">” </w:t>
      </w:r>
      <w:r>
        <w:rPr>
          <w:rFonts w:ascii="Times New Roman;sans-serif" w:hAnsi="Times New Roman;sans-serif"/>
          <w:b w:val="false"/>
          <w:color w:val="000000"/>
          <w:sz w:val="22"/>
        </w:rPr>
        <w:t>means CME Group Benchmark Administration Limited as administrator of the forward-looking term Secured Overnight Financing Rate (SOFR) (or a successor administrator).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Co-Documentation Agent</w:t>
      </w:r>
      <w:r>
        <w:rPr>
          <w:color w:val="000000"/>
        </w:rPr>
        <w:t xml:space="preserve">” </w:t>
      </w:r>
      <w:r>
        <w:rPr>
          <w:rFonts w:ascii="Times New Roman;sans-serif" w:hAnsi="Times New Roman;sans-serif"/>
          <w:b w:val="false"/>
          <w:color w:val="000000"/>
          <w:sz w:val="22"/>
        </w:rPr>
        <w:t>means each of Bank of Montreal, CIBC Bank USA, TD Bank, N.A. and Wells Fargo Bank, National Association, in its capacity as co-documentation agent for the credit facility evidenced by this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Internal Revenue Code of 1986, as amended from time to time.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rPr>
        <w:t xml:space="preserve">means any and all property owned by any Loan Party, now existing or hereafter acquired, that may at any time be or become subject to a security interest or Lien in favor of Administrative Agent, on behalf of itself and the Holders of Secured Obligations, to secure the Secured Obligations;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however, that Collateral shall not include (i) Excluded Assets or (ii) any Equity Interests of a Foreign Subsidiary or Foreign Subsidiary Holdco in excess of the Applicable Pledge Percentage in any First Tier Foreign Subsidiary or First Tier Foreign Subsidiary Holdco that is a Pledge Subsidiary.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Collateral Documents</w:t>
      </w:r>
      <w:r>
        <w:rPr>
          <w:color w:val="000000"/>
        </w:rPr>
        <w:t xml:space="preserve">” </w:t>
      </w:r>
      <w:r>
        <w:rPr>
          <w:rFonts w:ascii="Times New Roman;sans-serif" w:hAnsi="Times New Roman;sans-serif"/>
          <w:b w:val="false"/>
          <w:color w:val="000000"/>
          <w:sz w:val="22"/>
        </w:rPr>
        <w:t>means, collectively, the Security Agreement and all other agreements, instruments and documents executed in connection with this Agreement that are intended to create or evidence Liens on the Collateral for the purpose of securing the Secured Obligations, including all other security agreements, pledge agreements, loan agreements, notes, guarantees, subordination agreements, pledges, powers of attorney, consents, assignments, contracts, fee letters, notices, leases, financing statements and all other written matter whether heretofore, now, or hereafter executed by the Borrower or any of its Material Subsidiaries and delivered to the Administrative Agent.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Commitment</w:t>
      </w:r>
      <w:r>
        <w:rPr>
          <w:color w:val="000000"/>
        </w:rPr>
        <w:t xml:space="preserve">” </w:t>
      </w:r>
      <w:r>
        <w:rPr>
          <w:rFonts w:ascii="Times New Roman;sans-serif" w:hAnsi="Times New Roman;sans-serif"/>
          <w:b w:val="false"/>
          <w:color w:val="000000"/>
          <w:sz w:val="22"/>
        </w:rPr>
        <w:t xml:space="preserve">means, with respect to each Lender, the amount set forth on the </w:t>
      </w:r>
      <w:r>
        <w:rPr>
          <w:rFonts w:ascii="Times New Roman;sans-serif" w:hAnsi="Times New Roman;sans-serif"/>
          <w:b w:val="false"/>
          <w:color w:val="000000"/>
          <w:sz w:val="22"/>
          <w:u w:val="single"/>
        </w:rPr>
        <w:t>Commitment Schedule</w:t>
      </w:r>
      <w:r>
        <w:rPr>
          <w:color w:val="000000"/>
        </w:rPr>
        <w:t xml:space="preserve"> </w:t>
      </w:r>
      <w:r>
        <w:rPr>
          <w:rFonts w:ascii="Times New Roman;sans-serif" w:hAnsi="Times New Roman;sans-serif"/>
          <w:b w:val="false"/>
          <w:color w:val="000000"/>
          <w:sz w:val="22"/>
        </w:rPr>
        <w:t xml:space="preserve">opposite such Lender’s name, or in the Assignment and Assumption or other documentation or record (as such term is defined in Section 9-102(a)(70) of the UCC) as provided in Section 9.04(b)(ii)(C) pursuant to which such Lender shall have assumed its Commitment, as applicable, and giving effect to (a) any reduction in such amount from time to time pursuant to Section 2.09 and (b) any reduction or increase in such amount from time to time pursuant to assignments by or to such Lender pursuant to Section 9.04;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at no time shall the Revolving Exposure of any Lender exceed its Commitment. The aggregate amount of the Lenders’ Commitments on the Effective Date is $490,000,000.</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Commitment Schedule</w:t>
      </w:r>
      <w:r>
        <w:rPr>
          <w:color w:val="000000"/>
        </w:rPr>
        <w:t xml:space="preserve">” </w:t>
      </w:r>
      <w:r>
        <w:rPr>
          <w:rFonts w:ascii="Times New Roman;sans-serif" w:hAnsi="Times New Roman;sans-serif"/>
          <w:b w:val="false"/>
          <w:color w:val="000000"/>
          <w:sz w:val="22"/>
        </w:rPr>
        <w:t>means the Schedule attached hereto identified as such.</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Commodity Exchange Act</w:t>
      </w:r>
      <w:r>
        <w:rPr>
          <w:color w:val="000000"/>
        </w:rPr>
        <w:t xml:space="preserve">” </w:t>
      </w:r>
      <w:r>
        <w:rPr>
          <w:rFonts w:ascii="Times New Roman;sans-serif" w:hAnsi="Times New Roman;sans-serif"/>
          <w:b w:val="false"/>
          <w:color w:val="000000"/>
          <w:sz w:val="22"/>
        </w:rPr>
        <w:t xml:space="preserve">means the Commodity Exchange Act (7 U.S.C. § 1 </w:t>
      </w:r>
      <w:r>
        <w:rPr>
          <w:rFonts w:ascii="Times New Roman;sans-serif" w:hAnsi="Times New Roman;sans-serif"/>
          <w:b w:val="false"/>
          <w:i/>
          <w:color w:val="000000"/>
          <w:sz w:val="22"/>
        </w:rPr>
        <w:t>et seq</w:t>
      </w:r>
      <w:r>
        <w:rPr>
          <w:rFonts w:ascii="Times New Roman;sans-serif" w:hAnsi="Times New Roman;sans-serif"/>
          <w:b w:val="false"/>
          <w:color w:val="000000"/>
          <w:sz w:val="22"/>
        </w:rPr>
        <w:t>.), as amended from time to time, and any successor statute.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Communications</w:t>
      </w:r>
      <w:r>
        <w:rPr>
          <w:color w:val="000000"/>
        </w:rPr>
        <w:t xml:space="preserve">” </w:t>
      </w:r>
      <w:r>
        <w:rPr>
          <w:rFonts w:ascii="Times New Roman;sans-serif" w:hAnsi="Times New Roman;sans-serif"/>
          <w:b w:val="false"/>
          <w:color w:val="000000"/>
          <w:sz w:val="22"/>
        </w:rPr>
        <w:t>has the meaning assigned to such term in Section 8.08(c).</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Consolidated EBITDA</w:t>
      </w:r>
      <w:r>
        <w:rPr>
          <w:color w:val="000000"/>
        </w:rPr>
        <w:t xml:space="preserve">” </w:t>
      </w:r>
      <w:r>
        <w:rPr>
          <w:rFonts w:ascii="Times New Roman;sans-serif" w:hAnsi="Times New Roman;sans-serif"/>
          <w:b w:val="false"/>
          <w:color w:val="000000"/>
          <w:sz w:val="22"/>
        </w:rPr>
        <w:t>means, for any period, Net Income for such period plus (a) without duplication and to the extent deducted in determining Net Income for such period, the sum of (i) Interest Expense for such period, (ii) income tax expense for such period, (iii) all amounts attributable to depreciation and amortization expense for such period, (iv) non-cash charges (but excluding any non-cash charge in respect of an item that was included in Net Income in a prior period and any non-cash charge that relates to the write-down or write-off of inventory) and (v) any restructuring charges, not in excess of $10,000,000 in the aggregate during the term of this Agreement, minus (b) without duplication and to the extent included in Net Income, (i) any cash payments made during such period in respect of non-cash charges described in clause (a)(iv) taken in a prior period and (ii) any non-cash gains or items of income for such period, all calculated for the Borrower and its Subsidiaries on a consolidated basis in accordance with GAAP. Notwithstanding the foregoing, with respect to any period during which a Permitted Acquisition occurs or the Borrower or any of its Subsidiaries acquires or sells or otherwise disposes of a Subsidiary or other assets, for purposes of determining compliance with the financial covenants set forth in Section 6.12, (x) Consolidated EBITDA shall be calculated pro forma (without duplication) as if the Permitted Acquisition or other acquisition or disposition had occurred on the first day of such period and (y) any Indebtedness incurred or repaid in connection therewith shall be deemed to have been consummated or incurred or repaid at the beginning of such period.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Consolidated Net Worth</w:t>
      </w:r>
      <w:r>
        <w:rPr>
          <w:color w:val="000000"/>
        </w:rPr>
        <w:t xml:space="preserve">” </w:t>
      </w:r>
      <w:r>
        <w:rPr>
          <w:rFonts w:ascii="Times New Roman;sans-serif" w:hAnsi="Times New Roman;sans-serif"/>
          <w:b w:val="false"/>
          <w:color w:val="000000"/>
          <w:sz w:val="22"/>
        </w:rPr>
        <w:t>means, as of the date of any determination thereof, the consolidated stockholders’ equity of the Borrower and its Subsidiaries calculated in accordance with GAAP on a consolidated basis as of such date.</w:t>
      </w:r>
    </w:p>
    <w:p>
      <w:pPr>
        <w:pStyle w:val="TextBody"/>
        <w:bidi w:val="0"/>
        <w:spacing w:before="0" w:after="24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Consolidated Total Assets</w:t>
      </w:r>
      <w:r>
        <w:rPr>
          <w:color w:val="000000"/>
        </w:rPr>
        <w:t xml:space="preserve">” </w:t>
      </w:r>
      <w:r>
        <w:rPr>
          <w:rFonts w:ascii="Times New Roman;sans-serif" w:hAnsi="Times New Roman;sans-serif"/>
          <w:b w:val="false"/>
          <w:color w:val="000000"/>
          <w:sz w:val="22"/>
        </w:rPr>
        <w:t>means, as of the date of any determination thereof, total assets of the Borrower and its Subsidiaries calculated in accordance with GAAP on a consolidated basis as of such date.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Consolidated Total Indebtedness</w:t>
      </w:r>
      <w:r>
        <w:rPr>
          <w:color w:val="000000"/>
        </w:rPr>
        <w:t xml:space="preserve">” </w:t>
      </w:r>
      <w:r>
        <w:rPr>
          <w:rFonts w:ascii="Times New Roman;sans-serif" w:hAnsi="Times New Roman;sans-serif"/>
          <w:b w:val="false"/>
          <w:color w:val="000000"/>
          <w:sz w:val="22"/>
        </w:rPr>
        <w:t>means, at any date, the aggregate principal amount of all Indebtedness of the Borrower and its Subsidiaries at such date, determined on a consolidated basis in accordance with GAAP. For the avoidance of doubt, Consolidated Total Indebtedness includes all Attributable Receivables Indebtedness.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val="false"/>
          <w:color w:val="000000"/>
          <w:sz w:val="22"/>
          <w:u w:val="single"/>
        </w:rPr>
        <w:t>Controlling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Controlled</w:t>
      </w:r>
      <w:r>
        <w:rPr>
          <w:color w:val="000000"/>
        </w:rPr>
        <w:t xml:space="preserve">” </w:t>
      </w:r>
      <w:r>
        <w:rPr>
          <w:rFonts w:ascii="Times New Roman;sans-serif" w:hAnsi="Times New Roman;sans-serif"/>
          <w:b w:val="false"/>
          <w:color w:val="000000"/>
          <w:sz w:val="22"/>
        </w:rPr>
        <w:t>have meanings correlative thereto.</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Corresponding Tenor</w:t>
      </w:r>
      <w:r>
        <w:rPr>
          <w:color w:val="000000"/>
        </w:rPr>
        <w:t xml:space="preserve">” </w:t>
      </w:r>
      <w:r>
        <w:rPr>
          <w:rFonts w:ascii="Times New Roman;sans-serif" w:hAnsi="Times New Roman;sans-serif"/>
          <w:b w:val="false"/>
          <w:color w:val="000000"/>
          <w:sz w:val="22"/>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Covered Entity</w:t>
      </w:r>
      <w:r>
        <w:rPr>
          <w:color w:val="000000"/>
        </w:rPr>
        <w:t xml:space="preserve">” </w:t>
      </w:r>
      <w:r>
        <w:rPr>
          <w:rFonts w:ascii="Times New Roman;sans-serif" w:hAnsi="Times New Roman;sans-serif"/>
          <w:b w:val="false"/>
          <w:color w:val="000000"/>
          <w:sz w:val="22"/>
        </w:rPr>
        <w:t>means any of the following:</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    a “covered entity” as that term is defined in, and interpreted in accordance with, 12 C.F.R. § 252.82(b);</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    a “covered bank” as that term is defined in, and interpreted in accordance with, 12 C.F.R. § 47.3(b); or</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    a “covered FSI” as that term is defined in, and interpreted in accordance with, 12 C.F.R. § 382.2(b).</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Covered Party</w:t>
      </w:r>
      <w:r>
        <w:rPr>
          <w:color w:val="000000"/>
        </w:rPr>
        <w:t xml:space="preserve">” </w:t>
      </w:r>
      <w:r>
        <w:rPr>
          <w:rFonts w:ascii="Times New Roman;sans-serif" w:hAnsi="Times New Roman;sans-serif"/>
          <w:b w:val="false"/>
          <w:color w:val="000000"/>
          <w:sz w:val="22"/>
        </w:rPr>
        <w:t>has the meaning assigned to such term in Section 9.21.</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Credit Event</w:t>
      </w:r>
      <w:r>
        <w:rPr>
          <w:color w:val="000000"/>
        </w:rPr>
        <w:t xml:space="preserve">” </w:t>
      </w:r>
      <w:r>
        <w:rPr>
          <w:rFonts w:ascii="Times New Roman;sans-serif" w:hAnsi="Times New Roman;sans-serif"/>
          <w:b w:val="false"/>
          <w:color w:val="000000"/>
          <w:sz w:val="22"/>
        </w:rPr>
        <w:t>means a Borrowing, the issuance, amendment, renewal or extension of a Letter of Credit, an LC Disbursement or any of the foregoing.</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Credit Party</w:t>
      </w:r>
      <w:r>
        <w:rPr>
          <w:color w:val="000000"/>
        </w:rPr>
        <w:t xml:space="preserve">” </w:t>
      </w:r>
      <w:r>
        <w:rPr>
          <w:rFonts w:ascii="Times New Roman;sans-serif" w:hAnsi="Times New Roman;sans-serif"/>
          <w:b w:val="false"/>
          <w:color w:val="000000"/>
          <w:sz w:val="22"/>
        </w:rPr>
        <w:t>means the Administrative Agent, each Issuing Bank, or any other Lender.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Daily Simple SOFR</w:t>
      </w:r>
      <w:r>
        <w:rPr>
          <w:color w:val="000000"/>
        </w:rPr>
        <w:t xml:space="preserve">” </w:t>
      </w:r>
      <w:r>
        <w:rPr>
          <w:rFonts w:ascii="Times New Roman;sans-serif" w:hAnsi="Times New Roman;sans-serif"/>
          <w:b w:val="false"/>
          <w:color w:val="000000"/>
          <w:sz w:val="22"/>
        </w:rPr>
        <w:t>means, for any day (a “</w:t>
      </w:r>
      <w:r>
        <w:rPr>
          <w:rFonts w:ascii="Times New Roman;sans-serif" w:hAnsi="Times New Roman;sans-serif"/>
          <w:b w:val="false"/>
          <w:color w:val="000000"/>
          <w:sz w:val="22"/>
          <w:u w:val="single"/>
        </w:rPr>
        <w:t>SOFR Rate Day</w:t>
      </w:r>
      <w:r>
        <w:rPr>
          <w:color w:val="000000"/>
        </w:rPr>
        <w:t>”</w:t>
      </w:r>
      <w:r>
        <w:rPr>
          <w:rFonts w:ascii="Times New Roman;sans-serif" w:hAnsi="Times New Roman;sans-serif"/>
          <w:b w:val="false"/>
          <w:color w:val="000000"/>
          <w:sz w:val="22"/>
        </w:rPr>
        <w:t>), a rate per annum equal to SOFR for the day (such day a “</w:t>
      </w:r>
      <w:r>
        <w:rPr>
          <w:rFonts w:ascii="Times New Roman;sans-serif" w:hAnsi="Times New Roman;sans-serif"/>
          <w:b w:val="false"/>
          <w:color w:val="000000"/>
          <w:sz w:val="22"/>
          <w:u w:val="single"/>
        </w:rPr>
        <w:t>SOFR Determination Date</w:t>
      </w:r>
      <w:r>
        <w:rPr>
          <w:color w:val="000000"/>
        </w:rPr>
        <w:t>”</w:t>
      </w:r>
      <w:r>
        <w:rPr>
          <w:rFonts w:ascii="Times New Roman;sans-serif" w:hAnsi="Times New Roman;sans-serif"/>
          <w:b w:val="false"/>
          <w:color w:val="000000"/>
          <w:sz w:val="22"/>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means any event or condition which constitutes an Event of Default or which upon notice, lapse of time or both would, unless cured or waived, become an Event of Default.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Default Right</w:t>
      </w:r>
      <w:r>
        <w:rPr>
          <w:color w:val="000000"/>
        </w:rPr>
        <w:t xml:space="preserve">” </w:t>
      </w:r>
      <w:r>
        <w:rPr>
          <w:rFonts w:ascii="Times New Roman;sans-serif" w:hAnsi="Times New Roman;sans-serif"/>
          <w:b w:val="false"/>
          <w:color w:val="000000"/>
          <w:sz w:val="22"/>
        </w:rPr>
        <w:t>has the meaning assigned to that term in, and shall be interpreted in accordance with, 12 C.F.R. §§ 252.81, 47.2 or 382.1, as applicable.</w:t>
      </w:r>
    </w:p>
    <w:p>
      <w:pPr>
        <w:pStyle w:val="TextBody"/>
        <w:bidi w:val="0"/>
        <w:spacing w:before="0" w:after="24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Defaulting Lender</w:t>
      </w:r>
      <w:r>
        <w:rPr>
          <w:color w:val="000000"/>
        </w:rPr>
        <w:t xml:space="preserve">” </w:t>
      </w:r>
      <w:r>
        <w:rPr>
          <w:rFonts w:ascii="Times New Roman;sans-serif" w:hAnsi="Times New Roman;sans-serif"/>
          <w:b w:val="false"/>
          <w:color w:val="000000"/>
          <w:sz w:val="22"/>
        </w:rPr>
        <w:t xml:space="preserve">means, subject to the last sentence of Section 2.20,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Lender shall cease to be a Defaulting Lender pursuant to this clause (c) upon such Credit Party’s receipt of such certification in form and substance reasonably satisfactory to it and the Administrative Agent, or (d) has become the subject of (A) a Bankruptcy Event or (B) a Bail-In Action.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Disclosed Matters</w:t>
      </w:r>
      <w:r>
        <w:rPr>
          <w:color w:val="000000"/>
        </w:rPr>
        <w:t xml:space="preserve">” </w:t>
      </w:r>
      <w:r>
        <w:rPr>
          <w:rFonts w:ascii="Times New Roman;sans-serif" w:hAnsi="Times New Roman;sans-serif"/>
          <w:b w:val="false"/>
          <w:color w:val="000000"/>
          <w:sz w:val="22"/>
        </w:rPr>
        <w:t xml:space="preserve">means the actions, suits and proceedings and the environmental matters disclosed in </w:t>
      </w:r>
      <w:r>
        <w:rPr>
          <w:rFonts w:ascii="Times New Roman;sans-serif" w:hAnsi="Times New Roman;sans-serif"/>
          <w:b w:val="false"/>
          <w:color w:val="000000"/>
          <w:sz w:val="22"/>
          <w:u w:val="single"/>
        </w:rPr>
        <w:t>Schedule 3.06</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Dollar Amount</w:t>
      </w:r>
      <w:r>
        <w:rPr>
          <w:color w:val="000000"/>
        </w:rPr>
        <w:t xml:space="preserve">” </w:t>
      </w:r>
      <w:r>
        <w:rPr>
          <w:rFonts w:ascii="Times New Roman;sans-serif" w:hAnsi="Times New Roman;sans-serif"/>
          <w:b w:val="false"/>
          <w:color w:val="000000"/>
          <w:sz w:val="22"/>
        </w:rPr>
        <w:t>of any currency at any date means (i) the amount of such currency if such currency is Dollars or (ii) the equivalent amount thereof in Dollars if such currency is a Foreign Currency, calculated on the basis of the Exchange Rate for such currency, on or as of the most recent Revaluation Date provided for in Section 1.10.</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Dollars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refers to lawful money of the United States of America.</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Domestic Subsidiary</w:t>
      </w:r>
      <w:r>
        <w:rPr>
          <w:color w:val="000000"/>
        </w:rPr>
        <w:t xml:space="preserve">” </w:t>
      </w:r>
      <w:r>
        <w:rPr>
          <w:rFonts w:ascii="Times New Roman;sans-serif" w:hAnsi="Times New Roman;sans-serif"/>
          <w:b w:val="false"/>
          <w:color w:val="000000"/>
          <w:sz w:val="22"/>
        </w:rPr>
        <w:t>means any Subsidiary that is incorporated or organized under the laws of the United States of America, any state thereof or in the District of Columbia.</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Earn-Out</w:t>
      </w:r>
      <w:r>
        <w:rPr>
          <w:color w:val="000000"/>
        </w:rPr>
        <w:t xml:space="preserve">” </w:t>
      </w:r>
      <w:r>
        <w:rPr>
          <w:rFonts w:ascii="Times New Roman;sans-serif" w:hAnsi="Times New Roman;sans-serif"/>
          <w:b w:val="false"/>
          <w:color w:val="000000"/>
          <w:sz w:val="22"/>
        </w:rPr>
        <w:t>means those certain obligations of the Borrower or any Subsidiary arising in connection with any acquisition of assets or businesses to the seller of such assets or businesses, the payment of which is dependent on the future earnings or performance of such assets or businesses, and in each case as determined in accordance with GAAP.</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ECP</w:t>
      </w:r>
      <w:r>
        <w:rPr>
          <w:color w:val="000000"/>
        </w:rPr>
        <w:t xml:space="preserve">” </w:t>
      </w:r>
      <w:r>
        <w:rPr>
          <w:rFonts w:ascii="Times New Roman;sans-serif" w:hAnsi="Times New Roman;sans-serif"/>
          <w:b w:val="false"/>
          <w:color w:val="000000"/>
          <w:sz w:val="22"/>
        </w:rPr>
        <w:t>means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Effective Date</w:t>
      </w:r>
      <w:r>
        <w:rPr>
          <w:color w:val="000000"/>
        </w:rPr>
        <w:t xml:space="preserve">” </w:t>
      </w:r>
      <w:r>
        <w:rPr>
          <w:rFonts w:ascii="Times New Roman;sans-serif" w:hAnsi="Times New Roman;sans-serif"/>
          <w:b w:val="false"/>
          <w:color w:val="000000"/>
          <w:sz w:val="22"/>
        </w:rPr>
        <w:t>means the date on which the conditions specified in Section 4.01 are satisfied (or waived in accordance with Section 9.02).</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Electronic Signature</w:t>
      </w:r>
      <w:r>
        <w:rPr>
          <w:color w:val="000000"/>
        </w:rPr>
        <w:t xml:space="preserve">” </w:t>
      </w:r>
      <w:r>
        <w:rPr>
          <w:rFonts w:ascii="Times New Roman;sans-serif" w:hAnsi="Times New Roman;sans-serif"/>
          <w:b w:val="false"/>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Environmental Laws</w:t>
      </w:r>
      <w:r>
        <w:rPr>
          <w:color w:val="000000"/>
        </w:rPr>
        <w:t xml:space="preserve">” </w:t>
      </w:r>
      <w:r>
        <w:rPr>
          <w:rFonts w:ascii="Times New Roman;sans-serif" w:hAnsi="Times New Roman;sans-serif"/>
          <w:b w:val="false"/>
          <w:color w:val="000000"/>
          <w:sz w:val="22"/>
        </w:rPr>
        <w:t>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health and safety matters.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Environmental Liability</w:t>
      </w:r>
      <w:r>
        <w:rPr>
          <w:color w:val="000000"/>
        </w:rPr>
        <w:t xml:space="preserve">” </w:t>
      </w:r>
      <w:r>
        <w:rPr>
          <w:rFonts w:ascii="Times New Roman;sans-serif" w:hAnsi="Times New Roman;sans-serif"/>
          <w:b w:val="false"/>
          <w:color w:val="000000"/>
          <w:sz w:val="22"/>
        </w:rPr>
        <w:t>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Equity Interests</w:t>
      </w:r>
      <w:r>
        <w:rPr>
          <w:color w:val="000000"/>
        </w:rPr>
        <w:t xml:space="preserve">” </w:t>
      </w:r>
      <w:r>
        <w:rPr>
          <w:rFonts w:ascii="Times New Roman;sans-serif" w:hAnsi="Times New Roman;sans-serif"/>
          <w:b w:val="false"/>
          <w:color w:val="000000"/>
          <w:sz w:val="22"/>
        </w:rPr>
        <w:t>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Equivalent Amount</w:t>
      </w:r>
      <w:r>
        <w:rPr>
          <w:color w:val="000000"/>
        </w:rPr>
        <w:t xml:space="preserve">” </w:t>
      </w:r>
      <w:r>
        <w:rPr>
          <w:rFonts w:ascii="Times New Roman;sans-serif" w:hAnsi="Times New Roman;sans-serif"/>
          <w:b w:val="false"/>
          <w:color w:val="000000"/>
          <w:sz w:val="22"/>
        </w:rPr>
        <w:t>of any currency with respect to any amount of Dollars at any date means the equivalent in such currency of such amount of Dollars, calculated on the basis of the Exchange Rate for such other currency at 11:00 a.m., London time, on the date on or as of which such amount is to be determined.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as amended from time to time, and the rules and regulations promulgated thereunder.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means any trade or business (whether or not incorporated) that, together with the Borrower, is treated as a single employer under Section 414(b) or (c) of the Code or, solely for purposes of Title IV of ERISA, Section 4001 of ERISA or, solely for purposes of Section 302 of ERISA and Section 412 of the Code, is treated as a single employer under Section 414 of the Code.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ERISA Event</w:t>
      </w:r>
      <w:r>
        <w:rPr>
          <w:color w:val="000000"/>
        </w:rPr>
        <w:t xml:space="preserve">” </w:t>
      </w:r>
      <w:r>
        <w:rPr>
          <w:rFonts w:ascii="Times New Roman;sans-serif" w:hAnsi="Times New Roman;sans-serif"/>
          <w:b w:val="false"/>
          <w:color w:val="000000"/>
          <w:sz w:val="22"/>
        </w:rPr>
        <w:t>means (a) any “reportable event”, as defined in Section 4043 of ERISA or the regulations issued thereunder with respect to a Plan (other than an event for which the 30-day notice period is waived by such regulations); (b) the failure to satisfy the “minimum funding standard” (as defined in Section 412 of the Code or Section 302 of ERISA) with respect to any Plan,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to which the Borrower or any of its ERISA Affiliates contributes or is required to contribute or otherwise has any outstanding liability is, or is expected to be, insolvent, within the meaning of Title IV of ERISA.</w:t>
      </w:r>
    </w:p>
    <w:p>
      <w:pPr>
        <w:pStyle w:val="TextBody"/>
        <w:bidi w:val="0"/>
        <w:spacing w:before="0" w:after="24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EURIBOR Rate</w:t>
      </w:r>
      <w:r>
        <w:rPr>
          <w:color w:val="000000"/>
        </w:rPr>
        <w:t xml:space="preserve">” </w:t>
      </w:r>
      <w:r>
        <w:rPr>
          <w:rFonts w:ascii="Times New Roman;sans-serif" w:hAnsi="Times New Roman;sans-serif"/>
          <w:b w:val="false"/>
          <w:color w:val="000000"/>
          <w:sz w:val="22"/>
        </w:rPr>
        <w:t>means, with respect to any Term Benchmark Borrowing denominated in Euros and for any Interest Period, the EURIBOR Screen Rate two (2) TARGET Days prior to the commencement of such Interest Period.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EURIBOR Screen Rate</w:t>
      </w:r>
      <w:r>
        <w:rPr>
          <w:color w:val="000000"/>
        </w:rPr>
        <w:t xml:space="preserve">” </w:t>
      </w:r>
      <w:r>
        <w:rPr>
          <w:rFonts w:ascii="Times New Roman;sans-serif" w:hAnsi="Times New Roman;sans-serif"/>
          <w:b w:val="false"/>
          <w:color w:val="000000"/>
          <w:sz w:val="22"/>
        </w:rPr>
        <w:t xml:space="preserve">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(2) TARGET Days prior to the commencement of such Interest Period. If such page or service ceases to be available, the Administrative Agent may specify another page or service displaying the relevant rate after consultation with the Borrower. </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euro</w:t>
      </w:r>
      <w:r>
        <w:rPr>
          <w:color w:val="000000"/>
        </w:rPr>
        <w:t xml:space="preserve">” </w:t>
      </w:r>
      <w:r>
        <w:rPr>
          <w:rFonts w:ascii="Times New Roman;sans-serif" w:hAnsi="Times New Roman;sans-serif"/>
          <w:b w:val="false"/>
          <w:color w:val="000000"/>
          <w:sz w:val="22"/>
        </w:rPr>
        <w:t>and/or “</w:t>
      </w:r>
      <w:r>
        <w:rPr>
          <w:color w:val="000000"/>
          <w:u w:val="single"/>
        </w:rPr>
        <w:t>€</w:t>
      </w:r>
      <w:r>
        <w:rPr>
          <w:color w:val="000000"/>
        </w:rPr>
        <w:t xml:space="preserve">” </w:t>
      </w:r>
      <w:r>
        <w:rPr>
          <w:rFonts w:ascii="Times New Roman;sans-serif" w:hAnsi="Times New Roman;sans-serif"/>
          <w:b w:val="false"/>
          <w:color w:val="000000"/>
          <w:sz w:val="22"/>
        </w:rPr>
        <w:t>means the single currency of the Participating Member States.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has the meaning assigned to such term in Section 7.01.</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Exchange Rate</w:t>
      </w:r>
      <w:r>
        <w:rPr>
          <w:color w:val="000000"/>
        </w:rPr>
        <w:t xml:space="preserve">” </w:t>
      </w:r>
      <w:r>
        <w:rPr>
          <w:rFonts w:ascii="Times New Roman;sans-serif" w:hAnsi="Times New Roman;sans-serif"/>
          <w:b w:val="false"/>
          <w:color w:val="000000"/>
          <w:sz w:val="22"/>
        </w:rPr>
        <w:t>means, on any day, (a) with respect to any Foreign Currency, the rate of exchange for the purchase of Dollars with such Foreign Currency last provided (either by publication or otherwise provided to the Administrative Agent) by the applicable Thomson Reuters Corp., Refinitiv, or any successor thereto (“</w:t>
      </w:r>
      <w:r>
        <w:rPr>
          <w:rFonts w:ascii="Times New Roman;sans-serif" w:hAnsi="Times New Roman;sans-serif"/>
          <w:b w:val="false"/>
          <w:color w:val="000000"/>
          <w:sz w:val="22"/>
          <w:u w:val="single"/>
        </w:rPr>
        <w:t>Reuters</w:t>
      </w:r>
      <w:r>
        <w:rPr>
          <w:color w:val="000000"/>
        </w:rPr>
        <w:t>”</w:t>
      </w:r>
      <w:r>
        <w:rPr>
          <w:rFonts w:ascii="Times New Roman;sans-serif" w:hAnsi="Times New Roman;sans-serif"/>
          <w:b w:val="false"/>
          <w:color w:val="000000"/>
          <w:sz w:val="22"/>
        </w:rPr>
        <w:t>) source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(b) if such amount is denominated in any other currency (other than Dollars), the equivalent of such amount in Dollars as determined by the Administrative Agent using any method of determination it deems appropriate in its sole discretion.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Excluded Assets</w:t>
      </w:r>
      <w:r>
        <w:rPr>
          <w:color w:val="000000"/>
        </w:rPr>
        <w:t xml:space="preserve">” </w:t>
      </w:r>
      <w:r>
        <w:rPr>
          <w:rFonts w:ascii="Times New Roman;sans-serif" w:hAnsi="Times New Roman;sans-serif"/>
          <w:b w:val="false"/>
          <w:color w:val="000000"/>
          <w:sz w:val="22"/>
        </w:rPr>
        <w:t>means (i) any property (x) subject to any “certificate of title” (as defined in the UCC), (y) subject to any lease or other right-of-use agreement in favor of a Loan Party or constituting a leasehold or similar interest or (z) constituting any real property or interest therein or any “fixtures” (as defined in the UCC) related thereto and (ii) any Equity Interest in a Permitted Joint Venture.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Excluded Swap Obligation</w:t>
      </w:r>
      <w:r>
        <w:rPr>
          <w:color w:val="000000"/>
        </w:rPr>
        <w:t xml:space="preserve">” </w:t>
      </w:r>
      <w:r>
        <w:rPr>
          <w:rFonts w:ascii="Times New Roman;sans-serif" w:hAnsi="Times New Roman;sans-serif"/>
          <w:b w:val="false"/>
          <w:color w:val="000000"/>
          <w:sz w:val="22"/>
        </w:rPr>
        <w:t>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pStyle w:val="TextBody"/>
        <w:bidi w:val="0"/>
        <w:spacing w:before="0" w:after="24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means, with respect to the Administrative Agent, any Lender, any Issuing Bank or any other recipient of any payment to be made by or on account of any obligation of the Borrower hereunder, (a) Taxes imposed on (or measured by) its net income (however denominated) or franchise Taxes by the United States of America, or by the jurisdiction (or any political subdivision or taxing authority thereof or therein) under the laws of which such recipient is organized (or in which such recipient is resident for income tax purposes) or in which its principal office is located or, in the case of any Lender, in which its applicable lending office is located, (b) any branch profits Taxes or backup withholding Taxes imposed by the United States of America or any similar Tax imposed by any other jurisdiction in which the Borrower is located, (c) in the case of a Lender (other than an assignee pursuant to a request by the Borrower under Section 2.19(b)), any withholding Tax that is (i) imposed on amounts payable to such Lender at the time such Lender becomes a party to this Agreement (or designates a new lending office), except to the extent that such Lender (or its assignor, if any) was entitled, immediately prior to the designation of a new lending office (or such assignment), to receive additional amounts from the Borrower with respect to such withholding Tax pursuant to Section 2.17(a), or (ii) is attributable to such Lender’s failure to comply with Sections 2.17(e) or 2.17(f) and (d) any U.S. federal withholding Taxes imposed under FATCA.</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has the meaning assigned to such term in the recitals hereto.</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Extended Letter of Credit</w:t>
      </w:r>
      <w:r>
        <w:rPr>
          <w:color w:val="000000"/>
        </w:rPr>
        <w:t xml:space="preserve">” </w:t>
      </w:r>
      <w:r>
        <w:rPr>
          <w:rFonts w:ascii="Times New Roman;sans-serif" w:hAnsi="Times New Roman;sans-serif"/>
          <w:b w:val="false"/>
          <w:color w:val="000000"/>
          <w:sz w:val="22"/>
        </w:rPr>
        <w:t>has the meaning assigned to such term in Section 2.06(c).</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Existing Liens</w:t>
      </w:r>
      <w:r>
        <w:rPr>
          <w:color w:val="000000"/>
        </w:rPr>
        <w:t xml:space="preserve">” </w:t>
      </w:r>
      <w:r>
        <w:rPr>
          <w:rFonts w:ascii="Times New Roman;sans-serif" w:hAnsi="Times New Roman;sans-serif"/>
          <w:b w:val="false"/>
          <w:color w:val="000000"/>
          <w:sz w:val="22"/>
        </w:rPr>
        <w:t>has the meaning assigned to it in Section 9.02(b).</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administrative guidance thereunder or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Federal Funds Effective Rate</w:t>
      </w:r>
      <w:r>
        <w:rPr>
          <w:color w:val="000000"/>
        </w:rPr>
        <w:t xml:space="preserve">” </w:t>
      </w:r>
      <w:r>
        <w:rPr>
          <w:rFonts w:ascii="Times New Roman;sans-serif" w:hAnsi="Times New Roman;sans-serif"/>
          <w:b w:val="false"/>
          <w:color w:val="000000"/>
          <w:sz w:val="22"/>
        </w:rPr>
        <w:t xml:space="preserve">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Federal Funds Effective Rate as so determined would be less than zero, such rate shall be deemed to be zero for purposes of this Agreement.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Federal Reserve Board</w:t>
      </w:r>
      <w:r>
        <w:rPr>
          <w:color w:val="000000"/>
        </w:rPr>
        <w:t xml:space="preserve">” </w:t>
      </w:r>
      <w:r>
        <w:rPr>
          <w:rFonts w:ascii="Times New Roman;sans-serif" w:hAnsi="Times New Roman;sans-serif"/>
          <w:b w:val="false"/>
          <w:color w:val="000000"/>
          <w:sz w:val="22"/>
        </w:rPr>
        <w:t>means the Board of Governors of the Federal Reserve System of the United States of America.</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Finance Lease Obligations</w:t>
      </w:r>
      <w:r>
        <w:rPr>
          <w:color w:val="000000"/>
        </w:rPr>
        <w:t xml:space="preserve">” </w:t>
      </w:r>
      <w:r>
        <w:rPr>
          <w:rFonts w:ascii="Times New Roman;sans-serif" w:hAnsi="Times New Roman;sans-serif"/>
          <w:b w:val="false"/>
          <w:color w:val="000000"/>
          <w:sz w:val="22"/>
        </w:rPr>
        <w:t>of any Person as of the date of determination, means the obligations of such Person to pay rent or other amounts under any lease of (or other arrangement conveying the right to use) real or personal property, or a combination thereof, which obligations are required to be classified and accounted for as financing leases on a balance sheet of such Person under GAAP, and the amount of such obligations shall be the capitalized amount thereof determined in accordance with GAAP.</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Financial Officer</w:t>
      </w:r>
      <w:r>
        <w:rPr>
          <w:color w:val="000000"/>
        </w:rPr>
        <w:t xml:space="preserve">” </w:t>
      </w:r>
      <w:r>
        <w:rPr>
          <w:rFonts w:ascii="Times New Roman;sans-serif" w:hAnsi="Times New Roman;sans-serif"/>
          <w:b w:val="false"/>
          <w:color w:val="000000"/>
          <w:sz w:val="22"/>
        </w:rPr>
        <w:t>means the chief financial officer, principal accounting officer, treasurer or controller of the Borrower.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First Tier Foreign Subsidiary</w:t>
      </w:r>
      <w:r>
        <w:rPr>
          <w:color w:val="000000"/>
        </w:rPr>
        <w:t xml:space="preserve">” </w:t>
      </w:r>
      <w:r>
        <w:rPr>
          <w:rFonts w:ascii="Times New Roman;sans-serif" w:hAnsi="Times New Roman;sans-serif"/>
          <w:b w:val="false"/>
          <w:color w:val="000000"/>
          <w:sz w:val="22"/>
        </w:rPr>
        <w:t>means each Foreign Subsidiary with respect to which any one or more of the Borrower and its Domestic Subsidiaries (other than Domestic Subsidiaries that are Foreign Subsidiary Holdcos) directly owns or controls more than 50% of such Foreign Subsidiary’s issued and outstanding Equity Interests.</w:t>
      </w:r>
    </w:p>
    <w:p>
      <w:pPr>
        <w:pStyle w:val="TextBody"/>
        <w:bidi w:val="0"/>
        <w:spacing w:before="0" w:after="24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First Tier Foreign Subsidiary Holdco</w:t>
      </w:r>
      <w:r>
        <w:rPr>
          <w:color w:val="000000"/>
        </w:rPr>
        <w:t xml:space="preserve">” </w:t>
      </w:r>
      <w:r>
        <w:rPr>
          <w:rFonts w:ascii="Times New Roman;sans-serif" w:hAnsi="Times New Roman;sans-serif"/>
          <w:b w:val="false"/>
          <w:color w:val="000000"/>
          <w:sz w:val="22"/>
        </w:rPr>
        <w:t>means each Foreign Subsidiary Holdco with respect to which any one or more of the Borrower and its Domestic Subsidiaries (other than Domestic Subsidiaries that are Foreign Subsidiary Holdcos) directly owns or controls more than 50% of such Foreign Subsidiary Holdco’s issued and outstanding Equity Interests.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Floor</w:t>
      </w:r>
      <w:r>
        <w:rPr>
          <w:color w:val="000000"/>
        </w:rPr>
        <w:t xml:space="preserve">” </w:t>
      </w:r>
      <w:r>
        <w:rPr>
          <w:rFonts w:ascii="Times New Roman;sans-serif" w:hAnsi="Times New Roman;sans-serif"/>
          <w:b w:val="false"/>
          <w:color w:val="000000"/>
          <w:sz w:val="22"/>
        </w:rPr>
        <w:t>means the benchmark rate floor, if any, provided in this Agreement initially (as of the execution of this Agreement, the modification, amendment or renewal of this Agreement or otherwise) with respect to the Adjusted Term SOFR Rate, Adjusted EURIBOR Rate, Adjusted CDOR Rate, each Adjusted Daily Simple RFR, or the Central Bank Rate, as applicable. For the avoidance of doubt the initial Floor for each of Adjusted Term SOFR Rate, Adjusted EURIBOR Rate, Adjusted CDOR Rate, each Adjusted Daily Simple RFR or the Central Bank Rate shall be 0.0%.</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Foreign Currencies</w:t>
      </w:r>
      <w:r>
        <w:rPr>
          <w:color w:val="000000"/>
        </w:rPr>
        <w:t xml:space="preserve">” </w:t>
      </w:r>
      <w:r>
        <w:rPr>
          <w:rFonts w:ascii="Times New Roman;sans-serif" w:hAnsi="Times New Roman;sans-serif"/>
          <w:b w:val="false"/>
          <w:color w:val="000000"/>
          <w:sz w:val="22"/>
        </w:rPr>
        <w:t>means Agreed Currencies other than Dollars.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Foreign Currency Exposure</w:t>
      </w:r>
      <w:r>
        <w:rPr>
          <w:color w:val="000000"/>
        </w:rPr>
        <w:t xml:space="preserve">” </w:t>
      </w:r>
      <w:r>
        <w:rPr>
          <w:rFonts w:ascii="Times New Roman;sans-serif" w:hAnsi="Times New Roman;sans-serif"/>
          <w:b w:val="false"/>
          <w:color w:val="000000"/>
          <w:sz w:val="22"/>
        </w:rPr>
        <w:t>has the meaning assigned to such term in Section 2.11(c).</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Foreign Currency LC Exposure</w:t>
      </w:r>
      <w:r>
        <w:rPr>
          <w:color w:val="000000"/>
        </w:rPr>
        <w:t xml:space="preserve">” </w:t>
      </w:r>
      <w:r>
        <w:rPr>
          <w:rFonts w:ascii="Times New Roman;sans-serif" w:hAnsi="Times New Roman;sans-serif"/>
          <w:b w:val="false"/>
          <w:color w:val="000000"/>
          <w:sz w:val="22"/>
        </w:rPr>
        <w:t>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Foreign Currency Letter of Credit</w:t>
      </w:r>
      <w:r>
        <w:rPr>
          <w:color w:val="000000"/>
        </w:rPr>
        <w:t xml:space="preserve">” </w:t>
      </w:r>
      <w:r>
        <w:rPr>
          <w:rFonts w:ascii="Times New Roman;sans-serif" w:hAnsi="Times New Roman;sans-serif"/>
          <w:b w:val="false"/>
          <w:color w:val="000000"/>
          <w:sz w:val="22"/>
        </w:rPr>
        <w:t>means a Letter of Credit denominated in a Foreign Currency.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Foreign Currency Sublimit</w:t>
      </w:r>
      <w:r>
        <w:rPr>
          <w:color w:val="000000"/>
        </w:rPr>
        <w:t xml:space="preserve">” </w:t>
      </w:r>
      <w:r>
        <w:rPr>
          <w:rFonts w:ascii="Times New Roman;sans-serif" w:hAnsi="Times New Roman;sans-serif"/>
          <w:b w:val="false"/>
          <w:color w:val="000000"/>
          <w:sz w:val="22"/>
        </w:rPr>
        <w:t>means an amount equal to the lesser of (a) $150,000,000 and (b) the total amount of the Commitments. The Foreign Currency Sublimit is part of, and not in addition to, the Commitments hereunder.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Foreign Lender</w:t>
      </w:r>
      <w:r>
        <w:rPr>
          <w:color w:val="000000"/>
        </w:rPr>
        <w:t xml:space="preserve">” </w:t>
      </w:r>
      <w:r>
        <w:rPr>
          <w:rFonts w:ascii="Times New Roman;sans-serif" w:hAnsi="Times New Roman;sans-serif"/>
          <w:b w:val="false"/>
          <w:color w:val="000000"/>
          <w:sz w:val="22"/>
        </w:rPr>
        <w:t>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Foreign Payment Office</w:t>
      </w:r>
      <w:r>
        <w:rPr>
          <w:color w:val="000000"/>
        </w:rPr>
        <w:t xml:space="preserve">” </w:t>
      </w:r>
      <w:r>
        <w:rPr>
          <w:rFonts w:ascii="Times New Roman;sans-serif" w:hAnsi="Times New Roman;sans-serif"/>
          <w:b w:val="false"/>
          <w:color w:val="000000"/>
          <w:sz w:val="22"/>
        </w:rPr>
        <w:t>of the Administrative Agent means, for each Foreign Currency, the office, branch, affiliate or correspondent bank of the Administrative Agent for such currency as specified from time to time by the Administrative Agent to the Borrower and each Lender.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means any Subsidiary which is not a Domestic Subsidiary.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Foreign Subsidiary Holdco</w:t>
      </w:r>
      <w:r>
        <w:rPr>
          <w:color w:val="000000"/>
        </w:rPr>
        <w:t xml:space="preserve">” </w:t>
      </w:r>
      <w:r>
        <w:rPr>
          <w:rFonts w:ascii="Times New Roman;sans-serif" w:hAnsi="Times New Roman;sans-serif"/>
          <w:b w:val="false"/>
          <w:color w:val="000000"/>
          <w:sz w:val="22"/>
        </w:rPr>
        <w:t xml:space="preserve">shall mean any Subsidiary of which all or substantially all of the assets consist of Equity Interests of one or more Foreign Subsidiaries and/or other Foreign Subsidiary Holdcos. </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Funding Account</w:t>
      </w:r>
      <w:r>
        <w:rPr>
          <w:color w:val="000000"/>
        </w:rPr>
        <w:t xml:space="preserve">” </w:t>
      </w:r>
      <w:r>
        <w:rPr>
          <w:rFonts w:ascii="Times New Roman;sans-serif" w:hAnsi="Times New Roman;sans-serif"/>
          <w:b w:val="false"/>
          <w:color w:val="000000"/>
          <w:sz w:val="22"/>
        </w:rPr>
        <w:t>means the deposit account of the Borrower to which the Administrative Agent is authorized by the Borrower to transfer the proceeds of any Borrowings requested or authorized pursuant to this Agreement.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means generally accepted accounting principles in the United States of America.</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0" w:after="24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Guarantee</w:t>
      </w:r>
      <w:r>
        <w:rPr>
          <w:color w:val="000000"/>
        </w:rPr>
        <w:t xml:space="preserve">” </w:t>
      </w:r>
      <w:r>
        <w:rPr>
          <w:rFonts w:ascii="Times New Roman;sans-serif" w:hAnsi="Times New Roman;sans-serif"/>
          <w:b w:val="false"/>
          <w:color w:val="000000"/>
          <w:sz w:val="22"/>
        </w:rPr>
        <w:t>of or by any Person (the “</w:t>
      </w:r>
      <w:r>
        <w:rPr>
          <w:rFonts w:ascii="Times New Roman;sans-serif" w:hAnsi="Times New Roman;sans-serif"/>
          <w:b w:val="false"/>
          <w:color w:val="000000"/>
          <w:sz w:val="22"/>
          <w:u w:val="single"/>
        </w:rPr>
        <w:t>guarantor</w:t>
      </w:r>
      <w:r>
        <w:rPr>
          <w:color w:val="000000"/>
        </w:rPr>
        <w:t>”</w:t>
      </w:r>
      <w:r>
        <w:rPr>
          <w:rFonts w:ascii="Times New Roman;sans-serif" w:hAnsi="Times New Roman;sans-serif"/>
          <w:b w:val="false"/>
          <w:color w:val="000000"/>
          <w:sz w:val="22"/>
        </w:rPr>
        <w:t>) means any obligation, contingent or otherwise, of the guarantor guaranteeing or having the economic effect of guaranteeing any Indebtedness or other obligation of any other Person (the “</w:t>
      </w:r>
      <w:r>
        <w:rPr>
          <w:rFonts w:ascii="Times New Roman;sans-serif" w:hAnsi="Times New Roman;sans-serif"/>
          <w:b w:val="false"/>
          <w:color w:val="000000"/>
          <w:sz w:val="22"/>
          <w:u w:val="single"/>
        </w:rPr>
        <w:t>primary obligor</w:t>
      </w:r>
      <w:r>
        <w:rPr>
          <w:color w:val="000000"/>
        </w:rPr>
        <w:t>”</w:t>
      </w:r>
      <w:r>
        <w:rPr>
          <w:rFonts w:ascii="Times New Roman;sans-serif" w:hAnsi="Times New Roman;sans-serif"/>
          <w:b w:val="false"/>
          <w:color w:val="000000"/>
          <w:sz w:val="22"/>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term Guarantee shall not include endorsements for collection or deposit in the ordinary course of business.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as hazardous or toxic or as a pollutant or contaminant pursuant to any Environmental Law.</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Holders of Secured Obligations</w:t>
      </w:r>
      <w:r>
        <w:rPr>
          <w:color w:val="000000"/>
        </w:rPr>
        <w:t xml:space="preserve">” </w:t>
      </w:r>
      <w:r>
        <w:rPr>
          <w:rFonts w:ascii="Times New Roman;sans-serif" w:hAnsi="Times New Roman;sans-serif"/>
          <w:b w:val="false"/>
          <w:color w:val="000000"/>
          <w:sz w:val="22"/>
        </w:rPr>
        <w:t>means the holders of the Secured Obligations from time to time and includes (i) each Lender and each Issuing Bank in respect of its Loans and LC Exposure respectively, (ii) the Administrative Agent, the Issuing Banks and the Lenders in respect of all other present and future obligations and liabilities of the Borrower, each Subsidiary and each other Loan Party of every type and description arising under or in connection with the Credit Agreement or any other Loan Document, (iii) each Lender and Affiliate of such Lender in respect of Swap Agreements and Banking Services Agreements entered into with such Person by the Borrower or any other Loan Party, (iv) each indemnified party under Section 9.03 (including, for the avoidance of doubt, each Indemnitee and Lender-Related Person) in respect of the obligations and liabilities of the Borrower to such Person hereunder and under the other Loan Documents, and (v) their respective successors and (in the case of a Lender, permitted) transferees and assigns.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Hostile Acquisition</w:t>
      </w:r>
      <w:r>
        <w:rPr>
          <w:color w:val="000000"/>
        </w:rPr>
        <w:t xml:space="preserve">” </w:t>
      </w:r>
      <w:r>
        <w:rPr>
          <w:rFonts w:ascii="Times New Roman;sans-serif" w:hAnsi="Times New Roman;sans-serif"/>
          <w:b w:val="false"/>
          <w:color w:val="000000"/>
          <w:sz w:val="22"/>
        </w:rPr>
        <w:t>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Increasing Lender</w:t>
      </w:r>
      <w:r>
        <w:rPr>
          <w:color w:val="000000"/>
        </w:rPr>
        <w:t xml:space="preserve">” </w:t>
      </w:r>
      <w:r>
        <w:rPr>
          <w:rFonts w:ascii="Times New Roman;sans-serif" w:hAnsi="Times New Roman;sans-serif"/>
          <w:b w:val="false"/>
          <w:color w:val="000000"/>
          <w:sz w:val="22"/>
        </w:rPr>
        <w:t>has the meaning assigned to such term in Section 2.04.</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Incremental Term Loan</w:t>
      </w:r>
      <w:r>
        <w:rPr>
          <w:color w:val="000000"/>
        </w:rPr>
        <w:t xml:space="preserve">” </w:t>
      </w:r>
      <w:r>
        <w:rPr>
          <w:rFonts w:ascii="Times New Roman;sans-serif" w:hAnsi="Times New Roman;sans-serif"/>
          <w:b w:val="false"/>
          <w:color w:val="000000"/>
          <w:sz w:val="22"/>
        </w:rPr>
        <w:t>has the meaning assigned to such term in Section 2.04.</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Incremental Term Loan Amendment</w:t>
      </w:r>
      <w:r>
        <w:rPr>
          <w:color w:val="000000"/>
        </w:rPr>
        <w:t xml:space="preserve">” </w:t>
      </w:r>
      <w:r>
        <w:rPr>
          <w:rFonts w:ascii="Times New Roman;sans-serif" w:hAnsi="Times New Roman;sans-serif"/>
          <w:b w:val="false"/>
          <w:color w:val="000000"/>
          <w:sz w:val="22"/>
        </w:rPr>
        <w:t>has the meaning assigned to such term in Section 2.04.</w:t>
      </w:r>
    </w:p>
    <w:p>
      <w:pPr>
        <w:pStyle w:val="TextBody"/>
        <w:bidi w:val="0"/>
        <w:spacing w:before="0" w:after="24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Finance Lease Obligations of such Person, (i) all obligations, contingent or otherwise, of such Person as an account party in respect of letters of credit, letters of guaranty and similar independent undertakings, (j) all obligations, contingent or otherwise, of such Person in respect of bankers’ acceptances, (k) the Net Mark-to-Market Exposure of such Person under each Swap Agreement to the extent entered into for investment or speculative purposes, (l) obligations under any liquidated Earn-Out and (m) all Attributable Receivables Indebtedness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means Taxes, other than Excluded Taxes, imposed on or with respect to any payment made by or on account of any obligation of the Borrower under any Loan Document.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Indemnitee</w:t>
      </w:r>
      <w:r>
        <w:rPr>
          <w:color w:val="000000"/>
        </w:rPr>
        <w:t xml:space="preserve">” </w:t>
      </w:r>
      <w:r>
        <w:rPr>
          <w:rFonts w:ascii="Times New Roman;sans-serif" w:hAnsi="Times New Roman;sans-serif"/>
          <w:b w:val="false"/>
          <w:color w:val="000000"/>
          <w:sz w:val="22"/>
        </w:rPr>
        <w:t>has the meaning assigned to it in Section 9.03(c).</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Ineligible Institution</w:t>
      </w:r>
      <w:r>
        <w:rPr>
          <w:color w:val="000000"/>
        </w:rPr>
        <w:t xml:space="preserve">” </w:t>
      </w:r>
      <w:r>
        <w:rPr>
          <w:rFonts w:ascii="Times New Roman;sans-serif" w:hAnsi="Times New Roman;sans-serif"/>
          <w:b w:val="false"/>
          <w:color w:val="000000"/>
          <w:sz w:val="22"/>
        </w:rPr>
        <w:t>has the meaning assigned to such term in Section 9.04(b).</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Information Memorandum</w:t>
      </w:r>
      <w:r>
        <w:rPr>
          <w:color w:val="000000"/>
        </w:rPr>
        <w:t xml:space="preserve">” </w:t>
      </w:r>
      <w:r>
        <w:rPr>
          <w:rFonts w:ascii="Times New Roman;sans-serif" w:hAnsi="Times New Roman;sans-serif"/>
          <w:b w:val="false"/>
          <w:color w:val="000000"/>
          <w:sz w:val="22"/>
        </w:rPr>
        <w:t>means the Confidential Information Memorandum dated May 2023 relating to the Borrower and the Transactions.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Interest Coverage Ratio</w:t>
      </w:r>
      <w:r>
        <w:rPr>
          <w:color w:val="000000"/>
        </w:rPr>
        <w:t xml:space="preserve">” </w:t>
      </w:r>
      <w:r>
        <w:rPr>
          <w:rFonts w:ascii="Times New Roman;sans-serif" w:hAnsi="Times New Roman;sans-serif"/>
          <w:b w:val="false"/>
          <w:color w:val="000000"/>
          <w:sz w:val="22"/>
        </w:rPr>
        <w:t>means, for any period, the ratio of (a) Consolidated EBITDA for such period to (b) Interest Expense for such period.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Interest Election Request</w:t>
      </w:r>
      <w:r>
        <w:rPr>
          <w:color w:val="000000"/>
        </w:rPr>
        <w:t xml:space="preserve">” </w:t>
      </w:r>
      <w:r>
        <w:rPr>
          <w:rFonts w:ascii="Times New Roman;sans-serif" w:hAnsi="Times New Roman;sans-serif"/>
          <w:b w:val="false"/>
          <w:color w:val="000000"/>
          <w:sz w:val="22"/>
        </w:rPr>
        <w:t>means a request by the Borrower to convert or continue a Borrowing in accordance with Section 2.08.</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Interest Expense</w:t>
      </w:r>
      <w:r>
        <w:rPr>
          <w:color w:val="000000"/>
        </w:rPr>
        <w:t xml:space="preserve">” </w:t>
      </w:r>
      <w:r>
        <w:rPr>
          <w:rFonts w:ascii="Times New Roman;sans-serif" w:hAnsi="Times New Roman;sans-serif"/>
          <w:b w:val="false"/>
          <w:color w:val="000000"/>
          <w:sz w:val="22"/>
        </w:rPr>
        <w:t>means, with reference to any period, total interest expense (including that attributable to Finance Lease Obligations but excluding, for so long as such items are reported as interest expense in the Borrower’s and its Subsidiaries’ financial statements, amortized costs, fees and expenses incurred in connection with the Loan Documents, including, without limitation, Letter of Credit fees)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the Borrower and its Subsidiaries for such period in accordance with GAAP.</w:t>
      </w:r>
    </w:p>
    <w:p>
      <w:pPr>
        <w:pStyle w:val="TextBody"/>
        <w:bidi w:val="0"/>
        <w:spacing w:before="0" w:after="24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means (a) with respect to any ABR Loan (other than a Swingline Loan), the day that is fifteen (15) calendar days following the last day of each March, June, September and December and the Maturity Date, (b)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(c)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and (d) with respect to any Swingline Loan, the day that such Loan is required to be repaid (including pursuant to the terms and requirements of any Loan Sweep Agreement) and the Maturity Date.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 xml:space="preserve">means, with respect to any Term Benchmark Borrowing, the period commencing on the date of such Borrowing and ending on the numerically corresponding day in the calendar month that is one, two (solely with respect to any Term Benchmark Borrowing denominated in Canadian Dollars), three or six (solely with respect to any Term Benchmark Borrowing denominated in an Agreed Currency other than Canadian Dollars) months thereafter (in each case, subject to the availability for the Benchmark applicable to the relevant Loan or Commitment for any Agreed Currency) as the Borrower may elect;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ISP</w:t>
      </w:r>
      <w:r>
        <w:rPr>
          <w:color w:val="000000"/>
        </w:rPr>
        <w:t xml:space="preserve">” </w:t>
      </w:r>
      <w:r>
        <w:rPr>
          <w:rFonts w:ascii="Times New Roman;sans-serif" w:hAnsi="Times New Roman;sans-serif"/>
          <w:b w:val="false"/>
          <w:color w:val="000000"/>
          <w:sz w:val="22"/>
        </w:rPr>
        <w:t>means, with respect to any Letter of Credit, the “International Standby Practices 1998” published by the Institute of International Banking Law &amp; Practice, Inc. (or such later version thereof as may be in effect at the time of issuance).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Issuing Bank</w:t>
      </w:r>
      <w:r>
        <w:rPr>
          <w:color w:val="000000"/>
        </w:rPr>
        <w:t xml:space="preserve">” </w:t>
      </w:r>
      <w:r>
        <w:rPr>
          <w:rFonts w:ascii="Times New Roman;sans-serif" w:hAnsi="Times New Roman;sans-serif"/>
          <w:b w:val="false"/>
          <w:color w:val="000000"/>
          <w:sz w:val="22"/>
        </w:rPr>
        <w:t>means each of (i) JPMorgan Chase Bank, N.A., (ii) Bank of America, N.A., (iii) Bank of Montreal, (iv) CIBC Bank USA, and (v) any other Lender that becomes an Issuing Bank pursuant to Sections 2.06(m), each in its capacity as an issuer of Letters of Credit hereunder, and its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LC Collateral Account</w:t>
      </w:r>
      <w:r>
        <w:rPr>
          <w:color w:val="000000"/>
        </w:rPr>
        <w:t xml:space="preserve">” </w:t>
      </w:r>
      <w:r>
        <w:rPr>
          <w:rFonts w:ascii="Times New Roman;sans-serif" w:hAnsi="Times New Roman;sans-serif"/>
          <w:b w:val="false"/>
          <w:color w:val="000000"/>
          <w:sz w:val="22"/>
        </w:rPr>
        <w:t>has the meaning assigned to such term in Section 2.06(j).</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LC Disbursement</w:t>
      </w:r>
      <w:r>
        <w:rPr>
          <w:color w:val="000000"/>
        </w:rPr>
        <w:t xml:space="preserve">” </w:t>
      </w:r>
      <w:r>
        <w:rPr>
          <w:rFonts w:ascii="Times New Roman;sans-serif" w:hAnsi="Times New Roman;sans-serif"/>
          <w:b w:val="false"/>
          <w:color w:val="000000"/>
          <w:sz w:val="22"/>
        </w:rPr>
        <w:t>means a payment made by an Issuing Bank pursuant to a Letter of Credit.</w:t>
      </w:r>
    </w:p>
    <w:p>
      <w:pPr>
        <w:pStyle w:val="TextBody"/>
        <w:bidi w:val="0"/>
        <w:spacing w:before="0" w:after="24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LC Exposure</w:t>
      </w:r>
      <w:r>
        <w:rPr>
          <w:color w:val="000000"/>
        </w:rPr>
        <w:t xml:space="preserve">” </w:t>
      </w:r>
      <w:r>
        <w:rPr>
          <w:rFonts w:ascii="Times New Roman;sans-serif" w:hAnsi="Times New Roman;sans-serif"/>
          <w:b w:val="false"/>
          <w:color w:val="000000"/>
          <w:sz w:val="22"/>
        </w:rPr>
        <w:t>means, at any time, the sum of (a) the aggregate undrawn Dollar Amount of all outstanding Letters of Credit at such time plus (b) the aggregate Dollar Amount of all LC Disbursements that have not yet been reimbursed by or on behalf of the Borrower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Lender-Related Person</w:t>
      </w:r>
      <w:r>
        <w:rPr>
          <w:color w:val="000000"/>
        </w:rPr>
        <w:t xml:space="preserve">” </w:t>
      </w:r>
      <w:r>
        <w:rPr>
          <w:rFonts w:ascii="Times New Roman;sans-serif" w:hAnsi="Times New Roman;sans-serif"/>
          <w:b w:val="false"/>
          <w:color w:val="000000"/>
          <w:sz w:val="22"/>
        </w:rPr>
        <w:t>has the meaning assigned to it in Section 9.03(b).</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 xml:space="preserve">means the Persons listed on the </w:t>
      </w:r>
      <w:r>
        <w:rPr>
          <w:rFonts w:ascii="Times New Roman;sans-serif" w:hAnsi="Times New Roman;sans-serif"/>
          <w:b w:val="false"/>
          <w:color w:val="000000"/>
          <w:sz w:val="22"/>
          <w:u w:val="single"/>
        </w:rPr>
        <w:t>Commitment Schedule</w:t>
      </w:r>
      <w:r>
        <w:rPr>
          <w:color w:val="000000"/>
        </w:rPr>
        <w:t xml:space="preserve"> </w:t>
      </w:r>
      <w:r>
        <w:rPr>
          <w:rFonts w:ascii="Times New Roman;sans-serif" w:hAnsi="Times New Roman;sans-serif"/>
          <w:b w:val="false"/>
          <w:color w:val="000000"/>
          <w:sz w:val="22"/>
        </w:rPr>
        <w:t>and any other Person that shall have become a party hereto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the Issuing Banks.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Letter of Credit</w:t>
      </w:r>
      <w:r>
        <w:rPr>
          <w:color w:val="000000"/>
        </w:rPr>
        <w:t xml:space="preserve">” </w:t>
      </w:r>
      <w:r>
        <w:rPr>
          <w:rFonts w:ascii="Times New Roman;sans-serif" w:hAnsi="Times New Roman;sans-serif"/>
          <w:b w:val="false"/>
          <w:color w:val="000000"/>
          <w:sz w:val="22"/>
        </w:rPr>
        <w:t>means any letter of credit issued pursuant to this Agreement.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Letter of Credit Agreement</w:t>
      </w:r>
      <w:r>
        <w:rPr>
          <w:color w:val="000000"/>
        </w:rPr>
        <w:t xml:space="preserve">” </w:t>
      </w:r>
      <w:r>
        <w:rPr>
          <w:rFonts w:ascii="Times New Roman;sans-serif" w:hAnsi="Times New Roman;sans-serif"/>
          <w:b w:val="false"/>
          <w:color w:val="000000"/>
          <w:sz w:val="22"/>
        </w:rPr>
        <w:t>has the meaning assigned to such term in Section 2.06(b).</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Letter of Credit Commitment</w:t>
      </w:r>
      <w:r>
        <w:rPr>
          <w:color w:val="000000"/>
        </w:rPr>
        <w:t xml:space="preserve">” </w:t>
      </w:r>
      <w:r>
        <w:rPr>
          <w:rFonts w:ascii="Times New Roman;sans-serif" w:hAnsi="Times New Roman;sans-serif"/>
          <w:b w:val="false"/>
          <w:color w:val="000000"/>
          <w:sz w:val="22"/>
        </w:rPr>
        <w:t xml:space="preserve">means, with respect to each Issuing Bank, the commitment of such Issuing Bank to issue Letters of Credit hereunder. The initial amount of each initial Issuing Bank’s Letter of Credit Commitment is set forth on the </w:t>
      </w:r>
      <w:r>
        <w:rPr>
          <w:rFonts w:ascii="Times New Roman;sans-serif" w:hAnsi="Times New Roman;sans-serif"/>
          <w:b w:val="false"/>
          <w:color w:val="000000"/>
          <w:sz w:val="22"/>
          <w:u w:val="single"/>
        </w:rPr>
        <w:t>Letter of Credit Commitment Schedule</w:t>
      </w:r>
      <w:r>
        <w:rPr>
          <w:rFonts w:ascii="Times New Roman;sans-serif" w:hAnsi="Times New Roman;sans-serif"/>
          <w:b w:val="false"/>
          <w:color w:val="000000"/>
          <w:sz w:val="22"/>
        </w:rPr>
        <w:t>, or if an Issuing Bank has entered into an Assignment and Assumption,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Letter of Credit Commitment Schedule</w:t>
      </w:r>
      <w:r>
        <w:rPr>
          <w:color w:val="000000"/>
        </w:rPr>
        <w:t xml:space="preserve">” </w:t>
      </w:r>
      <w:r>
        <w:rPr>
          <w:rFonts w:ascii="Times New Roman;sans-serif" w:hAnsi="Times New Roman;sans-serif"/>
          <w:b w:val="false"/>
          <w:color w:val="000000"/>
          <w:sz w:val="22"/>
        </w:rPr>
        <w:t>means the Schedule attached hereto identified as such.</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Liabilities</w:t>
      </w:r>
      <w:r>
        <w:rPr>
          <w:color w:val="000000"/>
        </w:rPr>
        <w:t xml:space="preserve">” </w:t>
      </w:r>
      <w:r>
        <w:rPr>
          <w:rFonts w:ascii="Times New Roman;sans-serif" w:hAnsi="Times New Roman;sans-serif"/>
          <w:b w:val="false"/>
          <w:color w:val="000000"/>
          <w:sz w:val="22"/>
        </w:rPr>
        <w:t>means any losses, claims (including intraparty claims), demands, damages or liabilities of any kind.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Liquidity</w:t>
      </w:r>
      <w:r>
        <w:rPr>
          <w:color w:val="000000"/>
        </w:rPr>
        <w:t xml:space="preserve">” </w:t>
      </w:r>
      <w:r>
        <w:rPr>
          <w:rFonts w:ascii="Times New Roman;sans-serif" w:hAnsi="Times New Roman;sans-serif"/>
          <w:b w:val="false"/>
          <w:color w:val="000000"/>
          <w:sz w:val="22"/>
        </w:rPr>
        <w:t>means, as of the date of any determination thereof, the sum of (a) that portion of the aggregate Available Revolving Commitment which may be drawn or otherwise used on such date while remaining in pro forma compliance with the financial covenants set forth in Section 6.12 and (b) unencumbered and unrestricted cash of the Borrower and its Subsidiaries maintained with a Lender in the United States of America.</w:t>
      </w:r>
    </w:p>
    <w:p>
      <w:pPr>
        <w:pStyle w:val="TextBody"/>
        <w:bidi w:val="0"/>
        <w:spacing w:before="0" w:after="24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means this Agreement, any promissory notes issued pursuant to this Agreement, any Letter of Credit applications, the Collateral Documents, the Subsidiary Guaranty, any Loan Sweep Agreement, and all other agreements, instruments, documents and certificates identified in Section 4.01 executed and delivered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and delivered to the Administrative Agent or any Lender in connection with the Agreement or the transactions contemplated thereby. Any reference in the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Loan Parties</w:t>
      </w:r>
      <w:r>
        <w:rPr>
          <w:color w:val="000000"/>
        </w:rPr>
        <w:t xml:space="preserve">” </w:t>
      </w:r>
      <w:r>
        <w:rPr>
          <w:rFonts w:ascii="Times New Roman;sans-serif" w:hAnsi="Times New Roman;sans-serif"/>
          <w:b w:val="false"/>
          <w:color w:val="000000"/>
          <w:sz w:val="22"/>
        </w:rPr>
        <w:t>means the Borrower and the Subsidiary Guarantors.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Loan Sweep Agreement</w:t>
      </w:r>
      <w:r>
        <w:rPr>
          <w:color w:val="000000"/>
        </w:rPr>
        <w:t xml:space="preserve">” </w:t>
      </w:r>
      <w:r>
        <w:rPr>
          <w:rFonts w:ascii="Times New Roman;sans-serif" w:hAnsi="Times New Roman;sans-serif"/>
          <w:b w:val="false"/>
          <w:color w:val="000000"/>
          <w:sz w:val="22"/>
        </w:rPr>
        <w:t>means any agreement entered into by the Borrower with JPMorgan Chase Bank, N.A. relating to end of day investments and Swingline Loan sweeps, as the same may be amended, restated, supplemented, extended, replaced (in whole or in part), renewed or otherwise modified from time to time.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Loans</w:t>
      </w:r>
      <w:r>
        <w:rPr>
          <w:color w:val="000000"/>
        </w:rPr>
        <w:t xml:space="preserve">” </w:t>
      </w:r>
      <w:r>
        <w:rPr>
          <w:rFonts w:ascii="Times New Roman;sans-serif" w:hAnsi="Times New Roman;sans-serif"/>
          <w:b w:val="false"/>
          <w:color w:val="000000"/>
          <w:sz w:val="22"/>
        </w:rPr>
        <w:t>means the loans and advances made by the Lenders pursuant to this Agreement.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Local Time</w:t>
      </w:r>
      <w:r>
        <w:rPr>
          <w:color w:val="000000"/>
        </w:rPr>
        <w:t xml:space="preserve">” </w:t>
      </w:r>
      <w:r>
        <w:rPr>
          <w:rFonts w:ascii="Times New Roman;sans-serif" w:hAnsi="Times New Roman;sans-serif"/>
          <w:b w:val="false"/>
          <w:color w:val="000000"/>
          <w:sz w:val="22"/>
        </w:rPr>
        <w:t>means (i) Chicago time in the case of a Loan, Borrowing or LC Disbursement denominated in Dollars and (ii) local time in the case of a Loan, Borrowing or LC Disbursement denominated in any Foreign Currency.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a material adverse effect on (a) the business, assets, property or financial condition of the Borrower and the Subsidiaries taken as a whole or (b) the validity or enforceability of any of the Loan Documents or the rights of or benefits available to the Administrative Agent, an Issuing Bank or the Lenders under the Loan Documents.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Material Foreign Subsidiary</w:t>
      </w:r>
      <w:r>
        <w:rPr>
          <w:color w:val="000000"/>
        </w:rPr>
        <w:t xml:space="preserve">” </w:t>
      </w:r>
      <w:r>
        <w:rPr>
          <w:rFonts w:ascii="Times New Roman;sans-serif" w:hAnsi="Times New Roman;sans-serif"/>
          <w:b w:val="false"/>
          <w:color w:val="000000"/>
          <w:sz w:val="22"/>
        </w:rPr>
        <w:t xml:space="preserve">means (a) as of the Effective Date, MYR Group Construction Canada, Ltd. and (b) after the Effective Date, (i) any First Tier Foreign Subsidiary designated in writing by the Borrower to the Administrative Agent as a “Material Foreign Subsidiary” and (ii) each First Tier Foreign Subsidiary (A) which, as of the most recent fiscal quarter of the Borrower, for the period of four consecutive fiscal quarters then ended, for which financial statements have been delivered pursuant to Section 5.01(a) or 5.01(b) (or, if prior to the date of the delivery of the first financial statements to be delivered pursuant to Section 5.01(a) or 5.01(b), the most recent financial statements referred to in Section 3.04(a)), contributed greater than ten percent (10%) of the Borrower’s Consolidated EBITDA for such period or (B) which contributed greater than ten percent (10%) of the Borrower’s Consolidated Total Assets as of such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at any time the aggregate amount of Consolidated EBITDA or Consolidated Total Assets attributable to all First Tier Foreign Subsidiaries that are not Material Foreign Subsidiaries exceeds twenty percent (20%) of Consolidated EBITDA for any such period or twenty percent (20%) of Consolidated Total Assets as of the end of any such fiscal quarter, the Borrower (or, in the event the Borrower has failed to do so within ten (10) days, the Administrative Agent) shall designate sufficient First Tier Foreign Subsidiaries as “Material Foreign Subsidiaries” to eliminate such excess, and such designated First Tier Foreign Subsidiaries shall for all purposes of this Agreement constitute Material Foreign Subsidiaries.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Material Indebtedness</w:t>
      </w:r>
      <w:r>
        <w:rPr>
          <w:color w:val="000000"/>
        </w:rPr>
        <w:t xml:space="preserve">” </w:t>
      </w:r>
      <w:r>
        <w:rPr>
          <w:rFonts w:ascii="Times New Roman;sans-serif" w:hAnsi="Times New Roman;sans-serif"/>
          <w:b w:val="false"/>
          <w:color w:val="000000"/>
          <w:sz w:val="22"/>
        </w:rPr>
        <w:t>means Indebtedness (other than the Loans or any Letters of Credit), or obligations in respect of one or more Swap Agreements, of any one or more of the Borrower and its Subsidiaries in an aggregate principal amount exceeding $10,000,000. For purposes of determining Material Indebtedness,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pStyle w:val="TextBody"/>
        <w:bidi w:val="0"/>
        <w:spacing w:before="0" w:after="24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Material Subsidiary</w:t>
      </w:r>
      <w:r>
        <w:rPr>
          <w:color w:val="000000"/>
        </w:rPr>
        <w:t xml:space="preserve">” </w:t>
      </w:r>
      <w:r>
        <w:rPr>
          <w:rFonts w:ascii="Times New Roman;sans-serif" w:hAnsi="Times New Roman;sans-serif"/>
          <w:b w:val="false"/>
          <w:color w:val="000000"/>
          <w:sz w:val="22"/>
        </w:rPr>
        <w:t xml:space="preserve">means (a) as of the Effective Date, Harlan Electric Company, The L. E. Myers Co., Sturgeon Electric Company, Inc., Great Southwestern Construction, Inc., MYR Energy Services, Inc., E.S. Boulos Company, MYR Real Estate Holdings, LLC, MYR Equipment, LLC, High Country Line Construction, Inc., GSW Integrated Services, LLC, Sturgeon Electric California, LLC, Huen Electric, Inc. and CSI Electrical Contractors, Inc. and (b) after the Effective Date, (i) any Subsidiary designated in writing by the Borrower to the Administrative Agent as a “Material Subsidiary” and (ii) each Subsidiary (A) which, as of the most recent fiscal quarter of the Borrower, for the period of four consecutive fiscal quarters then ended, for which financial statements have been delivered pursuant to Section 5.01(a) or 5.01(b) (or, if prior to the date of the delivery of the first financial statements to be delivered pursuant to Section 5.01(a) or 5.01(b), the most recent financial statements referred to in Section 3.04(a)), contributed greater than ten percent (10%) of the Borrower’s Consolidated EBITDA for such period or (B) which contributed greater than ten percent (10%) of the Borrower’s Consolidated Total Assets as of such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at any time the aggregate amount of Consolidated EBITDA or Consolidated Total Assets attributable to all Subsidiaries that are not Material Subsidiaries exceeds twenty percent (20%) of Consolidated EBITDA for any such period or twenty percent (20%) of Consolidated Total Assets as of the end of any such fiscal quarter, the Borrower (or, in the event the Borrower has failed to do so within ten (10) days, the Administrative Agent) shall designate sufficient Subsidiaries as “Material Subsidiaries” to eliminate such excess, and such designated Subsidiaries shall for all purposes of this Agreement constitute Material Subsidiaries;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further, that no Foreign Subsidiary, Foreign Subsidiary Holdco or Permitted Joint Venture shall be designated as a Material Subsidiary.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means May 31, 2028 or any earlier date on which the Commitments are reduced to zero or otherwise terminated pursuant to the terms hereof in accordance with Article VII.</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Maximum Rate</w:t>
      </w:r>
      <w:r>
        <w:rPr>
          <w:color w:val="000000"/>
        </w:rPr>
        <w:t xml:space="preserve">” </w:t>
      </w:r>
      <w:r>
        <w:rPr>
          <w:rFonts w:ascii="Times New Roman;sans-serif" w:hAnsi="Times New Roman;sans-serif"/>
          <w:b w:val="false"/>
          <w:color w:val="000000"/>
          <w:sz w:val="22"/>
        </w:rPr>
        <w:t>has the meaning assigned to it in Section 9.18.</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 multiemployer plan as defined in Section 4001(a)(3) of ERISA.</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Net Income</w:t>
      </w:r>
      <w:r>
        <w:rPr>
          <w:color w:val="000000"/>
        </w:rPr>
        <w:t xml:space="preserve">” </w:t>
      </w:r>
      <w:r>
        <w:rPr>
          <w:rFonts w:ascii="Times New Roman;sans-serif" w:hAnsi="Times New Roman;sans-serif"/>
          <w:b w:val="false"/>
          <w:color w:val="000000"/>
          <w:sz w:val="22"/>
        </w:rPr>
        <w:t xml:space="preserve">means, for any period, the consolidated net income (or loss) of the Borrower and its Subsidiaries, determined on a consolidated basis in accordance with GAAP;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there shall be excluded (a)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Net Leverage Ratio</w:t>
      </w:r>
      <w:r>
        <w:rPr>
          <w:color w:val="000000"/>
        </w:rPr>
        <w:t xml:space="preserve">” </w:t>
      </w:r>
      <w:r>
        <w:rPr>
          <w:rFonts w:ascii="Times New Roman;sans-serif" w:hAnsi="Times New Roman;sans-serif"/>
          <w:b w:val="false"/>
          <w:color w:val="000000"/>
          <w:sz w:val="22"/>
        </w:rPr>
        <w:t>means, on any date, the ratio of (a) Total Net Indebtedness on such date to (b) Consolidated EBITDA for the period of four consecutive fiscal quarters ended on such date (or, if such date is not the last day of a fiscal quarter, ended on the last day of the fiscal quarter most recently ended prior to such date).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Net Mark-to-Market Exposure</w:t>
      </w:r>
      <w:r>
        <w:rPr>
          <w:color w:val="000000"/>
        </w:rPr>
        <w:t xml:space="preserve">” </w:t>
      </w:r>
      <w:r>
        <w:rPr>
          <w:rFonts w:ascii="Times New Roman;sans-serif" w:hAnsi="Times New Roman;sans-serif"/>
          <w:b w:val="false"/>
          <w:color w:val="000000"/>
          <w:sz w:val="22"/>
        </w:rPr>
        <w:t>of a Person means, as of any date of determination, the excess (if any) of all unrealized losses over all unrealized profits of such Person arising from Swap Agreements. “Unrealized losses” means the fair market value of the cost to such Person of replacing such Swap Agreements as of the date of determination (assuming the Swap Agreements were to be terminated as of that date), and “unrealized profits” means the fair market value of the gain to such Person of replacing such Swap Agreement as of the date of determination (assuming such Swap Agreement were to be terminated as of that date).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Non-Consenting Lender</w:t>
      </w:r>
      <w:r>
        <w:rPr>
          <w:color w:val="000000"/>
        </w:rPr>
        <w:t xml:space="preserve">” </w:t>
      </w:r>
      <w:r>
        <w:rPr>
          <w:rFonts w:ascii="Times New Roman;sans-serif" w:hAnsi="Times New Roman;sans-serif"/>
          <w:b w:val="false"/>
          <w:color w:val="000000"/>
          <w:sz w:val="22"/>
        </w:rPr>
        <w:t>has the meaning assigned to such term in Section 9.02(e).</w:t>
      </w:r>
    </w:p>
    <w:p>
      <w:pPr>
        <w:pStyle w:val="TextBody"/>
        <w:bidi w:val="0"/>
        <w:spacing w:before="0" w:after="24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NYFRB</w:t>
      </w:r>
      <w:r>
        <w:rPr>
          <w:color w:val="000000"/>
        </w:rPr>
        <w:t xml:space="preserve">” </w:t>
      </w:r>
      <w:r>
        <w:rPr>
          <w:rFonts w:ascii="Times New Roman;sans-serif" w:hAnsi="Times New Roman;sans-serif"/>
          <w:b w:val="false"/>
          <w:color w:val="000000"/>
          <w:sz w:val="22"/>
        </w:rPr>
        <w:t>means the Federal Reserve Bank of New York.</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NYFRB’s Website</w:t>
      </w:r>
      <w:r>
        <w:rPr>
          <w:color w:val="000000"/>
        </w:rPr>
        <w:t xml:space="preserve">” </w:t>
      </w:r>
      <w:r>
        <w:rPr>
          <w:rFonts w:ascii="Times New Roman;sans-serif" w:hAnsi="Times New Roman;sans-serif"/>
          <w:b w:val="false"/>
          <w:color w:val="000000"/>
          <w:sz w:val="22"/>
        </w:rPr>
        <w:t>means the website of the NYFRB at http://www.newyorkfed.org or any successor source.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NYFRB Rate</w:t>
      </w:r>
      <w:r>
        <w:rPr>
          <w:color w:val="000000"/>
        </w:rPr>
        <w:t xml:space="preserve">” </w:t>
      </w:r>
      <w:r>
        <w:rPr>
          <w:rFonts w:ascii="Times New Roman;sans-serif" w:hAnsi="Times New Roman;sans-serif"/>
          <w:b w:val="false"/>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none of such rates are published for any day that is a Business Day, the term “</w:t>
      </w:r>
      <w:r>
        <w:rPr>
          <w:rFonts w:ascii="Times New Roman;sans-serif" w:hAnsi="Times New Roman;sans-serif"/>
          <w:b w:val="false"/>
          <w:color w:val="000000"/>
          <w:sz w:val="22"/>
          <w:u w:val="single"/>
        </w:rPr>
        <w:t>NYFRB Rate</w:t>
      </w:r>
      <w:r>
        <w:rPr>
          <w:color w:val="000000"/>
        </w:rPr>
        <w:t xml:space="preserve">” </w:t>
      </w:r>
      <w:r>
        <w:rPr>
          <w:rFonts w:ascii="Times New Roman;sans-serif" w:hAnsi="Times New Roman;sans-serif"/>
          <w:b w:val="false"/>
          <w:color w:val="000000"/>
          <w:sz w:val="22"/>
        </w:rPr>
        <w:t xml:space="preserve">means the rate for a federal funds transaction quoted at 11:00 a.m. on such day received by the Administrative Agent from a federal funds broker of recognized standing selected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further, that if any of the aforesaid rates as so determined would be less than zero, such rate shall be deemed to be zero for purposes of this Agreement.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Obligations</w:t>
      </w:r>
      <w:r>
        <w:rPr>
          <w:color w:val="000000"/>
        </w:rPr>
        <w:t xml:space="preserve">” </w:t>
      </w:r>
      <w:r>
        <w:rPr>
          <w:rFonts w:ascii="Times New Roman;sans-serif" w:hAnsi="Times New Roman;sans-serif"/>
          <w:b w:val="false"/>
          <w:color w:val="000000"/>
          <w:sz w:val="22"/>
        </w:rPr>
        <w:t>means all advances to, and debts, liabilities, obligations, covenants and duties of, the Borrower and its Subsidiaries arising under any Loan Document, or to the Lenders or any of their Affiliates under any Swap Agreement or any Banking Services Agreement,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Letter of Credit commissions,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means the Office of Foreign Assets Control of the U.S. Department of the Treasury.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means any and all present or future stamp or documentary taxes or any other excise or property taxes, charges or similar levies arising from any payment made hereunder or from the execution, delivery or enforcement of, or otherwise with respect to, this Agreement, except any such Taxes with respect to the Administrative Agent, any Lender, any Issuing Bank or any other recipient of any payment to be made by or on account of any obligation of the Borrower hereunder imposed as a result of a present or former connection between such Administrative Agent, Lender, Issuing Bank or such other recipient and the jurisdiction imposing such Tax (other than connections arising from such Administrative Agent, Lender, Issuing Bank or such other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that are Taxes imposed with respect to an assignment (other than an assignment made pursuant to Section 2.19(b)).</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Overnight Bank Funding Rate</w:t>
      </w:r>
      <w:r>
        <w:rPr>
          <w:color w:val="000000"/>
        </w:rPr>
        <w:t xml:space="preserve">” </w:t>
      </w:r>
      <w:r>
        <w:rPr>
          <w:rFonts w:ascii="Times New Roman;sans-serif" w:hAnsi="Times New Roman;sans-serif"/>
          <w:b w:val="false"/>
          <w:color w:val="000000"/>
          <w:sz w:val="22"/>
        </w:rPr>
        <w:t>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Overnight Rate</w:t>
      </w:r>
      <w:r>
        <w:rPr>
          <w:color w:val="000000"/>
        </w:rPr>
        <w:t xml:space="preserve">” </w:t>
      </w:r>
      <w:r>
        <w:rPr>
          <w:rFonts w:ascii="Times New Roman;sans-serif" w:hAnsi="Times New Roman;sans-serif"/>
          <w:b w:val="false"/>
          <w:color w:val="000000"/>
          <w:sz w:val="22"/>
        </w:rPr>
        <w:t>means, for any day, (a) with respect to any amount denominated in Dollars, the NYFRB Rate and (b) with respect to any amount denominated in a Foreign Currency, an overnight rate determined by the Administrative Agent or the Issuing Banks, as the case may be, in accordance with banking industry rules on interbank compensation.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Parent</w:t>
      </w:r>
      <w:r>
        <w:rPr>
          <w:color w:val="000000"/>
        </w:rPr>
        <w:t xml:space="preserve">” </w:t>
      </w:r>
      <w:r>
        <w:rPr>
          <w:rFonts w:ascii="Times New Roman;sans-serif" w:hAnsi="Times New Roman;sans-serif"/>
          <w:b w:val="false"/>
          <w:color w:val="000000"/>
          <w:sz w:val="22"/>
        </w:rPr>
        <w:t>means, with respect to any Lender, any Person as to which such Lender is, directly or indirectly, a subsidiary.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has the meaning assigned to such term in Section 9.04(c).</w:t>
      </w:r>
    </w:p>
    <w:p>
      <w:pPr>
        <w:pStyle w:val="TextBody"/>
        <w:bidi w:val="0"/>
        <w:spacing w:before="0" w:after="24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has the meaning assigned to such term in Section 9.04(c).</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Participating Member State</w:t>
      </w:r>
      <w:r>
        <w:rPr>
          <w:color w:val="000000"/>
        </w:rPr>
        <w:t xml:space="preserve">” </w:t>
      </w:r>
      <w:r>
        <w:rPr>
          <w:rFonts w:ascii="Times New Roman;sans-serif" w:hAnsi="Times New Roman;sans-serif"/>
          <w:b w:val="false"/>
          <w:color w:val="000000"/>
          <w:sz w:val="22"/>
        </w:rPr>
        <w:t>means any member state of the European Union that adopts or has adopted the euro as its lawful currency in accordance with legislation of the European Union relating to economic and monetary union.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Patriot Act</w:t>
      </w:r>
      <w:r>
        <w:rPr>
          <w:color w:val="000000"/>
        </w:rPr>
        <w:t xml:space="preserve">” </w:t>
      </w:r>
      <w:r>
        <w:rPr>
          <w:rFonts w:ascii="Times New Roman;sans-serif" w:hAnsi="Times New Roman;sans-serif"/>
          <w:b w:val="false"/>
          <w:color w:val="000000"/>
          <w:sz w:val="22"/>
        </w:rPr>
        <w:t>means the USA PATRIOT Act (Title III of Pub. L. 107-56 (signed into law October 26, 2001)).</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Payment</w:t>
      </w:r>
      <w:r>
        <w:rPr>
          <w:color w:val="000000"/>
        </w:rPr>
        <w:t xml:space="preserve">” </w:t>
      </w:r>
      <w:r>
        <w:rPr>
          <w:rFonts w:ascii="Times New Roman;sans-serif" w:hAnsi="Times New Roman;sans-serif"/>
          <w:b w:val="false"/>
          <w:color w:val="000000"/>
          <w:sz w:val="22"/>
        </w:rPr>
        <w:t>has the meaning assigned to it in Section 8.05(c).</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Payment Notice</w:t>
      </w:r>
      <w:r>
        <w:rPr>
          <w:color w:val="000000"/>
        </w:rPr>
        <w:t xml:space="preserve">” </w:t>
      </w:r>
      <w:r>
        <w:rPr>
          <w:rFonts w:ascii="Times New Roman;sans-serif" w:hAnsi="Times New Roman;sans-serif"/>
          <w:b w:val="false"/>
          <w:color w:val="000000"/>
          <w:sz w:val="22"/>
        </w:rPr>
        <w:t>has the meaning assigned to it in Section 8.05(c).</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PBGC</w:t>
      </w:r>
      <w:r>
        <w:rPr>
          <w:color w:val="000000"/>
        </w:rPr>
        <w:t xml:space="preserve">” </w:t>
      </w:r>
      <w:r>
        <w:rPr>
          <w:rFonts w:ascii="Times New Roman;sans-serif" w:hAnsi="Times New Roman;sans-serif"/>
          <w:b w:val="false"/>
          <w:color w:val="000000"/>
          <w:sz w:val="22"/>
        </w:rPr>
        <w:t>means the Pension Benefit Guaranty Corporation referred to and defined in ERISA and any successor entity performing similar functions.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Permitted Acquisition</w:t>
      </w:r>
      <w:r>
        <w:rPr>
          <w:color w:val="000000"/>
        </w:rPr>
        <w:t xml:space="preserve">” </w:t>
      </w:r>
      <w:r>
        <w:rPr>
          <w:rFonts w:ascii="Times New Roman;sans-serif" w:hAnsi="Times New Roman;sans-serif"/>
          <w:b w:val="false"/>
          <w:color w:val="000000"/>
          <w:sz w:val="22"/>
        </w:rPr>
        <w:t>means any acquisition (whether by purchase, merger, consolidation or otherwise but excluding in any event a Hostile Acquisition) or series of related acquisitions by the Borrower or any Subsidiary of all or substantially all the assets of, or more than fifty percent (50%) of the Equity Interests in, a Person or division or line of business of a Person if, at the time of and immediately after giving effect thereto, (a) no Default has occurred and is continuing or would arise after giving effect thereto, (b) such Person or division or line of business is engaged in the same or a similar line of business as the Borrower and the Subsidiaries or business reasonably related thereto, (c) all actions required to be taken with respect to such acquired or newly formed Subsidiary under Section 5.11 shall have been taken, (d) the Borrower and the Subsidiaries are in compliance, on a pro forma basis reasonably acceptable to the Administrative Agent after giving effect to such acquisition (without giving effect to any cost savings), with the covenants contained in Section 6.12 recomputed as of the last day of the most recently ended fiscal quarter of the Borrower for which financial statements are available, as if such acquisition (and any related incurrence or repayment of Indebtedness, with any new Indebtedness being deemed to be amortized over the applicable testing period in accordance with its terms) had occurred on the first day of each relevant period for testing such compliance and the Borrower shall have delivered to the Administrative Agent a certificate of a Financial Officer of the Borrower to such effect, together with all relevant financial information, statements and projections requested by the Administrative Agent, and (e) in the case of an acquisition or merger involving the Borrower or a Subsidiary, the Borrower or such Subsidiary is the surviving entity of such merger and/or consolidation.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Permitted Encumbrances</w:t>
      </w:r>
      <w:r>
        <w:rPr>
          <w:color w:val="000000"/>
        </w:rPr>
        <w:t xml:space="preserve">” </w:t>
      </w:r>
      <w:r>
        <w:rPr>
          <w:rFonts w:ascii="Times New Roman;sans-serif" w:hAnsi="Times New Roman;sans-serif"/>
          <w:b w:val="false"/>
          <w:color w:val="000000"/>
          <w:sz w:val="22"/>
        </w:rPr>
        <w:t>means: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Liens imposed by law for taxes that are not more than 60 days past due or which can thereafter be paid without penalty or which are being contested in compliance with Section 5.04;</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carriers’, warehousemen’s, mechanics’, materialmen’s, repairmen’s and other similar Liens imposed by law or arising in the ordinary course of business and securing obligations that are not overdue by more than 60 days or are being contested in compliance with Section 5.04;</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Liens and deposits arising in the ordinary course of business in compliance with workers’ compensation, unemployment insurance and other social security laws and regulations;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Liens and deposits in connection with Bonding Obligations;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judgment liens in respect of judgments that do not constitute an Event of Default under Section 7.01(k);</w:t>
      </w:r>
    </w:p>
    <w:p>
      <w:pPr>
        <w:pStyle w:val="TextBody"/>
        <w:bidi w:val="0"/>
        <w:spacing w:before="0" w:after="24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easements, zoning restrictions and other governmental restrictions on use, rights of way, permits, conditions, servitudes, exceptions, covenants, restrictions and all other encumbrances on or in respect of real property or any interest therein that do not materially interfere with the ordinary conduct of business of the Borrower or any Subsidiary;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Liens securing the obligations of the Borrower or any of its Subsidiaries under any leases, right-of-use or similar agreement (but only with respect to the property so leased or used) that do not constitute Finance Lease Obligations;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    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 </w:t>
      </w:r>
    </w:p>
    <w:p>
      <w:pPr>
        <w:pStyle w:val="TextBody"/>
        <w:bidi w:val="0"/>
        <w:spacing w:lineRule="auto" w:line="240" w:before="0" w:after="24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term “Permitted Encumbrances” shall not include any Lien securing Indebtedness.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Permitted Investments</w:t>
      </w:r>
      <w:r>
        <w:rPr>
          <w:color w:val="000000"/>
        </w:rPr>
        <w:t xml:space="preserve">” </w:t>
      </w:r>
      <w:r>
        <w:rPr>
          <w:rFonts w:ascii="Times New Roman;sans-serif" w:hAnsi="Times New Roman;sans-serif"/>
          <w:b w:val="false"/>
          <w:color w:val="000000"/>
          <w:sz w:val="22"/>
        </w:rPr>
        <w:t>means: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money market funds that (i) comply with the criteria set forth in SEC Rule 2a-7 under the Investment Company Act of 1940, (ii) are rated AAA by S&amp;P and Aaa by Moody’s and (iii) have portfolio assets of at least $5,000,000,000;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investments permitted by the Borrower’s investment policy as such policy is in effect, and as disclosed to the Administrative Agent and the Lenders, prior to the Effective Date (as such policy may be amended, restated, supplemented or otherwise modified from time to time with the consent of the Required Lenders, not to be unreasonably withheld, conditioned or delayed) including, without limitation, investments in U.S. treasury bills and notes, U.S. federal agency securities, collateralized repurchase agreements, domestic certificates of deposit, banker’s acceptances, eurodollar time deposits, Canadian Dollar deposits held by a Canadian Subsidiary, domestic commercial paper, corporate notes and bonds, municipal securities and certain mutual funds, in each case, as permitted thereunder.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Permitted Joint Venture</w:t>
      </w:r>
      <w:r>
        <w:rPr>
          <w:color w:val="000000"/>
        </w:rPr>
        <w:t xml:space="preserve">” </w:t>
      </w:r>
      <w:r>
        <w:rPr>
          <w:rFonts w:ascii="Times New Roman;sans-serif" w:hAnsi="Times New Roman;sans-serif"/>
          <w:b w:val="false"/>
          <w:color w:val="000000"/>
          <w:sz w:val="22"/>
        </w:rPr>
        <w:t>means any Person (i) that is formed by or consists of, or the Equity Interests of which are directly owned by, a Loan Party, on one hand, and a third party, on the other hand, and (ii) that is formed for the purpose of entering into and performing under one or more contracts, with respect to a single project or series of related projects, pursuant to which such Person agrees to deliver goods and services substantially similar to the goods and services the Borrower and its Subsidiaries agree to deliver in the ordinary course of business.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Permitted Receivables Facility</w:t>
      </w:r>
      <w:r>
        <w:rPr>
          <w:color w:val="000000"/>
        </w:rPr>
        <w:t xml:space="preserve">” </w:t>
      </w:r>
      <w:r>
        <w:rPr>
          <w:rFonts w:ascii="Times New Roman;sans-serif" w:hAnsi="Times New Roman;sans-serif"/>
          <w:b w:val="false"/>
          <w:color w:val="000000"/>
          <w:sz w:val="22"/>
        </w:rPr>
        <w:t xml:space="preserve">means a Receivables Facility created under the Permitted Receivables Facility Documents;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Attributable Receivables Indebtedness for all such Receivables Facilities shall not exceed an aggregate amount of $50,000,000 at any time outstanding.</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Permitted Receivables Facility Documents</w:t>
      </w:r>
      <w:r>
        <w:rPr>
          <w:color w:val="000000"/>
        </w:rPr>
        <w:t xml:space="preserve">” </w:t>
      </w:r>
      <w:r>
        <w:rPr>
          <w:rFonts w:ascii="Times New Roman;sans-serif" w:hAnsi="Times New Roman;sans-serif"/>
          <w:b w:val="false"/>
          <w:color w:val="000000"/>
          <w:sz w:val="22"/>
        </w:rPr>
        <w:t>means the Receivables Facility Documents entered into in connection with any Permitted Receivables Facility, all of which documents and agreements shall be in form and substance reasonably satisfactory to the Administrative Agent (such consent not to be unreasonably withheld, conditioned or delayed), in each case as such documents and agreements may be amended, modified, supplemented, refinanced or replaced from time to time so long as (i) any such amendments, modifications, supplements, refinancings or replacements do not impose any conditions or requirements on the Borrower or any of its Subsidiaries that are more restrictive in any material respect than those in existence immediately prior to any such amendment, modification, supplement, refinancing or replacement unless otherwise consented to by the Administrative Agent, (ii) any such amendments, modifications, supplements, refinancings or replacements are not adverse in any material respect to the interests of the Lenders unless otherwise consented to by the Administrative Agent and (iii) any such amendments, modifications, supplements, refinancings or replacements are otherwise in form and substance reasonably satisfactory to the Administrative Agent.</w:t>
      </w:r>
    </w:p>
    <w:p>
      <w:pPr>
        <w:pStyle w:val="TextBody"/>
        <w:bidi w:val="0"/>
        <w:spacing w:before="0" w:after="24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Permitted Receivables Facility Intercreditor Agreement</w:t>
      </w:r>
      <w:r>
        <w:rPr>
          <w:color w:val="000000"/>
        </w:rPr>
        <w:t xml:space="preserve">” </w:t>
      </w:r>
      <w:r>
        <w:rPr>
          <w:rFonts w:ascii="Times New Roman;sans-serif" w:hAnsi="Times New Roman;sans-serif"/>
          <w:b w:val="false"/>
          <w:color w:val="000000"/>
          <w:sz w:val="22"/>
        </w:rPr>
        <w:t xml:space="preserve">means an Intercreditor Agreement in form and substance reasonably satisfactory to the Administrative Agent relating to (a) the release by the Administrative Agent of the Liens of the Holders of Secured Obligations on Receivables Facility Assets and (b) the pledge of Equity Interests of the Receivables Entity, among, amongst others, the Administrative Agent, and the program administrator, purchaser agents, purchasers party, lenders, or investors (or other similar party), as applicable, under the Permitted Receivables Facility. </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natural person, corporation, limited liability company, trust, joint venture, association, company, partnership, Governmental Authority or other entity.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Plan</w:t>
      </w:r>
      <w:r>
        <w:rPr>
          <w:color w:val="000000"/>
        </w:rPr>
        <w:t xml:space="preserve">” </w:t>
      </w:r>
      <w:r>
        <w:rPr>
          <w:rFonts w:ascii="Times New Roman;sans-serif" w:hAnsi="Times New Roman;sans-serif"/>
          <w:b w:val="false"/>
          <w:color w:val="000000"/>
          <w:sz w:val="22"/>
        </w:rPr>
        <w:t>means any employee pension benefit plan, as defined in Section 3(2) of ERISA (other than a Multiemployer Plan) subject to the provisions of Title IV of ERISA or Section 412 of the Code or Section 302 of ERISA, and in respect of which the Borrower or any ERISA Affiliate is an “employer” as defined in Section 3(5) of ERISA or may have any liability, including liability under Section 4063, 4064 or 4069 of ERISA by reason of being, having been or being deemed to be a substantial employer or a contributing sponsor within the meanings thereunder.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Plan Asset Regulation</w:t>
      </w:r>
      <w:r>
        <w:rPr>
          <w:color w:val="000000"/>
        </w:rPr>
        <w:t xml:space="preserve">” </w:t>
      </w:r>
      <w:r>
        <w:rPr>
          <w:rFonts w:ascii="Times New Roman;sans-serif" w:hAnsi="Times New Roman;sans-serif"/>
          <w:b w:val="false"/>
          <w:color w:val="000000"/>
          <w:sz w:val="22"/>
        </w:rPr>
        <w:t>means 29 CFR § 2510.3-101, as modified by Section 3(42) of ERISA, as amended from time to time.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Pledge Subsidiary</w:t>
      </w:r>
      <w:r>
        <w:rPr>
          <w:color w:val="000000"/>
        </w:rPr>
        <w:t xml:space="preserve">” </w:t>
      </w:r>
      <w:r>
        <w:rPr>
          <w:rFonts w:ascii="Times New Roman;sans-serif" w:hAnsi="Times New Roman;sans-serif"/>
          <w:b w:val="false"/>
          <w:color w:val="000000"/>
          <w:sz w:val="22"/>
        </w:rPr>
        <w:t>means each Domestic Subsidiary (other than any Foreign Subsidiary Holdco that is not a First Tier Foreign Subsidiary Holdco), First Tier Foreign Subsidiary and First Tier Foreign Subsidiary Holdco which is, in each case, a direct Subsidiary of the Borrower or a direct Subsidiary of a Material Subsidiary.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Portfolio Interest Exemption</w:t>
      </w:r>
      <w:r>
        <w:rPr>
          <w:color w:val="000000"/>
        </w:rPr>
        <w:t xml:space="preserve">” </w:t>
      </w:r>
      <w:r>
        <w:rPr>
          <w:rFonts w:ascii="Times New Roman;sans-serif" w:hAnsi="Times New Roman;sans-serif"/>
          <w:b w:val="false"/>
          <w:color w:val="000000"/>
          <w:sz w:val="22"/>
        </w:rPr>
        <w:t>has the meaning assigned to such term in Section 2.17(e).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Prime Rate</w:t>
      </w:r>
      <w:r>
        <w:rPr>
          <w:color w:val="000000"/>
        </w:rPr>
        <w:t xml:space="preserve">” </w:t>
      </w:r>
      <w:r>
        <w:rPr>
          <w:rFonts w:ascii="Times New Roman;sans-serif" w:hAnsi="Times New Roman;sans-serif"/>
          <w:b w:val="false"/>
          <w:color w:val="000000"/>
          <w:sz w:val="22"/>
        </w:rPr>
        <w:t>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Proceeding</w:t>
      </w:r>
      <w:r>
        <w:rPr>
          <w:color w:val="000000"/>
        </w:rPr>
        <w:t xml:space="preserve">” </w:t>
      </w:r>
      <w:r>
        <w:rPr>
          <w:rFonts w:ascii="Times New Roman;sans-serif" w:hAnsi="Times New Roman;sans-serif"/>
          <w:b w:val="false"/>
          <w:color w:val="000000"/>
          <w:sz w:val="22"/>
        </w:rPr>
        <w:t>means any claim, litigation, investigation, action, suit, arbitration or administrative, judicial or regulatory action or proceeding in any jurisdiction.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PTE</w:t>
      </w:r>
      <w:r>
        <w:rPr>
          <w:color w:val="000000"/>
        </w:rPr>
        <w:t xml:space="preserve">” </w:t>
      </w:r>
      <w:r>
        <w:rPr>
          <w:rFonts w:ascii="Times New Roman;sans-serif" w:hAnsi="Times New Roman;sans-serif"/>
          <w:b w:val="false"/>
          <w:color w:val="000000"/>
          <w:sz w:val="22"/>
        </w:rPr>
        <w:t>means a prohibited transaction class exemption issued by the U.S. Department of Labor, as any such exemption may be amended from time to time.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QFC</w:t>
      </w:r>
      <w:r>
        <w:rPr>
          <w:color w:val="000000"/>
        </w:rPr>
        <w:t xml:space="preserve">” </w:t>
      </w:r>
      <w:r>
        <w:rPr>
          <w:rFonts w:ascii="Times New Roman;sans-serif" w:hAnsi="Times New Roman;sans-serif"/>
          <w:b w:val="false"/>
          <w:color w:val="000000"/>
          <w:sz w:val="22"/>
        </w:rPr>
        <w:t>has the meaning assigned to the term “qualified financial contract” in, and shall be interpreted in accordance with, 12 U.S.C. 5390(c)(8)(D).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QFC Credit Support</w:t>
      </w:r>
      <w:r>
        <w:rPr>
          <w:color w:val="000000"/>
        </w:rPr>
        <w:t xml:space="preserve">” </w:t>
      </w:r>
      <w:r>
        <w:rPr>
          <w:rFonts w:ascii="Times New Roman;sans-serif" w:hAnsi="Times New Roman;sans-serif"/>
          <w:b w:val="false"/>
          <w:color w:val="000000"/>
          <w:sz w:val="22"/>
        </w:rPr>
        <w:t>has the meaning assigned to such term in Section 9.21.</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Qualified Cash Amount</w:t>
      </w:r>
      <w:r>
        <w:rPr>
          <w:color w:val="000000"/>
        </w:rPr>
        <w:t xml:space="preserve">” </w:t>
      </w:r>
      <w:r>
        <w:rPr>
          <w:rFonts w:ascii="Times New Roman;sans-serif" w:hAnsi="Times New Roman;sans-serif"/>
          <w:b w:val="false"/>
          <w:color w:val="000000"/>
          <w:sz w:val="22"/>
        </w:rPr>
        <w:t xml:space="preserve">means, as of any date of determination, the aggregate amount of the Loan Parties’ aggregate cash and Permitted Investments that is (i) on deposit with one or more financial institutions in the United States of America and (ii) not encumbered by or subject to any Lien, setoff, counterclaim, recoupment, defense or other right in favor of any Person other than (x) Liens in favor of the Administrative Agent under the Loan Documents and (y) Liens of the type described in clause (h) of the definition of Permitted Encumbrances;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no event shall the Qualified Cash Amount exceed $25,000,000.</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Receivables</w:t>
      </w:r>
      <w:r>
        <w:rPr>
          <w:color w:val="000000"/>
        </w:rPr>
        <w:t xml:space="preserve">” </w:t>
      </w:r>
      <w:r>
        <w:rPr>
          <w:rFonts w:ascii="Times New Roman;sans-serif" w:hAnsi="Times New Roman;sans-serif"/>
          <w:b w:val="false"/>
          <w:color w:val="000000"/>
          <w:sz w:val="22"/>
        </w:rPr>
        <w:t>means any right to payment created by or arising from sales of goods, leases of goods or the rendition of services rendered no matter how evidenced whether or not earned by performance (whether constituting accounts, general intangibles, chattel paper or otherwise).</w:t>
      </w:r>
    </w:p>
    <w:p>
      <w:pPr>
        <w:pStyle w:val="TextBody"/>
        <w:bidi w:val="0"/>
        <w:spacing w:before="0" w:after="24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Receivables Entity</w:t>
      </w:r>
      <w:r>
        <w:rPr>
          <w:color w:val="000000"/>
        </w:rPr>
        <w:t xml:space="preserve">” </w:t>
      </w:r>
      <w:r>
        <w:rPr>
          <w:rFonts w:ascii="Times New Roman;sans-serif" w:hAnsi="Times New Roman;sans-serif"/>
          <w:b w:val="false"/>
          <w:color w:val="000000"/>
          <w:sz w:val="22"/>
        </w:rPr>
        <w:t>means a wholly-owned Subsidiary of the Borrower which engages in no activities other than in connection with the financing of accounts receivable of the Receivables Sellers and which is designated (as provided below) as a “Receivables Entity” (a) no portion of the Indebtedness or any other obligations (contingent or otherwise) of which (i) is guaranteed by the Borrower or any other Subsidiary of the Borrower, (ii) is recourse to or obligates the Borrower or any other Subsidiary of the Borrower in any way (other than pursuant to Standard Securitization Undertakings) or (iii) subjects any property or asset of the Borrower or any other Subsidiary of the Borrower, directly or indirectly, contingently or otherwise, to the satisfaction thereof, other than pursuant to Standard Securitization Undertakings, (b) with which neither the Borrower nor any of its Subsidiaries has any contract, agreement, arrangement or understanding (other than pursuant to the Receivables Facility Documents (including with respect to fees payable in the ordinary course of business in connection with the servicing of accounts receivable and related assets)) on terms less favorable to the Borrower or such Subsidiary than those that might be obtained at the time from persons that are not Affiliates of the Borrower, and (c) to which neither the Borrower nor any other Subsidiary of the Borrower has any obligation to maintain or preserve such entity’s financial condition or cause such entity to achieve certain levels of operating results (other than pursuant to Standard Securitization Undertakings). Any such designation shall be evidenced, solely upon the request of the Administrative Agent, to the Administrative Agent by delivering to the Administrative Agent an officer’s certificate of the Borrower certifying that, to the best of such officer’s knowledge and belief after consultation with counsel, such designation complied with the foregoing conditions.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Receivables Facility</w:t>
      </w:r>
      <w:r>
        <w:rPr>
          <w:color w:val="000000"/>
        </w:rPr>
        <w:t xml:space="preserve">” </w:t>
      </w:r>
      <w:r>
        <w:rPr>
          <w:rFonts w:ascii="Times New Roman;sans-serif" w:hAnsi="Times New Roman;sans-serif"/>
          <w:b w:val="false"/>
          <w:color w:val="000000"/>
          <w:sz w:val="22"/>
        </w:rPr>
        <w:t>means a receivables facility or facilities created under any Receivables Facility Documents, providing for the sale, transfer and/or pledge by the Borrower and/or one or more other Receivables Sellers of Receivables Facility Assets (thereby providing financing to the Borrower and the Receivables Sellers) to a Receivables Entity (either directly or through another Receivables Seller), which in turn shall sell, transfer and/or pledge interests in the respective Receivables Facility Assets to third-party lenders or investors pursuant to the Receivables Facility Documents (with the Receivables Entity permitted to issue or convey purchaser interests, investor certificates, purchased interest certificates or other similar documentation evidencing interests in the Receivables Facility Assets) in return for the cash used by such Receivables Entity to acquire the Receivables Facility Assets from the Borrower and/or the respective Receivables Sellers, in each case as more fully set forth in the applicable Receivables Facility Documents.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Receivables Facility Assets</w:t>
      </w:r>
      <w:r>
        <w:rPr>
          <w:color w:val="000000"/>
        </w:rPr>
        <w:t xml:space="preserve">” </w:t>
      </w:r>
      <w:r>
        <w:rPr>
          <w:rFonts w:ascii="Times New Roman;sans-serif" w:hAnsi="Times New Roman;sans-serif"/>
          <w:b w:val="false"/>
          <w:color w:val="000000"/>
          <w:sz w:val="22"/>
        </w:rPr>
        <w:t>means Receivables (whether now existing or arising in the future) of the Receivables Sellers which are transferred, sold and/or pledged to a Receivables Entity pursuant to a Receivables Facility and any related Receivables Related Assets which are also so transferred, sold and/or pledged to a Receivables Entity and all proceeds thereof.</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Receivables Facility Documents</w:t>
      </w:r>
      <w:r>
        <w:rPr>
          <w:color w:val="000000"/>
        </w:rPr>
        <w:t xml:space="preserve">” </w:t>
      </w:r>
      <w:r>
        <w:rPr>
          <w:rFonts w:ascii="Times New Roman;sans-serif" w:hAnsi="Times New Roman;sans-serif"/>
          <w:b w:val="false"/>
          <w:color w:val="000000"/>
          <w:sz w:val="22"/>
        </w:rPr>
        <w:t>means each of the documents and agreements entered into in connection with any Receivables Facility, including all documents and agreements relating to the issuance, funding and/or purchase of certificates and purchased interests or the incurrence of loans, as applicable.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Receivables Related Assets</w:t>
      </w:r>
      <w:r>
        <w:rPr>
          <w:color w:val="000000"/>
        </w:rPr>
        <w:t xml:space="preserve">” </w:t>
      </w:r>
      <w:r>
        <w:rPr>
          <w:rFonts w:ascii="Times New Roman;sans-serif" w:hAnsi="Times New Roman;sans-serif"/>
          <w:b w:val="false"/>
          <w:color w:val="000000"/>
          <w:sz w:val="22"/>
        </w:rPr>
        <w:t>means any assets that are customarily sold, transferred and/or pledged or in respect of which security interests are customarily granted in connection with asset securitization transactions involving receivables similar to Receivables and any collections or proceeds of any of the foregoing (including, without limitation, lock-boxes, deposit accounts, records in respect of Receivables and collections in respect of Receivables).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Receivables Sellers</w:t>
      </w:r>
      <w:r>
        <w:rPr>
          <w:color w:val="000000"/>
        </w:rPr>
        <w:t xml:space="preserve">” </w:t>
      </w:r>
      <w:r>
        <w:rPr>
          <w:rFonts w:ascii="Times New Roman;sans-serif" w:hAnsi="Times New Roman;sans-serif"/>
          <w:b w:val="false"/>
          <w:color w:val="000000"/>
          <w:sz w:val="22"/>
        </w:rPr>
        <w:t>means the Borrower and those Subsidiaries that are from time to time party to Receivables Facility Documents (other than any Receivables Entity).</w:t>
      </w:r>
    </w:p>
    <w:p>
      <w:pPr>
        <w:pStyle w:val="TextBody"/>
        <w:bidi w:val="0"/>
        <w:spacing w:before="0" w:after="24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Reference Time</w:t>
      </w:r>
      <w:r>
        <w:rPr>
          <w:color w:val="000000"/>
        </w:rPr>
        <w:t xml:space="preserve">” </w:t>
      </w:r>
      <w:r>
        <w:rPr>
          <w:rFonts w:ascii="Times New Roman;sans-serif" w:hAnsi="Times New Roman;sans-serif"/>
          <w:b w:val="false"/>
          <w:color w:val="000000"/>
          <w:sz w:val="22"/>
        </w:rPr>
        <w:t>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following a Benchmark Transition Event and Benchmark Replacement Date with respect to the Term SOFR Rate, the RFR for such Benchmark is Daily Simple SOFR, then four RFR Business Days prior to such setting, (4) if such Benchmark is CDOR Rate, 11:00 a.m. Toronto local time on the same day of such setting or (5) if such Benchmark is none of the Term SOFR Rate, the EURIBOR Rate, the CDOR Rate or Daily Simple SOFR, the time determined by the Administrative Agent in its reasonable discretion.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has the meaning assigned to such term in Section 9.04(b).</w: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Regulation D</w:t>
      </w:r>
      <w:r>
        <w:rPr>
          <w:color w:val="000000"/>
          <w:shd w:fill="FFFFFF" w:val="clear"/>
        </w:rPr>
        <w:t xml:space="preserve">” </w:t>
      </w:r>
      <w:r>
        <w:rPr>
          <w:rFonts w:ascii="Times New Roman;sans-serif" w:hAnsi="Times New Roman;sans-serif"/>
          <w:b w:val="false"/>
          <w:color w:val="000000"/>
          <w:sz w:val="22"/>
          <w:shd w:fill="FFFFFF" w:val="clear"/>
        </w:rPr>
        <w:t>means Regulation D of the Federal Reserve Board, as in effect from time to time and all official rulings and interpretations thereunder or thereof.</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specified Person, such Person’s Affiliates and the respective directors, officers, employees, agents, trustees, administrators, managers, advisors and representatives of such Person and such Person’s Affiliates.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Relevant Governmental Body</w:t>
      </w:r>
      <w:r>
        <w:rPr>
          <w:color w:val="000000"/>
        </w:rPr>
        <w:t xml:space="preserve">” </w:t>
      </w:r>
      <w:r>
        <w:rPr>
          <w:rFonts w:ascii="Times New Roman;sans-serif" w:hAnsi="Times New Roman;sans-serif"/>
          <w:b w:val="false"/>
          <w:color w:val="000000"/>
          <w:sz w:val="22"/>
        </w:rPr>
        <w:t>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Euros, the European Central Bank, or a committee officially endorsed or convened by the European Central Bank or, in each case, any successor thereto, (iii) with respect to a Benchmark Replacement in respect of Loans denominated in Canadian Dollars, the Bank of Canada, or a committee officially endorsed or convened by the Bank of Canada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Relevant Rate</w:t>
      </w:r>
      <w:r>
        <w:rPr>
          <w:color w:val="000000"/>
        </w:rPr>
        <w:t xml:space="preserve">” </w:t>
      </w:r>
      <w:r>
        <w:rPr>
          <w:rFonts w:ascii="Times New Roman;sans-serif" w:hAnsi="Times New Roman;sans-serif"/>
          <w:b w:val="false"/>
          <w:color w:val="000000"/>
          <w:sz w:val="22"/>
        </w:rPr>
        <w:t>means (i) with respect to any Term Benchmark Borrowing denominated in Dollars, the Adjusted Term SOFR Rate, (ii) with respect to any Term Benchmark Borrowing denominated in Euros, the Adjusted EURIBOR Rate, (iii) with respect to any Term Benchmark Borrowing denominated in Canadian Dollars, the Adjusted CDOR Rate, or (iv) with respect to any RFR Borrowing denominated in Dollars, the Adjusted Daily Simple RFR, as applicable.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Relevant Screen Rate</w:t>
      </w:r>
      <w:r>
        <w:rPr>
          <w:color w:val="000000"/>
        </w:rPr>
        <w:t xml:space="preserve">” </w:t>
      </w:r>
      <w:r>
        <w:rPr>
          <w:rFonts w:ascii="Times New Roman;sans-serif" w:hAnsi="Times New Roman;sans-serif"/>
          <w:b w:val="false"/>
          <w:color w:val="000000"/>
          <w:sz w:val="22"/>
        </w:rPr>
        <w:t>means (i) with respect to any Term Benchmark Borrowing denominated in Dollars, the Term SOFR Reference Rate, (ii) with respect to any Term Benchmark Borrowing denominated in Euros, the EURIBOR Screen Rate or (iii) with respect to any Term Benchmark Borrowing denominated in Canadian Dollars, the CDOR Screen Rate.</w:t>
      </w:r>
    </w:p>
    <w:p>
      <w:pPr>
        <w:pStyle w:val="TextBody"/>
        <w:bidi w:val="0"/>
        <w:spacing w:before="0" w:after="24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8"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Required Lenders</w:t>
      </w:r>
      <w:r>
        <w:rPr>
          <w:color w:val="000000"/>
        </w:rPr>
        <w:t xml:space="preserve">” </w:t>
      </w:r>
      <w:r>
        <w:rPr>
          <w:rFonts w:ascii="Times New Roman;sans-serif" w:hAnsi="Times New Roman;sans-serif"/>
          <w:b w:val="false"/>
          <w:color w:val="000000"/>
          <w:sz w:val="22"/>
        </w:rPr>
        <w:t xml:space="preserve">means (a) at any time prior to the earlier of the Loans becoming due and payable pursuant to Section 7.01 or the Commitments terminating or expiring, Lenders having Revolving Exposures and Unfunded Commitments representing more than 50% of the sum of the total Revolving Exposures and Unfunded Commitments at such time;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solely for purposes of declaring the Loans to be due and payable pursuant to Section 7.01, the Unfunded Commitment of each Lender shall be deemed to be zero; and (b) for all purposes after the Loans become due and payable pursuant to Section 7.01 or the Commitments expire or terminate, Lenders having Credit Exposures representing more than 50% of the total Revolving Exposures at such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clauses (a) and (b) above, the Revolving Exposure of any Lender that is a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Commitment of such Lender shall be determined on the basis of its Revolving Exposure excluding such excess amount. Notwithstanding the foregoing, at any time there is more than one (1) Lender, at least two (2) Lenders must approve any amendment or modification requiring the consent of the Required Lenders.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Requirement of Law</w:t>
      </w:r>
      <w:r>
        <w:rPr>
          <w:color w:val="000000"/>
        </w:rPr>
        <w:t xml:space="preserve">” </w:t>
      </w:r>
      <w:r>
        <w:rPr>
          <w:rFonts w:ascii="Times New Roman;sans-serif" w:hAnsi="Times New Roman;sans-serif"/>
          <w:b w:val="false"/>
          <w:color w:val="000000"/>
          <w:sz w:val="22"/>
        </w:rPr>
        <w:t>means, as to any Person, the Certificate of Incorporation and By 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Restricted Payment</w:t>
      </w:r>
      <w:r>
        <w:rPr>
          <w:color w:val="000000"/>
        </w:rPr>
        <w:t xml:space="preserve">” </w:t>
      </w:r>
      <w:r>
        <w:rPr>
          <w:rFonts w:ascii="Times New Roman;sans-serif" w:hAnsi="Times New Roman;sans-serif"/>
          <w:b w:val="false"/>
          <w:color w:val="000000"/>
          <w:sz w:val="22"/>
        </w:rPr>
        <w:t>means (i) any dividend or other distribution (whether in cash, securities or other property) with respect to any Equity Interests in the Borrower or any Subsidiary, or (ii) any payment (whether in cash, securities or other property), including any sinking fund or similar deposit, on account of the purchase, redemption, retirement, acquisition, cancellation or termination of any such Equity Interests in the Borrower or any Subsidiary or any option, warrant or other right to acquire any such Equity Interests in the Borrower or Subsidiary.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Revaluation Date</w:t>
      </w:r>
      <w:r>
        <w:rPr>
          <w:color w:val="000000"/>
        </w:rPr>
        <w:t xml:space="preserve">” </w:t>
      </w:r>
      <w:r>
        <w:rPr>
          <w:rFonts w:ascii="Times New Roman;sans-serif" w:hAnsi="Times New Roman;sans-serif"/>
          <w:b w:val="false"/>
          <w:color w:val="000000"/>
          <w:sz w:val="22"/>
        </w:rPr>
        <w:t>shall mean (a) with respect to any Loan denominated in any Foreign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 Foreign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Revolving Borrowing</w:t>
      </w:r>
      <w:r>
        <w:rPr>
          <w:color w:val="000000"/>
        </w:rPr>
        <w:t xml:space="preserve">” </w:t>
      </w:r>
      <w:r>
        <w:rPr>
          <w:rFonts w:ascii="Times New Roman;sans-serif" w:hAnsi="Times New Roman;sans-serif"/>
          <w:b w:val="false"/>
          <w:color w:val="000000"/>
          <w:sz w:val="22"/>
        </w:rPr>
        <w:t>means a Borrowing of Revolving Loans of the same Type and Agreed Currency, made, converted or continued on the same date and, in the case of Term Benchmark Loans, as to which a single Interest Period is in effect, in each case in accordance with Section 2.02.</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Revolving Exposure</w:t>
      </w:r>
      <w:r>
        <w:rPr>
          <w:color w:val="000000"/>
        </w:rPr>
        <w:t xml:space="preserve">” </w:t>
      </w:r>
      <w:r>
        <w:rPr>
          <w:rFonts w:ascii="Times New Roman;sans-serif" w:hAnsi="Times New Roman;sans-serif"/>
          <w:b w:val="false"/>
          <w:color w:val="000000"/>
          <w:sz w:val="22"/>
        </w:rPr>
        <w:t>means, with respect to any Lender at any time, the sum of the outstanding principal amount of such Lender’s Revolving Loans, its LC Exposure and its Swingline Exposure at such time.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Revolving Loan</w:t>
      </w:r>
      <w:r>
        <w:rPr>
          <w:color w:val="000000"/>
        </w:rPr>
        <w:t xml:space="preserve">” </w:t>
      </w:r>
      <w:r>
        <w:rPr>
          <w:rFonts w:ascii="Times New Roman;sans-serif" w:hAnsi="Times New Roman;sans-serif"/>
          <w:b w:val="false"/>
          <w:color w:val="000000"/>
          <w:sz w:val="22"/>
        </w:rPr>
        <w:t>means a Loan made pursuant to Section 2.01(a).</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RFR</w:t>
      </w:r>
      <w:r>
        <w:rPr>
          <w:color w:val="000000"/>
        </w:rPr>
        <w:t xml:space="preserve">” </w:t>
      </w:r>
      <w:r>
        <w:rPr>
          <w:rFonts w:ascii="Times New Roman;sans-serif" w:hAnsi="Times New Roman;sans-serif"/>
          <w:b w:val="false"/>
          <w:color w:val="000000"/>
          <w:sz w:val="22"/>
        </w:rPr>
        <w:t>means, for any RFR Loan denominated in Dollars (solely following a Benchmark Transition Event and Benchmark Replacement Date with respect to the Term SOFR Rate), Daily Simple SOFR.</w:t>
      </w:r>
    </w:p>
    <w:p>
      <w:pPr>
        <w:pStyle w:val="TextBody"/>
        <w:bidi w:val="0"/>
        <w:spacing w:before="0" w:after="24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9"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RFR Borrowing</w:t>
      </w:r>
      <w:r>
        <w:rPr>
          <w:color w:val="000000"/>
        </w:rPr>
        <w:t xml:space="preserve">” </w:t>
      </w:r>
      <w:r>
        <w:rPr>
          <w:rFonts w:ascii="Times New Roman;sans-serif" w:hAnsi="Times New Roman;sans-serif"/>
          <w:b w:val="false"/>
          <w:color w:val="000000"/>
          <w:sz w:val="22"/>
        </w:rPr>
        <w:t>means, as to any Borrowing, the RFR Loans comprising such Borrowing.</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RFR Business Day</w:t>
      </w:r>
      <w:r>
        <w:rPr>
          <w:color w:val="000000"/>
        </w:rPr>
        <w:t xml:space="preserve">” </w:t>
      </w:r>
      <w:r>
        <w:rPr>
          <w:rFonts w:ascii="Times New Roman;sans-serif" w:hAnsi="Times New Roman;sans-serif"/>
          <w:b w:val="false"/>
          <w:color w:val="000000"/>
          <w:sz w:val="22"/>
        </w:rPr>
        <w:t>means, for any RFR Loan denominated in Dollars, a U.S. Government Securities Business Day.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RFR Loan</w:t>
      </w:r>
      <w:r>
        <w:rPr>
          <w:color w:val="000000"/>
        </w:rPr>
        <w:t xml:space="preserve">” </w:t>
      </w:r>
      <w:r>
        <w:rPr>
          <w:rFonts w:ascii="Times New Roman;sans-serif" w:hAnsi="Times New Roman;sans-serif"/>
          <w:b w:val="false"/>
          <w:color w:val="000000"/>
          <w:sz w:val="22"/>
        </w:rPr>
        <w:t>means a Loan that bears interest at a rate based on the Adjusted Daily Simple RFR.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means Standard &amp; Poor’s Ratings Services, a Standard &amp; Poor’s Financial Services LLC business.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has the meaning assigned to such term in Section 3.18(b).</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SEC</w:t>
      </w:r>
      <w:r>
        <w:rPr>
          <w:color w:val="000000"/>
        </w:rPr>
        <w:t xml:space="preserve">” </w:t>
      </w:r>
      <w:r>
        <w:rPr>
          <w:rFonts w:ascii="Times New Roman;sans-serif" w:hAnsi="Times New Roman;sans-serif"/>
          <w:b w:val="false"/>
          <w:color w:val="000000"/>
          <w:sz w:val="22"/>
        </w:rPr>
        <w:t>means the Securities and Exchange Commission of the United States of America.</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Secured Obligations</w:t>
      </w:r>
      <w:r>
        <w:rPr>
          <w:color w:val="000000"/>
        </w:rPr>
        <w:t xml:space="preserve">” </w:t>
      </w:r>
      <w:r>
        <w:rPr>
          <w:rFonts w:ascii="Times New Roman;sans-serif" w:hAnsi="Times New Roman;sans-serif"/>
          <w:b w:val="false"/>
          <w:color w:val="000000"/>
          <w:sz w:val="22"/>
        </w:rPr>
        <w:t xml:space="preserve">means all Obligations, together with all Swap Obligations and Banking Services Obligations owing to one or more Lenders or their respective Affiliates, in each case whether now existing or hereafter arising, whether all such obligations arise or accrue before or after the commencement of any bankruptcy, insolvency or receivership proceedings, including, without limitation, interest and fees accruing pre-petition or post-petition and costs, expenses, and attorneys’ and paralegals’ fees, whenever incurred (and whether or not such claims, interest, costs, expenses or fees are allowed or allowable in any such proceeding);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Security Agreement</w:t>
      </w:r>
      <w:r>
        <w:rPr>
          <w:color w:val="000000"/>
        </w:rPr>
        <w:t xml:space="preserve">” </w:t>
      </w:r>
      <w:r>
        <w:rPr>
          <w:rFonts w:ascii="Times New Roman;sans-serif" w:hAnsi="Times New Roman;sans-serif"/>
          <w:b w:val="false"/>
          <w:color w:val="000000"/>
          <w:sz w:val="22"/>
        </w:rPr>
        <w:t>means that certain Amended and Restated Pledge and Security Agreement (including any and all supplements thereto), dated as of the Effective Date, between the Loan Parties and the Administrative Agent, for the benefit of the Administrative Agent and the other Holders of Secured Obligations, and any other pledge or security agreement entered into, after the date of this Agreement by any other Loan Party (as required by this Agreement or any other Loan Document), or any other Person, as the same may be amended, restated or otherwise modified from time to time.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Senior Indebtedness</w:t>
      </w:r>
      <w:r>
        <w:rPr>
          <w:color w:val="000000"/>
        </w:rPr>
        <w:t xml:space="preserve">” </w:t>
      </w:r>
      <w:r>
        <w:rPr>
          <w:rFonts w:ascii="Times New Roman;sans-serif" w:hAnsi="Times New Roman;sans-serif"/>
          <w:b w:val="false"/>
          <w:color w:val="000000"/>
          <w:sz w:val="22"/>
        </w:rPr>
        <w:t>has the meaning assigned to it in Section 9.02(b).</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SOFR</w:t>
      </w:r>
      <w:r>
        <w:rPr>
          <w:color w:val="000000"/>
        </w:rPr>
        <w:t xml:space="preserve">” </w:t>
      </w:r>
      <w:r>
        <w:rPr>
          <w:rFonts w:ascii="Times New Roman;sans-serif" w:hAnsi="Times New Roman;sans-serif"/>
          <w:b w:val="false"/>
          <w:color w:val="000000"/>
          <w:sz w:val="22"/>
        </w:rPr>
        <w:t>means a rate equal to the secured overnight financing rate as administered by the SOFR Administrator.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SOFR Administrator</w:t>
      </w:r>
      <w:r>
        <w:rPr>
          <w:color w:val="000000"/>
        </w:rPr>
        <w:t xml:space="preserve">” </w:t>
      </w:r>
      <w:r>
        <w:rPr>
          <w:rFonts w:ascii="Times New Roman;sans-serif" w:hAnsi="Times New Roman;sans-serif"/>
          <w:b w:val="false"/>
          <w:color w:val="000000"/>
          <w:sz w:val="22"/>
        </w:rPr>
        <w:t>means the NYFRB (or a successor administrator of the secured overnight financing rate).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SOFR Administrator’s Website</w:t>
      </w:r>
      <w:r>
        <w:rPr>
          <w:color w:val="000000"/>
        </w:rPr>
        <w:t xml:space="preserve">” </w:t>
      </w:r>
      <w:r>
        <w:rPr>
          <w:rFonts w:ascii="Times New Roman;sans-serif" w:hAnsi="Times New Roman;sans-serif"/>
          <w:b w:val="false"/>
          <w:color w:val="000000"/>
          <w:sz w:val="22"/>
        </w:rPr>
        <w:t>means the NYFRB’s Website, currently at http://www.newyorkfed.org, or any successor source for the secured overnight financing rate identified as such by the SOFR Administrator from time to time.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SOFR Rate Day</w:t>
      </w:r>
      <w:r>
        <w:rPr>
          <w:color w:val="000000"/>
        </w:rPr>
        <w:t xml:space="preserve">” </w:t>
      </w:r>
      <w:r>
        <w:rPr>
          <w:rFonts w:ascii="Times New Roman;sans-serif" w:hAnsi="Times New Roman;sans-serif"/>
          <w:b w:val="false"/>
          <w:color w:val="000000"/>
          <w:sz w:val="22"/>
        </w:rPr>
        <w:t>has the meaning specified in the definition of “Daily Simple SOFR”.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Specified Ancillary Obligations</w:t>
      </w:r>
      <w:r>
        <w:rPr>
          <w:color w:val="000000"/>
        </w:rPr>
        <w:t xml:space="preserve">” </w:t>
      </w:r>
      <w:r>
        <w:rPr>
          <w:rFonts w:ascii="Times New Roman;sans-serif" w:hAnsi="Times New Roman;sans-serif"/>
          <w:b w:val="false"/>
          <w:color w:val="000000"/>
          <w:sz w:val="22"/>
        </w:rPr>
        <w:t>means all obligations and liabilities (including interest and fees accruing during the pendency of any bankruptcy, insolvency,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Swap Agreement or any Banking Services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90"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Specified Swap Obligation</w:t>
      </w:r>
      <w:r>
        <w:rPr>
          <w:color w:val="000000"/>
        </w:rPr>
        <w:t xml:space="preserve">” </w:t>
      </w:r>
      <w:r>
        <w:rPr>
          <w:rFonts w:ascii="Times New Roman;sans-serif" w:hAnsi="Times New Roman;sans-serif"/>
          <w:b w:val="false"/>
          <w:color w:val="000000"/>
          <w:sz w:val="22"/>
        </w:rPr>
        <w:t>means, with respect to any Loan Party, any obligation to pay or perform under any agreement, contract or transaction that constitutes a “swap” within the meaning of Section 1a(47) of the Commodity Exchange Act or any rules or regulations promulgated thereunder.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Standard Securitization Undertakings</w:t>
      </w:r>
      <w:r>
        <w:rPr>
          <w:color w:val="000000"/>
        </w:rPr>
        <w:t xml:space="preserve">” </w:t>
      </w:r>
      <w:r>
        <w:rPr>
          <w:rFonts w:ascii="Times New Roman;sans-serif" w:hAnsi="Times New Roman;sans-serif"/>
          <w:b w:val="false"/>
          <w:color w:val="000000"/>
          <w:sz w:val="22"/>
        </w:rPr>
        <w:t>means representations, warranties, covenants and indemnities entered into by the Borrower or any Subsidiary thereof in connection with the Receivables Facility which are reasonably customary in an accounts receivable financing transaction.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rPr>
        <w:t>S</w:t>
      </w:r>
      <w:r>
        <w:rPr>
          <w:rFonts w:ascii="Times New Roman;sans-serif" w:hAnsi="Times New Roman;sans-serif"/>
          <w:b w:val="false"/>
          <w:color w:val="000000"/>
          <w:sz w:val="22"/>
          <w:u w:val="single"/>
        </w:rPr>
        <w:t>tatutory Reserve Rate</w:t>
      </w:r>
      <w:r>
        <w:rPr>
          <w:color w:val="000000"/>
        </w:rPr>
        <w:t xml:space="preserve">” </w:t>
      </w:r>
      <w:r>
        <w:rPr>
          <w:rFonts w:ascii="Times New Roman;sans-serif" w:hAnsi="Times New Roman;sans-serif"/>
          <w:b w:val="false"/>
          <w:color w:val="000000"/>
          <w:sz w:val="22"/>
        </w:rPr>
        <w:t>means a fraction (expressed as a decimal), the numerator of which is the number one and the denominator of which is the number one minus the aggregate of the maximum reserve, liquid asset, fees or similar requirements (including any marginal, special, emergency or supplemental reserves or other requirements) established by any central bank, monetary authority, the Federal Reserve Board, the Financial Conduct Authority, the Prudential Regulation Authority, the European Central Bank or other Governmental Authority for any category of deposits or liabilities customarily used to fund loans in the applicable currency, expressed in the case of each such requirement as a decimal. Such reserve, liquid asset, fees or similar requirements shall include those imposed pursuant to Regulation D of the Federal Reserve Board. Term Benchmark Loans for which the associated Benchmark is adjusted by reference to the Statutory Reserve Rate (per the related definition of such Benchmark) shall be deemed to constitute eurocurrency funding and to be subject to such reserve, liquid asset, fee or similar requirements without benefit of or credit for proration, exemptions or offsets that may be available from time to time to any Lender under any applicable law, rule or regulation, including Regulation D of the Federal Reserve Board. The Statutory Reserve Rate shall be adjusted automatically on and as of the effective date of any change in any reserve, liquid asset or similar requirement.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with respect to any Person (the “parent”) at any date, any other Person (other than a natural person) the accounts of which would be consolidated with those of the parent in the parent’s consolidated financial statements if such financial statements were prepared in accordance with GAAP as of such date, as well as any other Person (a) of which securities or other ownership interests representing more than 50% of the Equity Interests or more than 50% of the ordinary voting power or, in the case of a partnership, more than 50% of the general partnership interests are, as of such date, owned, Controlled or held, or (b) that is, as of such date, otherwise greater than 50% Controlled, by the parent and/or one or more subsidiaries of the parent.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any subsidiary of the Borrower.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Subsidiary Guarantor</w:t>
      </w:r>
      <w:r>
        <w:rPr>
          <w:color w:val="000000"/>
        </w:rPr>
        <w:t xml:space="preserve">” </w:t>
      </w:r>
      <w:r>
        <w:rPr>
          <w:rFonts w:ascii="Times New Roman;sans-serif" w:hAnsi="Times New Roman;sans-serif"/>
          <w:b w:val="false"/>
          <w:color w:val="000000"/>
          <w:sz w:val="22"/>
        </w:rPr>
        <w:t>means each Material Subsidiary that becomes a party to a Subsidiary Guaranty (including pursuant to a joinder or supplement thereto).</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Subsidiary Guaranty</w:t>
      </w:r>
      <w:r>
        <w:rPr>
          <w:color w:val="000000"/>
        </w:rPr>
        <w:t xml:space="preserve">” </w:t>
      </w:r>
      <w:r>
        <w:rPr>
          <w:rFonts w:ascii="Times New Roman;sans-serif" w:hAnsi="Times New Roman;sans-serif"/>
          <w:b w:val="false"/>
          <w:color w:val="000000"/>
          <w:sz w:val="22"/>
        </w:rPr>
        <w:t>means that certain Amended and Restated Guaranty dated as of the Effective Date (including any and all supplements thereto) and executed by each Subsidiary Guarantor, and any other guaranty agreements as are requested by the Administrative Agent and its counsel, in each case as amended, restated, supplemented or otherwise modified from time to time.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Subordinated Indebtedness</w:t>
      </w:r>
      <w:r>
        <w:rPr>
          <w:color w:val="000000"/>
        </w:rPr>
        <w:t xml:space="preserve">” </w:t>
      </w:r>
      <w:r>
        <w:rPr>
          <w:rFonts w:ascii="Times New Roman;sans-serif" w:hAnsi="Times New Roman;sans-serif"/>
          <w:b w:val="false"/>
          <w:color w:val="000000"/>
          <w:sz w:val="22"/>
        </w:rPr>
        <w:t>of the Borrower or any Subsidiary means any Indebtedness of such Person the payment of which is subordinated to payment of the Secured Obligations to the written satisfaction of, and the terms and conditions of which are otherwise satisfactory to, the Administrative Agent.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Subordinated Indebtedness Documents</w:t>
      </w:r>
      <w:r>
        <w:rPr>
          <w:color w:val="000000"/>
        </w:rPr>
        <w:t xml:space="preserve">” </w:t>
      </w:r>
      <w:r>
        <w:rPr>
          <w:rFonts w:ascii="Times New Roman;sans-serif" w:hAnsi="Times New Roman;sans-serif"/>
          <w:b w:val="false"/>
          <w:color w:val="000000"/>
          <w:sz w:val="22"/>
        </w:rPr>
        <w:t>means any document, agreement or instrument evidencing any Subordinated Indebtedness or entered into in connection with any Subordinated Indebtedness.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Supported QFC</w:t>
      </w:r>
      <w:r>
        <w:rPr>
          <w:color w:val="000000"/>
        </w:rPr>
        <w:t xml:space="preserve">” </w:t>
      </w:r>
      <w:r>
        <w:rPr>
          <w:rFonts w:ascii="Times New Roman;sans-serif" w:hAnsi="Times New Roman;sans-serif"/>
          <w:b w:val="false"/>
          <w:color w:val="000000"/>
          <w:sz w:val="22"/>
        </w:rPr>
        <w:t>has the meaning assigned to such term in Section 9.21.</w:t>
      </w:r>
    </w:p>
    <w:p>
      <w:pPr>
        <w:pStyle w:val="TextBody"/>
        <w:bidi w:val="0"/>
        <w:spacing w:before="0" w:after="24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1"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Swap Agreement</w:t>
      </w:r>
      <w:r>
        <w:rPr>
          <w:color w:val="000000"/>
        </w:rPr>
        <w:t xml:space="preserve">” </w:t>
      </w:r>
      <w:r>
        <w:rPr>
          <w:rFonts w:ascii="Times New Roman;sans-serif" w:hAnsi="Times New Roman;sans-serif"/>
          <w:b w:val="false"/>
          <w:color w:val="000000"/>
          <w:sz w:val="22"/>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phantom stock or similar plan providing for payments only on account of services provided by current or former directors, officers, employees or consultants of the Borrower or the Subsidiaries shall be a Swap Agreement.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Swap Obligations</w:t>
      </w:r>
      <w:r>
        <w:rPr>
          <w:color w:val="000000"/>
        </w:rPr>
        <w:t xml:space="preserve">” </w:t>
      </w:r>
      <w:r>
        <w:rPr>
          <w:rFonts w:ascii="Times New Roman;sans-serif" w:hAnsi="Times New Roman;sans-serif"/>
          <w:b w:val="false"/>
          <w:color w:val="000000"/>
          <w:sz w:val="22"/>
        </w:rPr>
        <w:t>means any and all obligations of the Borrower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Sweep Depositary</w:t>
      </w:r>
      <w:r>
        <w:rPr>
          <w:color w:val="000000"/>
        </w:rPr>
        <w:t xml:space="preserve">” </w:t>
      </w:r>
      <w:r>
        <w:rPr>
          <w:rFonts w:ascii="Times New Roman;sans-serif" w:hAnsi="Times New Roman;sans-serif"/>
          <w:b w:val="false"/>
          <w:color w:val="000000"/>
          <w:sz w:val="22"/>
        </w:rPr>
        <w:t>shall have the meaning set forth in the definition of Sweep to Loan Arrangement.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Sweep to Loan Arrangement</w:t>
      </w:r>
      <w:r>
        <w:rPr>
          <w:color w:val="000000"/>
        </w:rPr>
        <w:t xml:space="preserve">” </w:t>
      </w:r>
      <w:r>
        <w:rPr>
          <w:rFonts w:ascii="Times New Roman;sans-serif" w:hAnsi="Times New Roman;sans-serif"/>
          <w:b w:val="false"/>
          <w:color w:val="000000"/>
          <w:sz w:val="22"/>
        </w:rPr>
        <w:t>means a cash management arrangement established by the Borrower with the Swingline Lender or an Affiliate of the Swingline Lender, as depositary (in such capacity, the “</w:t>
      </w:r>
      <w:r>
        <w:rPr>
          <w:rFonts w:ascii="Times New Roman;sans-serif" w:hAnsi="Times New Roman;sans-serif"/>
          <w:b w:val="false"/>
          <w:color w:val="000000"/>
          <w:sz w:val="22"/>
          <w:u w:val="single"/>
        </w:rPr>
        <w:t>Sweep Depositary</w:t>
      </w:r>
      <w:r>
        <w:rPr>
          <w:color w:val="000000"/>
        </w:rPr>
        <w:t>”</w:t>
      </w:r>
      <w:r>
        <w:rPr>
          <w:rFonts w:ascii="Times New Roman;sans-serif" w:hAnsi="Times New Roman;sans-serif"/>
          <w:b w:val="false"/>
          <w:color w:val="000000"/>
          <w:sz w:val="22"/>
        </w:rPr>
        <w:t>), pursuant to which the Swingline Lender is authorized (a) to make advances of Swingline Loans hereunder, the proceeds of which are deposited by the Swingline Lender into a designated account of the Borrower maintained at the Sweep Depositary, and (b) to accept as prepayments of the Swingline Loans hereunder proceeds of excess targeted balances held in such designated account at the Sweep Depositary, which cash management arrangement is subject to such agreement(s) and on such terms acceptable to the Sweep Depositary and the Swingline Lender.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Swingline Exposure</w:t>
      </w:r>
      <w:r>
        <w:rPr>
          <w:color w:val="000000"/>
        </w:rPr>
        <w:t xml:space="preserve">” </w:t>
      </w:r>
      <w:r>
        <w:rPr>
          <w:rFonts w:ascii="Times New Roman;sans-serif" w:hAnsi="Times New Roman;sans-serif"/>
          <w:b w:val="false"/>
          <w:color w:val="000000"/>
          <w:sz w:val="22"/>
        </w:rPr>
        <w:t>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such Lender in its capacity as a Swingline Lender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Lender that is a Swingline Lender, the aggregate principal amount of all Swingline Loans made by such Lender as a Swingline Lender outstanding at such time, less the amount of participations funded by the other Lenders in such Swingline Loans.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Swingline Lender</w:t>
      </w:r>
      <w:r>
        <w:rPr>
          <w:color w:val="000000"/>
        </w:rPr>
        <w:t xml:space="preserve">” </w:t>
      </w:r>
      <w:r>
        <w:rPr>
          <w:rFonts w:ascii="Times New Roman;sans-serif" w:hAnsi="Times New Roman;sans-serif"/>
          <w:b w:val="false"/>
          <w:color w:val="000000"/>
          <w:sz w:val="22"/>
        </w:rPr>
        <w:t>means JPMorgan Chase Bank, N.A. (or any of its designated branch offices or affiliates), in its capacity as a lender of Swingline Loans hereunder.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Swingline Loan</w:t>
      </w:r>
      <w:r>
        <w:rPr>
          <w:color w:val="000000"/>
        </w:rPr>
        <w:t xml:space="preserve">” </w:t>
      </w:r>
      <w:r>
        <w:rPr>
          <w:rFonts w:ascii="Times New Roman;sans-serif" w:hAnsi="Times New Roman;sans-serif"/>
          <w:b w:val="false"/>
          <w:color w:val="000000"/>
          <w:sz w:val="22"/>
        </w:rPr>
        <w:t>means a Loan made pursuant to Section 2.05.</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Syndication Agent</w:t>
      </w:r>
      <w:r>
        <w:rPr>
          <w:color w:val="000000"/>
        </w:rPr>
        <w:t xml:space="preserve">” </w:t>
      </w:r>
      <w:r>
        <w:rPr>
          <w:rFonts w:ascii="Times New Roman;sans-serif" w:hAnsi="Times New Roman;sans-serif"/>
          <w:b w:val="false"/>
          <w:color w:val="000000"/>
          <w:sz w:val="22"/>
        </w:rPr>
        <w:t>means Bank of America, N.A.</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T2</w:t>
      </w:r>
      <w:r>
        <w:rPr>
          <w:color w:val="000000"/>
        </w:rPr>
        <w:t xml:space="preserve">” </w:t>
      </w:r>
      <w:r>
        <w:rPr>
          <w:rFonts w:ascii="Times New Roman;sans-serif" w:hAnsi="Times New Roman;sans-serif"/>
          <w:b w:val="false"/>
          <w:color w:val="000000"/>
          <w:sz w:val="22"/>
        </w:rPr>
        <w:t>means the real time gross settlement system operated by the Eurosystem, or any successor system.</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TARGET Day</w:t>
      </w:r>
      <w:r>
        <w:rPr>
          <w:color w:val="000000"/>
        </w:rPr>
        <w:t xml:space="preserve">” </w:t>
      </w:r>
      <w:r>
        <w:rPr>
          <w:rFonts w:ascii="Times New Roman;sans-serif" w:hAnsi="Times New Roman;sans-serif"/>
          <w:b w:val="false"/>
          <w:color w:val="000000"/>
          <w:sz w:val="22"/>
        </w:rPr>
        <w:t>means any day on which T2 (or, if such payment system ceases to be operative, such other payment system, if any, determined by the Administrative Agent to be a suitable replacement) is open for the settlement of payments in Euro.</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Tax Status Certificate</w:t>
      </w:r>
      <w:r>
        <w:rPr>
          <w:color w:val="000000"/>
        </w:rPr>
        <w:t xml:space="preserve">” </w:t>
      </w:r>
      <w:r>
        <w:rPr>
          <w:rFonts w:ascii="Times New Roman;sans-serif" w:hAnsi="Times New Roman;sans-serif"/>
          <w:b w:val="false"/>
          <w:color w:val="000000"/>
          <w:sz w:val="22"/>
        </w:rPr>
        <w:t>has the meaning assigned to such term in Section 2.17(e).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any and all present or future taxes, levies, imposts, duties, deductions, assessments, fees, charges or withholdings imposed by any Governmental Authority, including any interest, additions to tax or penalties applicable thereto.</w:t>
      </w:r>
    </w:p>
    <w:p>
      <w:pPr>
        <w:pStyle w:val="TextBody"/>
        <w:bidi w:val="0"/>
        <w:spacing w:before="0" w:after="24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92"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Term Benchmark</w:t>
      </w:r>
      <w:r>
        <w:rPr>
          <w:color w:val="000000"/>
        </w:rPr>
        <w:t xml:space="preserve">” </w:t>
      </w:r>
      <w:r>
        <w:rPr>
          <w:rFonts w:ascii="Times New Roman;sans-serif" w:hAnsi="Times New Roman;sans-serif"/>
          <w:b w:val="false"/>
          <w:color w:val="000000"/>
          <w:sz w:val="22"/>
        </w:rPr>
        <w:t>when used in reference to any Loan or Borrowing, refers to whether such Loan, or the Loans comprising such Borrowing, are bearing interest at a rate determined by reference to the Adjusted Term SOFR Rate, the Adjusted EURIBOR Rate or the Adjusted CDOR Rate.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Term SOFR Determination Day</w:t>
      </w:r>
      <w:r>
        <w:rPr>
          <w:color w:val="000000"/>
        </w:rPr>
        <w:t xml:space="preserve">” </w:t>
      </w:r>
      <w:r>
        <w:rPr>
          <w:rFonts w:ascii="Times New Roman;sans-serif" w:hAnsi="Times New Roman;sans-serif"/>
          <w:b w:val="false"/>
          <w:color w:val="000000"/>
          <w:sz w:val="22"/>
        </w:rPr>
        <w:t>has the meaning assigned to it under the definition of Term SOFR Reference Rate.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Term SOFR Rate</w:t>
      </w:r>
      <w:r>
        <w:rPr>
          <w:color w:val="000000"/>
        </w:rPr>
        <w:t xml:space="preserve">” </w:t>
      </w:r>
      <w:r>
        <w:rPr>
          <w:rFonts w:ascii="Times New Roman;sans-serif" w:hAnsi="Times New Roman;sans-serif"/>
          <w:b w:val="false"/>
          <w:color w:val="000000"/>
          <w:sz w:val="22"/>
        </w:rPr>
        <w:t>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Term SOFR Reference Rate</w:t>
      </w:r>
      <w:r>
        <w:rPr>
          <w:color w:val="000000"/>
        </w:rPr>
        <w:t xml:space="preserve">” </w:t>
      </w:r>
      <w:r>
        <w:rPr>
          <w:rFonts w:ascii="Times New Roman;sans-serif" w:hAnsi="Times New Roman;sans-serif"/>
          <w:b w:val="false"/>
          <w:color w:val="000000"/>
          <w:sz w:val="22"/>
        </w:rPr>
        <w:t>means, for any day and time (such day, the “</w:t>
      </w:r>
      <w:r>
        <w:rPr>
          <w:rFonts w:ascii="Times New Roman;sans-serif" w:hAnsi="Times New Roman;sans-serif"/>
          <w:b w:val="false"/>
          <w:color w:val="000000"/>
          <w:sz w:val="22"/>
          <w:u w:val="single"/>
        </w:rPr>
        <w:t>Term SOFR Determination Day</w:t>
      </w:r>
      <w:r>
        <w:rPr>
          <w:color w:val="000000"/>
        </w:rPr>
        <w:t>”</w:t>
      </w:r>
      <w:r>
        <w:rPr>
          <w:rFonts w:ascii="Times New Roman;sans-serif" w:hAnsi="Times New Roman;sans-serif"/>
          <w:b w:val="false"/>
          <w:color w:val="000000"/>
          <w:sz w:val="22"/>
        </w:rPr>
        <w:t xml:space="preserve">),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Total Net Indebtedness</w:t>
      </w:r>
      <w:r>
        <w:rPr>
          <w:color w:val="000000"/>
        </w:rPr>
        <w:t xml:space="preserve">” </w:t>
      </w:r>
      <w:r>
        <w:rPr>
          <w:rFonts w:ascii="Times New Roman;sans-serif" w:hAnsi="Times New Roman;sans-serif"/>
          <w:b w:val="false"/>
          <w:color w:val="000000"/>
          <w:sz w:val="22"/>
        </w:rPr>
        <w:t xml:space="preserve">means, on any date, with respect to the Borrower and its Subsidiaries, Consolidated Total Indebtedness on such date </w:t>
      </w:r>
      <w:r>
        <w:rPr>
          <w:rFonts w:ascii="Times New Roman;sans-serif" w:hAnsi="Times New Roman;sans-serif"/>
          <w:b w:val="false"/>
          <w:i/>
          <w:color w:val="000000"/>
          <w:sz w:val="22"/>
          <w:u w:val="single"/>
        </w:rPr>
        <w:t>minus</w:t>
      </w:r>
      <w:r>
        <w:rPr>
          <w:color w:val="000000"/>
        </w:rPr>
        <w:t xml:space="preserve"> </w:t>
      </w:r>
      <w:r>
        <w:rPr>
          <w:rFonts w:ascii="Times New Roman;sans-serif" w:hAnsi="Times New Roman;sans-serif"/>
          <w:b w:val="false"/>
          <w:color w:val="000000"/>
          <w:sz w:val="22"/>
        </w:rPr>
        <w:t>the Qualified Cash Amount on such date.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Transactions</w:t>
      </w:r>
      <w:r>
        <w:rPr>
          <w:color w:val="000000"/>
        </w:rPr>
        <w:t xml:space="preserve">” </w:t>
      </w:r>
      <w:r>
        <w:rPr>
          <w:rFonts w:ascii="Times New Roman;sans-serif" w:hAnsi="Times New Roman;sans-serif"/>
          <w:b w:val="false"/>
          <w:color w:val="000000"/>
          <w:sz w:val="22"/>
        </w:rPr>
        <w:t>means the execution, delivery and performance by the Loan Parties of this Agreement and the other Loan Documents, the borrowing of Loans and other credit extensions, the use of the proceeds thereof and the issuance of Letters of Credit hereunder.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Type,</w:t>
      </w:r>
      <w:r>
        <w:rPr>
          <w:color w:val="000000"/>
        </w:rPr>
        <w:t xml:space="preserve">” </w:t>
      </w:r>
      <w:r>
        <w:rPr>
          <w:rFonts w:ascii="Times New Roman;sans-serif" w:hAnsi="Times New Roman;sans-serif"/>
          <w:b w:val="false"/>
          <w:color w:val="000000"/>
          <w:sz w:val="22"/>
        </w:rPr>
        <w:t>when used in reference to any Loan or Borrowing, refers to whether the rate of interest on such Loan, or on the Loans comprising such Borrowing, is determined by reference to the Adjusted Term SOFR Rate, the Adjusted EURIBOR Rate, the Adjusted Daily Simple RFR, the Adjusted CDOR Rate, the Canadian Prime Rate or the Alternate Base Rate.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UCC</w:t>
      </w:r>
      <w:r>
        <w:rPr>
          <w:color w:val="000000"/>
        </w:rPr>
        <w:t xml:space="preserve">” </w:t>
      </w:r>
      <w:r>
        <w:rPr>
          <w:rFonts w:ascii="Times New Roman;sans-serif" w:hAnsi="Times New Roman;sans-serif"/>
          <w:b w:val="false"/>
          <w:color w:val="000000"/>
          <w:sz w:val="22"/>
        </w:rPr>
        <w:t>means the Uniform Commercial Code as in effect from time to time in the State of New York or any other state the laws of which are required to be applied in connection with the issue of perfection of security interests.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UK Financial Institutions</w:t>
      </w:r>
      <w:r>
        <w:rPr>
          <w:color w:val="000000"/>
        </w:rPr>
        <w:t xml:space="preserve">” </w:t>
      </w:r>
      <w:r>
        <w:rPr>
          <w:rFonts w:ascii="Times New Roman;sans-serif" w:hAnsi="Times New Roman;sans-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Unadjusted Benchmark Replacement</w:t>
      </w:r>
      <w:r>
        <w:rPr>
          <w:color w:val="000000"/>
        </w:rPr>
        <w:t xml:space="preserve">” </w:t>
      </w:r>
      <w:r>
        <w:rPr>
          <w:rFonts w:ascii="Times New Roman;sans-serif" w:hAnsi="Times New Roman;sans-serif"/>
          <w:b w:val="false"/>
          <w:color w:val="000000"/>
          <w:sz w:val="22"/>
        </w:rPr>
        <w:t>means the applicable Benchmark Replacement excluding the related Benchmark Replacement Adjustment.</w:t>
      </w:r>
    </w:p>
    <w:p>
      <w:pPr>
        <w:pStyle w:val="TextBody"/>
        <w:bidi w:val="0"/>
        <w:spacing w:before="0" w:after="24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93"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Unfunded Commitment</w:t>
      </w:r>
      <w:r>
        <w:rPr>
          <w:color w:val="000000"/>
        </w:rPr>
        <w:t xml:space="preserve">” </w:t>
      </w:r>
      <w:r>
        <w:rPr>
          <w:rFonts w:ascii="Times New Roman;sans-serif" w:hAnsi="Times New Roman;sans-serif"/>
          <w:b w:val="false"/>
          <w:color w:val="000000"/>
          <w:sz w:val="22"/>
        </w:rPr>
        <w:t xml:space="preserve">means, with respect to each Lender, the Commitment of such Lender less its Revolving Exposure. </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Unliquidated Obligations</w:t>
      </w:r>
      <w:r>
        <w:rPr>
          <w:color w:val="000000"/>
        </w:rPr>
        <w:t xml:space="preserve">” </w:t>
      </w:r>
      <w:r>
        <w:rPr>
          <w:rFonts w:ascii="Times New Roman;sans-serif" w:hAnsi="Times New Roman;sans-serif"/>
          <w:b w:val="false"/>
          <w:color w:val="000000"/>
          <w:sz w:val="22"/>
        </w:rPr>
        <w:t>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U.S. Government Securities Business Day</w:t>
      </w:r>
      <w:r>
        <w:rPr>
          <w:color w:val="000000"/>
        </w:rPr>
        <w:t xml:space="preserve">” </w:t>
      </w:r>
      <w:r>
        <w:rPr>
          <w:rFonts w:ascii="Times New Roman;sans-serif" w:hAnsi="Times New Roman;sans-serif"/>
          <w:b w:val="false"/>
          <w:color w:val="000000"/>
          <w:sz w:val="22"/>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U.S. Special Resolution Regime</w:t>
      </w:r>
      <w:r>
        <w:rPr>
          <w:color w:val="000000"/>
        </w:rPr>
        <w:t xml:space="preserve">” </w:t>
      </w:r>
      <w:r>
        <w:rPr>
          <w:rFonts w:ascii="Times New Roman;sans-serif" w:hAnsi="Times New Roman;sans-serif"/>
          <w:b w:val="false"/>
          <w:color w:val="000000"/>
          <w:sz w:val="22"/>
        </w:rPr>
        <w:t>has the meaning assigned to such term in Section 9.21.</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Withdrawal Liability</w:t>
      </w:r>
      <w:r>
        <w:rPr>
          <w:color w:val="000000"/>
        </w:rPr>
        <w:t xml:space="preserve">” </w:t>
      </w:r>
      <w:r>
        <w:rPr>
          <w:rFonts w:ascii="Times New Roman;sans-serif" w:hAnsi="Times New Roman;sans-serif"/>
          <w:b w:val="false"/>
          <w:color w:val="000000"/>
          <w:sz w:val="22"/>
        </w:rPr>
        <w:t>means liability to a Multiemployer Plan as a result of a complete or partial withdrawal from such Multiemployer Plan, as such terms are defined in Part 1 of Subtitle E of Title IV of ERISA.</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Write-Down and Conversion Powers</w:t>
      </w:r>
      <w:r>
        <w:rPr>
          <w:color w:val="000000"/>
        </w:rPr>
        <w:t xml:space="preserve">” </w:t>
      </w:r>
      <w:r>
        <w:rPr>
          <w:rFonts w:ascii="Times New Roman;sans-serif" w:hAnsi="Times New Roman;sans-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1.02. </w:t>
      </w:r>
      <w:r>
        <w:rPr>
          <w:rFonts w:ascii="Times New Roman;sans-serif" w:hAnsi="Times New Roman;sans-serif"/>
          <w:b w:val="false"/>
          <w:color w:val="000000"/>
          <w:sz w:val="22"/>
          <w:u w:val="single"/>
        </w:rPr>
        <w:t>Classification of Loans and Borrowings</w:t>
      </w:r>
      <w:r>
        <w:rPr>
          <w:rFonts w:ascii="Times New Roman;sans-serif" w:hAnsi="Times New Roman;sans-serif"/>
          <w:b w:val="false"/>
          <w:color w:val="000000"/>
          <w:sz w:val="22"/>
        </w:rPr>
        <w:t>. For purposes of this Agreement, Loans and Borrowings may be classified and referred to by Type (e.g., a “Term Benchmark Loan” or a “Term Benchmark Borrowing”).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1.03. </w:t>
      </w:r>
      <w:r>
        <w:rPr>
          <w:rFonts w:ascii="Times New Roman;sans-serif" w:hAnsi="Times New Roman;sans-serif"/>
          <w:b w:val="false"/>
          <w:color w:val="000000"/>
          <w:sz w:val="22"/>
          <w:u w:val="single"/>
        </w:rPr>
        <w:t>Terms Generally</w:t>
      </w:r>
      <w:r>
        <w:rPr>
          <w:rFonts w:ascii="Times New Roman;sans-serif" w:hAnsi="Times New Roman;sans-serif"/>
          <w:b w:val="false"/>
          <w:color w:val="000000"/>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94"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SECTION 1.04. </w:t>
      </w:r>
      <w:r>
        <w:rPr>
          <w:rFonts w:ascii="Times New Roman;sans-serif" w:hAnsi="Times New Roman;sans-serif"/>
          <w:b w:val="false"/>
          <w:color w:val="000000"/>
          <w:sz w:val="22"/>
          <w:u w:val="single"/>
        </w:rPr>
        <w:t>Accounting Terms; GAAP; Pro Forma Calculations</w:t>
      </w:r>
      <w:r>
        <w:rPr>
          <w:rFonts w:ascii="Times New Roman;sans-serif" w:hAnsi="Times New Roman;sans-serif"/>
          <w:b w:val="false"/>
          <w:color w:val="000000"/>
          <w:sz w:val="22"/>
        </w:rPr>
        <w:t xml:space="preserve">. (a) Except as otherwise expressly provided herein, all terms of an accounting or financial nature shall be construed in accordance with GAAP, as in effect from time to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 any treatment of Indebtedness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All pro forma computations required to be made hereunder giving effect to any acquisition or disposition, or issuance, incurrence or assumption of Indebtedness, or other transaction for which a pro forma computation is expressly required under this Agreement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Notwithstanding anything to the contrary contained in Section 1.04(a) or in the definition of “Finance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finance lease where such lease (or similar arrangement) would not have been required to be so treated under GAAP as in effect on December 31, 2015, such lease shall not be considered a finance lease, and all calculations (including with respect to assets and liabilities associated with such lease) and deliverables under this Agreement or any other Loan Document shall be made or delivered, as applicable, in accordance therewith.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95"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SECTION 1.05. </w:t>
      </w:r>
      <w:r>
        <w:rPr>
          <w:rFonts w:ascii="Times New Roman;sans-serif" w:hAnsi="Times New Roman;sans-serif"/>
          <w:b w:val="false"/>
          <w:color w:val="000000"/>
          <w:sz w:val="22"/>
          <w:u w:val="single"/>
        </w:rPr>
        <w:t>Status of Obligations</w:t>
      </w:r>
      <w:r>
        <w:rPr>
          <w:rFonts w:ascii="Times New Roman;sans-serif" w:hAnsi="Times New Roman;sans-serif"/>
          <w:b w:val="false"/>
          <w:color w:val="000000"/>
          <w:sz w:val="22"/>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1.06. </w:t>
      </w:r>
      <w:r>
        <w:rPr>
          <w:rFonts w:ascii="Times New Roman;sans-serif" w:hAnsi="Times New Roman;sans-serif"/>
          <w:b w:val="false"/>
          <w:color w:val="000000"/>
          <w:sz w:val="22"/>
          <w:u w:val="single"/>
        </w:rPr>
        <w:t>Amendment and Restatement of Existing Credit Agreement</w:t>
      </w:r>
      <w:r>
        <w:rPr>
          <w:rFonts w:ascii="Times New Roman;sans-serif" w:hAnsi="Times New Roman;sans-serif"/>
          <w:b w:val="false"/>
          <w:color w:val="000000"/>
          <w:sz w:val="22"/>
        </w:rPr>
        <w:t>. The parties to this Agreement agree that, upon (i) the execution and delivery by each of the parties hereto of this Agreement and (ii) satisfaction of the conditions set forth in Section 4.01, the terms and provisions of the Existing Credit Agreement shall be and hereby are amended, superseded and restated in their entirety by the terms and provisions of this Agreement. This Agreement is not intended to and shall not constitute a novation. All Loans made and Obligations incurred under the Existing Credit Agreement which are outstanding on the Effective Date shall continue as Loans and Obligations under (and shall be governed by the terms of) this Agreement and the other Loan Documents. Without limiting the foregoing, upon the effectiveness hereof: (a) all references in the “Loan Documents” (as defined in the Existing Credit Agreement) to the “Administrative Agent”, the “Credit Agreement” and the “Loan Documents” shall be deemed to refer to the Administrative Agent, this Agreement and the Loan Documents, (b) all obligations constituting “Obligations” with any Lender or any Affiliate of any Lender which are outstanding on the Effective Date shall continue as Obligations under this Agreement and the other Loan Documents, (c) the Administrative Agent shall make such reallocations, sales, assignments, conversions or other relevant actions in respect of each Lender’s credit exposure under the Existing Credit Agreement as are necessary in order that each such Lender’s Revolving Exposures and outstanding Loans hereunder reflects such Lender’s Applicable Percentage of the outstanding aggregate Revolving Exposures on the Effective Date and (d) the Borrower hereby agrees to compensate each Lender for any and all losses, costs and expenses incurred by such Lender in connection with the sale and assignment of any “Eurocurrency Loans” under the Existing Credit Agreement and such reallocation described above or conversion to Term Benchmark Loans in accordance with Section 2.08(f) hereof, in each case on the terms and in the manner set forth in Section 2.16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SECTION 1.07.</w:t>
      </w:r>
      <w:r>
        <w:rPr>
          <w:color w:val="000000"/>
          <w:shd w:fill="FFFFFF" w:val="clear"/>
        </w:rPr>
        <w:t xml:space="preserve"> </w:t>
      </w:r>
      <w:r>
        <w:rPr>
          <w:rFonts w:ascii="Times New Roman;sans-serif" w:hAnsi="Times New Roman;sans-serif"/>
          <w:b w:val="false"/>
          <w:color w:val="000000"/>
          <w:sz w:val="22"/>
          <w:u w:val="single"/>
          <w:shd w:fill="FFFFFF" w:val="clear"/>
        </w:rPr>
        <w:t>Interest Rates; Benchmark Notification</w:t>
      </w:r>
      <w:r>
        <w:rPr>
          <w:rFonts w:ascii="Times New Roman;sans-serif" w:hAnsi="Times New Roman;sans-serif"/>
          <w:b w:val="false"/>
          <w:color w:val="000000"/>
          <w:sz w:val="22"/>
        </w:rPr>
        <w:t>. The interest rate on a Loan denominated in Dollars or a Foreign Currency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96" name="Frame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SECTION 1.08.</w:t>
      </w:r>
      <w:r>
        <w:rPr>
          <w:color w:val="000000"/>
          <w:shd w:fill="FFFFFF" w:val="clear"/>
        </w:rPr>
        <w:t xml:space="preserve"> </w:t>
      </w:r>
      <w:r>
        <w:rPr>
          <w:rFonts w:ascii="Times New Roman;sans-serif" w:hAnsi="Times New Roman;sans-serif"/>
          <w:b w:val="false"/>
          <w:color w:val="000000"/>
          <w:sz w:val="22"/>
          <w:u w:val="single"/>
          <w:shd w:fill="FFFFFF" w:val="clear"/>
        </w:rPr>
        <w:t>Letter of Credit Amounts</w:t>
      </w:r>
      <w:r>
        <w:rPr>
          <w:rFonts w:ascii="Times New Roman;sans-serif" w:hAnsi="Times New Roman;sans-serif"/>
          <w:b w:val="false"/>
          <w:color w:val="000000"/>
          <w:sz w:val="22"/>
        </w:rPr>
        <w:t xml:space="preserve">. Unless otherwise specified herein, the amount of a Letter of Credit at any time shall be deemed to be the amount of such Letter of Credit available to be drawn at such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SECTION 1.09.</w:t>
      </w:r>
      <w:r>
        <w:rPr>
          <w:color w:val="000000"/>
          <w:shd w:fill="FFFFFF" w:val="clear"/>
        </w:rPr>
        <w:t xml:space="preserve"> </w:t>
      </w:r>
      <w:r>
        <w:rPr>
          <w:rFonts w:ascii="Times New Roman;sans-serif" w:hAnsi="Times New Roman;sans-serif"/>
          <w:b w:val="false"/>
          <w:color w:val="000000"/>
          <w:sz w:val="22"/>
          <w:u w:val="single"/>
          <w:shd w:fill="FFFFFF" w:val="clear"/>
        </w:rPr>
        <w:t>Divisions</w:t>
      </w:r>
      <w:r>
        <w:rPr>
          <w:rFonts w:ascii="Times New Roman;sans-serif" w:hAnsi="Times New Roman;sans-serif"/>
          <w:b w:val="false"/>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1.10. </w:t>
      </w:r>
      <w:r>
        <w:rPr>
          <w:rFonts w:ascii="Times New Roman;sans-serif" w:hAnsi="Times New Roman;sans-serif"/>
          <w:b w:val="false"/>
          <w:color w:val="000000"/>
          <w:sz w:val="22"/>
          <w:u w:val="single"/>
        </w:rPr>
        <w:t>Exchange Rates; Currency Equivalents</w:t>
      </w:r>
      <w:r>
        <w:rPr>
          <w:rFonts w:ascii="Times New Roman;sans-serif" w:hAnsi="Times New Roman;sans-serif"/>
          <w:b w:val="false"/>
          <w:color w:val="000000"/>
          <w:sz w:val="22"/>
        </w:rPr>
        <w:t>. (a) The Administrative Agent or the Issuing Bank, as applicable, shall determine the Dollar Amount of Term Benchmark Borrowings or RFR Borrowing or Letter of Credit extensions denominated in Foreign Currencies. Such Dollar Amount shall become effective as of such Revaluation Date and shall be the Dollar Amount of such amounts until the next Revaluation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Amount as so determined by the Administrative Agent or the Issuing Bank, as applicable.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Issuing Bank, as the case may 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ans-serif" w:hAnsi="Times New Roman;sans-serif"/>
          <w:b w:val="false"/>
          <w:color w:val="000000"/>
          <w:sz w:val="22"/>
        </w:rPr>
        <w:t>ARTICLE II</w:t>
      </w:r>
      <w:r>
        <w:rPr>
          <w:rFonts w:ascii="Times New Roman;sans-serif" w:hAnsi="Times New Roman;sans-serif"/>
          <w:b w:val="false"/>
          <w:color w:val="000000"/>
          <w:sz w:val="22"/>
          <w:u w:val="single"/>
        </w:rPr>
        <w:br/>
        <w:br/>
        <w:t>The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2.01. </w:t>
      </w:r>
      <w:r>
        <w:rPr>
          <w:rFonts w:ascii="Times New Roman;sans-serif" w:hAnsi="Times New Roman;sans-serif"/>
          <w:b w:val="false"/>
          <w:color w:val="000000"/>
          <w:sz w:val="22"/>
          <w:u w:val="single"/>
        </w:rPr>
        <w:t>Commitments</w:t>
      </w:r>
      <w:r>
        <w:rPr>
          <w:rFonts w:ascii="Times New Roman;sans-serif" w:hAnsi="Times New Roman;sans-serif"/>
          <w:b w:val="false"/>
          <w:color w:val="000000"/>
          <w:sz w:val="22"/>
        </w:rPr>
        <w:t>. Subject to the terms and conditions set forth herein, each Lender (severally and not jointly) agrees to make Revolving Loans to the Borrower in Agreed Currencies from time to time during the Availability Period in an aggregate principal amount that will not result (after giving effect to any application of proceeds of such Borrowing pursuant to Section 2.10) in (a) the Dollar Amount of such Lender’s Revolving Exposure exceeding such Lender’s Commitment, (b) subject to Section 1.10, the Dollar Amount of the total Revolving Exposures exceeding the Aggregate Commitment or (c) subject to Section 1.10, the Dollar Amount of the total outstanding Revolving Loans and LC Exposure, in each case denominated in Foreign Currencies, exceeding the Foreign Currency Sublimit. Within the foregoing limits and subject to the terms and conditions set forth herein, the Borrower may borrow, prepay and reborrow Revolving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2.02. </w:t>
      </w:r>
      <w:r>
        <w:rPr>
          <w:rFonts w:ascii="Times New Roman;sans-serif" w:hAnsi="Times New Roman;sans-serif"/>
          <w:b w:val="false"/>
          <w:color w:val="000000"/>
          <w:sz w:val="22"/>
          <w:u w:val="single"/>
        </w:rPr>
        <w:t>Loans and Borrowings</w:t>
      </w:r>
      <w:r>
        <w:rPr>
          <w:rFonts w:ascii="Times New Roman;sans-serif" w:hAnsi="Times New Roman;sans-serif"/>
          <w:b w:val="false"/>
          <w:color w:val="000000"/>
          <w:sz w:val="22"/>
        </w:rPr>
        <w:t xml:space="preserve">. (a) 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Commitments of the Lenders are several and no Lender shall be responsible for any other Lender’s failure to make Loans as required. Any Swingline Loan shall be made in accordance with the procedures set forth in Section 2.05.</w:t>
      </w:r>
    </w:p>
    <w:p>
      <w:pPr>
        <w:pStyle w:val="TextBody"/>
        <w:bidi w:val="0"/>
        <w:spacing w:before="0" w:after="24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97"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(b)    Subject to Section 2.14, each Revolving Borrowing shall be comprised entirely of ABR Loans, Term Benchmark Loans or RFR Loans, as applicable, in each case of the same Agreed Currency, as the Borrower may request in accordance herewith,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ABR Loan shall only be made in Dollars or Canadian Dollars. Each Swingline Loan shall be an ABR Loan or a Canadian Prime Rate Loan. Each Lender and each Issuing Bank, at its option, may make any Loan and/or issue any Letter of Credit by causing any domestic or foreign branch or Affiliate of such Lender or Issuing Bank to make such Loan or issue such Letter of Credit (and in the case of an Affiliate, the provisions of Sections 2.14, 2.15, 2.16 and 2.17 shall apply to such Affiliate to the same extent as to such Lender or Issuing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exercise of such option shall not affect the obligation of the Borrower to repay such Loan in accordance with the terms of this Agreement.</w:t>
      </w:r>
    </w:p>
    <w:p>
      <w:pPr>
        <w:pStyle w:val="TextBody"/>
        <w:bidi w:val="0"/>
        <w:spacing w:lineRule="auto" w:line="240" w:before="0" w:after="240"/>
        <w:jc w:val="both"/>
        <w:rPr/>
      </w:pPr>
      <w:r>
        <w:rPr>
          <w:rFonts w:ascii="Times New Roman;sans-serif" w:hAnsi="Times New Roman;sans-serif"/>
          <w:b w:val="false"/>
          <w:color w:val="000000"/>
          <w:sz w:val="22"/>
        </w:rPr>
        <w:t xml:space="preserve">(c)    At the commencement of each Interest Period for any Term Benchmark Borrowing, such Borrowing shall be in an aggregate amount that is an integral multiple of $100,000 (or, if such Borrowing is denominated in a Foreign Currency, 100,000 units of such currency) and not less than $1,000,000 (or if such Borrowing is denominated in a Foreign Currency, 1,000,000 units of such currency). At the time that each ABR Borrowing or RFR Borrowing is made, such Borrowing shall be in an aggregate amount that is an integral multiple of $50,000 (or, if such Borrowing is denominated in Canadian Dollars, 50,000 units of such currency) and not less than $500,000 (or, if such Borrowing is denominated in Canadian Dollars, 500,000 units of such currency);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 ABR Revolving Borrowing may be in an aggregate amount that is equal to the entire unused balance of the Aggregate Commitment or that is required to finance the reimbursement of an LC Disbursement as contemplated by Section 2.06(e). Each Swingline Loan shall be in an amount that is an integral multiple of $50,000 (or, if such Swingline Loan is denominated in Canadian Dollars, 50,000 units of such currency) and not less than $100,000 (or, if such Swingline Loan is denominated in Canadian Dollars, 100,000 units of such currency). Borrowings of more than one Type may be outstanding at the same time;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there shall not at any time be more than a total of ten (10) Term Benchmark Borrowings or RFR Borrowings outstanding.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Notwithstanding any other provision of this Agreement, the Borrower shall not be entitled to request, or to elect to convert or continue, any Borrowing if the Interest Period requested with respect thereto would end after the Maturity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2.03. </w:t>
      </w:r>
      <w:r>
        <w:rPr>
          <w:rFonts w:ascii="Times New Roman;sans-serif" w:hAnsi="Times New Roman;sans-serif"/>
          <w:b w:val="false"/>
          <w:color w:val="000000"/>
          <w:sz w:val="22"/>
          <w:u w:val="single"/>
        </w:rPr>
        <w:t>Requests for Revolving Borrowings</w:t>
      </w:r>
      <w:r>
        <w:rPr>
          <w:rFonts w:ascii="Times New Roman;sans-serif" w:hAnsi="Times New Roman;sans-serif"/>
          <w:b w:val="false"/>
          <w:color w:val="000000"/>
          <w:sz w:val="22"/>
        </w:rPr>
        <w:t xml:space="preserve">. To request a Revolving Borrowing, the Borrower shall notify the Administrative Agent of such request by submitting a Borrowing Request (a)(i)(x) in the case of a Term Benchmark Borrowing denominated in Dollars, not later than 2:00 p.m. Chicago time, three U.S. Government Securities Business Days (or, solely with respect to any Borrowing to be made on the Effective Date, one U.S. Government Securities Business Day) before the date of the proposed Borrowing or (y) in the case of an RFR Borrowing denominated in Dollars, not later than 11:00 a.m. New York City time, five U.S. Government Securities Business Days before the date of the proposed Borrowing and (ii) in the case of a Term Benchmark Borrowing denominated in Euros or Canadian Dollars, not later than 12:00 p.m., New York City time, three Business Days before the date of the proposed Borrowing, or (b) in the case of an ABR Borrowing, not later than 10:00 a.m. Local Time, on the date of the proposed Borrowing (in the case of an ABR Borrowing denominated in Dollars), or not later than 10:00 a.m. Local Time, one Business Day before the date of the proposed Borrowing (in the case of an ABR Borrowing denominated in Canadian Dollars);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notice of an ABR Revolving Borrowing to finance the reimbursement of an LC Disbursement as contemplated by Section 2.06(e) may be given not later than 9:00 a.m., Local Time, on the date of the proposed Borrowing. Each such Borrowing Request shall be irrevocable and shall be signed by the Borrower. Each such Borrowing Request shall specify the following information in compliance with Section 2.02:</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the aggregate amount of the requested Borrowing;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    the date of such Borrowing, which shall be a Business Day;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(iii)    whether such Borrowing is to be an ABR Borrowing, a Term Benchmark Borrowing or an RFR Borrowing;</w:t>
      </w:r>
    </w:p>
    <w:p>
      <w:pPr>
        <w:pStyle w:val="TextBody"/>
        <w:bidi w:val="0"/>
        <w:spacing w:before="0" w:after="24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8"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(iv)    the Agreed Currency and, in the case of a Term Benchmark Borrowing, the initial Interest Period to be applicable thereto, which shall be a period contemplated by the definition of the term “Interest Period”;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(v)    the location and number of the Borrower’s account to which funds are to be disbursed, which shall comply with the requirements of Section 2.07.</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no election as to the currency of a Borrowing is specified, then the requested Borrowing shall be made in Dollars. If no election as to the Type of Revolving Borrowing is specified, then, in the case of a Borrowing denominated in Dollars or Canadian Dollars, the requested Revolving Borrowing shall be an ABR Borrowing. If no Interest Period is specified with respect to any requested Term Benchmark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Notwithstanding the foregoing, in no event shall the Borrower be permitted to request pursuant to this Section 2.03, a CBR Loan or, prior to a Benchmark Transition Event and Benchmark Replacement Date with respect to the Term SOFR Rate, an RFR Loan bearing interest based on Daily Simple SOFR (it being understood and agreed that a Central Bank Rate and Daily Simple SOFR shall apply only to the extent provided in Sections 2.08(e) (solely with respect to the Central Bank Rate), 2.14(a) and 2.14(f)).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2.04. </w:t>
      </w:r>
      <w:r>
        <w:rPr>
          <w:rFonts w:ascii="Times New Roman;sans-serif" w:hAnsi="Times New Roman;sans-serif"/>
          <w:b w:val="false"/>
          <w:color w:val="000000"/>
          <w:sz w:val="22"/>
          <w:u w:val="single"/>
        </w:rPr>
        <w:t>Expansion Options</w:t>
      </w:r>
      <w:r>
        <w:rPr>
          <w:rFonts w:ascii="Times New Roman;sans-serif" w:hAnsi="Times New Roman;sans-serif"/>
          <w:b w:val="false"/>
          <w:color w:val="000000"/>
          <w:sz w:val="22"/>
        </w:rPr>
        <w:t>. The Borrower may from time to time elect to increase the Commitments or enter into one or more tranches of term loans (each, an “</w:t>
      </w:r>
      <w:r>
        <w:rPr>
          <w:rFonts w:ascii="Times New Roman;sans-serif" w:hAnsi="Times New Roman;sans-serif"/>
          <w:b w:val="false"/>
          <w:color w:val="000000"/>
          <w:sz w:val="22"/>
          <w:u w:val="single"/>
        </w:rPr>
        <w:t>Incremental Term Loan</w:t>
      </w:r>
      <w:r>
        <w:rPr>
          <w:color w:val="000000"/>
        </w:rPr>
        <w:t>”</w:t>
      </w:r>
      <w:r>
        <w:rPr>
          <w:rFonts w:ascii="Times New Roman;sans-serif" w:hAnsi="Times New Roman;sans-serif"/>
          <w:b w:val="false"/>
          <w:color w:val="000000"/>
          <w:sz w:val="22"/>
        </w:rPr>
        <w:t>), in each case in minimum increments of $5,000,000 so long as, after giving effect thereto, the aggregate amount of such increases and all such Incremental Term Loans does not exceed $200,000,000. The Borrower may arrange for any such increase or tranche to be provided by one or more Lenders (each Lender so agreeing to an increase in its Commitment, or to participate in such Incremental Term Loans, an “</w:t>
      </w:r>
      <w:r>
        <w:rPr>
          <w:rFonts w:ascii="Times New Roman;sans-serif" w:hAnsi="Times New Roman;sans-serif"/>
          <w:b w:val="false"/>
          <w:color w:val="000000"/>
          <w:sz w:val="22"/>
          <w:u w:val="single"/>
        </w:rPr>
        <w:t>Increasing Lender</w:t>
      </w:r>
      <w:r>
        <w:rPr>
          <w:color w:val="000000"/>
        </w:rPr>
        <w:t>”</w:t>
      </w:r>
      <w:r>
        <w:rPr>
          <w:rFonts w:ascii="Times New Roman;sans-serif" w:hAnsi="Times New Roman;sans-serif"/>
          <w:b w:val="false"/>
          <w:color w:val="000000"/>
          <w:sz w:val="22"/>
        </w:rPr>
        <w:t>), or by one or more new banks, financial institutions or other entities (each such new bank, financial institution or other entity, an “</w:t>
      </w:r>
      <w:r>
        <w:rPr>
          <w:rFonts w:ascii="Times New Roman;sans-serif" w:hAnsi="Times New Roman;sans-serif"/>
          <w:b w:val="false"/>
          <w:color w:val="000000"/>
          <w:sz w:val="22"/>
          <w:u w:val="single"/>
        </w:rPr>
        <w:t>Augmenting Lender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 Ineligible Institution may be an Augmenting Lender), to increase their existing Commitments, or to participate in such Incremental Term Loans, or extend Commitments, as the case may be;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each Augmenting Lender, shall be subject to the approval of the Borrower, the Issuing Bank (to the extent the consent of the Issuing Bank would be required to effect an assignment under Section 9.04(b)) and the Administrative Agent (such approval by the Administrative Agent not to be unreasonably withheld) and (ii) (x) in the case of an Increasing Lender, the Borrower and such Increasing Lender execute an agreement substantially in the form of </w:t>
      </w:r>
      <w:r>
        <w:rPr>
          <w:rFonts w:ascii="Times New Roman;sans-serif" w:hAnsi="Times New Roman;sans-serif"/>
          <w:b w:val="false"/>
          <w:color w:val="000000"/>
          <w:sz w:val="22"/>
          <w:u w:val="single"/>
        </w:rPr>
        <w:t>Exhibit C-1</w:t>
      </w:r>
      <w:r>
        <w:rPr>
          <w:color w:val="000000"/>
        </w:rPr>
        <w:t xml:space="preserve"> </w:t>
      </w:r>
      <w:r>
        <w:rPr>
          <w:rFonts w:ascii="Times New Roman;sans-serif" w:hAnsi="Times New Roman;sans-serif"/>
          <w:b w:val="false"/>
          <w:color w:val="000000"/>
          <w:sz w:val="22"/>
        </w:rPr>
        <w:t xml:space="preserve">hereto, and (y) in the case of an Augmenting Lender, the Borrower and such Augmenting Lender execute an agreement substantially in the form of </w:t>
      </w:r>
      <w:r>
        <w:rPr>
          <w:rFonts w:ascii="Times New Roman;sans-serif" w:hAnsi="Times New Roman;sans-serif"/>
          <w:b w:val="false"/>
          <w:color w:val="000000"/>
          <w:sz w:val="22"/>
          <w:u w:val="single"/>
        </w:rPr>
        <w:t>Exhibit C-2</w:t>
      </w:r>
      <w:r>
        <w:rPr>
          <w:color w:val="000000"/>
        </w:rPr>
        <w:t xml:space="preserve"> </w:t>
      </w:r>
      <w:r>
        <w:rPr>
          <w:rFonts w:ascii="Times New Roman;sans-serif" w:hAnsi="Times New Roman;sans-serif"/>
          <w:b w:val="false"/>
          <w:color w:val="000000"/>
          <w:sz w:val="22"/>
        </w:rPr>
        <w:t xml:space="preserve">hereto. No consent of any Lender (other than the Lenders participating in the increase or any Incremental Term Loan) shall be required for any increase in Commitments or Incremental Term Loan pursuant to this Section 2.04. Increases and new Commitments and Incremental Term Loans created pursuant to this Section 2.04 shall become effective on the date agreed by the Borrower, the Administrative Agent and the relevant Increasing Lenders or Augmenting Lenders, and the Administrative Agent shall notify each Lender thereof. Notwithstanding the foregoing, no increase in the Commitments (or in the Commitment of any Lender) or tranche of Incremental Term Loans shall become effective under this paragraph unless, (i) on the proposed date of the effectiveness of such increase or Incremental Term Loans, (A) the conditions set forth in paragraphs (a) and (b) of Section 4.02 shall be satisfied or waived by the Required Lenders and the Administrative Agent shall have received a certificate to that effect dated such date and executed by a Financial Officer of the Borrower and (B) the Borrower shall be in compliance (on a pro forma basis) with the covenants contained in Section 6.12 and (ii) the Administrative Agent shall have received certificates, resolutions and opinions consistent with those delivered on the Effective Date as to the corporate power and authority of the Borrower to borrow hereunder after giving effect to such increase.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except in the case of any Incremental Term Loans, the Borrower </w:t>
      </w:r>
    </w:p>
    <w:p>
      <w:pPr>
        <w:pStyle w:val="TextBody"/>
        <w:bidi w:val="0"/>
        <w:spacing w:before="0" w:after="24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9"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shall be deemed to have repaid and reborrowed all outstanding Revolving Loans as of the date of any increase in the Commitments (with such reborrowing to consist of the Types of Revolving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 pursuant to the provisions of Section 2.16 if the deemed payment occurs other than on the last day of the related Interest Periods. The Incremental Term Loans (a) shall rank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in right of payment with the Revolving Loans, (b) shall not mature earlier than the Maturity Date (but may have amortization prior to such date) and (c) shall be treated substantially the same as (and in any event no more favorably than) the Revolving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Incremental Term Loans may be made hereunder pursuant to an amendment or restatement (an “</w:t>
      </w:r>
      <w:r>
        <w:rPr>
          <w:rFonts w:ascii="Times New Roman;sans-serif" w:hAnsi="Times New Roman;sans-serif"/>
          <w:b w:val="false"/>
          <w:color w:val="000000"/>
          <w:sz w:val="22"/>
          <w:u w:val="single"/>
        </w:rPr>
        <w:t>Incremental Term Loan Amendment</w:t>
      </w:r>
      <w:r>
        <w:rPr>
          <w:color w:val="000000"/>
        </w:rPr>
        <w:t>”</w:t>
      </w:r>
      <w:r>
        <w:rPr>
          <w:rFonts w:ascii="Times New Roman;sans-serif" w:hAnsi="Times New Roman;sans-serif"/>
          <w:b w:val="false"/>
          <w:color w:val="000000"/>
          <w:sz w:val="22"/>
        </w:rPr>
        <w:t>) of this Agreement and, as appropriate, the other Loan Documents, executed by the Borrower,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2.04. Nothing contained in this Section 2.04 shall constitute, or otherwise be deemed to be, a commitment on the part of any Lender to increase its Commitment hereunder, or provide Incremental Term Loans, at any time. In connection with any increase of the Commitments or Incremental Term Loans pursuant to this Section 2.04, any Augmenting Lender becoming a party hereto shall (1) 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2.05. </w:t>
      </w:r>
      <w:r>
        <w:rPr>
          <w:rFonts w:ascii="Times New Roman;sans-serif" w:hAnsi="Times New Roman;sans-serif"/>
          <w:b w:val="false"/>
          <w:color w:val="000000"/>
          <w:sz w:val="22"/>
          <w:u w:val="single"/>
        </w:rPr>
        <w:t>Swingline Loans</w:t>
      </w:r>
      <w:r>
        <w:rPr>
          <w:rFonts w:ascii="Times New Roman;sans-serif" w:hAnsi="Times New Roman;sans-serif"/>
          <w:b w:val="false"/>
          <w:color w:val="000000"/>
          <w:sz w:val="22"/>
        </w:rPr>
        <w:t xml:space="preserve">. (a) Subject to the terms and conditions set forth herein and in any Loan Sweep Agreement, from time to time during the Availability Period, the Swingline Lender may, but shall have no obligation to, make Swingline Loans in Dollars or Canadian Dollars to the Borrower in an aggregate principal amount at any time outstanding that will not result in (i) the aggregate Dollar Amount of outstanding Swingline Loans exceeding $15,000,000 or (ii) the Dollar Amount of the Swingline Lender’s Revolving Exposure exceeding its Commitment;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Swingline Lender shall not be required to make a Swingline Loan to refinance an outstanding Swingline Loan. Within the foregoing limits and subject to the terms and conditions set forth herein, the Borrower may borrow, prepay and reborrow Swingline Loans.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To request a Swingline Loan, the Borrower shall submit a written notice to the Administrative Agent by telecopy or electronic mail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by means of a credit to an account of the Borrower with the Administrative Agent designated for such purpose (or, in the case of a Swingline Loan made to finance the reimbursement of an LC Disbursement as provided in Section 2.06(e), by remittance to the Issuing Bank) by 3:00 p.m., New York City time, on the requested date of such Swingline Loan. In addition, any Swingline Loans made pursuant to any Loan Sweep Agreement will be made in accordance with any “draw” or “advance” procedures specified in such Loan Sweep Agreement, without the need for the Borrower to submit borrowing requests to the Swingline Lender, unless the Swingline Lender otherwise requires in its sole and absolute discretion.</w:t>
      </w:r>
    </w:p>
    <w:p>
      <w:pPr>
        <w:pStyle w:val="TextBody"/>
        <w:bidi w:val="0"/>
        <w:spacing w:before="0" w:after="24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(c)    The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shall mean no later than 10:00 a.m. New York City time on the immediately succeeding Business Day), to pay to the Administrative Agent, for the account of the Swingline Lender, such Lender’s Applicable Percentage of such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2.07 with respect to Loans made by such Lender (and Section 2.07 shall apply,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xml:space="preserve">,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Subject to the appointment and acceptance of a successor Swingline Lender, the Swingline Lender may resign as Swingline Lender at any time upon thirty days’ prior written notice to the Administrative Agent, the Borrower and the Lenders, in which case, the Swingline Lender shall be replaced in accordance with Section 2.05(d) above.</w:t>
      </w:r>
    </w:p>
    <w:p>
      <w:pPr>
        <w:pStyle w:val="TextBody"/>
        <w:bidi w:val="0"/>
        <w:spacing w:before="0" w:after="24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101"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So long as a Sweep to Loan Arrangement is in effect, and subject to the terms and conditions thereof, Swingline Loans may be advanced and prepaid hereunder notwithstanding any notice, minimum amount, or funding and payment location requirements hereunder for any advance of Swingline Loans or for any prepayment of any Swingline Loans. The making of any such Swingline Loans shall otherwise be subject to the other terms and conditions of this Section 2.05 and this Agreement. All Swingline Loans advanced or prepaid pursuant to such Sweep to Loan Arrangement shall be ABR Loans; and, so long as a Sweep to Loan Arrangement is in effect, all Swingline Loans (whether or not advanced pursuant to the Sweep to Loan Arrangement) shall be ABR Loans. The Swingline Lender shall have the right in its sole discretion to suspend or terminate the making and/or prepayment of Swingline Loans pursuant to such Sweep to Loan Arrangement with notice to the Sweep Depositary and the Borrower (which may be provided on a same-day basis), whether or not any Default or Event of Default exists. The Swingline Lender shall not be liable to the Borrower or any other Person for any losses directly or indirectly resulting from events beyond the Swingline Lender’s reasonable control, including without limitation any interruption of communications or data processing services or legal restriction or for any special, indirect, consequential or punitive damages in connection with any Sweep to Loan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2.06. </w:t>
      </w:r>
      <w:r>
        <w:rPr>
          <w:rFonts w:ascii="Times New Roman;sans-serif" w:hAnsi="Times New Roman;sans-serif"/>
          <w:b w:val="false"/>
          <w:color w:val="000000"/>
          <w:sz w:val="22"/>
          <w:u w:val="single"/>
        </w:rPr>
        <w:t>Letters of Credit</w:t>
      </w:r>
      <w:r>
        <w:rPr>
          <w:rFonts w:ascii="Times New Roman;sans-serif" w:hAnsi="Times New Roman;sans-serif"/>
          <w:b w:val="false"/>
          <w:color w:val="000000"/>
          <w:sz w:val="22"/>
        </w:rPr>
        <w:t>. (a) </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Subject to the terms and conditions set forth herein, each Issuing Bank agrees to issue, amend, extend and renew, at any time and from time to time during the Availability Period, at the request of the Borrower, in a form reasonably acceptable to the Administrative Agent and the applicable Issuing Bank, one or more Letters of Credit denominated in Agreed Currencies for the account of the Borrower or its Subsidiaries having an amount available for draw that will not result in the total Revolving Exposures exceeding the Aggregate Commitment. In the event of any inconsistency between the terms and conditions of this Agreement and the terms and conditions of any Letter of Credit Agreement, the terms and conditions of this Agreement shall control. Notwithstanding anything herein to the contrary, no Issuing Bank shall have any obligation hereunder to issue, and shall not issue, any Letter of Credit, the proceeds of which would be made available to any Person (i) to fund any activity or business of or with any Person that is the subject of Sanctions, or in any country or territory that, at the time of such funding, is the subject of any comprehensive Sanctions, in each case, except to the extent permitted for a Person required to comply with Sanctions, (ii) in any manner that would result in a violation of any Sanctions by any party to this Agreement, or (iii) in any manner that would result in a violation of one or more policies of such Issuing Bank applicable to letters of credit generally. In addition, no Issuing Bank shall be under any obligation to issue, amend or extend any Letter of Credit if any order, judgment or decree of any Governmental Authority or arbitrator shall by its terms purport to enjoin or restrain such Issuing Bank from issuing, amending or extending such Letter of Credit, or any law applicable to such Issuing Bank shall prohibit, or require that such Issuing Bank refrain from, the issuance, amendment or extension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w:t>
      </w:r>
    </w:p>
    <w:p>
      <w:pPr>
        <w:pStyle w:val="TextBody"/>
        <w:bidi w:val="0"/>
        <w:spacing w:before="0" w:after="24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0655"/>
                <wp:effectExtent l="0" t="0" r="0" b="0"/>
                <wp:wrapNone/>
                <wp:docPr id="102" name="Frame1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Notice of Issuance, Amendment, Renewal, Extension; Certain Conditions</w:t>
      </w:r>
      <w:r>
        <w:rPr>
          <w:rFonts w:ascii="Times New Roman;sans-serif" w:hAnsi="Times New Roman;sans-serif"/>
          <w:b w:val="false"/>
          <w:color w:val="000000"/>
          <w:sz w:val="22"/>
        </w:rPr>
        <w:t>. To request the issuance of a Letter of Credit (or the amendment, renewal or extension of an outstanding Letter of Credit), the Borrower shall hand deliver or telecopy (or transmit by electronic communication, if arrangements for doing so have been approved by the applicable Issuing Bank) to the applicable Issuing Bank and the Administrative Agent (reasonably in advance of the requested date of issuance, amendment, renewal or extension, but in any event no less than three (3)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Issuing Bank and using such Issuing Bank’s standard form (each, a “</w:t>
      </w:r>
      <w:r>
        <w:rPr>
          <w:rFonts w:ascii="Times New Roman;sans-serif" w:hAnsi="Times New Roman;sans-serif"/>
          <w:b w:val="false"/>
          <w:color w:val="000000"/>
          <w:sz w:val="22"/>
          <w:u w:val="single"/>
        </w:rPr>
        <w:t>Letter of Credit Agreement</w:t>
      </w:r>
      <w:r>
        <w:rPr>
          <w:color w:val="000000"/>
        </w:rPr>
        <w:t>”</w:t>
      </w:r>
      <w:r>
        <w:rPr>
          <w:rFonts w:ascii="Times New Roman;sans-serif" w:hAnsi="Times New Roman;sans-serif"/>
          <w:b w:val="false"/>
          <w:color w:val="000000"/>
          <w:sz w:val="22"/>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subject to Section 1.10, (x) the aggregate undrawn Dollar Amount of all outstanding Letters of Credit issued by the applicable Issuing Bank at such time, plus (y) the aggregate Dollar Amount of all LC Disbursements made by such Issuing Bank that have not yet been reimbursed by or on behalf of the Borrower at such time shall not exceed its Letter of Credit Commitment (unless, subject to the next clause (ii), such Issuing Bank shall agree to issue a Letter of Credit that results in such sum exceeding its Letter of Credit Commitment, in its sole discretion), (ii) subject to Section 1.10, the aggregate undrawn Dollar Amount of all outstanding Letters of Credit issued by the Issuing Banks shall not exceed $150,000,000, (iii) no Lender’s Dollar Amount of Revolving Exposure shall exceed its Commitment, (iv) subject to Section 1.10, the Dollar Amount of the Revolving Exposure shall not exceed the Aggregate Commitment, and (v) subject to Section 1.10, the Dollar Amount of the total outstanding Revolving Loans and LC Exposure, in each case denominated in Foreign Currencies, shall not exceed the Foreign Currency Sublimit. The Borrower may, at any time and from time to time, reduce the Letter of Credit Commitment of any Issuing Bank with the consent of such Issuing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 shall not reduce the Letter of Credit Commitment of any Issuing Bank if, after giving effect of such reduction, the conditions set forth in clauses (i) through (iv) above shall not be satisfied.</w:t>
      </w:r>
    </w:p>
    <w:p>
      <w:pPr>
        <w:pStyle w:val="TextBody"/>
        <w:bidi w:val="0"/>
        <w:spacing w:lineRule="auto" w:line="240" w:before="0" w:after="2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Expiration Date</w:t>
      </w:r>
      <w:r>
        <w:rPr>
          <w:rFonts w:ascii="Times New Roman;sans-serif" w:hAnsi="Times New Roman;sans-serif"/>
          <w:b w:val="false"/>
          <w:color w:val="000000"/>
          <w:sz w:val="22"/>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Maturity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the Borrower’s request, any such Letter of Credit which expires in the final year prior to the Maturity Date may have a later expiry date if cash collateralized or covered by standby letter(s) of credit in compliance with Section 2.06(j) below by no later than five (5) Business Days prior to the Maturity Date (each such Letter of Credit, an “</w:t>
      </w:r>
      <w:r>
        <w:rPr>
          <w:rFonts w:ascii="Times New Roman;sans-serif" w:hAnsi="Times New Roman;sans-serif"/>
          <w:b w:val="false"/>
          <w:color w:val="000000"/>
          <w:sz w:val="22"/>
          <w:u w:val="single"/>
        </w:rPr>
        <w:t>Extended Letter of Credit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any Letter of Credit with a one-year tenor may provide for automatic or “evergreen” renewal thereof for additional 1 year periods (which shall in no event extend beyond the date referred to in clause (ii) above unless cash collateralized or covered by standby letter(s) of credit in accordance with the requirements for an Extended Letter of Credit). Notwithstanding the foregoing, any such automatic or “evergreen” Letter of Credit shall permit the applicable Issuing Bank to prevent any such one-year extension at least once in each twelve-month period (commencing with the date of issuance of such Letter of Credit) by giving prior notice to the beneficiary thereof not later than that certain date in each such twelve-month period to be agreed upon at the time such Letter of Credit is issued.</w:t>
      </w:r>
    </w:p>
    <w:p>
      <w:pPr>
        <w:pStyle w:val="TextBody"/>
        <w:bidi w:val="0"/>
        <w:spacing w:before="0" w:after="24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0655"/>
                <wp:effectExtent l="0" t="0" r="0" b="0"/>
                <wp:wrapNone/>
                <wp:docPr id="103" name="Frame1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such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Letters of Credit and to make payments in respect of such acquired participations are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pStyle w:val="TextBody"/>
        <w:bidi w:val="0"/>
        <w:spacing w:lineRule="auto" w:line="240" w:before="0" w:after="2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Reimbursement</w:t>
      </w:r>
      <w:r>
        <w:rPr>
          <w:rFonts w:ascii="Times New Roman;sans-serif" w:hAnsi="Times New Roman;sans-serif"/>
          <w:b w:val="false"/>
          <w:color w:val="000000"/>
          <w:sz w:val="22"/>
        </w:rPr>
        <w:t xml:space="preserve">. If any Issuing Bank shall make any LC Disbursement in respect of a Letter of Credit issued by such Issuing Bank, the Borrower shall reimburse such LC Disbursement by paying to the Administrative Agent an amount in the currency of such LC Disbursement equal to such LC Disbursement, calculated as of the date such Issuing Bank made such LC Disbursement (or if the applicable Issuing Bank shall so elect in its sole discretion by notice to the Borrower, in such other Agreed Currency which was paid by such Issuing Bank pursuant to such LC Disbursement) not later than 11:00 a.m., Local Time, on the date that such LC Disbursement is made, if the Borrower shall have received notice of such LC Disbursement prior to 9:00 a.m., Local Time, on such date, or, if such notice has not been received by the Borrower prior to such time on such date, then not later than 11:00 a.m., Local Time, on the Business Day immediately following the day that the Borrower receives such notice, if such notice is not received prior to such time on the day of receipt;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may, subject to the conditions to borrowing set forth herein, request in accordance with Section 2.03 that such payment be financed with (i) to the extent such LC Disbursement was made in Dollars or Canadian Dollars, an ABR Revolving Borrowing or Term Benchmark Revolving Borrowing in Dollars or Canadian Dollars in an amount equal to such LC Disbursement or (ii) to the extent that such LC Disbursement was made in a Foreign Currency (other than Canadian Dollars), a Term Benchmark Revolving Borrowing in such Foreign Currency (other than Canadian Dollars) in an amount equal to such LC Disbursement and, in each case, to the extent so financed, the Borrower’s obligation to make such payment shall be discharged and replaced by the resulting Revolving Borrowing.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xml:space="preserve">, to the payment obligations of the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payment shall be payable by no later than 12:00 noon Local Time), and the Administrative Agent shall promptly pay to such Issuing Bank the amounts so received by it from the Lenders. Promptly following receipt by the Administrative Agent of any payment from the Borrower pursuant to this paragraph, the Administrative Agent shall distribute such payment to such Issuing Bank or, to the extent that Lenders have made payments pursuant to this paragraph to reimburse such Issuing Bank, then to such Lenders and such Issuing Bank as their interests may appear. Any payment made by a Lender pursuant to this paragraph to reimburse such Issuing Bank for any LC Disbursement (other than the funding of Revolving Loans as contemplated above) shall not constitute a Loan and shall not relieve the Borrower of its obligation to reimburse such LC Disbursement. If the Borrower’s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such Issuing Bank or the relevant Lender or (y) reimburse each LC Disbursement made in such Foreign Currency in Dollars, in an amount equal to the Equivalent Amount, calculated using the applicable Exchange Rates, on the date such LC Disbursement is made, of such LC Disbursement.</w:t>
      </w:r>
    </w:p>
    <w:p>
      <w:pPr>
        <w:pStyle w:val="TextBody"/>
        <w:bidi w:val="0"/>
        <w:spacing w:before="0" w:after="24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0655"/>
                <wp:effectExtent l="0" t="0" r="0" b="0"/>
                <wp:wrapNone/>
                <wp:docPr id="104" name="Frame1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Obligations Absolute</w:t>
      </w:r>
      <w:r>
        <w:rPr>
          <w:rFonts w:ascii="Times New Roman;sans-serif" w:hAnsi="Times New Roman;sans-serif"/>
          <w:b w:val="false"/>
          <w:color w:val="000000"/>
          <w:sz w:val="22"/>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Foreign Currency to the Borrower or any Subsidiary or in the relevant currency markets generally.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shall not be construed to excuse such Issuing Bank from liability to the Borrower to the extent of any direct damages (as opposed to consequential, special, indirect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40" w:before="0" w:after="2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Disbursement Procedures</w:t>
      </w:r>
      <w:r>
        <w:rPr>
          <w:rFonts w:ascii="Times New Roman;sans-serif" w:hAnsi="Times New Roman;sans-serif"/>
          <w:b w:val="false"/>
          <w:color w:val="000000"/>
          <w:sz w:val="22"/>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telecopy or electronic mail) of such demand for payment and whether such Issuing Bank has made or will make an LC Disbursement thereunder;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failure to give or delay in giving such notice shall not relieve the Borrower of its obligation to reimburse such Issuing Bank and the Lenders with respect to any such LC Disbursement.</w:t>
      </w:r>
    </w:p>
    <w:p>
      <w:pPr>
        <w:pStyle w:val="TextBody"/>
        <w:bidi w:val="0"/>
        <w:spacing w:lineRule="auto" w:line="240" w:before="0" w:after="2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Interim Interest</w:t>
      </w:r>
      <w:r>
        <w:rPr>
          <w:rFonts w:ascii="Times New Roman;sans-serif" w:hAnsi="Times New Roman;sans-serif"/>
          <w:b w:val="false"/>
          <w:color w:val="000000"/>
          <w:sz w:val="22"/>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in the case such LC Disbursement is denominated in a Foreign Currency (other than Canadian Dollars), at the Overnight Rate for such Foreign Currency plus the then effective Applicable Rate with respect to Term Benchmark Revolving Loans) and such interest shall be due and payable on the date when such reimbursement is payable;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Borrower fails to reimburse such LC Disbursement when due pursuant to paragraph (e) of this Section, then Section 2.13(c) shall apply. Interest accrued pursuant to this paragraph shall be for the account of such Issuing Bank, except that interest accrued on and after the date of payment by any Lender pursuant to paragraph (e) of this Section to reimburse such Issuing Bank shall be for the account of such Lender to the extent of such payment.</w:t>
      </w:r>
    </w:p>
    <w:p>
      <w:pPr>
        <w:pStyle w:val="TextBody"/>
        <w:bidi w:val="0"/>
        <w:spacing w:before="0" w:after="24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105" name="Frame1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Replacement and Resignation of Issuing Bank</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Any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any other existing Issuing Bank, or to any previous Issuing Bank, or to such successor, any other existing Issuing Bank,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Section 2.06(i)(i) above.</w:t>
      </w:r>
    </w:p>
    <w:p>
      <w:pPr>
        <w:pStyle w:val="TextBody"/>
        <w:bidi w:val="0"/>
        <w:spacing w:before="0" w:after="24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106"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Cover; Cash Collateralization</w:t>
      </w:r>
      <w:r>
        <w:rPr>
          <w:rFonts w:ascii="Times New Roman;sans-serif" w:hAnsi="Times New Roman;sans-serif"/>
          <w:b w:val="false"/>
          <w:color w:val="000000"/>
          <w:sz w:val="22"/>
        </w:rPr>
        <w:t>. If (x) any Event of Default shall occur and be continuing, on the Business Day that the Borrower receives notice from the Administrative Agent or the Required Lenders (or, if the maturity of the Loans has been accelerated, Lenders with LC Exposure representing at least 50% of the total LC Exposure) demanding the deposit of cash collateral pursuant to this paragraph or (y) the Borrower requests the issuance of an Extended Letter of Credit, the Borrower shall either (A) cover by arranging for the issuance of one or more standby letters of credit issued by an issuer, and otherwise on terms and conditions, satisfactory to the Administrative Agent or (B) deposit in an account with the Administrative Agent, in the name of the Administrative Agent and for the benefit of the Lenders (the “</w:t>
      </w:r>
      <w:r>
        <w:rPr>
          <w:rFonts w:ascii="Times New Roman;sans-serif" w:hAnsi="Times New Roman;sans-serif"/>
          <w:b w:val="false"/>
          <w:color w:val="000000"/>
          <w:sz w:val="22"/>
          <w:u w:val="single"/>
        </w:rPr>
        <w:t>LC Collateral Account</w:t>
      </w:r>
      <w:r>
        <w:rPr>
          <w:color w:val="000000"/>
        </w:rPr>
        <w:t>”</w:t>
      </w:r>
      <w:r>
        <w:rPr>
          <w:rFonts w:ascii="Times New Roman;sans-serif" w:hAnsi="Times New Roman;sans-serif"/>
          <w:b w:val="false"/>
          <w:color w:val="000000"/>
          <w:sz w:val="22"/>
        </w:rPr>
        <w:t xml:space="preserve">), an amount in cash equal to 105% of the Dollar Amount of the LC Exposure in respect of such Extended Letter of Credit (in the case of the foregoing clause (y)) or in the aggregate (in the case of the foregoing clause (x)) as of such date, plus accrued and unpaid interest thereon;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the portions of such amount attributable to undrawn Foreign Currency Letters of Credit or LC Disbursements in a Foreign Currency that the Borrower is not late in reimbursing shall be deposited in the applicable Foreign Currencies in the actual amounts of such undrawn Letters of Credit and LC Disbursements and (ii) the obligation to provide such letter of credit cover or deposit such cover or cash collateral shall (1) be required by no later than five (5) Business Days prior to the Maturity Date in the case of an Extended Letter of Credit and (2) become effective immediately, and such cover or deposit shall become immediately due and payable, without demand or other notice of any kind, upon the occurrence of any Event of Default with respect to the Borrower described in Section 7.01(h) or 7.01(i). For the purposes of this paragraph, the Foreign Currency LC Exposure shall be calculated using the applicable Exchange Rate on the date notice demanding cash collateralization is delivered to the Borrower. Such cover and deposit shall be held by the Administrative Agent as collateral for the payment and performance of the Secured Obligations. The Administrative Agent shall have exclusive dominion and control, including the exclusive right of withdrawal, over such account and the Borrower hereby grants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any applicable Issuing Bank (ratably in the case of more than one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at least 50% of the total LC Exposure), be applied to satisfy other Secured Obligations. If the Borrower is required to provide an amount of letter of credit cover or cash collateral hereunder as a result of the occurrence of an Event of Default, such amount (to the extent not applied as aforesaid) shall be returned to the Borrower within three Business Days after all such Defaults have been cured or waived.</w:t>
      </w:r>
    </w:p>
    <w:p>
      <w:pPr>
        <w:pStyle w:val="TextBody"/>
        <w:bidi w:val="0"/>
        <w:spacing w:lineRule="auto" w:line="240" w:before="0" w:after="240"/>
        <w:jc w:val="both"/>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Issuing Bank Agreements</w:t>
      </w:r>
      <w:r>
        <w:rPr>
          <w:rFonts w:ascii="Times New Roman;sans-serif" w:hAnsi="Times New Roman;sans-serif"/>
          <w:b w:val="false"/>
          <w:color w:val="000000"/>
          <w:sz w:val="22"/>
        </w:rPr>
        <w:t>. Unless otherwise requested by the Administrative Agent, each Issuing Bank shall report in writing to the Administrative Agent (i) promptly following the end of each calendar month, the aggregate amount of Letters of Credit issued by it and outstanding at the end of such month, (ii) on or prior to each Business Day on which such Issuing Bank expects to issue, amend, renew or extend any Letter of Credit, the date of such issuance, amendment, renewal or extension, and the aggregate face amount of the Letter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payment under any Letter of Credit, the date of such payment under such Letter of Credit and the amount of such payment, (iv) on any Business Day on which the Borrower fails to reimburse any payment under any Letter of Credit required to be reimbursed to such Issuing Bank on such day, the date of such failure and the amount of such payment and (v) on any other Business Day, such other information as the Administrative Agent shall reasonably request.</w:t>
      </w:r>
    </w:p>
    <w:p>
      <w:pPr>
        <w:pStyle w:val="TextBody"/>
        <w:bidi w:val="0"/>
        <w:spacing w:before="0" w:after="24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7"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Applicability of ISP and UCP</w:t>
      </w:r>
      <w:r>
        <w:rPr>
          <w:rFonts w:ascii="Times New Roman;sans-serif" w:hAnsi="Times New Roman;sans-serif"/>
          <w:b w:val="false"/>
          <w:color w:val="000000"/>
          <w:sz w:val="22"/>
        </w:rPr>
        <w:t>. Unless otherwise expressly agreed by the applicable Issuing Bank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pStyle w:val="TextBody"/>
        <w:bidi w:val="0"/>
        <w:spacing w:lineRule="auto" w:line="240" w:before="0" w:after="240"/>
        <w:jc w:val="both"/>
        <w:rPr/>
      </w:pPr>
      <w:r>
        <w:rPr>
          <w:rFonts w:ascii="Times New Roman;sans-serif" w:hAnsi="Times New Roman;sans-serif"/>
          <w:b w:val="false"/>
          <w:color w:val="000000"/>
          <w:sz w:val="22"/>
        </w:rPr>
        <w:t>(m)    </w:t>
      </w:r>
      <w:r>
        <w:rPr>
          <w:rFonts w:ascii="Times New Roman;sans-serif" w:hAnsi="Times New Roman;sans-serif"/>
          <w:b w:val="false"/>
          <w:color w:val="000000"/>
          <w:sz w:val="22"/>
          <w:u w:val="single"/>
        </w:rPr>
        <w:t>Addition of Issuing Banks</w:t>
      </w:r>
      <w:r>
        <w:rPr>
          <w:rFonts w:ascii="Times New Roman;sans-serif" w:hAnsi="Times New Roman;sans-serif"/>
          <w:b w:val="false"/>
          <w:color w:val="000000"/>
          <w:sz w:val="22"/>
        </w:rPr>
        <w:t xml:space="preserve">. The Borrower may, at any time and from time to time with the consent of the Administrative Agent and such Lender, designate one or more additional Lenders to act as an issuing bank under the terms of this Agreement. The Letter of Credit Commitment with respect to such additional Lender shall be subject to the consent of the Administrative Agent, the Borrower and such Lender. The Administrative Agent may update the </w:t>
      </w:r>
      <w:r>
        <w:rPr>
          <w:rFonts w:ascii="Times New Roman;sans-serif" w:hAnsi="Times New Roman;sans-serif"/>
          <w:b w:val="false"/>
          <w:color w:val="000000"/>
          <w:sz w:val="22"/>
          <w:u w:val="single"/>
        </w:rPr>
        <w:t>Letter of Credit Commitment Schedule</w:t>
      </w:r>
      <w:r>
        <w:rPr>
          <w:color w:val="000000"/>
        </w:rPr>
        <w:t xml:space="preserve"> </w:t>
      </w:r>
      <w:r>
        <w:rPr>
          <w:rFonts w:ascii="Times New Roman;sans-serif" w:hAnsi="Times New Roman;sans-serif"/>
          <w:b w:val="false"/>
          <w:color w:val="000000"/>
          <w:sz w:val="22"/>
        </w:rPr>
        <w:t>from time to time to reflect the addition of any Issuing Bank. Any Lender designated as an Issuing Bank pursuant to this paragraph (m) shall be deemed to be an “Issuing Bank” for the purposes of this Agreement (in addition to being a Lender) with respect to Letters of Credit issued by such Lender.</w:t>
      </w:r>
    </w:p>
    <w:p>
      <w:pPr>
        <w:pStyle w:val="TextBody"/>
        <w:bidi w:val="0"/>
        <w:spacing w:lineRule="auto" w:line="240" w:before="0" w:after="240"/>
        <w:jc w:val="both"/>
        <w:rPr/>
      </w:pPr>
      <w:r>
        <w:rPr>
          <w:rFonts w:ascii="Times New Roman;sans-serif" w:hAnsi="Times New Roman;sans-serif"/>
          <w:b w:val="false"/>
          <w:color w:val="000000"/>
          <w:sz w:val="22"/>
        </w:rPr>
        <w:t>(n)    </w:t>
      </w:r>
      <w:r>
        <w:rPr>
          <w:rFonts w:ascii="Times New Roman;sans-serif" w:hAnsi="Times New Roman;sans-serif"/>
          <w:b w:val="false"/>
          <w:color w:val="000000"/>
          <w:sz w:val="22"/>
          <w:u w:val="single"/>
        </w:rPr>
        <w:t>Letters of Credit Issued for Account of Subsidiaries</w:t>
      </w:r>
      <w:r>
        <w:rPr>
          <w:rFonts w:ascii="Times New Roman;sans-serif" w:hAnsi="Times New Roman;sans-serif"/>
          <w:b w:val="false"/>
          <w:color w:val="000000"/>
          <w:sz w:val="22"/>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2.07. </w:t>
      </w:r>
      <w:r>
        <w:rPr>
          <w:rFonts w:ascii="Times New Roman;sans-serif" w:hAnsi="Times New Roman;sans-serif"/>
          <w:b w:val="false"/>
          <w:color w:val="000000"/>
          <w:sz w:val="22"/>
          <w:u w:val="single"/>
        </w:rPr>
        <w:t>Funding of Borrowings</w:t>
      </w:r>
      <w:r>
        <w:rPr>
          <w:rFonts w:ascii="Times New Roman;sans-serif" w:hAnsi="Times New Roman;sans-serif"/>
          <w:b w:val="false"/>
          <w:color w:val="000000"/>
          <w:sz w:val="22"/>
        </w:rPr>
        <w:t xml:space="preserve">. (a) Each Lender shall make each Loan to be made by it hereunder on the proposed date thereof by wire transfer of immediately available funds (i) in the case of Loans denominated in Dollars, by 11:00 a.m., Chicago time, to the account of the Administrative Agent most recently designated by it for such purpose by notice to the Lenders in an amount equal to such Lender’s Applicable Percentage, and (ii) in the case of each Loan denominated in a Foreign Currency, by 12:00 noon, Local Time, in the city of the Administrative Agent’s Foreign Payment Office for such currency and at such Foreign Payment Office for such currency;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Swingline Loans shall be made as provided in Section 2.05. Except in respect of the provisions of this Agreement covering the reimbursement of Letters of Credit, the Administrative Agent will make such Loans available in immediately available funds to the Borrower by promptly crediting the amounts so received, in like funds, to the Funding Account;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ABR Revolving Loans made to finance the reimbursement of an LC Disbursement as provided in Section 2.06(e) shall be remitted by the Administrative Agent to the applicable Issuing Bank.</w:t>
      </w:r>
    </w:p>
    <w:p>
      <w:pPr>
        <w:pStyle w:val="TextBody"/>
        <w:bidi w:val="0"/>
        <w:spacing w:before="0" w:after="24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108"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Unless the Administrative Agent shall have received notice from a Lender prior to the proposed date of any Borrowing (or, in the case of ABR Revolving Loans, no later than 11:00 a.m., Local Time, on the date of the proposed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 Nothing in this paragraph (b) shall be deemed to relieve any Lender from any obligation to fund any Loans in accordance with the terms and conditions hereunder or to prejudice any rights which the Borrower may have against any Lender as a result of any default by such Lender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2.08. </w:t>
      </w:r>
      <w:r>
        <w:rPr>
          <w:rFonts w:ascii="Times New Roman;sans-serif" w:hAnsi="Times New Roman;sans-serif"/>
          <w:b w:val="false"/>
          <w:color w:val="000000"/>
          <w:sz w:val="22"/>
          <w:u w:val="single"/>
        </w:rPr>
        <w:t>Interest Elections</w:t>
      </w:r>
      <w:r>
        <w:rPr>
          <w:rFonts w:ascii="Times New Roman;sans-serif" w:hAnsi="Times New Roman;sans-serif"/>
          <w:b w:val="false"/>
          <w:color w:val="000000"/>
          <w:sz w:val="22"/>
        </w:rPr>
        <w:t>. (a) Each Borrowing initially shall be of the Type and Agreed Currency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To make an election pursuant to this Section, the Borrower shall notify the Administrative Agent of such election by the time that a Borrowing Request would be required under Section 2.03 if the Borrower were requesting a Borrowing of the Type resulting from such election to be made on the effective date of such election. Each such Interest Election Request shall be irrevocable and shall be signed by the Borrower. Notwithstanding any contrary provision herein, this Section shall not be construed to permit the Borrower to (i) change the currency of any Borrowing, (ii) elect an Interest Period for Term Benchmark Loans that does not comply with Section 2.02(d) or (iii) convert any Borrowing to a Borrowing of a Type not available under such Borrowing.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Each Interest Election Request shall specify the following information in compliance with Section 2.02:</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the effective date of the election made pursuant to such Interest Election Request, which shall be a Business Day;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whether the resulting Borrowing is to be an ABR Borrowing, a Term Benchmark Borrowing or an RFR Borrowing;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the Agreed Currency and, if the resulting Borrowing is a Term Benchmark Borrowing, the Interest Period to be applicable thereto after giving effect to such election, which Interest Period shall be a period contemplated by the definition of the term “Interest Period”.</w:t>
      </w:r>
    </w:p>
    <w:p>
      <w:pPr>
        <w:pStyle w:val="TextBody"/>
        <w:bidi w:val="0"/>
        <w:spacing w:before="0" w:after="24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109"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any such Interest Election Request requests a Term Benchmark Borrowing but does not specify an Interest Period, then the Borrower shall be deemed to have selected an Interest Period of one month’s duration. Notwithstanding the foregoing, in no event shall the Borrower be permitted to request pursuant to this Section 2.08(c) a CBR Loan or, prior to a Benchmark Transition Event and Benchmark Replacement Date with respect to the Term SOFR Rate, an RFR Loan bearing interest based on Daily Simple SOFR (it being understood and agreed that a Central Bank Rate and Daily Simple SOFR shall apply only to the extent provided in Sections 2.08(e) (solely with respect to the Central Bank Rate), 2.14(a) and 2.14(f)).</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Promptly following receipt of an Interest Election Request, the Administrative Agent shall advise each Lender of the details thereof and of such Lender’s portion of each resulting Borrowing.</w:t>
      </w:r>
    </w:p>
    <w:p>
      <w:pPr>
        <w:pStyle w:val="TextBody"/>
        <w:bidi w:val="0"/>
        <w:spacing w:lineRule="auto" w:line="240" w:before="0" w:after="240"/>
        <w:jc w:val="both"/>
        <w:rPr/>
      </w:pPr>
      <w:r>
        <w:rPr>
          <w:rFonts w:ascii="Times New Roman;sans-serif" w:hAnsi="Times New Roman;sans-serif"/>
          <w:b w:val="false"/>
          <w:color w:val="000000"/>
          <w:sz w:val="22"/>
        </w:rPr>
        <w:t xml:space="preserve">(e)    If the Borrower fails to deliver a timely Interest Election Request with respect to a Term Benchmark Revolving Borrowing in Dollars prior to the end of the Interest Period applicable thereto, then, unless such Borrowing is repaid as provided herein, at the end of such Interest Period such Borrowing shall be deemed to have an Interest Period that is one month. If the Borrower fails to deliver a timely and complete Interest Election Request with respect to a Term Benchmark Borrowing in a Foreign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or an RFR Borrowing and (ii) unless repaid, (x) (A) each Term Benchmark Borrowing denominated in Dollars shall be converted to an ABR Borrowing at the end of the Interest Period applicable thereto and (B) each RFR Borrowing denominated in Dollars shall be converted to an ABR Borrowing on the last day of the calendar month and (y) each Term Benchmark Borrowing and each RFR Borrowing, in each case denominated in a Foreign Currency shall bear interest at the Central Bank Rate (or, in the case of Canadian Dollars, the Canadian Prime Rate) for the applicable Agreed Currency plus the CBR Spread;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Administrative Agent determines (which determination shall be conclusive and binding absent manifest error) that the Central Bank Rate (or in the case of Canadian Dollars, the Canadian Prime Rate) for the applicable Agreed Currency cannot be determined, any outstanding affected Term Benchmark Loans or RFR Loans denominated in any Agreed Currency other than Dollars shall either be (1) converted to an ABR Borrowing denominated in Dollars (in an amount equal to the Dollar Amount of such Foreign Currency) at the end of the Interest Period applicable thereto, in the case of any Term Benchmark Loans, or on the Interest Payment Date applicable thereto, in the case of any RFR Loans, or (2) prepaid at the end of the applicable Interest Period, in the case of any Term Benchmark Loans, or on the Interest Payment Date, in the case of any RFR Loans, as applicable, in full;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no election is made by the Borrower by the earlier of (A) the date that is three Business Days after receipt by the Borrower of such notice or (B) the last day of the current Interest Period for the applicable Term Benchmark Loan, the Borrower shall be deemed to have elected clause (1)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Notwithstanding anything in this Agreement or any other Loan Document to the contrary, and subject to the requirements of Section 2.16 of the Existing Credit Agreement, all “Eurocurrency Loans” denominated in Dollars or Canadian Dollars and outstanding under the Existing Credit Agreement immediately preceding the Effective Date, if any, shall automatically be converted to Term Benchmark Loans with a one-month Interest Period as of the Effective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2.09. </w:t>
      </w:r>
      <w:r>
        <w:rPr>
          <w:rFonts w:ascii="Times New Roman;sans-serif" w:hAnsi="Times New Roman;sans-serif"/>
          <w:b w:val="false"/>
          <w:color w:val="000000"/>
          <w:sz w:val="22"/>
          <w:u w:val="single"/>
        </w:rPr>
        <w:t>Termination and Reduction of Commitments</w:t>
      </w:r>
      <w:r>
        <w:rPr>
          <w:rFonts w:ascii="Times New Roman;sans-serif" w:hAnsi="Times New Roman;sans-serif"/>
          <w:b w:val="false"/>
          <w:color w:val="000000"/>
          <w:sz w:val="22"/>
        </w:rPr>
        <w:t>. (a) Unless previously terminated, the Commitments shall terminate on the Maturity Date.</w:t>
      </w:r>
    </w:p>
    <w:p>
      <w:pPr>
        <w:pStyle w:val="TextBody"/>
        <w:bidi w:val="0"/>
        <w:spacing w:lineRule="auto" w:line="240" w:before="0" w:after="240"/>
        <w:jc w:val="both"/>
        <w:rPr/>
      </w:pPr>
      <w:r>
        <w:rPr>
          <w:rFonts w:ascii="Times New Roman;sans-serif" w:hAnsi="Times New Roman;sans-serif"/>
          <w:b w:val="false"/>
          <w:color w:val="000000"/>
          <w:sz w:val="22"/>
        </w:rPr>
        <w:t xml:space="preserve">(b)    The Borrower may at any time terminate or from time to time reduce the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each reduction of the Commitments shall be in an amount that is an integral multiple of $100,000 and not less than $1,000,000 and (ii) the Borrower shall not terminate or reduce the Commitments if, after giving effect to any concurrent prepayment of the Loans in accordance with Section 2.11, the Dollar Amount of any Lender’s Revolving Exposure would exceed such Lender’s Commitment.</w:t>
      </w:r>
    </w:p>
    <w:p>
      <w:pPr>
        <w:pStyle w:val="TextBody"/>
        <w:bidi w:val="0"/>
        <w:spacing w:before="0" w:after="24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110"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(c)    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notice of termination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2.10. </w:t>
      </w:r>
      <w:r>
        <w:rPr>
          <w:rFonts w:ascii="Times New Roman;sans-serif" w:hAnsi="Times New Roman;sans-serif"/>
          <w:b w:val="false"/>
          <w:color w:val="000000"/>
          <w:sz w:val="22"/>
          <w:u w:val="single"/>
        </w:rPr>
        <w:t>Repayment of Loans; Evidence of Debt</w:t>
      </w:r>
      <w:r>
        <w:rPr>
          <w:rFonts w:ascii="Times New Roman;sans-serif" w:hAnsi="Times New Roman;sans-serif"/>
          <w:b w:val="false"/>
          <w:color w:val="000000"/>
          <w:sz w:val="22"/>
        </w:rPr>
        <w:t xml:space="preserve">. (a) The Borrower hereby unconditionally promises to pay (i) to the Administrative Agent for the account of each Lender the then unpaid principal amount of each Revolving Loan on the Maturity Date in the currency of such Revolving Loan and (ii) to the Administrative Agent for the account of the Swingline Lender the then unpaid principal amount of each Swingline Loan on the earlier of the Maturity Date and the fifth Business Day after such Swingline Loan is made, or in the case of any Swingline Loan made pursuant to any Loan Sweep Agreement, pursuant to the Sweep to Loan Arrangement;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on each date that a Revolving Borrowing is made, the Borrower shall repay all Swingline Loans then outstanding and the proceeds of any such Borrowing shall be applied by the Administrative Agent to repay any Swingline Loans outstanding.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The Administrative Agent shall maintain accounts in which it shall record (i) the amount of each Loan made hereunder, the Agreed Currency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lineRule="auto" w:line="240" w:before="0" w:after="240"/>
        <w:jc w:val="both"/>
        <w:rPr/>
      </w:pPr>
      <w:r>
        <w:rPr>
          <w:rFonts w:ascii="Times New Roman;sans-serif" w:hAnsi="Times New Roman;sans-serif"/>
          <w:b w:val="false"/>
          <w:color w:val="000000"/>
          <w:sz w:val="22"/>
        </w:rPr>
        <w:t xml:space="preserve">(d)    The entries made in the accounts maintained pursuant to paragraph (b) or (c) of this Section shall be </w:t>
      </w:r>
      <w:r>
        <w:rPr>
          <w:rFonts w:ascii="Times New Roman;sans-serif" w:hAnsi="Times New Roman;sans-serif"/>
          <w:b w:val="false"/>
          <w:i/>
          <w:color w:val="000000"/>
          <w:sz w:val="22"/>
        </w:rPr>
        <w:t>prima facie</w:t>
      </w:r>
      <w:r>
        <w:rPr>
          <w:color w:val="000000"/>
        </w:rPr>
        <w:t xml:space="preserve"> </w:t>
      </w:r>
      <w:r>
        <w:rPr>
          <w:rFonts w:ascii="Times New Roman;sans-serif" w:hAnsi="Times New Roman;sans-serif"/>
          <w:b w:val="false"/>
          <w:color w:val="000000"/>
          <w:sz w:val="22"/>
        </w:rPr>
        <w:t xml:space="preserve">evidence of the existence and amounts of the obligations recorded therein;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2.11. </w:t>
      </w:r>
      <w:r>
        <w:rPr>
          <w:rFonts w:ascii="Times New Roman;sans-serif" w:hAnsi="Times New Roman;sans-serif"/>
          <w:b w:val="false"/>
          <w:color w:val="000000"/>
          <w:sz w:val="22"/>
          <w:u w:val="single"/>
        </w:rPr>
        <w:t>Prepayment of Loans</w:t>
      </w:r>
      <w:r>
        <w:rPr>
          <w:rFonts w:ascii="Times New Roman;sans-serif" w:hAnsi="Times New Roman;sans-serif"/>
          <w:b w:val="false"/>
          <w:color w:val="000000"/>
          <w:sz w:val="22"/>
        </w:rPr>
        <w: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Borrower shall have the right at any time and from time to time to prepay any Borrowing, in whole or in part, without premium or penalty (except for break funding payments in accordance with Section 2.16), subject to prior notice in accordance with paragraph (b) of this Section.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Borrower shall notify the Administrative Agent (and, in the case of prepayment of Swingline Loans, the Swingline Lender) by telephone (confirmed by telecopy or electronic mail) of any prepayment hereunder (i) (x) in the case of prepayment of (1) a Term Benchmark Borrowing denominated in Dollars, not later than 11:00 a.m., New York City time, three Business Days before the date of prepayment or (2) an RFR Borrowing denominated in Dollars, not later than 11:00 a.m. New York City time, five Business Days before the date of prepayment, and (y) in the case of prepayment of a Term Benchmark </w:t>
      </w:r>
    </w:p>
    <w:p>
      <w:pPr>
        <w:pStyle w:val="TextBody"/>
        <w:bidi w:val="0"/>
        <w:spacing w:before="0" w:after="24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111"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Borrowing denominated in a Foreign Currency, not later than 12:00 p.m., New York City time, three Business Days before the date of prepayment, (ii) in the case of prepayment of an ABR Revolving Borrowing, not later than 11:00 a.m. Local Time, one (1)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 Prepayments shall be accompanied by (i) accrued interest to the extent required by Section 2.13 and (ii) break funding payments pursuant to Section 2.16. </w:t>
      </w:r>
    </w:p>
    <w:p>
      <w:pPr>
        <w:pStyle w:val="TextBody"/>
        <w:bidi w:val="0"/>
        <w:spacing w:lineRule="auto" w:line="240" w:before="0" w:after="240"/>
        <w:jc w:val="both"/>
        <w:rPr/>
      </w:pPr>
      <w:r>
        <w:rPr>
          <w:rFonts w:ascii="Times New Roman;sans-serif" w:hAnsi="Times New Roman;sans-serif"/>
          <w:b w:val="false"/>
          <w:color w:val="000000"/>
          <w:sz w:val="22"/>
        </w:rPr>
        <w:t>(c)    If at any time, (i) other than as a result of fluctuations in currency exchange rates, (A) the sum of the aggregate principal Dollar Amount of all of the Revolving Exposures (calculated, with respect to those Credit Events denominated in Foreign Currencies, as of the most recent Revaluation Date with respect to each such Credit Event) exceeds the Aggregate Commitment or (B) the sum of the aggregate principal Dollar Amount of all of the outstanding Revolving Exposures denominated in Foreign Currencies (the “</w:t>
      </w:r>
      <w:r>
        <w:rPr>
          <w:rFonts w:ascii="Times New Roman;sans-serif" w:hAnsi="Times New Roman;sans-serif"/>
          <w:b w:val="false"/>
          <w:color w:val="000000"/>
          <w:sz w:val="22"/>
          <w:u w:val="single"/>
        </w:rPr>
        <w:t>Foreign Currency Exposure</w:t>
      </w:r>
      <w:r>
        <w:rPr>
          <w:color w:val="000000"/>
        </w:rPr>
        <w:t>”</w:t>
      </w:r>
      <w:r>
        <w:rPr>
          <w:rFonts w:ascii="Times New Roman;sans-serif" w:hAnsi="Times New Roman;sans-serif"/>
          <w:b w:val="false"/>
          <w:color w:val="000000"/>
          <w:sz w:val="22"/>
        </w:rPr>
        <w:t>) (so calculated), as of the most recent Revaluation Date with respect to each such Credit Event, exceeds the Foreign Currency Sublimit or (ii) solely as a result of fluctuations in currency exchange rates, (A) the sum of the aggregate principal Dollar Amount of all of the Revolving Exposures (so calculated) exceeds 105% of the Aggregate Commitment or (B) the Foreign Currency Exposure, as of the most recent Revaluation Date with respect to each such Credit Event, exceeds 105% of the Foreign Currency Sublimit, the Borrower shall in each case immediately repay Borrowings or cash collateralize LC Exposure in an account with the Administrative Agent pursuant to Section 2.06(j), as applicable, in an aggregate principal amount sufficient to cause (x) the aggregate Dollar Amount of all Revolving Exposures (so calculated) to be less than or equal to the Aggregate Commitment and (y) the Foreign Currency Exposure to be less than or equal to the Foreign Currency Sublimit,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2.12.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xml:space="preserve">. (a) The Borrower agrees to pay to the Administrative Agent for the account of each Lender a commitment fee, which shall accrue at the Applicable Rate on the average daily amount of the Available Revolving Commitment of such Lender during the period from and including the Effective Date to but excluding the date on which such Commitment terminates. Accrued commitment fees shall be payable on the fifteenth day following the last day of March, June, September and December of each year and on the date on which the Commitments terminate, commencing on the first such date to occur after the Effective Date. All commitment fees shall be computed on the basis of a year of 360 days and shall be payable for the actual number of days elapsed (including the first day but excluding the last day).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Borrower agrees to pay (i) to the Administrative Agent for the account of each Lender a participation fee with respect to its participations in Letters of Credit, which shall accrue at the Applicable Rate for performance Letters of Credit or non-performance Letters of Credit, as applicable, on the average daily Dollar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each Issuing Bank for its own account a fronting fee, which shall accrue at the rate of 0.125% per annum on the average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fifteenth day following such last day, commencing on the first such date </w:t>
      </w:r>
    </w:p>
    <w:p>
      <w:pPr>
        <w:pStyle w:val="TextBody"/>
        <w:bidi w:val="0"/>
        <w:spacing w:before="0" w:after="24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2"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to occur after the Effective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The Borrower agrees to pay to the Administrative Agent, for its own account, fees payable in the amounts and at the times separately agreed upon between the Borrower and the Administrative Agent.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All fees payable hereunder shall be paid on the dates due, in Dollars and immediately available funds, to the Administrative Agent (or to an Issuing Bank, in the case of fees payable to it) for distribution, in the case of commitment fees and participation fees, to the Lenders. Fees paid shall not be refundable under any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2.13. </w:t>
      </w:r>
      <w:r>
        <w:rPr>
          <w:rFonts w:ascii="Times New Roman;sans-serif" w:hAnsi="Times New Roman;sans-serif"/>
          <w:b w:val="false"/>
          <w:color w:val="000000"/>
          <w:sz w:val="22"/>
          <w:u w:val="single"/>
        </w:rPr>
        <w:t>Interest</w:t>
      </w:r>
      <w:r>
        <w:rPr>
          <w:rFonts w:ascii="Times New Roman;sans-serif" w:hAnsi="Times New Roman;sans-serif"/>
          <w:b w:val="false"/>
          <w:color w:val="000000"/>
          <w:sz w:val="22"/>
        </w:rPr>
        <w:t>. (a) The Loans comprising each ABR Borrowing (including each Swingline Loan) shall bear interest at the Alternate Base Rate plus the Applicable Rate.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The Loans comprising each Term Benchmark Borrowing shall bear interest at the Adjusted Term SOFR Rate, the Adjusted EURIBOR Rate or the Adjusted CDOR Rate, as applicable, for the Interest Period in effect for such Borrowing plus the Applicable Rate, and each RFR Loan shall bear interest at a rate per annum equal to the Adjusted Daily Simple RFR plus, in any such case, the Applicable Rate.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pStyle w:val="TextBody"/>
        <w:bidi w:val="0"/>
        <w:spacing w:lineRule="auto" w:line="240" w:before="0" w:after="240"/>
        <w:jc w:val="both"/>
        <w:rPr/>
      </w:pPr>
      <w:r>
        <w:rPr>
          <w:rFonts w:ascii="Times New Roman;sans-serif" w:hAnsi="Times New Roman;sans-serif"/>
          <w:b w:val="false"/>
          <w:color w:val="000000"/>
          <w:sz w:val="22"/>
        </w:rPr>
        <w:t xml:space="preserve">(d)    Accrued interest on each Loan shall be payable in arrears in the same Agreed Currency as the applicable Loan, on each Interest Payment Date for such Loan and, in the case of Revolving Loans, upon termination of the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Interest computed by reference to the Alternate Base Rate (except when based on the Prime Rate or the Canadian Prime Rate), the Term SOFR Rate, the EURIBOR Rate or Daily Simple RFR with respect to Dollars hereunder shall be computed on the basis of a year of 360 days. Interest computed by reference to the Alternate Base Rate at times when the Alternate Base Rate is based on the Prime Rate or the Canadian Prime Rate shall be computed on the basis of a year of 365 days (or 366 days in a leap year) and interest computed by reference to the Adjusted CDOR Rate shall be computed on the basis of a year of 365 days.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Term SOFR Rate, Adjusted EURIBOR Rate, EURIBOR Rate, Canadian Prime Rate, Adjusted CDOR Rate, Adjusted Daily Simple RFR or Daily Simple RFR shall be determined by the Administrative Agent, and such determination shall be conclusive absent manifest error.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2.14. </w:t>
      </w:r>
      <w:r>
        <w:rPr>
          <w:rFonts w:ascii="Times New Roman;sans-serif" w:hAnsi="Times New Roman;sans-serif"/>
          <w:b w:val="false"/>
          <w:color w:val="000000"/>
          <w:sz w:val="22"/>
          <w:u w:val="single"/>
        </w:rPr>
        <w:t>Alternate Rate of Interest</w:t>
      </w:r>
      <w:r>
        <w:rPr>
          <w:rFonts w:ascii="Times New Roman;sans-serif" w:hAnsi="Times New Roman;sans-serif"/>
          <w:b w:val="false"/>
          <w:color w:val="000000"/>
          <w:sz w:val="22"/>
        </w:rPr>
        <w:t>. (a) Subject to clauses (b), (c), (d), (e) and (f) of this Section 2.14, if:</w:t>
      </w:r>
    </w:p>
    <w:p>
      <w:pPr>
        <w:pStyle w:val="TextBody"/>
        <w:bidi w:val="0"/>
        <w:spacing w:before="0" w:after="24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3"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the Administrative Agent determines (which determination shall be conclusive absent manifest error) (A) prior to the commencement of any Interest Period for a Term Benchmark Borrowing, that adequate and reasonable means do not exist for ascertaining the Adjusted Term SOFR Rate, the Adjusted EURIBOR Rate or the Adjusted CDOR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for the applicable Agreed Currency; or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    the Administrative Agent is advised by the Required Lenders that (A) prior to the commencement of any Interest Period for a Term Benchmark Borrowing, the Adjusted Term SOFR Rate, the Adjusted EURIBOR Rate or the Adjusted CDOR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or RFR for the applicable Agreed Currency will not adequately and fairly reflect the cost to such Lenders of making or maintaining their Loans included in such Borrowing for the applicable Agreed Currency;</w:t>
      </w:r>
    </w:p>
    <w:p>
      <w:pPr>
        <w:pStyle w:val="TextBody"/>
        <w:bidi w:val="0"/>
        <w:spacing w:lineRule="auto" w:line="240" w:before="0" w:after="240"/>
        <w:jc w:val="both"/>
        <w:rPr/>
      </w:pPr>
      <w:r>
        <w:rPr>
          <w:rFonts w:ascii="Times New Roman;sans-serif" w:hAnsi="Times New Roman;sans-serif"/>
          <w:b w:val="false"/>
          <w:color w:val="000000"/>
          <w:sz w:val="22"/>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denominated in Dollars so long as the Adjusted Daily Simple RFR for Dollar Borrowings is not also the subject of Section 2.14(a)(i) or 2.14(a)(ii) above or (y) an ABR Borrowing if the Adjusted Daily Simple RFR for Dollar Borrowings also is the subject of Section 2.14(a)(i) or 2.14(a)(ii) above and (2) any Borrowing Request that requests an RFR Borrowing shall instead be deemed to be a Borrowing Request, as applicable, for an ABR Borrowing and (B) for Loans denominated in a Foreign Currency, any Interest Election Request that requests the conversion of any Borrowing to, or continuation of any Borrowing as, a Term Benchmark Borrowing and any Borrowing Request that requests a Term Benchmark Borrowing or an RFR Borrowing, in each case, for the relevant Benchmark shall be ineffective;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also the subject of Section 2.14(a)(i) or 2.14(a)(ii) above or (y) an ABR Loan if the Adjusted Daily Simple RFR for Dollar Borrowings also is the subject of Section 2.14(a)(i) or 2.14(a)(ii) 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 Rate (or in the case of Canadian Dollars, the Canadian Prime Rate) for the applicable Foreign Currency plus the CBR Spread;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Term Benchmark Loans denominated in any Foreign Currency shall, at the Borrower’s election prior to such day: (A) be prepaid by the Borrower on such day or (B) solely for the </w:t>
      </w:r>
    </w:p>
    <w:p>
      <w:pPr>
        <w:pStyle w:val="TextBody"/>
        <w:bidi w:val="0"/>
        <w:spacing w:before="0" w:after="24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4"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(or in the case of Canadian Dollars, the Canadian Prime Rate) for the applicable Foreign Currency plus the CBR Spread;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RFR Loans denominated in any Foreign Currency, at the Borrower’s election, shall either (A) be converted into ABR Loans denominated in Dollars (in an amount equal to the Dollar Amount of such Foreign Currency) immediately or (B) be prepaid in full immediately.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Notwithstanding anything to the contrary herein or in any other Loan Document, the Administrative Agent will have the right to make Benchmark Replacement Conforming Changes from time to time and any amendments implementing such Benchmark Replacement Conforming Changes will become effective without any further action or consent of any other party to this Agreement or any other Loan Document.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Notwithstanding anything to the contrary herein or in any other Loan Document, at any time (including in connection with the implementation of a Benchmark Replacement), (i) if the then-current Benchmark is a term rate (including the Term SOFR Rate, EURIBOR Rate or CDOR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w:t>
      </w:r>
    </w:p>
    <w:p>
      <w:pPr>
        <w:pStyle w:val="TextBody"/>
        <w:bidi w:val="0"/>
        <w:spacing w:before="0" w:after="24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lineRule="auto" w:line="240" w:before="0" w:after="240"/>
        <w:jc w:val="both"/>
        <w:rPr/>
      </w:pPr>
      <w:r>
        <w:rPr>
          <w:rFonts w:ascii="Times New Roman;sans-serif" w:hAnsi="Times New Roman;sans-serif"/>
          <w:b w:val="false"/>
          <w:color w:val="000000"/>
          <w:sz w:val="22"/>
        </w:rPr>
        <w:t xml:space="preserve">(f)    Upon the Borrower’s receipt of notice of the commencement of a Benchmark Unavailability Period, the Borrower may revoke any request for (i) a Term Benchmark Borrowing, conversion to or continuation of Term Benchmark Loans to be made, converted or continued or (ii) a RFR Borrowing or conversion to RFR Loans, during any Benchmark Unavailability Period and, failing that, either (x) the Borrower will be deemed to have converted any such request for (1) a Term Benchmark Borrowing or RFR Borrowing, as applicable, denominated in Dollars into a request for a Borrowing of or conversion to (A)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2.14, (1) for Loans denominated in Dollars, (A) any Term Benchmark Loan shall on the last day of the Interest Period applicable to such Loan, be converted by the Administrative Agent to, and shall constitute, (i) an RFR Borrowing denominated in Dollars so long as the Adjusted Daily Simple RFR for Dollar Borrowings is not the subject of a Benchmark Transition Event, or (ii) an ABR Loan if the Adjusted Daily Simple RFR for Dollar Borrowings is the subject of a Benchmark Transition Event, on such day and (B) any RFR Loan shall on and from such day, be converted by the Administrative Agent to, and shall constitute an ABR Loan and (2) for Loans denominated in any Foreign Currency, (A) any Term Benchmark Loan shall, on the last day of the Interest Period applicable to such Loan bear interest at the Central Bank Rate (or in the case of Canadian Dollars, the Canadian Prime Rate) for the applicable Foreign Currency plus the CBR Spread;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Term Benchmark Loans denominated in any Foreign Currency shall, at the Borrower’s election prior to such day: (i) be prepaid by the Borrower on such day or (ii)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(B) any RFR Loan shall bear interest at the Central Bank Rate (or in the case of Canadian Dollars, the Canadian Prime Rate) for the applicable Foreign Currency, plus the CBR Spread;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RFR Loans denominated in any Foreign Currency, at the Borrower’s election, shall either (i) be converted into ABR Loans denominated in Dollars (in an amount equal to the Dollar Amount of such Foreign Currency) immediately or (ii) be prepaid in full immediately.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2.15. </w:t>
      </w:r>
      <w:r>
        <w:rPr>
          <w:rFonts w:ascii="Times New Roman;sans-serif" w:hAnsi="Times New Roman;sans-serif"/>
          <w:b w:val="false"/>
          <w:color w:val="000000"/>
          <w:sz w:val="22"/>
          <w:u w:val="single"/>
        </w:rPr>
        <w:t>Increased Costs</w:t>
      </w:r>
      <w:r>
        <w:rPr>
          <w:rFonts w:ascii="Times New Roman;sans-serif" w:hAnsi="Times New Roman;sans-serif"/>
          <w:b w:val="false"/>
          <w:color w:val="000000"/>
          <w:sz w:val="22"/>
        </w:rPr>
        <w:t>. (a) If any Change in Law shall:</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EURIBOR Rate or Adjusted CDOR Rate, as applicable) or any Issuing Bank;</w:t>
      </w:r>
    </w:p>
    <w:p>
      <w:pPr>
        <w:pStyle w:val="TextBody"/>
        <w:bidi w:val="0"/>
        <w:spacing w:before="0" w:after="24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impose on any Lender or any Issuing Bank or the applicable offshore interbank market for the applicable Agreed Currency any other condition, cost or expense (other than Taxes) affecting this Agreement or Loans made by such Lender or any Letter of Credit or participation therein;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subject the Administrative Agent, any Lender, any Issuing Bank or any other recipient of any payment to be made hereunder or under the other Loan Documents to any Taxes (other than (A) Indemnified Taxes, (B) Excluded Taxes or (C) Other Taxes) on its loans, loan principal, letters of credit, commitments, or other obligations, or its deposits, reserves, other liabilities or capital attributable thereto;</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the result of any of the foregoing shall be to increase the cost to such Person of making, continuing, converting into or maintaining any Loan (or of maintaining its obligation to make any such Loan) or to increase the cost to such Person of participating in, issuing or maintaining any Letter of Credit or to reduce the amount of any sum received or receivable by such Person hereunder (whether of principal, interest or otherwise), then the Borrower will pay to such Person such additional amount or amounts as will compensate such Person for such additional costs incurred or reduction suffered.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their respective holding company, as applicable, for any such reduction suffered.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A certificate of a Lender or an Issuing Bank setting forth the amount or amounts necessary to compensate such Lender or such Issuing Bank or its holding company, as the case may be, as specified in paragraph (a) or (b) of this Section and describing in reasonable detail the basis of such compensation and method of calculation shall be delivered to the Borrower and shall be conclusive absent manifest error. The Borrower shall pay such Lender or such Issuing Bank, as the case may be, the amount shown as due on any such certificate within 10 days after receipt thereof.</w:t>
      </w:r>
    </w:p>
    <w:p>
      <w:pPr>
        <w:pStyle w:val="TextBody"/>
        <w:bidi w:val="0"/>
        <w:spacing w:lineRule="auto" w:line="240" w:before="0" w:after="240"/>
        <w:jc w:val="both"/>
        <w:rPr/>
      </w:pPr>
      <w:r>
        <w:rPr>
          <w:rFonts w:ascii="Times New Roman;sans-serif" w:hAnsi="Times New Roman;sans-serif"/>
          <w:b w:val="false"/>
          <w:color w:val="000000"/>
          <w:sz w:val="22"/>
        </w:rPr>
        <w:t xml:space="preserve">(d)    Failure or delay on the part of any Lender or any Issuing Bank to demand compensation pursuant to this Section shall not constitute a waiver of such Lender’s or such Issuing Bank’s right to demand such compensation;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not be required to compensate a Lender or an Issuing Bank pursuant to this Section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if the Change in Law giving rise to such increased costs or reductions is retroactive, then the 180-day period referred to above shall be extended to include the period of retroactive effect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2.16. </w:t>
      </w:r>
      <w:r>
        <w:rPr>
          <w:rFonts w:ascii="Times New Roman;sans-serif" w:hAnsi="Times New Roman;sans-serif"/>
          <w:b w:val="false"/>
          <w:color w:val="000000"/>
          <w:sz w:val="22"/>
          <w:u w:val="single"/>
        </w:rPr>
        <w:t>Break Funding Payments</w:t>
      </w:r>
      <w:r>
        <w:rPr>
          <w:rFonts w:ascii="Times New Roman;sans-serif" w:hAnsi="Times New Roman;sans-serif"/>
          <w:b w:val="false"/>
          <w:color w:val="000000"/>
          <w:sz w:val="22"/>
        </w:rPr>
        <w:t xml:space="preserve">. (a) With respect to Loans that are not RFR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2.09(c) and is revoked in accordance therewith), (iv) the assignment of any Term Benchmark Loan other than on the last day of the Interest Period applicable thereto as a result of a request by the Borrower pursuant to Section 2.19 or (v) the failure by the Borrower to make any payment of any Loan or drawing under any Letter of Credit (or interest due thereon) denominated in a Foreign Currency on its scheduled due date or any payment thereof in a different currency, then, in any </w:t>
      </w:r>
    </w:p>
    <w:p>
      <w:pPr>
        <w:pStyle w:val="TextBody"/>
        <w:bidi w:val="0"/>
        <w:spacing w:before="0" w:after="24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event, the Borrower shall compensate each Lender for the loss, cost and expense attributable to such event. A certificate of any Lender setting forth any amount or amounts (and the computation of any such loss, cost or expense in reasonable detail)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With respect to RFR Loans, in the event of the failure by the Borrower to make any payment of any Loan or drawing under any Letter of Credit (or interest due thereof) denominated in a Foreign Currency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2.17.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xml:space="preserve">. (a) Any and all payments by or on account of any obligation of the Borrower hereunder shall (except to the extent required by applicable law) be made free and clear of and without deduction for any Indemnified Taxes or Other Taxes;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Borrower shall be required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any Lender or any Issuing Bank (as the case may be) receives an amount equal to the sum it would have received had no such deductions been made, (ii) the Borrower shall be entitled to make such deductions or withholdings and (iii) the Borrower shall pay the full amount deducted or withheld to the relevant Governmental Authority in accordance with applicable law.</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In addition, the Borrower shall pay any Other Taxes to the relevant Governmental Authority in accordance with applicable law.</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The Borrower shall indemnify the Administrative Agent, each Lender and each Issuing Bank, within 10 days after written demand therefor, for the full amount of any Indemnified Taxes or Other Taxes paid by the Administrative Agent, such Lender or such Issuing Bank, as the case may be,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an Issuing Bank, or by the Administrative Agent on its own behalf or on behalf of a Lender or an Issuing Bank, shall be conclusive absent manifest error.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As soon as practicable after any payment of Indemnified Taxes or Other Taxes by the Borrower to a Governmental Authority pursuant to this Section 2.17,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Each Lender shall deliver to the Borrower and to the Administrative Agent, whenever reasonably requested by the Borrower or the Administrative Agent, such properly completed and executed documentation prescribed by applicable laws and such other reasonably requested information as will permit the Borrower or the Administrative Agent, as the case may be, (A) to determine whether or not payments made hereunder or under any other Loan Document are subject to Taxes, (B) to determine, if applicable, the required rate of withholding or deduction and (C) to establish such Lender’s entitlement to any available exemption from, or reduction of, applicable Taxes in respect of any payments to be made to such Lender pursuant to any Loan Document or otherwise to establish such Lender’s status for withholding Tax purposes in an applicable jurisdiction.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If any form, certification or other documentation </w:t>
      </w:r>
    </w:p>
    <w:p>
      <w:pPr>
        <w:pStyle w:val="TextBody"/>
        <w:bidi w:val="0"/>
        <w:spacing w:before="0" w:after="24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provided by a Lender pursuant to this Section 2.17(e) (including any of the specific documentation described below) expires or becomes obsolete or inaccurate in any respect, such Lender shall promptly notify the Borrower and the Administrative Agent in writing and shall promptly update or otherwise correct the affected documentation or promptly notify the Borrower and the Administrative Agent in writing that such Lender is not legally eligible to do so. Without limiting the generality of the foregoing,</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any Lender that is a “United States person” within the meaning of Section 7701(a)(30) of the Code shall deliver to the Borrower and the Administrative Agent duly completed and executed originals of IRS Form W-9 or such other documentation or information prescribed by applicable laws or reasonably requested by the Borrower or the Administrative Agent (in such number of signed originals as shall be requested by the recipient) on or prior to the date on which such Lender becomes a Lender under this Agreement (and from time to time thereafter upon request of the Borrower or the Administrative Agent) as will enable the Borrower or the Administrative Agent, as the case may be, to determine whether or not such Lender is subject to U.S. federal backup withholding Tax or information reporting requirements; and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each Foreign Lender that is entitled under the Code or any applicable treaty to an exemption from or reduction of U.S. federal withholding Tax with respect to any payments hereunder or under any other Loan Document shall deliver to the Borrower and the Administrative Agent (in such number of signed originals as shall be requested by the recipient) on or prior to the date on which such Foreign Lender becomes a Lender under this Agreement (and from time to time thereafter upon the request of the Borrower or the Administrative Agent), duly completed and executed copies of whichever of the following is applicable:</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IRS Form W-8BEN or IRS Form W-8BEN-E, as applicable, (or any successor thereto) claiming eligibility for benefits of an income tax treaty to which the United States is a party,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IRS Form W-8ECI (or any successor thereto) claiming that specified payments (as applicable) under this Agreement or any other Loan Documents (as applicable) constitute income that is effectively connected with such Foreign Lender’s conduct of a trade or business in the United States,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    in the case of a Foreign Lender claiming the benefits of the exemption for portfolio interest under Sections 881(c) or 871(h) of the Code (the “</w:t>
      </w:r>
      <w:r>
        <w:rPr>
          <w:rFonts w:ascii="Times New Roman;sans-serif" w:hAnsi="Times New Roman;sans-serif"/>
          <w:b w:val="false"/>
          <w:color w:val="000000"/>
          <w:sz w:val="22"/>
          <w:u w:val="single"/>
        </w:rPr>
        <w:t>Portfolio Interest Exemption</w:t>
      </w:r>
      <w:r>
        <w:rPr>
          <w:color w:val="000000"/>
        </w:rPr>
        <w:t>”</w:t>
      </w:r>
      <w:r>
        <w:rPr>
          <w:rFonts w:ascii="Times New Roman;sans-serif" w:hAnsi="Times New Roman;sans-serif"/>
          <w:b w:val="false"/>
          <w:color w:val="000000"/>
          <w:sz w:val="22"/>
        </w:rPr>
        <w:t>), (x) a certificate (a “</w:t>
      </w:r>
      <w:r>
        <w:rPr>
          <w:rFonts w:ascii="Times New Roman;sans-serif" w:hAnsi="Times New Roman;sans-serif"/>
          <w:b w:val="false"/>
          <w:color w:val="000000"/>
          <w:sz w:val="22"/>
          <w:u w:val="single"/>
        </w:rPr>
        <w:t>Tax Status Certificate</w:t>
      </w:r>
      <w:r>
        <w:rPr>
          <w:color w:val="000000"/>
        </w:rPr>
        <w:t>”</w:t>
      </w:r>
      <w:r>
        <w:rPr>
          <w:rFonts w:ascii="Times New Roman;sans-serif" w:hAnsi="Times New Roman;sans-serif"/>
          <w:b w:val="false"/>
          <w:color w:val="000000"/>
          <w:sz w:val="22"/>
        </w:rPr>
        <w:t xml:space="preserve">) in form and substance reasonably satisfactory to the Administrative Agent and the Borrower to the effect that such Foreign Lender (I) is not a “bank” for purposes of Section 881(c)(3)(A) of the Code, (II) is not a 10-percent shareholder of the Borrower for purpose of Section 881(c)(3)(B) of the Code and (III) is not a controlled foreign corporation related to the Borrower for the purposes of Section 881(c)(3)(C) of the Code and (y) IRS Form W-8BEN or IRS Form W-8BEN-E, as applicable, (or any successor thereto),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(D)    where such Lender is a partnership (for U.S. federal income tax purposes) or otherwise not a beneficial owner (e.g., where such Lender has sold a participation), IRS Form W-8IMY accompanied by IRS Form W-8ECI, IRS Form W-8BEN, IRS Form W-8BEN-E, IRS Form W-9 (or, in each case, any successor thereto) and all required supporting documentation from each beneficial owner, as applicable (including, where one or more of the underlying beneficial owner(s) is claiming the benefits of the Portfolio Interest Exemption, a Tax Status Certificate of such beneficial owner(s)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Foreign Lender is a partnership and not a participating Lender, the Tax Status Certificate from the beneficial owner(s) may be provided by the Foreign Lender on behalf of the beneficial owner(s)), or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pStyle w:val="TextBody"/>
        <w:bidi w:val="0"/>
        <w:spacing w:before="0" w:after="24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Section 2.17(f), “FATCA” shall include any amendments made to FATCA after the date of this Agreement.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    Each Lender shall severally indemnify the Administrative Agent, within 10 days after demand therefor, for (i) any Indemnified Taxes or Other Taxes attributable to such Lender (but only to the extent that the Borrower has not already indemnified the Administrative Agent for such Indemnified Taxes and Other Taxes and without limiting the obligation of the Borrower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2.17(g).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    If the Administrative Agent or a Lender determines, in its sole discretion, exercised in good faith, that it has received a refund of any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Taxes or Other Taxes giving rise to such refund), net of all out-of-pocket expenses of the Administrative Agent or such Lender and without interest (other than any interest paid by the relevant Governmental Authority with respect to such refund); provided, that the Borrower, upon the request of the Administrative Agent or such Lender, agrees to repay the amount paid over to the Borrower (plus any penalties, interest or other charges imposed by the relevant Governmental Authority) pursuant to this Section 2.17(h)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Borrower or any other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2.18. </w:t>
      </w:r>
      <w:r>
        <w:rPr>
          <w:rFonts w:ascii="Times New Roman;sans-serif" w:hAnsi="Times New Roman;sans-serif"/>
          <w:b w:val="false"/>
          <w:color w:val="000000"/>
          <w:sz w:val="22"/>
          <w:u w:val="single"/>
        </w:rPr>
        <w:t>Payments Generally; Allocation of Proceeds; Sharing of Set-offs</w:t>
      </w:r>
      <w:r>
        <w:rPr>
          <w:rFonts w:ascii="Times New Roman;sans-serif" w:hAnsi="Times New Roman;sans-serif"/>
          <w:b w:val="false"/>
          <w:color w:val="000000"/>
          <w:sz w:val="22"/>
        </w:rPr>
        <w:t>. (a) The Borrower shall make each payment required to be made by it hereunder (whether of principal, interest, fees or reimbursement of LC Disbursements, or of amounts payable under Section 2.15, 2.16 or 2.17, or otherwise) prior to (i) in the case of payments denominated in Dollars, 11:00 a.m., Chicago time and (ii) in the case of payments denominated in a Foreign Currency, 12:00 noon, Local Time, in the city of the Administrative Agent’s Foreign Payment Office for such currency, in each case,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(A) in the same currency in which the applicable Credit Event was made, and (B) to the Administrative Agent at its offices at 10 South Dearborn Street, 7</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floor, Chicago, Illinois 60603 or, in the case of a Credit Event denominated in a Foreign Currency, the Administrative Agent’s Foreign Payment Office for such currency, except payments to be made directly to an Issuing Bank as expressly provided herein and except that payments pursuant to Sections 2.15, 2.16, 2.17 and 9.03 shall be made directly to the Persons entitled thereto. The Administrative Agent shall distribute any such payments denominated in the same </w:t>
      </w:r>
    </w:p>
    <w:p>
      <w:pPr>
        <w:pStyle w:val="TextBody"/>
        <w:bidi w:val="0"/>
        <w:spacing w:before="0" w:after="24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sans-serif" w:hAnsi="Times New Roman;sans-serif"/>
          <w:b w:val="false"/>
          <w:color w:val="000000"/>
          <w:sz w:val="22"/>
          <w:u w:val="single"/>
        </w:rPr>
        <w:t>Original Currency</w:t>
      </w:r>
      <w:r>
        <w:rPr>
          <w:color w:val="000000"/>
        </w:rPr>
        <w:t>”</w:t>
      </w:r>
      <w:r>
        <w:rPr>
          <w:rFonts w:ascii="Times New Roman;sans-serif" w:hAnsi="Times New Roman;sans-serif"/>
          <w:b w:val="false"/>
          <w:color w:val="000000"/>
          <w:sz w:val="22"/>
        </w:rPr>
        <w:t>) no longer exists or the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 take all risks of the imposition of any such currency control or exchange regulations.</w:t>
      </w:r>
    </w:p>
    <w:p>
      <w:pPr>
        <w:pStyle w:val="TextBody"/>
        <w:bidi w:val="0"/>
        <w:spacing w:lineRule="auto" w:line="240" w:before="0" w:after="240"/>
        <w:jc w:val="both"/>
        <w:rPr/>
      </w:pPr>
      <w:r>
        <w:rPr>
          <w:rFonts w:ascii="Times New Roman;sans-serif" w:hAnsi="Times New Roman;sans-serif"/>
          <w:b w:val="false"/>
          <w:color w:val="000000"/>
          <w:sz w:val="22"/>
        </w:rPr>
        <w:t xml:space="preserve">(b)    At any time that payments are not required to be applied in the manner required by Section 7.03 (in which case any such proceeds shall be applied in accordance therewith), if at any time (x) insufficient funds are received by and available to the Administrative Agent to pay fully all amounts of principal, unreimbursed LC Disbursements, interest and fees then due hereunder not constituting a specific payment of principal, interest, fees or other sum payable under the Loan Documents (which shall be applied as specified by the Borrower) or (y) any funds are received by the Administrative Agent as proceeds of Collateral, such funds shall be applied ratably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pay any fees, indemnities, or expense reimbursements (other than those described in the next clause second), including amounts then due to the Administrative Agent and any Issuing Bank from the Borrower,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to pay any fees or expense reimbursements then due to the Lenders from the Borrower, </w:t>
      </w: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xml:space="preserve">, to pay interest then due and payable on the Loans ratably, </w:t>
      </w: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to prepay principal on the Loans and unreimbursed LC Disbursements and any other amounts owing with respect to Banking Services Obligations and Swap Obligations ratably, </w:t>
      </w: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xml:space="preserve">, to pay an amount to the Administrative Agent equal to one hundred five percent (105%) of the aggregate undrawn face amount of all outstanding Letters of Credit and the aggregate amount of any unpaid LC Disbursements, to be held as cash collateral for such Obligations and </w:t>
      </w:r>
      <w:r>
        <w:rPr>
          <w:rFonts w:ascii="Times New Roman;sans-serif" w:hAnsi="Times New Roman;sans-serif"/>
          <w:b w:val="false"/>
          <w:color w:val="000000"/>
          <w:sz w:val="22"/>
          <w:u w:val="single"/>
        </w:rPr>
        <w:t>sixth</w:t>
      </w:r>
      <w:r>
        <w:rPr>
          <w:rFonts w:ascii="Times New Roman;sans-serif" w:hAnsi="Times New Roman;sans-serif"/>
          <w:b w:val="false"/>
          <w:color w:val="000000"/>
          <w:sz w:val="22"/>
        </w:rPr>
        <w:t>,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Term Benchmark Loan, except (i) on the expiration date of the Interest Period applicable to any such Term Benchmark Loan or (ii) in the event, and only to the extent, that there are no outstanding ABR Loans and, in any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2.04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If any Lender shall, by exercising any right of set 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w:t>
      </w:r>
    </w:p>
    <w:p>
      <w:pPr>
        <w:pStyle w:val="TextBody"/>
        <w:bidi w:val="0"/>
        <w:spacing w:before="0" w:after="24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If any Lender shall fail to make any payment required to be made by it pursuant to Section 2.05, 2.06(d) or 2.06(e), 2.07(b), 2.18(e) or 9.03(c), then the Administrative Agent may, in its discretion (notwithstanding any contrary provision hereof), (i) apply any amounts thereafter received by the Administrative Agent for the account of such Lender and for the benefit of the Administrative Agent or an Issuing Bank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2.19. </w:t>
      </w:r>
      <w:r>
        <w:rPr>
          <w:rFonts w:ascii="Times New Roman;sans-serif" w:hAnsi="Times New Roman;sans-serif"/>
          <w:b w:val="false"/>
          <w:color w:val="000000"/>
          <w:sz w:val="22"/>
          <w:u w:val="single"/>
        </w:rPr>
        <w:t>Mitigation Obligations; Replacement of Lenders</w:t>
      </w:r>
      <w:r>
        <w:rPr>
          <w:rFonts w:ascii="Times New Roman;sans-serif" w:hAnsi="Times New Roman;sans-serif"/>
          <w:b w:val="false"/>
          <w:color w:val="000000"/>
          <w:sz w:val="22"/>
        </w:rPr>
        <w:t>. (a) If any Lender requests compensation under Section 2.15, or the Borrower is required to pay any additional amount to any Lender or any Governmental Authority for the account of any Lender pursuant to Section 2.17,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lineRule="auto" w:line="240" w:before="0" w:after="240"/>
        <w:jc w:val="both"/>
        <w:rPr/>
      </w:pPr>
      <w:r>
        <w:rPr>
          <w:rFonts w:ascii="Times New Roman;sans-serif" w:hAnsi="Times New Roman;sans-serif"/>
          <w:b w:val="false"/>
          <w:color w:val="000000"/>
          <w:sz w:val="22"/>
        </w:rPr>
        <w:t xml:space="preserve">(b)    If (A) any Lender requests compensation under Section 2.15, (B) the Borrower is required to pay any additional amount to any Lender or any Governmental Authority for the account of any Lender pursuant to Section 2.17 or (C)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Borrower shall have received the prior written consent of the Administrative Agent (and if a Commitment is being assigned, the Issuing Banks and Swingline Lender), which consent shall not unreasonably be withheld, (ii) such Lender shall have received payment of an amount equal to the </w:t>
      </w:r>
    </w:p>
    <w:p>
      <w:pPr>
        <w:pStyle w:val="TextBody"/>
        <w:bidi w:val="0"/>
        <w:spacing w:before="0" w:after="24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(a) an assignment required pursuant to this paragraph or in connection with the replacement of a Non-Consenting Lender under Section 9.02(e)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be bound by the terms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any such documents shall be without recourse to or warranty by the parties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2.20. </w:t>
      </w:r>
      <w:r>
        <w:rPr>
          <w:rFonts w:ascii="Times New Roman;sans-serif" w:hAnsi="Times New Roman;sans-serif"/>
          <w:b w:val="false"/>
          <w:color w:val="000000"/>
          <w:sz w:val="22"/>
          <w:u w:val="single"/>
        </w:rPr>
        <w:t>Defaulting Lenders.</w:t>
      </w:r>
      <w:r>
        <w:rPr>
          <w:color w:val="000000"/>
        </w:rPr>
        <w:t xml:space="preserve"> </w:t>
      </w:r>
      <w:r>
        <w:rPr>
          <w:rFonts w:ascii="Times New Roman;sans-serif" w:hAnsi="Times New Roman;sans-serif"/>
          <w:b w:val="false"/>
          <w:color w:val="000000"/>
          <w:sz w:val="22"/>
        </w:rPr>
        <w:t xml:space="preserve">Notwithstanding any provision of this Agreement to the contrary, if any Lender becomes a Defaulting Lender, then the following provisions shall apply for so long as such Lender is a Defaulting Lender: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fees shall cease to accrue on the unfunded portion of the Commitment of such Defaulting Lender pursuant to Section 2.12(a);</w:t>
      </w:r>
    </w:p>
    <w:p>
      <w:pPr>
        <w:pStyle w:val="TextBody"/>
        <w:bidi w:val="0"/>
        <w:spacing w:lineRule="auto" w:line="240" w:before="0" w:after="240"/>
        <w:jc w:val="both"/>
        <w:rPr/>
      </w:pPr>
      <w:r>
        <w:rPr>
          <w:rFonts w:ascii="Times New Roman;sans-serif" w:hAnsi="Times New Roman;sans-serif"/>
          <w:b w:val="false"/>
          <w:color w:val="000000"/>
          <w:sz w:val="22"/>
        </w:rPr>
        <w:t xml:space="preserve">(b)    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the payment of any amounts owing by such Defaulting Lender to the Administrative Agent hereunder;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to the payment on a pro rata basis of any amounts owing by such Defaulting Lender to any Issuing Bank or Swingline Lender hereunder; </w:t>
      </w: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xml:space="preserve">, to cash collateralize LC Exposure with respect to such Defaulting Lender in accordance with this Section; </w:t>
      </w: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sans-serif" w:hAnsi="Times New Roman;sans-serif"/>
          <w:b w:val="false"/>
          <w:color w:val="000000"/>
          <w:sz w:val="22"/>
          <w:u w:val="single"/>
        </w:rPr>
        <w:t>sixth</w:t>
      </w:r>
      <w:r>
        <w:rPr>
          <w:rFonts w:ascii="Times New Roman;sans-serif" w:hAnsi="Times New Roman;sans-serif"/>
          <w:b w:val="false"/>
          <w:color w:val="000000"/>
          <w:sz w:val="22"/>
        </w:rPr>
        <w:t xml:space="preserve">,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w:t>
      </w:r>
      <w:r>
        <w:rPr>
          <w:rFonts w:ascii="Times New Roman;sans-serif" w:hAnsi="Times New Roman;sans-serif"/>
          <w:b w:val="false"/>
          <w:color w:val="000000"/>
          <w:sz w:val="22"/>
          <w:u w:val="single"/>
        </w:rPr>
        <w:t>seventh</w:t>
      </w:r>
      <w:r>
        <w:rPr>
          <w:rFonts w:ascii="Times New Roman;sans-serif" w:hAnsi="Times New Roman;sans-serif"/>
          <w:b w:val="false"/>
          <w:color w:val="000000"/>
          <w:sz w:val="22"/>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sans-serif" w:hAnsi="Times New Roman;sans-serif"/>
          <w:b w:val="false"/>
          <w:color w:val="000000"/>
          <w:sz w:val="22"/>
          <w:u w:val="single"/>
        </w:rPr>
        <w:t>eighth</w:t>
      </w:r>
      <w:r>
        <w:rPr>
          <w:rFonts w:ascii="Times New Roman;sans-serif" w:hAnsi="Times New Roman;sans-serif"/>
          <w:b w:val="false"/>
          <w:color w:val="000000"/>
          <w:sz w:val="22"/>
        </w:rPr>
        <w:t xml:space="preserve">, to such Defaulting Lender or as otherwise directed by a court of competent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w:t>
      </w:r>
    </w:p>
    <w:p>
      <w:pPr>
        <w:pStyle w:val="TextBody"/>
        <w:bidi w:val="0"/>
        <w:spacing w:before="0" w:after="24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lineRule="auto" w:line="240" w:before="0" w:after="240"/>
        <w:jc w:val="both"/>
        <w:rPr/>
      </w:pPr>
      <w:r>
        <w:rPr>
          <w:rFonts w:ascii="Times New Roman;sans-serif" w:hAnsi="Times New Roman;sans-serif"/>
          <w:b w:val="false"/>
          <w:color w:val="000000"/>
          <w:sz w:val="22"/>
        </w:rPr>
        <w:t xml:space="preserve">(c)    the Commitment and Revolving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this clause (c) shall not apply to the vote of a Defaulting Lender in the case of an amendment, waiver or other modification requiring the consent of such Lender or each Lender affected thereby;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if any Swingline Exposure or LC Exposure exists at the time such Lender becomes a Defaulting Lender then: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the Dollar Amount of such non-Defaulting Lender’s Revolving Exposure to exceed its Commitment;</w:t>
      </w:r>
    </w:p>
    <w:p>
      <w:pPr>
        <w:pStyle w:val="TextBody"/>
        <w:bidi w:val="0"/>
        <w:spacing w:lineRule="auto" w:line="240" w:before="0" w:after="240"/>
        <w:jc w:val="both"/>
        <w:rPr/>
      </w:pPr>
      <w:r>
        <w:rPr>
          <w:rFonts w:ascii="Times New Roman;sans-serif" w:hAnsi="Times New Roman;sans-serif"/>
          <w:b w:val="false"/>
          <w:color w:val="000000"/>
          <w:sz w:val="22"/>
        </w:rPr>
        <w:t>(ii)    if the reallocation described in clause (i) above cannot, or can only partially, be effected, the Borrower shall within two (2) Business Days following notice by the Administrative Agent (x)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prepay such Swingline Exposure (without penalty or premium) and (y)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cash collateralize for the benefit of the applicable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(iii)    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(iv)    if the LC Exposure of the non-Defaulting Lenders is reallocated pursuant to clause (i) above, then the fees payable to the Lenders pursuant to Section 2.12(a) and Section 2.12(b) shall be adjusted in accordance with such non-Defaulting Lenders’ Applicable Percentages;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(v)    if all or any portion of such Defaulting Lender’s LC Exposure is neither reallocated nor cash collateralized pursuant to clause (i) or (ii) above, then, without prejudice to any rights or remedies of any Issuing Bank or any other Lender hereunder, all letter of credit fees payable under Section 2.12(b) with respect to such Defaulting Lender’s LC Exposure shall be payable ratably to the applicable Issuing Banks until and to the extent that such LC Exposure is reallocated and/or cash collateralized;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so long as such Lender is a Defaulting Lender, no Swingline Lender shall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2.20(d), and Swingline Exposure related to any newly made Swingline Loan or LC Exposure related to any newly issued or increased Letter of Credit shall be allocated among non-Defaulting Lenders in a manner consistent with Section 2.20(d)(i) (and such Defaulting Lender shall not participate therein).</w:t>
      </w:r>
    </w:p>
    <w:p>
      <w:pPr>
        <w:pStyle w:val="TextBody"/>
        <w:bidi w:val="0"/>
        <w:spacing w:before="0" w:after="24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4"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If (i) a Bankruptcy Event or a Bail-In Action with respect to a Parent of any Lender shall occur following the date hereof and for so long as such event shall continue or (ii) any Swingline Lender or the Issuing Banks have a good-faith belief that any Lender has defaulted in fulfilling its obligations under one or more other agreements in which such Lender commits to extend credit, the Swingline Lender shall not be required to fund any Swingline Loan and the Issuing Banks shall not be required to issue, amend or increase any Letter of Credit, unless the Swingline Lender or the Issuing Banks, as the case may be, shall have entered into arrangements with the Borrower or such Lender, satisfactory to the Swingline Lender and the Issuing Banks, as the case may be, to defease any risk to it in respect of such Lender hereunder.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    In the event that the Administrative Agent, the Borrower, the Swingline Lender and the Issuing Banks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2.21. </w:t>
      </w:r>
      <w:r>
        <w:rPr>
          <w:rFonts w:ascii="Times New Roman;sans-serif" w:hAnsi="Times New Roman;sans-serif"/>
          <w:b w:val="false"/>
          <w:color w:val="000000"/>
          <w:sz w:val="22"/>
          <w:u w:val="single"/>
        </w:rPr>
        <w:t>Judgment Currency</w:t>
      </w:r>
      <w:r>
        <w:rPr>
          <w:rFonts w:ascii="Times New Roman;sans-serif" w:hAnsi="Times New Roman;sans-serif"/>
          <w:b w:val="false"/>
          <w:color w:val="000000"/>
          <w:sz w:val="22"/>
        </w:rPr>
        <w:t>. If for the purposes of obtaining judgment in any court it is necessary to convert a sum due from the Borrower hereunder in the currency expressed to be payable herein (the “</w:t>
      </w:r>
      <w:r>
        <w:rPr>
          <w:rFonts w:ascii="Times New Roman;sans-serif" w:hAnsi="Times New Roman;sans-serif"/>
          <w:b w:val="false"/>
          <w:color w:val="000000"/>
          <w:sz w:val="22"/>
          <w:u w:val="single"/>
        </w:rPr>
        <w:t>specified currency</w:t>
      </w:r>
      <w:r>
        <w:rPr>
          <w:color w:val="000000"/>
        </w:rPr>
        <w:t>”</w:t>
      </w:r>
      <w:r>
        <w:rPr>
          <w:rFonts w:ascii="Times New Roman;sans-serif" w:hAnsi="Times New Roman;sans-serif"/>
          <w:b w:val="false"/>
          <w:color w:val="000000"/>
          <w:sz w:val="22"/>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ans-serif" w:hAnsi="Times New Roman;sans-serif"/>
          <w:b w:val="false"/>
          <w:color w:val="000000"/>
          <w:sz w:val="22"/>
        </w:rPr>
        <w:t>ARTICLE III</w:t>
      </w:r>
      <w:r>
        <w:rPr>
          <w:rFonts w:ascii="Times New Roman;sans-serif" w:hAnsi="Times New Roman;sans-serif"/>
          <w:b w:val="false"/>
          <w:color w:val="000000"/>
          <w:sz w:val="22"/>
          <w:u w:val="single"/>
        </w:rPr>
        <w:br/>
        <w:br/>
        <w:t>Representations and Warranties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represents and warrants to the Lenders that: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3.01. </w:t>
      </w:r>
      <w:r>
        <w:rPr>
          <w:rFonts w:ascii="Times New Roman;sans-serif" w:hAnsi="Times New Roman;sans-serif"/>
          <w:b w:val="false"/>
          <w:color w:val="000000"/>
          <w:sz w:val="22"/>
          <w:u w:val="single"/>
        </w:rPr>
        <w:t>Organization; Powers</w:t>
      </w:r>
      <w:r>
        <w:rPr>
          <w:rFonts w:ascii="Times New Roman;sans-serif" w:hAnsi="Times New Roman;sans-serif"/>
          <w:b w:val="false"/>
          <w:color w:val="000000"/>
          <w:sz w:val="22"/>
        </w:rPr>
        <w:t>. Each Loan Party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3.02. </w:t>
      </w:r>
      <w:r>
        <w:rPr>
          <w:rFonts w:ascii="Times New Roman;sans-serif" w:hAnsi="Times New Roman;sans-serif"/>
          <w:b w:val="false"/>
          <w:color w:val="000000"/>
          <w:sz w:val="22"/>
          <w:u w:val="single"/>
        </w:rPr>
        <w:t>Authorization; Enforceability</w:t>
      </w:r>
      <w:r>
        <w:rPr>
          <w:rFonts w:ascii="Times New Roman;sans-serif" w:hAnsi="Times New Roman;sans-serif"/>
          <w:b w:val="false"/>
          <w:color w:val="000000"/>
          <w:sz w:val="22"/>
        </w:rPr>
        <w:t>. The Transactions are within each Loan Party’s corporate powers and have been duly authorized by all necessary corporate and, if required, stockholder action.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25"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SECTION 3.03. </w:t>
      </w:r>
      <w:r>
        <w:rPr>
          <w:rFonts w:ascii="Times New Roman;sans-serif" w:hAnsi="Times New Roman;sans-serif"/>
          <w:b w:val="false"/>
          <w:color w:val="000000"/>
          <w:sz w:val="22"/>
          <w:u w:val="single"/>
        </w:rPr>
        <w:t>Governmental Approvals; No Conflicts</w:t>
      </w:r>
      <w:r>
        <w:rPr>
          <w:rFonts w:ascii="Times New Roman;sans-serif" w:hAnsi="Times New Roman;sans-serif"/>
          <w:b w:val="false"/>
          <w:color w:val="000000"/>
          <w:sz w:val="22"/>
        </w:rPr>
        <w:t>.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the Borrower or any of its Subsidiaries, (c) will not violate or result in a default under any indenture, agreement or other instrument binding upon the Borrower or any of its Subsidiaries or its assets, or give rise to a right thereunder to require any payment to be made by the Borrower or any of its Subsidiaries, and (d) will not result in the creation or imposition of any Lien on any asset of the Borrower or any of its Subsidiaries, except Liens created pursuant to the Loan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3.04. </w:t>
      </w:r>
      <w:r>
        <w:rPr>
          <w:rFonts w:ascii="Times New Roman;sans-serif" w:hAnsi="Times New Roman;sans-serif"/>
          <w:b w:val="false"/>
          <w:color w:val="000000"/>
          <w:sz w:val="22"/>
          <w:u w:val="single"/>
        </w:rPr>
        <w:t>Financial Condition; No Material Adverse Change</w:t>
      </w:r>
      <w:r>
        <w:rPr>
          <w:rFonts w:ascii="Times New Roman;sans-serif" w:hAnsi="Times New Roman;sans-serif"/>
          <w:b w:val="false"/>
          <w:color w:val="000000"/>
          <w:sz w:val="22"/>
        </w:rPr>
        <w:t>. (a) The Borrower has heretofore furnished to the Lenders its consolidated balance sheet and statements of income, stockholders equity and cash flows (i) as of and for the fiscal years ended December 31, 2021 and December 31, 2022 reported on by Crowe LLP, independent public accountants, and (ii) as of and for the fiscal quarter and the portion of the fiscal year ended March 31, 2023, certified as to the matters set forth in the immediately following sentence by a Financial Officer on behalf of the Borrower. Such financial statements present fairly, in all material respects, the financial position and results of operations and cash flows of the Borrower and its consolidated Subsidiaries as of such dates and for such periods in accordance with GAAP, subject to year end audit adjustments and the absence of footnotes in the case of the statements referred to in clause (ii)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Since December 31, 2022, there has been no material adverse change in the business, assets, property or financial condition of the Borrower and its Subsidiaries, taken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3.05. </w:t>
      </w:r>
      <w:r>
        <w:rPr>
          <w:rFonts w:ascii="Times New Roman;sans-serif" w:hAnsi="Times New Roman;sans-serif"/>
          <w:b w:val="false"/>
          <w:color w:val="000000"/>
          <w:sz w:val="22"/>
          <w:u w:val="single"/>
        </w:rPr>
        <w:t>Properties</w:t>
      </w:r>
      <w:r>
        <w:rPr>
          <w:rFonts w:ascii="Times New Roman;sans-serif" w:hAnsi="Times New Roman;sans-serif"/>
          <w:b w:val="false"/>
          <w:color w:val="000000"/>
          <w:sz w:val="22"/>
        </w:rPr>
        <w:t>. (a) Each of the Loan Parties has good title to, or valid leasehold interests in, all its real and personal property (except for defects in title that do not materially interfere with its ability to conduct its business or to utilize such properties for their intended purposes), free of all Liens other than those permitted by Section 6.02.</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The Loan Parties own, or are licensed to use, all trademarks, tradenames, copyrights, patents and other intellectual property necessary to their business as currently conducted, and the use thereof by the Loan Parties does not infringe in any material respect upon the rights of any other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3.06. </w:t>
      </w:r>
      <w:r>
        <w:rPr>
          <w:rFonts w:ascii="Times New Roman;sans-serif" w:hAnsi="Times New Roman;sans-serif"/>
          <w:b w:val="false"/>
          <w:color w:val="000000"/>
          <w:sz w:val="22"/>
          <w:u w:val="single"/>
        </w:rPr>
        <w:t>Litigation and Environmental Matters</w:t>
      </w:r>
      <w:r>
        <w:rPr>
          <w:rFonts w:ascii="Times New Roman;sans-serif" w:hAnsi="Times New Roman;sans-serif"/>
          <w:b w:val="false"/>
          <w:color w:val="000000"/>
          <w:sz w:val="22"/>
        </w:rPr>
        <w:t>. (a) There are no actions, suits or proceedings by or before any arbitrator or Governmental Authority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(other than the Disclosed Matters) or (ii) that involve this Agreement or the Transactions.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Except for the Disclosed Matters and except with respect to any other matters that, individually or in the aggregate, could not reasonably be expected to result in a Material Adverse Effect, none of the Borrower or any of its Subsidiaries (i) has received notice of any claim with respect to any Environmental Liability, (ii) has failed to comply with any Environmental Law or to obtain, maintain or comply with any permit, license or other approval required under any Environmental Law, or (iii) has become subject to any Environmental Liability.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Since the date of this Agreement, there has been no change in the status of the Disclosed Matters that, individually or in the aggregate, has resulted in, or materially increased the likelihood of,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3.07. </w:t>
      </w:r>
      <w:r>
        <w:rPr>
          <w:rFonts w:ascii="Times New Roman;sans-serif" w:hAnsi="Times New Roman;sans-serif"/>
          <w:b w:val="false"/>
          <w:color w:val="000000"/>
          <w:sz w:val="22"/>
          <w:u w:val="single"/>
        </w:rPr>
        <w:t>Compliance with Laws and Agreements</w:t>
      </w:r>
      <w:r>
        <w:rPr>
          <w:rFonts w:ascii="Times New Roman;sans-serif" w:hAnsi="Times New Roman;sans-serif"/>
          <w:b w:val="false"/>
          <w:color w:val="000000"/>
          <w:sz w:val="22"/>
        </w:rPr>
        <w:t>. Each of the Borrower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26"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SECTION 3.08. </w:t>
      </w:r>
      <w:r>
        <w:rPr>
          <w:rFonts w:ascii="Times New Roman;sans-serif" w:hAnsi="Times New Roman;sans-serif"/>
          <w:b w:val="false"/>
          <w:color w:val="000000"/>
          <w:sz w:val="22"/>
          <w:u w:val="single"/>
        </w:rPr>
        <w:t>Investment Company Status</w:t>
      </w:r>
      <w:r>
        <w:rPr>
          <w:rFonts w:ascii="Times New Roman;sans-serif" w:hAnsi="Times New Roman;sans-serif"/>
          <w:b w:val="false"/>
          <w:color w:val="000000"/>
          <w:sz w:val="22"/>
        </w:rPr>
        <w:t>. Neither the Borrower nor any of its Subsidiaries is an “investment company” as defined in, or subject to regulation under, the Investment Company Act of 1940.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3.09.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Each of the Borrower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or (b) to the extent that the failure to do so could not be expected to result in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3.10. </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No ERISA Event has occurred or is reasonably expected to occur that, when taken together with all other such ERISA Events for which liability is reasonably expected to occur, would reasonably be expected to result in a Material Adverse Effect</w:t>
      </w:r>
      <w:r>
        <w:rPr>
          <w:rFonts w:ascii="Times New Roman;sans-serif" w:hAnsi="Times New Roman;sans-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3.11. </w:t>
      </w:r>
      <w:r>
        <w:rPr>
          <w:rFonts w:ascii="Times New Roman;sans-serif" w:hAnsi="Times New Roman;sans-serif"/>
          <w:b w:val="false"/>
          <w:color w:val="000000"/>
          <w:sz w:val="22"/>
          <w:u w:val="single"/>
        </w:rPr>
        <w:t>Disclosure</w:t>
      </w:r>
      <w:r>
        <w:rPr>
          <w:rFonts w:ascii="Times New Roman;sans-serif" w:hAnsi="Times New Roman;sans-serif"/>
          <w:b w:val="false"/>
          <w:color w:val="000000"/>
          <w:sz w:val="22"/>
        </w:rPr>
        <w:t xml:space="preserve">. (a)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Neither the Information Memorandum nor any of the other reports, financial statements, certificates or other information furnished by or on behalf of the Borrower to the Administrative Agent or any Lender in connection with the negotiation of this Agreement or any other Loan Document (as modified or supplemented by other information so furnished) or delivered hereunder contains any material misstatement of fact or omits to state any material fact necessary to make the statements therein, in the light of the circumstances under which they were made, not misleading;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projected financial information, the Borrower represents only that such information was prepared in good faith based upon assumptions believed to be reasonable at the time delivered.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As of the Effective Date, to the best knowledge of the Borrower, the information included in the Beneficial Ownership Certification provided on or prior to the Effective Date to any Lender in connection with this Agreement is true and correct in all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3.12. </w:t>
      </w:r>
      <w:r>
        <w:rPr>
          <w:rFonts w:ascii="Times New Roman;sans-serif" w:hAnsi="Times New Roman;sans-serif"/>
          <w:b w:val="false"/>
          <w:color w:val="000000"/>
          <w:sz w:val="22"/>
          <w:u w:val="single"/>
        </w:rPr>
        <w:t>Solvency</w:t>
      </w:r>
      <w:r>
        <w:rPr>
          <w:rFonts w:ascii="Times New Roman;sans-serif" w:hAnsi="Times New Roman;sans-serif"/>
          <w:b w:val="false"/>
          <w:color w:val="000000"/>
          <w:sz w:val="22"/>
        </w:rPr>
        <w:t>. (a) Immediately after the consummation of the Transactions to occur on the Effective Date, (i) the fair value of the assets of the Borrower, at a fair valuation, will exceed its debts and liabilities, subordinated, contingent or otherwise; (ii) the present fair saleable value of the property of the Borrower will be greater than the amount that will be required to pay the probable liability of its debts and other liabilities, subordinated, contingent or otherwise, as such debts and other liabilities become absolute and matured; (iii) the Borrower will be able to pay its debts and liabilities, subordinated, contingent or otherwise, as such debts and liabilities become absolute and matured; and (iv) the Borrower will not have unreasonably small capital with which to conduct the business in which it is engaged as such business is now conducted and is proposed to be conducted after the Effective Date.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The Borrower does not intend to, nor will it permit any of its Subsidiaries to, and the Borrower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3.13.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The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3.14. </w:t>
      </w:r>
      <w:r>
        <w:rPr>
          <w:rFonts w:ascii="Times New Roman;sans-serif" w:hAnsi="Times New Roman;sans-serif"/>
          <w:b w:val="false"/>
          <w:color w:val="000000"/>
          <w:sz w:val="22"/>
          <w:u w:val="single"/>
        </w:rPr>
        <w:t>Capitalization and Subsidiaries</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3.14</w:t>
      </w:r>
      <w:r>
        <w:rPr>
          <w:color w:val="000000"/>
        </w:rPr>
        <w:t xml:space="preserve"> </w:t>
      </w:r>
      <w:r>
        <w:rPr>
          <w:rFonts w:ascii="Times New Roman;sans-serif" w:hAnsi="Times New Roman;sans-serif"/>
          <w:b w:val="false"/>
          <w:color w:val="000000"/>
          <w:sz w:val="22"/>
        </w:rPr>
        <w:t>sets forth (a) a correct and complete list of the name and relationship to the Borrower of each and all of the Borrower’s Subsidiaries and (b) the type of entity of the Borrower and each of its Subsidiaries. All of the issued and outstanding Equity Interests owned by any Loan Party has been (to the extent such concepts are relevant with respect to such ownership interests) duly authorized and issued and is fully paid and non-assessable.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27"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SECTION 3.15. </w:t>
      </w:r>
      <w:r>
        <w:rPr>
          <w:rFonts w:ascii="Times New Roman;sans-serif" w:hAnsi="Times New Roman;sans-serif"/>
          <w:b w:val="false"/>
          <w:color w:val="000000"/>
          <w:sz w:val="22"/>
          <w:u w:val="single"/>
        </w:rPr>
        <w:t>Security Interest in Collateral</w:t>
      </w:r>
      <w:r>
        <w:rPr>
          <w:rFonts w:ascii="Times New Roman;sans-serif" w:hAnsi="Times New Roman;sans-serif"/>
          <w:b w:val="false"/>
          <w:color w:val="000000"/>
          <w:sz w:val="22"/>
        </w:rPr>
        <w:t xml:space="preserve">. The provisions of this Agreement and the other Loan Documents create legal and valid Liens on all the Collateral in favor of the Administrative Agent, for the benefit of the Holders of Secured Obligations, and, in the case of Liens which can be perfected by the filing of UCC financing statements, upon the filing of the financing statements identified in </w:t>
      </w:r>
      <w:r>
        <w:rPr>
          <w:rFonts w:ascii="Times New Roman;sans-serif" w:hAnsi="Times New Roman;sans-serif"/>
          <w:b w:val="false"/>
          <w:color w:val="000000"/>
          <w:sz w:val="22"/>
          <w:u w:val="single"/>
        </w:rPr>
        <w:t>Schedule 3.15</w:t>
      </w:r>
      <w:r>
        <w:rPr>
          <w:rFonts w:ascii="Times New Roman;sans-serif" w:hAnsi="Times New Roman;sans-serif"/>
          <w:b w:val="false"/>
          <w:color w:val="000000"/>
          <w:sz w:val="22"/>
        </w:rPr>
        <w:t>, such Liens constitute perfected and continuing Liens on the Collateral, securing the Secured Obligations, enforceable against the applicable Loan Party and all third parties, and having priority over all other Liens on the Collateral except in the case of (a) any Liens permitted under Section 6.02 and (b) Liens perfected only by possession or control to the extent the Administrative Agent has not obtained or does not maintain possession or control of such Collateral in accordance with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3.16. </w:t>
      </w:r>
      <w:r>
        <w:rPr>
          <w:rFonts w:ascii="Times New Roman;sans-serif" w:hAnsi="Times New Roman;sans-serif"/>
          <w:b w:val="false"/>
          <w:color w:val="000000"/>
          <w:sz w:val="22"/>
          <w:u w:val="single"/>
        </w:rPr>
        <w:t>Labor Disputes</w:t>
      </w:r>
      <w:r>
        <w:rPr>
          <w:rFonts w:ascii="Times New Roman;sans-serif" w:hAnsi="Times New Roman;sans-serif"/>
          <w:b w:val="false"/>
          <w:color w:val="000000"/>
          <w:sz w:val="22"/>
        </w:rPr>
        <w:t>. As of the Effective Date, there are no strikes, lockouts or slowdowns against the Borrower or any Subsidiary pending or, to the knowledge of the Borrower, threatened. There are no labor controversies pending against or, to the knowledge of the Borrower, threatened against or affecting the Borrower or any of its Subsidiaries (i) which could reasonably be expected, individually or in the aggregate, to result in a Material Adverse Effect, or (ii) that involve this Agreement or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3.17. </w:t>
      </w:r>
      <w:r>
        <w:rPr>
          <w:rFonts w:ascii="Times New Roman;sans-serif" w:hAnsi="Times New Roman;sans-serif"/>
          <w:b w:val="false"/>
          <w:color w:val="000000"/>
          <w:sz w:val="22"/>
          <w:u w:val="single"/>
        </w:rPr>
        <w:t>No Default</w:t>
      </w:r>
      <w:r>
        <w:rPr>
          <w:rFonts w:ascii="Times New Roman;sans-serif" w:hAnsi="Times New Roman;sans-serif"/>
          <w:b w:val="false"/>
          <w:color w:val="000000"/>
          <w:sz w:val="22"/>
        </w:rPr>
        <w:t>. No Default has occurred and is continuing.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3.18. </w:t>
      </w:r>
      <w:r>
        <w:rPr>
          <w:rFonts w:ascii="Times New Roman;sans-serif" w:hAnsi="Times New Roman;sans-serif"/>
          <w:b w:val="false"/>
          <w:color w:val="000000"/>
          <w:sz w:val="22"/>
          <w:u w:val="single"/>
        </w:rPr>
        <w:t>Anti-Corruption Laws and Sanctions</w:t>
      </w:r>
      <w:r>
        <w:rPr>
          <w:rFonts w:ascii="Times New Roman;sans-serif" w:hAnsi="Times New Roman;sans-serif"/>
          <w:b w:val="false"/>
          <w:color w:val="000000"/>
          <w:sz w:val="22"/>
        </w:rPr>
        <w:t xml:space="preserve">.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The Borrower, its Subsidiaries, and their respective directors, officers and, to the knowledge of Borrower, employees are in compliance with all applicable Sanctions in all material respects. The Borrower and its Subsidiaries have instituted and maintain policies and procedures reasonably designed to ensure compliance with applicable Sanctions.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None of the Borrower, any Subsidiary, or, to the knowledge of Borrower, any of their respective directors, officers or employees, is an individual or entity that is, or is owned fifty percent or more or controlled by persons that are: (i) the subject of any sanctions or similar restrictions administered or enforced by OFAC, the U.S. Department of State, the United Nations Security Council, or, as applicable, the European Union, any European Union member state, His Majesty’s Treasury of the United Kingdom or other relevant sanctions authority (collectively, “Sanctions”) or (ii) located, organized or resident in a country or territory that is subject of comprehensive Sanctions (as of the date of this Agreement, the so-called Donetsk People’s Republic, the so-called Luhansk People’s Republic, the Crimea, Zaporizhzhia and Kherson Regions of Ukraine, Cuba, Iran, North Korea and Syria).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3.19. </w:t>
      </w:r>
      <w:r>
        <w:rPr>
          <w:rFonts w:ascii="Times New Roman;sans-serif" w:hAnsi="Times New Roman;sans-serif"/>
          <w:b w:val="false"/>
          <w:color w:val="000000"/>
          <w:sz w:val="22"/>
          <w:u w:val="single"/>
        </w:rPr>
        <w:t>Affected Financial Institutions</w:t>
      </w:r>
      <w:r>
        <w:rPr>
          <w:rFonts w:ascii="Times New Roman;sans-serif" w:hAnsi="Times New Roman;sans-serif"/>
          <w:b w:val="false"/>
          <w:color w:val="000000"/>
          <w:sz w:val="22"/>
        </w:rPr>
        <w:t>. No Loan Party is an Affected Financial Institution.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3.20. </w:t>
      </w:r>
      <w:r>
        <w:rPr>
          <w:rFonts w:ascii="Times New Roman;sans-serif" w:hAnsi="Times New Roman;sans-serif"/>
          <w:b w:val="false"/>
          <w:color w:val="000000"/>
          <w:sz w:val="22"/>
          <w:u w:val="single"/>
        </w:rPr>
        <w:t>Plan Assets; Prohibited Transactions</w:t>
      </w:r>
      <w:r>
        <w:rPr>
          <w:rFonts w:ascii="Times New Roman;sans-serif" w:hAnsi="Times New Roman;sans-serif"/>
          <w:b w:val="false"/>
          <w:color w:val="000000"/>
          <w:sz w:val="22"/>
        </w:rPr>
        <w:t>. None of the Borrower or any of its Subsidiaries is an entity deemed to hold “plan assets” (within the meaning of the Plan Asset Regulation), and, assuming that no portion of any Loan is funded or held with “plan assets” (within the meaning of the Plan Asset Regulation) neither the execution, delivery nor performance of the Transactions, including the making of any Loan and the issuance of any Letter of Credit hereunder, will give rise to a non-exempt prohibited transaction under (i) Section 406(a) of ERISA or Section 4975(c)(1)(A) - (D) of the Code, or (ii) to the knowledge of the Borrower, Section 4.06(b) of ERISA or Section 4975(c)(E) or (F)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3.21. </w:t>
      </w:r>
      <w:r>
        <w:rPr>
          <w:rFonts w:ascii="Times New Roman;sans-serif" w:hAnsi="Times New Roman;sans-serif"/>
          <w:b w:val="false"/>
          <w:color w:val="000000"/>
          <w:sz w:val="22"/>
          <w:u w:val="single"/>
        </w:rPr>
        <w:t>Covered Entity</w:t>
      </w:r>
      <w:r>
        <w:rPr>
          <w:color w:val="000000"/>
        </w:rPr>
        <w:t xml:space="preserve"> </w:t>
      </w:r>
      <w:r>
        <w:rPr>
          <w:rFonts w:ascii="Times New Roman;sans-serif" w:hAnsi="Times New Roman;sans-serif"/>
          <w:b w:val="false"/>
          <w:color w:val="000000"/>
          <w:sz w:val="22"/>
        </w:rPr>
        <w:t>. No Loan Party is a Covered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ans-serif" w:hAnsi="Times New Roman;sans-serif"/>
          <w:b w:val="false"/>
          <w:color w:val="000000"/>
          <w:sz w:val="22"/>
        </w:rPr>
        <w:t>ARTICLE IV</w:t>
      </w:r>
      <w:r>
        <w:rPr>
          <w:rFonts w:ascii="Times New Roman;sans-serif" w:hAnsi="Times New Roman;sans-serif"/>
          <w:b w:val="false"/>
          <w:color w:val="000000"/>
          <w:sz w:val="22"/>
          <w:u w:val="single"/>
        </w:rPr>
        <w:br/>
        <w:br/>
        <w:t>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8"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SECTION 4.01. </w:t>
      </w:r>
      <w:r>
        <w:rPr>
          <w:rFonts w:ascii="Times New Roman;sans-serif" w:hAnsi="Times New Roman;sans-serif"/>
          <w:b w:val="false"/>
          <w:color w:val="000000"/>
          <w:sz w:val="22"/>
          <w:u w:val="single"/>
        </w:rPr>
        <w:t>Effective Date</w:t>
      </w:r>
      <w:r>
        <w:rPr>
          <w:rFonts w:ascii="Times New Roman;sans-serif" w:hAnsi="Times New Roman;sans-serif"/>
          <w:b w:val="false"/>
          <w:color w:val="000000"/>
          <w:sz w:val="22"/>
        </w:rPr>
        <w:t>. The obligations of the Lenders to make Loans and of the Issuing Banks to issue Letters of Credit hereunder shall not become effective until the date on which each of the following conditions is satisfied (or waived in accordance with Section 9.02):</w:t>
      </w:r>
    </w:p>
    <w:p>
      <w:pPr>
        <w:pStyle w:val="TextBody"/>
        <w:bidi w:val="0"/>
        <w:spacing w:lineRule="auto" w:line="240" w:before="0" w:after="2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Credit Agreement and Loan Documents</w:t>
      </w:r>
      <w:r>
        <w:rPr>
          <w:rFonts w:ascii="Times New Roman;sans-serif" w:hAnsi="Times New Roman;sans-serif"/>
          <w:b w:val="false"/>
          <w:color w:val="000000"/>
          <w:sz w:val="22"/>
        </w:rPr>
        <w:t xml:space="preserve">. The Administrative Agent (or its counsel) shall have received (i)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 (ii) duly executed copies of the Loan Documents and such other legal opinions,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all in form and substance satisfactory to the Administrative Agent and its counsel and as further described in the list of closing documents attached as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w:t>
      </w:r>
    </w:p>
    <w:p>
      <w:pPr>
        <w:pStyle w:val="TextBody"/>
        <w:bidi w:val="0"/>
        <w:spacing w:lineRule="auto" w:line="240" w:before="0" w:after="2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Financial Statements and Projections</w:t>
      </w:r>
      <w:r>
        <w:rPr>
          <w:rFonts w:ascii="Times New Roman;sans-serif" w:hAnsi="Times New Roman;sans-serif"/>
          <w:b w:val="false"/>
          <w:color w:val="000000"/>
          <w:sz w:val="22"/>
        </w:rPr>
        <w:t>. The Lenders shall have received (i) audited consolidated financial statements of the Borrower for the 2021 and 2022 fiscal years, (ii) unaudited interim consolidated financial statements of the Borrower for each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the Borrower, as reflected in the financial statements or projections contained in the Information Memorandum and (iii) satisfactory projections through 2027, together with such information as the Administrative Agent and the Lenders shall reasonably request (including, without limitation, a detailed description of the assumptions used in preparing such projections) it being understood, however, that the management reports previously provided by the Borrower to the Administrative Agent are in form and scope acceptable to the Lenders.</w:t>
      </w:r>
    </w:p>
    <w:p>
      <w:pPr>
        <w:pStyle w:val="TextBody"/>
        <w:bidi w:val="0"/>
        <w:spacing w:lineRule="auto" w:line="240" w:before="0" w:after="2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No Default Certificate</w:t>
      </w:r>
      <w:r>
        <w:rPr>
          <w:rFonts w:ascii="Times New Roman;sans-serif" w:hAnsi="Times New Roman;sans-serif"/>
          <w:b w:val="false"/>
          <w:color w:val="000000"/>
          <w:sz w:val="22"/>
        </w:rPr>
        <w:t>. The Administrative Agent shall have received a certificate, signed by the chief financial officer of the Borrower, on the initial Borrowing date (i) stating that no Default has occurred and is continuing, (ii) stating that the representations and warranties contained in Article III are true and correct as of such date, and (iii) certifying any other factual matters as may be reasonably requested by the Administrative Agent.</w:t>
      </w:r>
    </w:p>
    <w:p>
      <w:pPr>
        <w:pStyle w:val="TextBody"/>
        <w:bidi w:val="0"/>
        <w:spacing w:lineRule="auto" w:line="240" w:before="0" w:after="2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The Lenders and the Administrative Agent shall have received all fees required to be paid, and all expenses for which invoices have been presented (including the reasonable fees and expenses of legal counsel to the Administrative Agent), on or before the Effective Date. All such amounts will be paid with proceeds of Loans made on the Effective Date and will be reflected in the funding instructions given by the Borrower to the Administrative Agent on or before the Effective Date.</w:t>
      </w:r>
    </w:p>
    <w:p>
      <w:pPr>
        <w:pStyle w:val="TextBody"/>
        <w:bidi w:val="0"/>
        <w:spacing w:lineRule="auto" w:line="240" w:before="0" w:after="2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Lien Searches</w:t>
      </w:r>
      <w:r>
        <w:rPr>
          <w:rFonts w:ascii="Times New Roman;sans-serif" w:hAnsi="Times New Roman;sans-serif"/>
          <w:b w:val="false"/>
          <w:color w:val="000000"/>
          <w:sz w:val="22"/>
        </w:rPr>
        <w:t xml:space="preserve">. The Administrative Agent shall have received the results of a recent lien search of the Uniform Commercial Code records of each jurisdiction and office identified on </w:t>
      </w:r>
      <w:r>
        <w:rPr>
          <w:rFonts w:ascii="Times New Roman;sans-serif" w:hAnsi="Times New Roman;sans-serif"/>
          <w:b w:val="false"/>
          <w:color w:val="000000"/>
          <w:sz w:val="22"/>
          <w:u w:val="single"/>
        </w:rPr>
        <w:t>Schedule 3.15</w:t>
      </w:r>
      <w:r>
        <w:rPr>
          <w:rFonts w:ascii="Times New Roman;sans-serif" w:hAnsi="Times New Roman;sans-serif"/>
          <w:b w:val="false"/>
          <w:color w:val="000000"/>
          <w:sz w:val="22"/>
        </w:rPr>
        <w:t>, and such search shall reveal no liens on any of the assets of the Loan Parties except for liens permitted by Section 6.02 or discharged on or prior to the Effective Date pursuant to a pay-off letter or other documentation satisfactory to the Administrative Agent.</w:t>
      </w:r>
    </w:p>
    <w:p>
      <w:pPr>
        <w:pStyle w:val="TextBody"/>
        <w:bidi w:val="0"/>
        <w:spacing w:lineRule="auto" w:line="240" w:before="0" w:after="2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Customer Due Diligence</w:t>
      </w:r>
      <w:r>
        <w:rPr>
          <w:rFonts w:ascii="Times New Roman;sans-serif" w:hAnsi="Times New Roman;sans-serif"/>
          <w:b w:val="false"/>
          <w:color w:val="000000"/>
          <w:sz w:val="22"/>
        </w:rPr>
        <w:t>. (i)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 (ii) to the extent the Borrower qualifies as a “legal entity customer” under the Beneficial Ownership Regulation, at least five days prior to the Effective Date, any Lender that has requested, in a written notice to the Borrower at least 10 days prior to the Effective Date a Beneficial Ownership Certification in relation to the Borrower shall have received such Beneficial Ownership Certification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the execution and delivery by such Lender of its signature page to this Agreement, the condition set forth in this clause (ii) shall be deemed to be satisfied).</w:t>
      </w:r>
    </w:p>
    <w:p>
      <w:pPr>
        <w:pStyle w:val="TextBody"/>
        <w:bidi w:val="0"/>
        <w:spacing w:lineRule="auto" w:line="240" w:before="0" w:after="2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9"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Effective Date Notice</w:t>
      </w:r>
      <w:r>
        <w:rPr>
          <w:rFonts w:ascii="Times New Roman;sans-serif" w:hAnsi="Times New Roman;sans-serif"/>
          <w:b w:val="false"/>
          <w:color w:val="000000"/>
          <w:sz w:val="22"/>
        </w:rPr>
        <w:t>. The Administrative Agent shall notify the Borrower and the Lenders of the Effective Date, and such notice shall be conclusive and binding.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4.02. </w:t>
      </w:r>
      <w:r>
        <w:rPr>
          <w:rFonts w:ascii="Times New Roman;sans-serif" w:hAnsi="Times New Roman;sans-serif"/>
          <w:b w:val="false"/>
          <w:color w:val="000000"/>
          <w:sz w:val="22"/>
          <w:u w:val="single"/>
        </w:rPr>
        <w:t>Each Credit Event</w:t>
      </w:r>
      <w:r>
        <w:rPr>
          <w:rFonts w:ascii="Times New Roman;sans-serif" w:hAnsi="Times New Roman;sans-serif"/>
          <w:b w:val="false"/>
          <w:color w:val="000000"/>
          <w:sz w:val="22"/>
        </w:rPr>
        <w:t>. The obligation of each Lender to make (but not convert, continue or extend) a Loan (other than a Loan which refinances a LC Disbursement in accordance with Section 2.06(e)), and of the Issuing Banks to issue, amend, renew or extend any Letter of Credit, is subject to the satisfaction of the following conditions: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The representations and warranties of the Borrower set forth in this Agreement shall be true and correct in all material respects (or in all respects to the extent that any representation or warranty is qualified by materiality or Material Adverse Effect) on and as of the date of such Loan or the date of issuance, amendment, renewal or extension of such Letter of Credit, as applicable, except to the extent that any such representation or warranty relates solely to an earlier date, in which case it shall have been true and correct in all material respects (or in all respects to the extent that any representation or warranty is qualified by materiality or Material Adverse Effect) as of such earlier date, or, after prior notice to the Administrative Agent, is untrue or incorrect as a result of transactions permitted by the Loan Documents.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At the time of and immediately after giving effect to such Loan or the issuance, amendment, renewal or extension of such Letter of Credit, as applicable, no Default shall have occurred and be continuing.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Loan and each issuance, amendment, renewal or extension of a Letter of Credit shall be deemed to constitute a representation and warranty by the Borrower on the date thereof as to the matters specified in paragraphs (a) and (b) of this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ans-serif" w:hAnsi="Times New Roman;sans-serif"/>
          <w:b w:val="false"/>
          <w:color w:val="000000"/>
          <w:sz w:val="22"/>
        </w:rPr>
        <w:t>ARTICLE V</w:t>
      </w:r>
      <w:r>
        <w:rPr>
          <w:rFonts w:ascii="Times New Roman;sans-serif" w:hAnsi="Times New Roman;sans-serif"/>
          <w:b w:val="false"/>
          <w:color w:val="000000"/>
          <w:sz w:val="22"/>
          <w:u w:val="single"/>
        </w:rPr>
        <w:br/>
        <w:br/>
        <w:t>Affirmative Covenants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Until the Commitments have expired or been terminated and the principal of and interest on each Loan and all fees payable hereunder shall have been paid in full and all Letters of Credit shall have expired, terminated, been cash collateralized or otherwise covered by letters of credit as permitted herein and all LC Disbursements shall have been reimbursed, the Borrower covenants and agrees with the Lenders that: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5.01. </w:t>
      </w:r>
      <w:r>
        <w:rPr>
          <w:rFonts w:ascii="Times New Roman;sans-serif" w:hAnsi="Times New Roman;sans-serif"/>
          <w:b w:val="false"/>
          <w:color w:val="000000"/>
          <w:sz w:val="22"/>
          <w:u w:val="single"/>
        </w:rPr>
        <w:t>Financial Statements and Other Information</w:t>
      </w:r>
      <w:r>
        <w:rPr>
          <w:rFonts w:ascii="Times New Roman;sans-serif" w:hAnsi="Times New Roman;sans-serif"/>
          <w:b w:val="false"/>
          <w:color w:val="000000"/>
          <w:sz w:val="22"/>
        </w:rPr>
        <w:t>. The Borrower will furnish to the Administrative Agent and each Lender: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within 120 days after the end of each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accompanied by any management letter prepared by said accountants;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within 60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pStyle w:val="TextBody"/>
        <w:bidi w:val="0"/>
        <w:spacing w:before="0" w:after="24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30"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(c)    concurrently with any delivery of financial statements under clause (a) or (b) above, a certificate of the Borrower executed on its behalf of a Financial Officer in substantially the form of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(i) certifying, in the case of the financial statements delivered under clause (b),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as soon as available (following approval by the Borrower’s board of directors, if such approval is obtained in the ordinary course), but in any event not more than 120 days after the end of each fiscal year of the Borrower, a copy of the plan and forecast (including a projected consolidated and consolidating balance sheet, income statement and funds flow statement) of the Borrower for the upcoming fiscal year (and, in the case of projected income statements, for each quarter of the upcoming fiscal year) substantially in form of the projections delivered pursuant to Section 4.01(b);</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promptly after the same become publicly available, copies of all periodic and other reports, proxy statements and other materials distributed by the Borrower to its shareholders generally, as the case may be;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promptly following any request therefor, (x) such other information regarding the operations, business affairs and financial condition of the Borrower or any Subsidiary, or compliance with the terms of this Agreement, as the Administrative Agent or any Lender may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pStyle w:val="TextBody"/>
        <w:bidi w:val="0"/>
        <w:spacing w:lineRule="auto" w:line="240" w:before="0" w:after="240"/>
        <w:jc w:val="both"/>
        <w:rPr/>
      </w:pPr>
      <w:r>
        <w:rPr>
          <w:rFonts w:ascii="Times New Roman;sans-serif" w:hAnsi="Times New Roman;sans-serif"/>
          <w:b w:val="false"/>
          <w:color w:val="000000"/>
          <w:sz w:val="22"/>
        </w:rPr>
        <w:t xml:space="preserve">Documents required to be delivered pursuant to Section 5.01(a), 5.01(b) or 5.01(e)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 Notwithstanding anything contained herein, in every instance the Borrower shall be required to provide paper copies of the compliance certificates required by clause (c) of this Section 5.01 to 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5.02. </w:t>
      </w:r>
      <w:r>
        <w:rPr>
          <w:rFonts w:ascii="Times New Roman;sans-serif" w:hAnsi="Times New Roman;sans-serif"/>
          <w:b w:val="false"/>
          <w:color w:val="000000"/>
          <w:sz w:val="22"/>
          <w:u w:val="single"/>
        </w:rPr>
        <w:t>Notices of Material Events</w:t>
      </w:r>
      <w:r>
        <w:rPr>
          <w:rFonts w:ascii="Times New Roman;sans-serif" w:hAnsi="Times New Roman;sans-serif"/>
          <w:b w:val="false"/>
          <w:color w:val="000000"/>
          <w:sz w:val="22"/>
        </w:rPr>
        <w:t>. The Borrower will furnish to the Administrative Agent and each Lender prompt written notice of the following: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the occurrence of any Default;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the filing or commencement of any action, suit or proceeding by or before any arbitrator or Governmental Authority against or affecting the Borrower or any Affiliate thereof that has a reasonable possibility of an adverse determination and that, if adversely determined, could reasonably be expected to result in a Material Adverse Effect;</w:t>
      </w:r>
    </w:p>
    <w:p>
      <w:pPr>
        <w:pStyle w:val="TextBody"/>
        <w:bidi w:val="0"/>
        <w:spacing w:before="0" w:after="24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1"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the occurrence of any ERISA Event that, alone or together with any other ERISA Events that have occurred, would reasonably be expected to result in a Material Adverse Effect;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any other development that results in, or could reasonably be expected to result in, a Material Adverse Effect;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any change in the information provided in the Beneficial Ownership Certification delivered to such Lender that would result in a change to the list of beneficial owners identified in such certification.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5.03. </w:t>
      </w:r>
      <w:r>
        <w:rPr>
          <w:rFonts w:ascii="Times New Roman;sans-serif" w:hAnsi="Times New Roman;sans-serif"/>
          <w:b w:val="false"/>
          <w:color w:val="000000"/>
          <w:sz w:val="22"/>
          <w:u w:val="single"/>
        </w:rPr>
        <w:t>Existence; Conduct of Business</w:t>
      </w:r>
      <w:r>
        <w:rPr>
          <w:rFonts w:ascii="Times New Roman;sans-serif" w:hAnsi="Times New Roman;sans-serif"/>
          <w:b w:val="false"/>
          <w:color w:val="000000"/>
          <w:sz w:val="22"/>
        </w:rPr>
        <w:t xml:space="preserve">. The Borrower will, and will cause each of its Material Subsidiaries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shall not prohibit any merger, consolidation, liquidation or dissolution permitted under Section 6.03 and (b) carry on and conduct its business in substantially the same manner and in substantially the same fields of enterprise as it is presently conducted.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5.04. </w:t>
      </w:r>
      <w:r>
        <w:rPr>
          <w:rFonts w:ascii="Times New Roman;sans-serif" w:hAnsi="Times New Roman;sans-serif"/>
          <w:b w:val="false"/>
          <w:color w:val="000000"/>
          <w:sz w:val="22"/>
          <w:u w:val="single"/>
        </w:rPr>
        <w:t>Payment of Obligations</w:t>
      </w:r>
      <w:r>
        <w:rPr>
          <w:rFonts w:ascii="Times New Roman;sans-serif" w:hAnsi="Times New Roman;sans-serif"/>
          <w:b w:val="false"/>
          <w:color w:val="000000"/>
          <w:sz w:val="22"/>
        </w:rPr>
        <w:t>. The Borrower will, and will cause each of its Subsidiaries to, pay or discharge all Material Indebtedness and all other material liabilities and obligations, including Taxes,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5.05. </w:t>
      </w:r>
      <w:r>
        <w:rPr>
          <w:rFonts w:ascii="Times New Roman;sans-serif" w:hAnsi="Times New Roman;sans-serif"/>
          <w:b w:val="false"/>
          <w:color w:val="000000"/>
          <w:sz w:val="22"/>
          <w:u w:val="single"/>
        </w:rPr>
        <w:t>Maintenance of Properties</w:t>
      </w:r>
      <w:r>
        <w:rPr>
          <w:rFonts w:ascii="Times New Roman;sans-serif" w:hAnsi="Times New Roman;sans-serif"/>
          <w:b w:val="false"/>
          <w:color w:val="000000"/>
          <w:sz w:val="22"/>
        </w:rPr>
        <w:t>. The Borrower will, and will cause each of its Material Subsidiaries to, keep and maintain all property material to the conduct of its business in good working order and condition, ordinary wear and tear excepted.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5.06. </w:t>
      </w:r>
      <w:r>
        <w:rPr>
          <w:rFonts w:ascii="Times New Roman;sans-serif" w:hAnsi="Times New Roman;sans-serif"/>
          <w:b w:val="false"/>
          <w:color w:val="000000"/>
          <w:sz w:val="22"/>
          <w:u w:val="single"/>
        </w:rPr>
        <w:t>Books and Records; Inspection Rights</w:t>
      </w:r>
      <w:r>
        <w:rPr>
          <w:rFonts w:ascii="Times New Roman;sans-serif" w:hAnsi="Times New Roman;sans-serif"/>
          <w:b w:val="false"/>
          <w:color w:val="000000"/>
          <w:sz w:val="22"/>
        </w:rPr>
        <w:t>. The Borrower will, and will cause each of its Subsidiaries to, (i) keep proper books of record and account in accordance with prudent practices and (ii)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The Borrower acknowledges that the Administrative Agent, after exercising its rights of inspection, may prepare and distribute to the Lenders certain reports pertaining to the assets for internal use by the Administrative Agent and the Lenders. The Administrative Agent agrees to use reasonable efforts to minimize, to the extent practicable and so long as no Default has occurred and is continuing, the number of separate requests from the Lenders to exercise their rights under this Section 5.06 and to coordinate the exercise by the Lenders of such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5.07. </w:t>
      </w:r>
      <w:r>
        <w:rPr>
          <w:rFonts w:ascii="Times New Roman;sans-serif" w:hAnsi="Times New Roman;sans-serif"/>
          <w:b w:val="false"/>
          <w:color w:val="000000"/>
          <w:sz w:val="22"/>
          <w:u w:val="single"/>
        </w:rPr>
        <w:t>Compliance with Laws</w:t>
      </w:r>
      <w:r>
        <w:rPr>
          <w:rFonts w:ascii="Times New Roman;sans-serif" w:hAnsi="Times New Roman;sans-serif"/>
          <w:b w:val="false"/>
          <w:color w:val="000000"/>
          <w:sz w:val="22"/>
        </w:rPr>
        <w:t>. The Borrower will, and will cause each of its Subsidiaries to, comply with all Requirements of Law applicable to it or its property, except where the failure to do so, individually or in the aggregate, could not reasonably be expected to result in a Material Adverse Effect. The Borrower will maintain in effect and enforce in all material respects policies and procedures reasonably designed to ensure compliance by the Borrower, its Subsidiaries and their respective directors, officers and employees with Anti-Corruption Laws and applicable Sanctions.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5.08. </w:t>
      </w:r>
      <w:r>
        <w:rPr>
          <w:rFonts w:ascii="Times New Roman;sans-serif" w:hAnsi="Times New Roman;sans-serif"/>
          <w:b w:val="false"/>
          <w:color w:val="000000"/>
          <w:sz w:val="22"/>
          <w:u w:val="single"/>
        </w:rPr>
        <w:t>Use of Proceeds</w:t>
      </w:r>
      <w:r>
        <w:rPr>
          <w:rFonts w:ascii="Times New Roman;sans-serif" w:hAnsi="Times New Roman;sans-serif"/>
          <w:b w:val="false"/>
          <w:color w:val="000000"/>
          <w:sz w:val="22"/>
        </w:rPr>
        <w:t xml:space="preserve">. The proceeds of the Loans and the Letters of Credit will be used to refinance certain existing Indebtedness, finance Permitted Acquisitions, Permitted Joint Ventures, working capital needs and for other general corporate purposes (including, without limitation, repurchases by the Borrower of its Equity Interests to the extent permitted under this Agreement) of the Borrower and its Subsidiaries. No part of the proceeds of any Loan and no Letter of Credit will be used, whether </w:t>
      </w:r>
    </w:p>
    <w:p>
      <w:pPr>
        <w:pStyle w:val="TextBody"/>
        <w:bidi w:val="0"/>
        <w:spacing w:before="0" w:after="24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2"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directly or indirectly, for any purpose that entails a violation of any of the regulations of the Federal Reserve Board, including Regulations T, U and X. The Borrower will not request any Borrowing or Letter of Credit, and Borrower shall not use, and the Borrower shall ensure that its Subsidiaries and its or their respective directors, officers, employees and agents shall not use, the proceeds of any Borrowing or Letter of Credit in furtherance of an offer, payment, promise to pay or authorization of the payment or giving of money, or anything else of value, to any Person in violation of any Anti-Corruption Laws. The Borrower will not, directly or indirectly, use the proceeds of the Loans or Letters of Credit, or lend, contribute or otherwise make available such proceeds to any subsidiary, joint venture partner or other Person, (i) to fund any activities or business of or with any Person or in any country or territory, that, at the time of such funding, is the subject of comprehensive Sanctions, in each case, except to the extent permitted for a Person required to comply with Sanctions, or (ii) in any other manner that would result in a violation of Sanctions by any Person participating in the Loans or Letters of Credit, whether as Administrative Agent, Lender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5.09.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The Borrower will, and will cause each of its Subsidiaries to, maintain with financially sound and reputable carriers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 will furnish to the Lenders, upon request of the Administrative Agent, information in reasonable detail as to the insurance so maintained (including, without limitation, certificates of insurance). Within thirty (30) days after the Effective Date (or such later date as may be agreed to by the Administrative Agent in its sole discretion), the Borrower shall deliver to the Administrative Agent endorsements (x) to all “All Risk” physical damage or casualty insurance policies in respect of Collateral naming the Administrative Agent as lender loss payee, and (y) to all general liability and other liability policies naming the Administrative Agent an additional insured. In the event the Borrower or any of its Subsidiaries at any time or times hereafter shall fail to obtain or maintain any of the policies or insurance required herein or to pay any premium in whole or in part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deems advisable. All sums so disbursed by the Administrative Agent shall constitute part of the Obligations, payable as provided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5.10. </w:t>
      </w:r>
      <w:r>
        <w:rPr>
          <w:rFonts w:ascii="Times New Roman;sans-serif" w:hAnsi="Times New Roman;sans-serif"/>
          <w:b w:val="false"/>
          <w:color w:val="000000"/>
          <w:sz w:val="22"/>
          <w:u w:val="single"/>
        </w:rPr>
        <w:t>Casualty and Condemnation</w:t>
      </w:r>
      <w:r>
        <w:rPr>
          <w:rFonts w:ascii="Times New Roman;sans-serif" w:hAnsi="Times New Roman;sans-serif"/>
          <w:b w:val="false"/>
          <w:color w:val="000000"/>
          <w:sz w:val="22"/>
        </w:rPr>
        <w:t>. The Borrower will furnish to the Administrative Agent and the Lenders prompt written notice of any casualty or other insured damage (to the extent representing a loss of in excess of $1,000,000 per occurrence to any property) or the commencement of any action or proceeding for the taking of any property of the Loan Parties or interest therein (with a value in excess of $1,000,000 per action or proceeding) under power of eminent domain or by condemnation or similar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5.11. </w:t>
      </w:r>
      <w:r>
        <w:rPr>
          <w:rFonts w:ascii="Times New Roman;sans-serif" w:hAnsi="Times New Roman;sans-serif"/>
          <w:b w:val="false"/>
          <w:color w:val="000000"/>
          <w:sz w:val="22"/>
          <w:u w:val="single"/>
        </w:rPr>
        <w:t>Subsidiary Guarantors; Pledges; Additional Collateral; Further Assurances</w:t>
      </w:r>
      <w:r>
        <w:rPr>
          <w:rFonts w:ascii="Times New Roman;sans-serif" w:hAnsi="Times New Roman;sans-serif"/>
          <w:b w:val="false"/>
          <w:color w:val="000000"/>
          <w:sz w:val="22"/>
        </w:rPr>
        <w:t>. (a)     As promptly as possible but in any event within thirty (30) days (or such later date as may be agreed upon by the Administrative Agent) after any Person becomes a Material Subsidiary, the Borrower shall provide the Administrative Agent with written notice thereof setting forth information in reasonable detail describing the material assets of such Person and shall cause each such Material Subsidiary to deliver to the Administrative Agent the Subsidiary Guaranty and the Security Agreement pursuant to which such Material Subsidiary agrees to be bound by the terms and provisions thereof, such Subsidiary Guaranty and Security Agreement to be accompanied by appropriate corporate resolutions, other corporate documentation and, if requested by the Administrative Agent in its reasonable discretion, legal opinions in form and substance reasonably satisfactory to the Administrative Agent and its counsel.</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Borrower will cause, and will cause each other Loan Party to cause, all of its owned property (constituting personal, tangible, intangible, or mixed, but excluding Excluded Assets) to be subject at all times to first priority, perfected Liens in favor of the Administrative Agent for the benefit of the Holders of Secured Obligations to secure the Secured Obligations in accordance with and to the extent required by the terms and conditions of the Collateral Documents, subject in any case to Liens permitted by </w:t>
      </w:r>
    </w:p>
    <w:p>
      <w:pPr>
        <w:pStyle w:val="TextBody"/>
        <w:bidi w:val="0"/>
        <w:spacing w:before="0" w:after="24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Section 6.02. Without limiting the generality of the foregoing, the Borrower will cause the Applicable Pledge Percentage of the issued and outstanding Equity Interests of each Pledge Subsidiary directly owned by the Borrower or any other Loan Party to be subject at all times to a first priority, perfected Lien in favor of the Administrative Agent to secure the Secured Obligations in accordance with the terms and conditions of the Collateral Documents or such other security documents as the Administrative Agent shall reasonably request. In furtherance of the foregoing, upon the request of the Administrative Agent in its reasonable discretion, the Borrower will, and will cause each Subsidiary Guarantor to, deliver local law governed pledge documentation (x) at any time, in respect of the Applicable Pledge Percentage of the issued and outstanding Equity Interests of any Pledge Subsidiary that is a Material Foreign Subsidiary and (y) upon the occurrence and during the continuance of an Event of Default, in respect of the Applicable Pledge Percentage of the issued and outstanding Equity Interests of any Pledge Subsidiary that is a First Tier Foreign Subsidiary.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Without limiting the foregoing, the Borrower will, and will cause each Loan Party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Borrower.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Notwithstanding the foregoing or anything else in this Agreement to the contrary, (i) no Permitted Joint Venture shall be required to become a Subsidiary Guarantor or Pledge Subsidiary, and (ii) no Foreign Subsidiary or Foreign Subsidiary Holdco shall be required to become a Subsidiary Guarantor hereunder.</w:t>
      </w:r>
    </w:p>
    <w:p>
      <w:pPr>
        <w:pStyle w:val="TextBody"/>
        <w:bidi w:val="0"/>
        <w:spacing w:lineRule="auto" w:line="240" w:before="0" w:after="240"/>
        <w:jc w:val="both"/>
        <w:rPr/>
      </w:pPr>
      <w:r>
        <w:rPr>
          <w:rFonts w:ascii="Times New Roman;sans-serif" w:hAnsi="Times New Roman;sans-serif"/>
          <w:b w:val="false"/>
          <w:color w:val="000000"/>
          <w:sz w:val="22"/>
        </w:rPr>
        <w:t xml:space="preserve">(e)    The Borrower will provide to the Administrative Agent, from time to time or concurrently with the delivery of the certificate of a Financial Officer of the Borrower as required by Section 5.01(c), an updated version of </w:t>
      </w:r>
      <w:r>
        <w:rPr>
          <w:rFonts w:ascii="Times New Roman;sans-serif" w:hAnsi="Times New Roman;sans-serif"/>
          <w:b w:val="false"/>
          <w:color w:val="000000"/>
          <w:sz w:val="22"/>
          <w:u w:val="single"/>
        </w:rPr>
        <w:t>Schedule 3.14</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there have been no changes to </w:t>
      </w:r>
      <w:r>
        <w:rPr>
          <w:rFonts w:ascii="Times New Roman;sans-serif" w:hAnsi="Times New Roman;sans-serif"/>
          <w:b w:val="false"/>
          <w:color w:val="000000"/>
          <w:sz w:val="22"/>
          <w:u w:val="single"/>
        </w:rPr>
        <w:t>Schedule 3.14</w:t>
      </w:r>
      <w:r>
        <w:rPr>
          <w:color w:val="000000"/>
        </w:rPr>
        <w:t xml:space="preserve"> </w:t>
      </w:r>
      <w:r>
        <w:rPr>
          <w:rFonts w:ascii="Times New Roman;sans-serif" w:hAnsi="Times New Roman;sans-serif"/>
          <w:b w:val="false"/>
          <w:color w:val="000000"/>
          <w:sz w:val="22"/>
        </w:rPr>
        <w:t xml:space="preserve">since the previous updating thereof required hereby, such updated version shall not be required). For the avoidance of doubt, such updated </w:t>
      </w:r>
      <w:r>
        <w:rPr>
          <w:rFonts w:ascii="Times New Roman;sans-serif" w:hAnsi="Times New Roman;sans-serif"/>
          <w:b w:val="false"/>
          <w:color w:val="000000"/>
          <w:sz w:val="22"/>
          <w:u w:val="single"/>
        </w:rPr>
        <w:t>Schedule 3.14</w:t>
      </w:r>
      <w:r>
        <w:rPr>
          <w:color w:val="000000"/>
        </w:rPr>
        <w:t xml:space="preserve"> </w:t>
      </w:r>
      <w:r>
        <w:rPr>
          <w:rFonts w:ascii="Times New Roman;sans-serif" w:hAnsi="Times New Roman;sans-serif"/>
          <w:b w:val="false"/>
          <w:color w:val="000000"/>
          <w:sz w:val="22"/>
        </w:rPr>
        <w:t>shall not be understood to permit any action prohibited hereunder or constitute a waiver of any provision contained herein.</w:t>
      </w:r>
    </w:p>
    <w:p>
      <w:pPr>
        <w:pStyle w:val="TextBody"/>
        <w:bidi w:val="0"/>
        <w:spacing w:lineRule="auto" w:line="240" w:before="0" w:after="240"/>
        <w:jc w:val="both"/>
        <w:rPr/>
      </w:pPr>
      <w:r>
        <w:rPr>
          <w:rFonts w:ascii="Times New Roman;sans-serif" w:hAnsi="Times New Roman;sans-serif"/>
          <w:b w:val="false"/>
          <w:color w:val="000000"/>
          <w:sz w:val="22"/>
        </w:rPr>
        <w:t xml:space="preserve">(f)    The Borrower will provide to the Administrative Agent, concurrently with the delivery of an executed supplement to the Security Agreement by any new grantor thereunder, a supplement to </w:t>
      </w:r>
      <w:r>
        <w:rPr>
          <w:rFonts w:ascii="Times New Roman;sans-serif" w:hAnsi="Times New Roman;sans-serif"/>
          <w:b w:val="false"/>
          <w:color w:val="000000"/>
          <w:sz w:val="22"/>
          <w:u w:val="single"/>
        </w:rPr>
        <w:t>Schedule 3.15</w:t>
      </w:r>
      <w:r>
        <w:rPr>
          <w:color w:val="000000"/>
        </w:rPr>
        <w:t xml:space="preserve"> </w:t>
      </w:r>
      <w:r>
        <w:rPr>
          <w:rFonts w:ascii="Times New Roman;sans-serif" w:hAnsi="Times New Roman;sans-serif"/>
          <w:b w:val="false"/>
          <w:color w:val="000000"/>
          <w:sz w:val="22"/>
        </w:rPr>
        <w:t xml:space="preserve">reflecting the financing statement(s) naming such new grantor as debtor prepared for filing in connection therewith. For the avoidance of doubt, such supplement to </w:t>
      </w:r>
      <w:r>
        <w:rPr>
          <w:rFonts w:ascii="Times New Roman;sans-serif" w:hAnsi="Times New Roman;sans-serif"/>
          <w:b w:val="false"/>
          <w:color w:val="000000"/>
          <w:sz w:val="22"/>
          <w:u w:val="single"/>
        </w:rPr>
        <w:t>Schedule 3.15</w:t>
      </w:r>
      <w:r>
        <w:rPr>
          <w:color w:val="000000"/>
        </w:rPr>
        <w:t xml:space="preserve"> </w:t>
      </w:r>
      <w:r>
        <w:rPr>
          <w:rFonts w:ascii="Times New Roman;sans-serif" w:hAnsi="Times New Roman;sans-serif"/>
          <w:b w:val="false"/>
          <w:color w:val="000000"/>
          <w:sz w:val="22"/>
        </w:rPr>
        <w:t>shall not be understood to permit any action prohibited hereunder or constitute a waiver of any provision contained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5.12. </w:t>
      </w:r>
      <w:r>
        <w:rPr>
          <w:rFonts w:ascii="Times New Roman;sans-serif" w:hAnsi="Times New Roman;sans-serif"/>
          <w:b w:val="false"/>
          <w:color w:val="000000"/>
          <w:sz w:val="22"/>
          <w:u w:val="single"/>
        </w:rPr>
        <w:t>Post-Closing Matters</w:t>
      </w:r>
      <w:r>
        <w:rPr>
          <w:rFonts w:ascii="Times New Roman;sans-serif" w:hAnsi="Times New Roman;sans-serif"/>
          <w:b w:val="false"/>
          <w:color w:val="000000"/>
          <w:sz w:val="22"/>
        </w:rPr>
        <w:t xml:space="preserve">.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Within thirty (30) days after the Effective Date (or such later date as may be agreed by the Administrative Agent in its sole discretion), deliver to the Administrative Agent evidence satisfactory to the Administrative Agent that the UCC-1 financing statement number 20200806001094-0 on file with the Michigan Department of State naming Harlan Electric Company as debtor has been terminated.</w:t>
      </w:r>
    </w:p>
    <w:p>
      <w:pPr>
        <w:pStyle w:val="TextBody"/>
        <w:bidi w:val="0"/>
        <w:spacing w:lineRule="auto" w:line="240" w:before="0" w:after="240"/>
        <w:jc w:val="both"/>
        <w:rPr/>
      </w:pPr>
      <w:r>
        <w:rPr>
          <w:rFonts w:ascii="Times New Roman;sans-serif" w:hAnsi="Times New Roman;sans-serif"/>
          <w:b w:val="false"/>
          <w:color w:val="000000"/>
          <w:sz w:val="22"/>
        </w:rPr>
        <w:t xml:space="preserve">(b)    Within thirty (30) days after the Effective Date (or such later date as may be agreed by the Administrative Agent in its sole discretion), deliver to the Administrative Agent certificates of insurance listing the Administrative Agent as (x) lender loss payee for the property and casualty insurance policies of the Loan Parties, together with long-form lender loss payable, as appropriate, and (y) additional insured with respect to the liability insurance of the Loan Parties, together with additional insured endorsements, in each case to the extent required by </w:t>
      </w:r>
      <w:r>
        <w:rPr>
          <w:rFonts w:ascii="Times New Roman;sans-serif" w:hAnsi="Times New Roman;sans-serif"/>
          <w:b w:val="false"/>
          <w:color w:val="000000"/>
          <w:sz w:val="22"/>
          <w:u w:val="single"/>
        </w:rPr>
        <w:t>Section 5.09</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ans-serif" w:hAnsi="Times New Roman;sans-serif"/>
          <w:b w:val="false"/>
          <w:color w:val="000000"/>
          <w:sz w:val="22"/>
        </w:rPr>
        <w:t>ARTICLE VI</w:t>
      </w:r>
      <w:r>
        <w:rPr>
          <w:rFonts w:ascii="Times New Roman;sans-serif" w:hAnsi="Times New Roman;sans-serif"/>
          <w:b w:val="false"/>
          <w:color w:val="000000"/>
          <w:sz w:val="22"/>
          <w:u w:val="single"/>
        </w:rPr>
        <w:br/>
        <w:br/>
        <w:t>Negative Covenants</w:t>
      </w:r>
    </w:p>
    <w:p>
      <w:pPr>
        <w:pStyle w:val="TextBody"/>
        <w:bidi w:val="0"/>
        <w:spacing w:before="0" w:after="24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4"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Until the Commitments have expired or terminated and the principal of and interest on each Loan and all fees, expenses and other amounts payable under any Loan Document have been paid in full and all Letters of Credit have expired, terminated, been cash collateralized or otherwise covered by letters of credit as permitted herein and all LC Disbursements shall have been reimbursed, the Borrower covenants and agrees with the Lenders that: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6.01. </w:t>
      </w:r>
      <w:r>
        <w:rPr>
          <w:rFonts w:ascii="Times New Roman;sans-serif" w:hAnsi="Times New Roman;sans-serif"/>
          <w:b w:val="false"/>
          <w:color w:val="000000"/>
          <w:sz w:val="22"/>
          <w:u w:val="single"/>
        </w:rPr>
        <w:t>Indebtedness</w:t>
      </w:r>
      <w:r>
        <w:rPr>
          <w:rFonts w:ascii="Times New Roman;sans-serif" w:hAnsi="Times New Roman;sans-serif"/>
          <w:b w:val="false"/>
          <w:color w:val="000000"/>
          <w:sz w:val="22"/>
        </w:rPr>
        <w:t>. The Borrower will not, and will not permit any Subsidiary to, create, incur or suffer to exist any Indebtedness, except: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the Secured Obligations;</w:t>
      </w:r>
    </w:p>
    <w:p>
      <w:pPr>
        <w:pStyle w:val="TextBody"/>
        <w:bidi w:val="0"/>
        <w:spacing w:lineRule="auto" w:line="240" w:before="0" w:after="240"/>
        <w:jc w:val="both"/>
        <w:rPr/>
      </w:pPr>
      <w:r>
        <w:rPr>
          <w:rFonts w:ascii="Times New Roman;sans-serif" w:hAnsi="Times New Roman;sans-serif"/>
          <w:b w:val="false"/>
          <w:color w:val="000000"/>
          <w:sz w:val="22"/>
        </w:rPr>
        <w:t xml:space="preserve">(b)    Indebtedness existing on the date hereof and set forth in </w:t>
      </w:r>
      <w:r>
        <w:rPr>
          <w:rFonts w:ascii="Times New Roman;sans-serif" w:hAnsi="Times New Roman;sans-serif"/>
          <w:b w:val="false"/>
          <w:color w:val="000000"/>
          <w:sz w:val="22"/>
          <w:u w:val="single"/>
        </w:rPr>
        <w:t>Schedule 6.01</w:t>
      </w:r>
      <w:r>
        <w:rPr>
          <w:color w:val="000000"/>
        </w:rPr>
        <w:t xml:space="preserve"> </w:t>
      </w:r>
      <w:r>
        <w:rPr>
          <w:rFonts w:ascii="Times New Roman;sans-serif" w:hAnsi="Times New Roman;sans-serif"/>
          <w:b w:val="false"/>
          <w:color w:val="000000"/>
          <w:sz w:val="22"/>
        </w:rPr>
        <w:t>and extensions, renewals and replacements of any such Indebtedness that do not increase the outstanding principal amount thereof;</w:t>
      </w:r>
    </w:p>
    <w:p>
      <w:pPr>
        <w:pStyle w:val="TextBody"/>
        <w:bidi w:val="0"/>
        <w:spacing w:lineRule="auto" w:line="240" w:before="0" w:after="240"/>
        <w:jc w:val="both"/>
        <w:rPr/>
      </w:pPr>
      <w:r>
        <w:rPr>
          <w:rFonts w:ascii="Times New Roman;sans-serif" w:hAnsi="Times New Roman;sans-serif"/>
          <w:b w:val="false"/>
          <w:color w:val="000000"/>
          <w:sz w:val="22"/>
        </w:rPr>
        <w:t xml:space="preserve">(c)    Indebtedness of the Borrower to any Subsidiary and of any Subsidiary to the Borrower or any other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Indebtedness of any Subsidiary that is not a Loan Party to the Borrower or any Subsidiary that is a Loan Party shall be subject to Section 6.04;</w:t>
      </w:r>
    </w:p>
    <w:p>
      <w:pPr>
        <w:pStyle w:val="TextBody"/>
        <w:bidi w:val="0"/>
        <w:spacing w:lineRule="auto" w:line="240" w:before="0" w:after="240"/>
        <w:jc w:val="both"/>
        <w:rPr/>
      </w:pPr>
      <w:r>
        <w:rPr>
          <w:rFonts w:ascii="Times New Roman;sans-serif" w:hAnsi="Times New Roman;sans-serif"/>
          <w:b w:val="false"/>
          <w:color w:val="000000"/>
          <w:sz w:val="22"/>
        </w:rPr>
        <w:t xml:space="preserve">(d)    Guarantees by the Borrower of Indebtedness of any Subsidiary or Permitted Joint Venture and by any Subsidiary of Indebtedness of the Borrower or any other Subsidiary or Permitted Joint Venture,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the Indebtedness so Guaranteed is permitted by this Section 6.01 and (ii) Guarantees by the Borrower or any Subsidiary that is a Loan Party of Indebtedness of any Subsidiary that is not a Loan Party or of any Permitted Joint Venture shall be subject to Section 6.04;</w:t>
      </w:r>
    </w:p>
    <w:p>
      <w:pPr>
        <w:pStyle w:val="TextBody"/>
        <w:bidi w:val="0"/>
        <w:spacing w:lineRule="auto" w:line="240" w:before="0" w:after="240"/>
        <w:jc w:val="both"/>
        <w:rPr/>
      </w:pPr>
      <w:r>
        <w:rPr>
          <w:rFonts w:ascii="Times New Roman;sans-serif" w:hAnsi="Times New Roman;sans-serif"/>
          <w:b w:val="false"/>
          <w:color w:val="000000"/>
          <w:sz w:val="22"/>
        </w:rPr>
        <w:t xml:space="preserve">(e)    Indebtedness of the Borrower or any Subsidiary incurred to finance the acquisition, construction, improvement, alteration or repair of any fixed or capital assets (whether or not constituting purchase money Indebtedness), including Finance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Indebtedness is incurred (A) prior to or within 365 days after such acquisition or the completion of such construction, improvement, alteration or repair and (ii) the aggregate principal amount of Indebtedness permitted by this clause (e) shall not exceed $125,000,000 at any time outstanding;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    Indebtedness of the Borrower or any Subsidiary in respect of Bonding Obligations;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    Indebtedness under any Swap Agreement entered into for bona fide hedging purposes and not for speculative or investment purposes;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Indebtedness constituting Subordinated Indebtedness;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    [reserved];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(k)    Indebtedness of the Borrower or any Subsidiary incurred pursuant to Permitted Receivables Facilities; </w:t>
      </w:r>
    </w:p>
    <w:p>
      <w:pPr>
        <w:pStyle w:val="TextBody"/>
        <w:bidi w:val="0"/>
        <w:spacing w:lineRule="auto" w:line="240" w:before="0" w:after="240"/>
        <w:jc w:val="both"/>
        <w:rPr/>
      </w:pPr>
      <w:r>
        <w:rPr>
          <w:rFonts w:ascii="Times New Roman;sans-serif" w:hAnsi="Times New Roman;sans-serif"/>
          <w:b w:val="false"/>
          <w:color w:val="000000"/>
          <w:sz w:val="22"/>
        </w:rPr>
        <w:t xml:space="preserve">(l)    Indebtedness owing by any Foreign Subsidiary constituting local loans or other credit extensions from local lenders in jurisdictions outside the United States;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principal amount of Indebtedness permitted by this clause (l) shall not exceed $50,000,000 at any time outstanding; </w:t>
      </w:r>
    </w:p>
    <w:p>
      <w:pPr>
        <w:pStyle w:val="TextBody"/>
        <w:bidi w:val="0"/>
        <w:spacing w:before="0" w:after="24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    unsecured Indebtedness incurred in connection with a Permitted Acquisition; provided that seller notes or any other Indebtedness issued by any Loan Party to any seller (including current or former officers, directors and employees, their respective estates, spouses or former spouses thereof) in connection with such Permitted Acquisition to finance any Permitted Acquisition shall only be permitted to the extent constituting Subordinated Indebtedness;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    other unsecured Indebtedness in an aggregate principal amount not exceeding 5% of Consolidated Net Worth (as of the most recently ended fiscal year and determined at the time of incurring such Indebtedness by reference to the Borrower’s financial statements most recently delivered pursuant to Section 5.01(a) or, if prior to the date of the delivery of the first financial statements to be delivered pursuant to Section 5.01(a), the most recent financial statements referred to in Section 3.04(a)) at any time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6.02. </w:t>
      </w:r>
      <w:r>
        <w:rPr>
          <w:rFonts w:ascii="Times New Roman;sans-serif" w:hAnsi="Times New Roman;sans-serif"/>
          <w:b w:val="false"/>
          <w:color w:val="000000"/>
          <w:sz w:val="22"/>
          <w:u w:val="single"/>
        </w:rPr>
        <w:t>Liens</w:t>
      </w:r>
      <w:r>
        <w:rPr>
          <w:rFonts w:ascii="Times New Roman;sans-serif" w:hAnsi="Times New Roman;sans-serif"/>
          <w:b w:val="false"/>
          <w:color w:val="000000"/>
          <w:sz w:val="22"/>
        </w:rPr>
        <w:t>. The Borrower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Liens created pursuant to any Loan Document;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Permitted Encumbrances;</w:t>
      </w:r>
    </w:p>
    <w:p>
      <w:pPr>
        <w:pStyle w:val="TextBody"/>
        <w:bidi w:val="0"/>
        <w:spacing w:lineRule="auto" w:line="240" w:before="0" w:after="240"/>
        <w:jc w:val="both"/>
        <w:rPr/>
      </w:pPr>
      <w:r>
        <w:rPr>
          <w:rFonts w:ascii="Times New Roman;sans-serif" w:hAnsi="Times New Roman;sans-serif"/>
          <w:b w:val="false"/>
          <w:color w:val="000000"/>
          <w:sz w:val="22"/>
        </w:rPr>
        <w:t xml:space="preserve">(c)    any Lien on any property or asset of the Borrower or any Subsidiary existing on the date hereof and set forth in </w:t>
      </w:r>
      <w:r>
        <w:rPr>
          <w:rFonts w:ascii="Times New Roman;sans-serif" w:hAnsi="Times New Roman;sans-serif"/>
          <w:b w:val="false"/>
          <w:color w:val="000000"/>
          <w:sz w:val="22"/>
          <w:u w:val="single"/>
        </w:rPr>
        <w:t>Schedule 6.02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Lien shall not apply to any other property or asset of the Borrower or Subsidiary and (ii) such Lien shall secure only those obligations which it secures on the date hereof and extensions, renewals and replacements thereof that do not increase the outstanding principal amount thereof;</w:t>
      </w:r>
    </w:p>
    <w:p>
      <w:pPr>
        <w:pStyle w:val="TextBody"/>
        <w:bidi w:val="0"/>
        <w:spacing w:lineRule="auto" w:line="240" w:before="0" w:after="240"/>
        <w:jc w:val="both"/>
        <w:rPr/>
      </w:pPr>
      <w:r>
        <w:rPr>
          <w:rFonts w:ascii="Times New Roman;sans-serif" w:hAnsi="Times New Roman;sans-serif"/>
          <w:b w:val="false"/>
          <w:color w:val="000000"/>
          <w:sz w:val="22"/>
        </w:rPr>
        <w:t xml:space="preserve">(d)    Liens on assets acquired, constructed, improved, altered or repaired by the Borrower or any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security interests secure Indebtedness permitted by Section 6.01(e), (ii) such security interests and the Indebtedness secured thereby are incurred prior to or within 365 days after such acquisition or the completion of such construction, improvement, alteration or repair, (iii) the principal amount of the Indebtedness secured thereby does not exceed the cost of acquiring, constructing, improving, altering or repairing such assets, and (iv) such security interests shall not apply to any other property or assets of the Borrower or Subsidiary (other than, in respect of any lease, under any one or more master lease agreements with the same lessor or an Affiliate thereof);</w:t>
      </w:r>
    </w:p>
    <w:p>
      <w:pPr>
        <w:pStyle w:val="TextBody"/>
        <w:bidi w:val="0"/>
        <w:spacing w:lineRule="auto" w:line="240" w:before="0" w:after="240"/>
        <w:jc w:val="both"/>
        <w:rPr/>
      </w:pPr>
      <w:r>
        <w:rPr>
          <w:rFonts w:ascii="Times New Roman;sans-serif" w:hAnsi="Times New Roman;sans-serif"/>
          <w:b w:val="false"/>
          <w:color w:val="000000"/>
          <w:sz w:val="22"/>
        </w:rPr>
        <w:t xml:space="preserve">(e)    any Lien existing on any property or asset (other than accounts receivable and inventory) prior to the acquisition thereof by the Borrower or any Subsidiary or existing on any property or asset (other than accounts receivable and inventory) of any Person that becomes a Loan Party after the date hereof prior to the time such Person becomes a Loan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Lien is not created in contemplation of or in connection with such acquisition or such Person becoming a Loan Party, as the case may be, (ii) such Lien shall not apply to any other property or assets of the Loan Party and (iii) such Lien shall secure only those obligations which it secures on the date of such acquisition or the date such Person becomes a Loan Party, as the case may be;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Liens of a collecting bank arising in the ordinary course of business under Section 4-208 of the Uniform Commercial Code in effect in the relevant jurisdiction covering only the items being collected upon;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    Liens arising out of sale and leaseback transactions permitted by Section 6.06;</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    Liens granted by a Subsidiary that is not a Loan Party in favor of the Borrower or another Loan Party in respect of Indebtedness owed by such Subsidiary;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Liens on Receivables Facility Assets arising under Permitted Receivables Facilities;</w:t>
      </w:r>
    </w:p>
    <w:p>
      <w:pPr>
        <w:pStyle w:val="TextBody"/>
        <w:bidi w:val="0"/>
        <w:spacing w:before="0" w:after="24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(j)    Liens granted by a Loan Party in Equity Interests in a Permitted Joint Venture (including associated proceeds thereof);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(k)    Liens on the assets of Foreign Subsidiaries securing Indebtedness permitted under Section 6.01(l).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none of the Liens permitted pursuant to this Section 6.02 may at any time attach to any Loan Party’s (1) accounts receivable, other than those permitted under clauses (a) and (d) of the definition of Permitted Encumbrance and clauses (a) and (i) above and (2) inventory, other than those permitted under clauses (a), (b) and (d) of the definition of Permitted Encumbrance and clause (a)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6.03. </w:t>
      </w:r>
      <w:r>
        <w:rPr>
          <w:rFonts w:ascii="Times New Roman;sans-serif" w:hAnsi="Times New Roman;sans-serif"/>
          <w:b w:val="false"/>
          <w:color w:val="000000"/>
          <w:sz w:val="22"/>
          <w:u w:val="single"/>
        </w:rPr>
        <w:t>Fundamental Changes</w:t>
      </w:r>
      <w:r>
        <w:rPr>
          <w:rFonts w:ascii="Times New Roman;sans-serif" w:hAnsi="Times New Roman;sans-serif"/>
          <w:b w:val="false"/>
          <w:color w:val="000000"/>
          <w:sz w:val="22"/>
        </w:rPr>
        <w:t xml:space="preserve">. (a) The Borrower will not, and will not permit any Material Subsidiary to, merge into or consolidate with any other Person, or permit any other Person to merge into or consolidate with it, or liquidate or dissolve, except that, if at the time thereof and immediately after giving effect thereto no Default shall have occurred and be continuing (i) any Subsidiary of the Borrower may merge into the Borrower in a transaction in which the Borrower is the surviving corporation, (ii) any Loan Party (other than the Borrower) may merge into any Loan Party in a transaction in which the surviving entity is a Loan Party, (iii) any Subsidiary that is not a Loan Party may liquidate or dissolve if the Borrower determines in good faith that such liquidation or dissolution is in the best interests of the Borrower and is not materially disadvantageous to the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merger involving a Person that is not a wholly owned Subsidiary immediately prior to such merger shall not be permitted unless also permitted by Section 6.04 and (iv) the Borrower and its Subsidiaries may consummate Permitted Acquisitions.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The Borrower will not, nor will it permit any of its Subsidiaries to, engage in any business other than businesses of the type conducted by the Borrower and its Subsidiaries on the date of execution of this Agreement and businesses reasonably related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6.04. </w:t>
      </w:r>
      <w:r>
        <w:rPr>
          <w:rFonts w:ascii="Times New Roman;sans-serif" w:hAnsi="Times New Roman;sans-serif"/>
          <w:b w:val="false"/>
          <w:color w:val="000000"/>
          <w:sz w:val="22"/>
          <w:u w:val="single"/>
        </w:rPr>
        <w:t>Investments, Loans, Advances, Guarantees and Acquisitions</w:t>
      </w:r>
      <w:r>
        <w:rPr>
          <w:rFonts w:ascii="Times New Roman;sans-serif" w:hAnsi="Times New Roman;sans-serif"/>
          <w:b w:val="false"/>
          <w:color w:val="000000"/>
          <w:sz w:val="22"/>
        </w:rPr>
        <w:t>. The Borrower will not, and will not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Permitted Investments and Permitted Acquisitions;</w:t>
      </w:r>
    </w:p>
    <w:p>
      <w:pPr>
        <w:pStyle w:val="TextBody"/>
        <w:bidi w:val="0"/>
        <w:spacing w:lineRule="auto" w:line="240" w:before="0" w:after="240"/>
        <w:jc w:val="both"/>
        <w:rPr/>
      </w:pPr>
      <w:r>
        <w:rPr>
          <w:rFonts w:ascii="Times New Roman;sans-serif" w:hAnsi="Times New Roman;sans-serif"/>
          <w:b w:val="false"/>
          <w:color w:val="000000"/>
          <w:sz w:val="22"/>
        </w:rPr>
        <w:t xml:space="preserve">(b)    investments in existence on the date of this Agreement and described in </w:t>
      </w:r>
      <w:r>
        <w:rPr>
          <w:rFonts w:ascii="Times New Roman;sans-serif" w:hAnsi="Times New Roman;sans-serif"/>
          <w:b w:val="false"/>
          <w:color w:val="000000"/>
          <w:sz w:val="22"/>
          <w:u w:val="single"/>
        </w:rPr>
        <w:t>Schedule 6.04</w:t>
      </w:r>
      <w:r>
        <w:rPr>
          <w:rFonts w:ascii="Times New Roman;sans-serif" w:hAnsi="Times New Roman;sans-serif"/>
          <w:b w:val="false"/>
          <w:color w:val="000000"/>
          <w:sz w:val="22"/>
        </w:rPr>
        <w:t>;</w:t>
      </w:r>
    </w:p>
    <w:p>
      <w:pPr>
        <w:pStyle w:val="TextBody"/>
        <w:bidi w:val="0"/>
        <w:spacing w:lineRule="auto" w:line="240" w:before="0" w:after="240"/>
        <w:jc w:val="both"/>
        <w:rPr/>
      </w:pPr>
      <w:r>
        <w:rPr>
          <w:rFonts w:ascii="Times New Roman;sans-serif" w:hAnsi="Times New Roman;sans-serif"/>
          <w:b w:val="false"/>
          <w:color w:val="000000"/>
          <w:sz w:val="22"/>
        </w:rPr>
        <w:t xml:space="preserve">(c)    investments by the Borrower and the Subsidiaries (other than Permitted Joint Ventures) in Equity Interests in their respective Subsidiaries (other than Permitted Joint Ventures),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any such Equity Interests held by a Loan Party shall be pledged pursuant to the Security Agreement (to the extent of the Applicable Pledge Percentages) and (B) the aggregate amount of investments by Loan Parties in Subsidiaries (other than Permitted Joint Ventures) that are not Loan Parties (together with outstanding intercompany loans permitted under the proviso to Section 6.04(d) and outstanding Guarantees permitted under the proviso to Section 6.04(e)) shall not exceed $1,000,000 at any time outstanding;</w:t>
      </w:r>
    </w:p>
    <w:p>
      <w:pPr>
        <w:pStyle w:val="TextBody"/>
        <w:bidi w:val="0"/>
        <w:spacing w:lineRule="auto" w:line="240" w:before="0" w:after="240"/>
        <w:jc w:val="both"/>
        <w:rPr/>
      </w:pPr>
      <w:r>
        <w:rPr>
          <w:rFonts w:ascii="Times New Roman;sans-serif" w:hAnsi="Times New Roman;sans-serif"/>
          <w:b w:val="false"/>
          <w:color w:val="000000"/>
          <w:sz w:val="22"/>
        </w:rPr>
        <w:t xml:space="preserve">(d)    loans or advances made by the Borrower to any Subsidiary (other than Permitted Joint Ventures), Guarantees by the Borrower of the obligations (other than Indebtedness) of any Subsidiary (other than Permitted Joint Ventures), loans or advances made by any Subsidiary (other than Permitted Joint Ventures) to the Borrower or to any other Subsidiary (other than Permitted Joint Ventures), or Guarantees by any Subsidiary (other than Permitted Joint Ventures) of the obligations (other than Indebtedness) of the Borrower or of any Subsidiary (other than Permitted Joint Ventures),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amount of such loans and advances made by Loan Parties to, or Guarantees made by Loan Parties of the obligations of, Subsidiaries that are not Loan Parties (together with outstanding investments permitted under clause (B) to the proviso to Section 6.04(c) and outstanding Guarantees permitted under the proviso to Section 6.04(e)) shall not exceed $1,000,000 at any time outstanding;</w:t>
      </w:r>
    </w:p>
    <w:p>
      <w:pPr>
        <w:pStyle w:val="TextBody"/>
        <w:bidi w:val="0"/>
        <w:spacing w:before="0" w:after="24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(e)    Guarantees constituting Indebtedness permitted by Section 6.01,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principal amount of Indebtedness of Subsidiaries (other than Permitted Joint Ventures) that are not Loan Parties that is Guaranteed by any Loan Party shall (together with outstanding investments permitted under clause (B) to the proviso to Section 6.04(c) and outstanding intercompany loans permitted under the proviso to Section 6.04(d)) shall not exceed $1,000,000 at any time outstanding;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loans or advances made by the Borrower or any Subsidiary to its employees on an arms-length basis in the ordinary course of business consistent with past practices for travel and entertainment expenses, relocation costs and similar purposes up to a maximum of $500,000 in the aggregate at any one time outstanding;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    investments of any Person existing at the time such Person becomes a Subsidiary of the Borrower or consolidates or merges with the Borrower or any of the Subsidiaries (including in connection with a Permitted Acquisition) so long as such investments were not made in contemplation of such Person becoming a Subsidiary or of such merger;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    investments received in connection with the dispositions of assets permitted by Section 6.05;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investments constituting deposits described in clauses (c) and (d) of the definition of the term “Permitted Encumbrances”;</w:t>
      </w:r>
    </w:p>
    <w:p>
      <w:pPr>
        <w:pStyle w:val="TextBody"/>
        <w:bidi w:val="0"/>
        <w:spacing w:lineRule="auto" w:line="240" w:before="0" w:after="240"/>
        <w:jc w:val="both"/>
        <w:rPr/>
      </w:pPr>
      <w:r>
        <w:rPr>
          <w:rFonts w:ascii="Times New Roman;sans-serif" w:hAnsi="Times New Roman;sans-serif"/>
          <w:b w:val="false"/>
          <w:color w:val="000000"/>
          <w:sz w:val="22"/>
        </w:rPr>
        <w:t xml:space="preserve">(j)    (i) acquisitions, formation or ownership of Equity Interests in one or more Permitted Joint Ventures, First Tier Foreign Subsidiaries or First Tier Foreign Subsidiary Holdcos, (ii) Guarantees of the obligations of one or more Permitted Joint Ventures, First Tier Foreign Subsidiaries or First Tier Foreign Subsidiary Holdcos or (iii) investments in, or loans or advances to, one or more Permitted Joint Ventures, First Tier Foreign Subsidiaries or First Tier Foreign Subsidiary Holdcos;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upon the making of any such investment, loan or advance, the positive difference, if any, between (x) the aggregate of all cash that has been invested in, or loaned or advanced to, Permitted Joint Ventures, First Tier Foreign Subsidiaries and First Tier Foreign Subsidiary Holdcos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(y) the aggregate of all cash payments or repayments of loans or advances that have been received from Permitted Joint Ventures, First Tier Foreign Subsidiaries and First Tier Foreign Subsidiary Holdcos as of such date, shall not in the aggregate exceed 30% of Consolidated Net Worth (calculated as of the most recently ended fiscal quarter and determined at the time of making such investment, loan or advance by reference to the Borrower’s financial statements most recently delivered pursuant to Section 5.01(a) or (b) or, if prior to the date of the delivery of the first financial statements to be delivered pursuant to Section 5.01(a) or (b), the most recent financial statements referred to in Section 3.04(a));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(k)    (i) contributions of Receivables Facility Assets and cash deemed received from proceeds of Receivables Facility Assets to any Receivables Entity to the extent required or made pursuant to Permitted Receivables Facility Documents or to the extent necessary to keep such Receivables Entity under a Permitted Receivables Facility properly capitalized to avoid insolvency or consolidation with a Loan Party or any of the Subsidiaries and (ii) loans or advances made by the Borrower or any Receivables Seller to the Receivables Entity for the purchase price of the Receivables and the Receivables Facility Assets in connection with any Permitted Receivables Facility;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    Guarantees of Indebtedness permitted under Section 6.01(l);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    any other investment, loan or advance (other than acquisitions) so long as the aggregate amount of all such investments, loans or advances does not exceed 7.5% of Consolidated Net Worth (in each case as of the most recently ended fiscal quarter and determined at the time of making such investment by reference to the Borrower’s financial statements most recently delivered pursuant to Section 5.01(a) or (b) or, if prior to the date of the delivery of the first financial statements to be delivered pursuant to Section 5.01(a) or (b), the most recent financial statements referred to in Section 3.04(a)). For the avoidance of doubt, the investments, loans and advances permitted under this clause (m) are separate from, and in addition to, the other investments, loans, advances, guarantees and acquisitions permitted under the foregoing clauses (a)-(l).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8"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SECTION 6.05. </w:t>
      </w:r>
      <w:r>
        <w:rPr>
          <w:rFonts w:ascii="Times New Roman;sans-serif" w:hAnsi="Times New Roman;sans-serif"/>
          <w:b w:val="false"/>
          <w:color w:val="000000"/>
          <w:sz w:val="22"/>
          <w:u w:val="single"/>
        </w:rPr>
        <w:t>Asset Sales</w:t>
      </w:r>
      <w:r>
        <w:rPr>
          <w:rFonts w:ascii="Times New Roman;sans-serif" w:hAnsi="Times New Roman;sans-serif"/>
          <w:b w:val="false"/>
          <w:color w:val="000000"/>
          <w:sz w:val="22"/>
        </w:rPr>
        <w:t>. The Borrower will not, and will not permit any Subsidiary to, sell, transfer, lease or otherwise dispose of any asset, including any Equity Interest owned by it, nor will the Borrower permit any Subsidiary to issue any additional Equity Interest in such Subsidiary (other than to the Borrower or another Subsidiary in compliance with Section 6.04), except: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sales, transfers, leases and dispositions of (i) inventory in the ordinary course of business, (ii) used, obsolete, worn out or surplus equipment or property in the ordinary course of business and (iii) any equipment or property subject to any lease or right-of-use agreement entered into in the ordinary course of business, in accordance with the terms of such agreement;</w:t>
      </w:r>
    </w:p>
    <w:p>
      <w:pPr>
        <w:pStyle w:val="TextBody"/>
        <w:bidi w:val="0"/>
        <w:spacing w:lineRule="auto" w:line="240" w:before="0" w:after="240"/>
        <w:jc w:val="both"/>
        <w:rPr/>
      </w:pPr>
      <w:r>
        <w:rPr>
          <w:rFonts w:ascii="Times New Roman;sans-serif" w:hAnsi="Times New Roman;sans-serif"/>
          <w:b w:val="false"/>
          <w:color w:val="000000"/>
          <w:sz w:val="22"/>
        </w:rPr>
        <w:t xml:space="preserve">(b)    sales, transfers, leases and dispositions to the Borrower or any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sales, transfers or dispositions involving a Subsidiary that is not a Loan Party shall be made in compliance with Section 6.08;</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sales, transfers and dispositions of accounts receivable in connection with the compromise, settlement or collection thereof;</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sales, transfers and dispositions of investments permitted by clauses (i) and (m) of Section 6.04;</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sale and leaseback transactions permitted by Section 6.06;</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dispositions resulting from any casualty or other insured damage to, or any taking under power of eminent domain or by condemnation or similar proceeding of, any property or asset of the Borrower or any Subsidiary;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    transfers, sales and/or pledges of Receivables Related Assets under Permitted Receivables Facilities; and</w:t>
      </w:r>
    </w:p>
    <w:p>
      <w:pPr>
        <w:pStyle w:val="TextBody"/>
        <w:bidi w:val="0"/>
        <w:spacing w:lineRule="auto" w:line="240" w:before="0" w:after="240"/>
        <w:jc w:val="both"/>
        <w:rPr/>
      </w:pPr>
      <w:r>
        <w:rPr>
          <w:rFonts w:ascii="Times New Roman;sans-serif" w:hAnsi="Times New Roman;sans-serif"/>
          <w:b w:val="false"/>
          <w:color w:val="000000"/>
          <w:sz w:val="22"/>
        </w:rPr>
        <w:t xml:space="preserve">(h)    sales, transfers and other dispositions of assets (other than Equity Interests in a Subsidiary unless all Equity Interests in such Subsidiary are sold) that are not permitted by any other paragraph of this Section,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fair market value of all assets sold, transferred or otherwise disposed of in reliance upon this clause (h) shall not exceed $15,000,000 during any fiscal year of the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6.06. </w:t>
      </w:r>
      <w:r>
        <w:rPr>
          <w:rFonts w:ascii="Times New Roman;sans-serif" w:hAnsi="Times New Roman;sans-serif"/>
          <w:b w:val="false"/>
          <w:color w:val="000000"/>
          <w:sz w:val="22"/>
          <w:u w:val="single"/>
        </w:rPr>
        <w:t>Sale and Leaseback Transactions</w:t>
      </w:r>
      <w:r>
        <w:rPr>
          <w:rFonts w:ascii="Times New Roman;sans-serif" w:hAnsi="Times New Roman;sans-serif"/>
          <w:b w:val="false"/>
          <w:color w:val="000000"/>
          <w:sz w:val="22"/>
        </w:rPr>
        <w:t xml:space="preserve">. The Borrower will not, and will not permit any Subsidiary to, without the prior written consent of the Administrative Agent,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or equipment by the Borrower or any Subsidiary that is made for cash consideration in an amount not less than the fair value of such fixed or capital asset or equipment;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net book value of the assets that are the subject of any such transaction (excluding any such transaction solely between Loan Parties) shall not, in the aggregate, when taken together with the aggregate net book value (determined at the time of the consummation of the instant transaction) of the assets that are the subject of all other such transactions then outstanding, exceed $50,000,000.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6.07. </w:t>
      </w:r>
      <w:r>
        <w:rPr>
          <w:rFonts w:ascii="Times New Roman;sans-serif" w:hAnsi="Times New Roman;sans-serif"/>
          <w:b w:val="false"/>
          <w:color w:val="000000"/>
          <w:sz w:val="22"/>
          <w:u w:val="single"/>
        </w:rPr>
        <w:t>Restricted Payments; Certain Payments of Indebtedness</w:t>
      </w:r>
      <w:r>
        <w:rPr>
          <w:rFonts w:ascii="Times New Roman;sans-serif" w:hAnsi="Times New Roman;sans-serif"/>
          <w:b w:val="false"/>
          <w:color w:val="000000"/>
          <w:sz w:val="22"/>
        </w:rPr>
        <w:t xml:space="preserve">. (a) The Borrower will not, and will not permit any Subsidiary to, declare or make, or agree to pay or make, directly or indirectly, any Restricted Payment, or incur any obligation (contingent or otherwise) to do so, except (i) the Borrower may declare and pay dividends with respect to its Equity Interest payable solely in additional units of its Equity Interests, (ii) Subsidiaries of the Borrower may declare and pay dividends ratably with respect to their Equity Interests, and (iii) the Borrower may make any other Restricted Payments so long as (A) no Event of Default has then occurred and is continuing or would arise after giving effect thereto, (B) at the time thereof and after giving pro forma effect thereto, the Net Leverage Ratio (as calculated pursuant to Section 6.12(b)) is, and would be, less than 2.75 to 1.0 and (C) at the time thereof and after giving pro forma effect thereto, the Liquidity of the Borrower and its Subsidiaries is, and would be, equal to or greater than $50,000,000. For the avoidance of doubt, this Section 6.07 shall not limit any issuances of securities or other payments with respect to any Equity Interests in connection with employment </w:t>
      </w:r>
    </w:p>
    <w:p>
      <w:pPr>
        <w:pStyle w:val="TextBody"/>
        <w:bidi w:val="0"/>
        <w:spacing w:before="0" w:after="24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9"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agreements, stock options and stock ownership plans entered into by employees, officers and directors of the Borrower or its Subsidiaries and as otherwise permitted under this Agreement.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The Borrower will not, and will not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payment of Indebtedness created under the Loan Documents;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    [reserved];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any payment in respect of Subordinated Indebtedness made in accordance with the Subordinated Indebtedness Documents and Section 6.10;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(iv)    payment of regularly scheduled interest and principal payments as and when due in respect of any Indebtedness, other than payments in respect of the Subordinated Indebtedness prohibited by the subordination provisions thereof;</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(v)    refinancings of Indebtedness to the extent permitted by Section 6.01;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(vi)    payment of secured Indebtedness that becomes due as a result of the voluntary sale or transfer of the property or assets securing such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6.08. </w:t>
      </w:r>
      <w:r>
        <w:rPr>
          <w:rFonts w:ascii="Times New Roman;sans-serif" w:hAnsi="Times New Roman;sans-serif"/>
          <w:b w:val="false"/>
          <w:color w:val="000000"/>
          <w:sz w:val="22"/>
          <w:u w:val="single"/>
        </w:rPr>
        <w:t>Transactions with Affiliates</w:t>
      </w:r>
      <w:r>
        <w:rPr>
          <w:rFonts w:ascii="Times New Roman;sans-serif" w:hAnsi="Times New Roman;sans-serif"/>
          <w:b w:val="false"/>
          <w:color w:val="000000"/>
          <w:sz w:val="22"/>
        </w:rPr>
        <w:t>. The Borrower will not, and will not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the Borrower or such Subsidiary than could be obtained on an arm’s-length basis from unrelated third parties, (b) transactions between or among any Loan Party and any Pledge Subsidiary not involving any other Affiliate, (c) any investment, loan, advance or Guarantee permitted by Sections 6.04(c), 6.04(d) or 6.04(j), (d) any Indebtedness permitted under Section 6.01(c) or 6.01(i), (e) any Restricted Payment permitted by Section 6.07, (f) loans or advances to employees permitted under Section 6.04, (g) the payment of reasonable fees to directors of the Borrower or any Subsidiary who are not employees of the Borrower or any Subsidiary, and compensation and employee benefit arrangements paid to, and indemnities provided for the benefit of, directors, officers or employees of the Borrower or its Subsidiaries in the ordinary course of business, (h) any issuances of securities or other payments, awards or grants in cash, securities or otherwise pursuant to, or the funding of, employment agreements, stock options and stock ownership plans approved by the Borrower’s board of directors and (i) transactions contemplated by any Permitted Receivables Facility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6.09. </w:t>
      </w:r>
      <w:r>
        <w:rPr>
          <w:rFonts w:ascii="Times New Roman;sans-serif" w:hAnsi="Times New Roman;sans-serif"/>
          <w:b w:val="false"/>
          <w:color w:val="000000"/>
          <w:sz w:val="22"/>
          <w:u w:val="single"/>
        </w:rPr>
        <w:t>Restrictive Agreements</w:t>
      </w:r>
      <w:r>
        <w:rPr>
          <w:rFonts w:ascii="Times New Roman;sans-serif" w:hAnsi="Times New Roman;sans-serif"/>
          <w:b w:val="false"/>
          <w:color w:val="000000"/>
          <w:sz w:val="22"/>
        </w:rPr>
        <w:t xml:space="preserve">. The Borrower will not, and will not permit any Subsidiary to, directly or indirectly, enter into, incur or permit to exist any agreement or other arrangement that prohibits, restricts or imposes any condition upon (a) the ability of the Borrower or any of its Subsidiaries to create, incur or permit to exist any Lien upon any of its property or assets or (b) the ability of any Subsidiary to pay dividends or other distributions with respect to any shares of its capital stock or to make or repay loans or advances to the Borrower or any other Subsidiary or to Guarantee Indebtedness of the Borrower or any other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foregoing shall not apply to restrictions and conditions imposed by law or by any Loan Document, (ii) the foregoing shall not apply to customary restrictions and conditions contained in agreements relating to the sale of a Subsidiary pending such sale,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such restrictions and conditions apply only to the Subsidiary that is to be sold and such sale is permitted hereunder, (iii) clause (a) of the foregoing shall not apply to restrictions or conditions imposed by any agreement relating to secured Indebtedness permitted by this Agreement if such restrictions or conditions apply only to the property or assets securing such Indebtedness, (iv) clause (a) of the foregoing shall not apply to customary provisions in leases restricting the assignment thereof and (v) the foregoing shall not apply to customary restrictions and conditions contained in Permitted Receivables Facility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40"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SECTION 6.10. </w:t>
      </w:r>
      <w:r>
        <w:rPr>
          <w:rFonts w:ascii="Times New Roman;sans-serif" w:hAnsi="Times New Roman;sans-serif"/>
          <w:b w:val="false"/>
          <w:color w:val="000000"/>
          <w:sz w:val="22"/>
          <w:u w:val="single"/>
        </w:rPr>
        <w:t>Subordinated Indebtedness and Amendments to Subordinated Indebtedness Documents</w:t>
      </w:r>
      <w:r>
        <w:rPr>
          <w:rFonts w:ascii="Times New Roman;sans-serif" w:hAnsi="Times New Roman;sans-serif"/>
          <w:b w:val="false"/>
          <w:color w:val="000000"/>
          <w:sz w:val="22"/>
        </w:rPr>
        <w:t>(a)    . The Borrower will not, and will not permit any Subsidiary to, directly or indirectly, voluntarily prepay, defease or in substance defease, purchase, redeem, retire or otherwise acquire any Subordinated Indebtedness or any Indebtedness from time to time outstanding under the Subordinated Indebtedness Documents. Furthermore, the Borrower will not, and will not permit any Subsidiary to, amend the Subordinated Indebtedness Documents or any document, agreement or instrument evidencing any Indebtedness incurred pursuant to the Subordinated Indebtedness Documents (or any replacements, substitutions, extensions or renewals thereof) or pursuant to which such Indebtedness is issued where such amendment, modification or supplement provides for the following or which has any of the following effects: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increases the overall principal amount of any such Indebtedness or increases the amount of any single scheduled installment of principal or interest;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shortens or accelerates the date upon which any installment of principal or interest becomes due or adds any additional mandatory redemption provisions;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shortens the final maturity date of such Indebtedness or otherwise accelerates the amortization schedule with respect to such Indebtedness;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increases the rate of interest accruing on such Indebtedness;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provides for the payment of additional fees or increases existing fees;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amends or modifies any financial or negative covenant (or covenant which prohibits or restricts the Borrower or any Subsidiary from taking certain actions) in a manner which is more onerous or more restrictive in any material respect to the Borrower or such Subsidiary or which is otherwise materially adverse to the Borrower, any Subsidiary and/or the Lenders or, in the case of any such covenant, which places material additional restrictions on the Borrower or such Subsidiary or which requires the Borrower or such Subsidiary to comply with more restrictive financial ratios or which requires the Borrower to better its financial performance, in each case from that set forth in the existing applicable covenants in the Subordinated Indebtedness Documents or the applicable covenants in this Agreement; or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    amends, modifies or adds any affirmative covenant in a manner which (i) when taken as a whole, is materially adverse to the Borrower, any Subsidiary and/or the Lenders or (ii) is more onerous than the existing applicable covenant in the Subordinated Indebtedness Documents or the applicable covenant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SECTION 6.11.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6.12. </w:t>
      </w:r>
      <w:r>
        <w:rPr>
          <w:rFonts w:ascii="Times New Roman;sans-serif" w:hAnsi="Times New Roman;sans-serif"/>
          <w:b w:val="false"/>
          <w:color w:val="000000"/>
          <w:sz w:val="22"/>
          <w:u w:val="single"/>
        </w:rPr>
        <w:t>Financial Covenants</w:t>
      </w:r>
      <w:r>
        <w:rPr>
          <w:rFonts w:ascii="Times New Roman;sans-serif" w:hAnsi="Times New Roman;sans-serif"/>
          <w:b w:val="false"/>
          <w:color w:val="000000"/>
          <w:sz w:val="22"/>
        </w:rPr>
        <w:t>.</w:t>
      </w:r>
    </w:p>
    <w:p>
      <w:pPr>
        <w:pStyle w:val="TextBody"/>
        <w:bidi w:val="0"/>
        <w:spacing w:lineRule="auto" w:line="240" w:before="0" w:after="2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Interest Coverage Ratio</w:t>
      </w:r>
      <w:r>
        <w:rPr>
          <w:rFonts w:ascii="Times New Roman;sans-serif" w:hAnsi="Times New Roman;sans-serif"/>
          <w:b w:val="false"/>
          <w:color w:val="000000"/>
          <w:sz w:val="22"/>
        </w:rPr>
        <w:t>. The Borrower will not permit the Interest Coverage Ratio, determined as of the end of each of its fiscal quarters for any period of four consecutive fiscal quarters ending with the end of such fiscal quarter, to be less than 3.0 to 1.0.</w:t>
      </w:r>
    </w:p>
    <w:p>
      <w:pPr>
        <w:pStyle w:val="TextBody"/>
        <w:bidi w:val="0"/>
        <w:spacing w:lineRule="auto" w:line="240" w:before="0" w:after="2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Net Leverage Ratio</w:t>
      </w:r>
      <w:r>
        <w:rPr>
          <w:rFonts w:ascii="Times New Roman;sans-serif" w:hAnsi="Times New Roman;sans-serif"/>
          <w:b w:val="false"/>
          <w:color w:val="000000"/>
          <w:sz w:val="22"/>
        </w:rPr>
        <w:t xml:space="preserve">. The Borrower will not permit the Net Leverage Ratio, determined as of the end of each of its fiscal quarters for any period of four consecutive fiscal quarters ending with the end of such fiscal quarter, to be greater than 3.0 to 1.0;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reimbursement obligations of the account party in respect of Letters of Credit with a maturity of one year or less (in an aggregate principal amount not to exceed the amount of Consolidated EBITDA for such period as of the end of such fiscal quarter) shall not be included in determining Consolidated Total Indebtedness for calculating the Leverage Ratio in accordance with this clause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ans-serif" w:hAnsi="Times New Roman;sans-serif"/>
          <w:b w:val="false"/>
          <w:color w:val="000000"/>
          <w:sz w:val="22"/>
        </w:rPr>
        <w:t>ARTICLE VII</w:t>
      </w:r>
      <w:r>
        <w:rPr>
          <w:rFonts w:ascii="Times New Roman;sans-serif" w:hAnsi="Times New Roman;sans-serif"/>
          <w:b w:val="false"/>
          <w:color w:val="000000"/>
          <w:sz w:val="22"/>
          <w:u w:val="single"/>
        </w:rPr>
        <w:br/>
        <w:br/>
        <w:t>Events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1"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SECTION 7.01. </w:t>
      </w:r>
      <w:r>
        <w:rPr>
          <w:rFonts w:ascii="Times New Roman;sans-serif" w:hAnsi="Times New Roman;sans-serif"/>
          <w:b w:val="false"/>
          <w:color w:val="000000"/>
          <w:sz w:val="22"/>
          <w:u w:val="single"/>
        </w:rPr>
        <w:t>Events of Default</w:t>
      </w:r>
      <w:r>
        <w:rPr>
          <w:rFonts w:ascii="Times New Roman;sans-serif" w:hAnsi="Times New Roman;sans-serif"/>
          <w:b w:val="false"/>
          <w:color w:val="000000"/>
          <w:sz w:val="22"/>
        </w:rPr>
        <w:t>. The following events shall each constitute an “</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hereunder: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the Borrower shall fail to pay any principal of any Loan or any reimbursement obligation in respect of any LC Disbursement when and as the same shall become due and payable and in the Agreed Currency required hereunder, whether at the due date thereof or at a date fixed for prepayment thereof or otherwise;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the Borrower shall fail to pay any interest on any Loan or any fee or any other amount (other than an amount referred to in clause (a) of this Article) payable under this Agreement or any other Loan Document, when and as the same shall become due and payable and in the Agreed Currency required hereunder, and such failure shall continue unremedied for a period of three Business Days;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the Borrower shall fail to observe or perform any covenant, condition or agreement contained in Section 5.02(a), 5.03 (with respect to the Borrower’s existence), 5.08 or 5.11 or in Article VI or in Article X;</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the Borrower or any Subsidiary Guarantor, as applicable, shall fail to observe or perform any covenant, condition or agreement contained in this Agreement (other than those which constitute a default under another Section of this Article) or any other Loan Document, and such failure shall continue unremedied for a period of 30 days after the earlier of such breach or notice thereof from the Administrative Agent to the Borrower (which notice will be given at the request of any Lender);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the Borrower or any Subsidiary shall fail to make any payment (whether of principal or interest and regardless of amount) in respect of any Material Indebtedness, when and as the same shall become due and payable;</w:t>
      </w:r>
    </w:p>
    <w:p>
      <w:pPr>
        <w:pStyle w:val="TextBody"/>
        <w:bidi w:val="0"/>
        <w:spacing w:lineRule="auto" w:line="240" w:before="0" w:after="240"/>
        <w:jc w:val="both"/>
        <w:rPr/>
      </w:pPr>
      <w:r>
        <w:rPr>
          <w:rFonts w:ascii="Times New Roman;sans-serif" w:hAnsi="Times New Roman;sans-serif"/>
          <w:b w:val="false"/>
          <w:color w:val="000000"/>
          <w:sz w:val="22"/>
        </w:rPr>
        <w:t xml:space="preserve">(g)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this clause (g) shall not apply to secured Indebtedness that becomes due as a result of the voluntary sale or transfer of the property or assets securing such Indebtedness;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    an involuntary proceeding shall be commenced or an involuntary petition shall be filed seeking (i) liquidation, reorganization or other relief in respect of the Borrower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Subsidiary or for a substantial part of its assets, and, in any such case, such proceeding or petition shall continue undismissed for 60 days or an order or decree approving or ordering any of the foregoing shall be entered;</w:t>
      </w:r>
    </w:p>
    <w:p>
      <w:pPr>
        <w:pStyle w:val="TextBody"/>
        <w:bidi w:val="0"/>
        <w:spacing w:before="0" w:after="24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2"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the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(j)    the Borrower or any Subsidiary shall become unable, admit in writing its inability or fail generally to pay its debts as they become due;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(k)    one or more judgments for the payment of money in an aggregate amount in excess of $10,000,000 (to the extent not covered by a creditworthy insurer which has not denied coverage and subject to customary deductibles) shall be rendered against the Borrower or any Subsidiary or any combination thereof and the same shall remain undischarged for a period of 30 consecutive days during which execution shall not be effectively stayed, or any action shall be legally taken by a judgment creditor to attach or levy upon any assets of the Borrower or any Subsidiary to enforce any such judgment;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    an ERISA Event shall have occurred that, when taken together with all other ERISA Events that have occurred, would reasonably be expected to result in a Material Adverse Effect;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    a Change in Control shall occur;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    the occurrence of any “default”, as defined in any Loan Document (other than this Agreement) or the breach of any of the terms or provisions of any Loan Document (other than this Agreement), which default or breach continues beyond any period of grace therein provided;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    the Subsidiary Guaranty shall fail to remain in full force or effect or any action shall be taken to discontinue or to assert the invalidity or unenforceability of the Subsidiary Guaranty, or any Subsidiary Guarantor shall fail to comply with any of the terms or provisions of the relevant Subsidiary Guaranty to which it is a party, or any Subsidiary Guarantor shall deny that it has any further liability under the Subsidiary Guaranty to which it is a party, or shall give notice to such effect;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    any Collateral Document shall for any reason fail to create a valid and perfected first priority security interest in any Collateral purported to be covered thereby, except as permitted by the terms of any Collateral Document, or any Collateral Document shall fail to remain in full force or effect or any action shall be taken to discontinue or to assert the invalidity or unenforceability of any Collateral Document, or any Loan Party shall fail to comply with any of the terms or provisions of any Collateral Document, or the Borrower or any Subsidiary shall fail to comply with the terms and conditions required in connection with the subordination of any Subordinated Indebtedness, or any such terms and conditions shall fail to remain in full force or effect or any action shall be taken to discontinue or to assert the invalidity or unenforceability of such terms and conditions; or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(q)    any material provision of any Loan Document for any reason ceases to be valid, binding and enforceable in accordance with its terms (or the Borrower or any Subsidiary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7.02. </w:t>
      </w:r>
      <w:r>
        <w:rPr>
          <w:rFonts w:ascii="Times New Roman;sans-serif" w:hAnsi="Times New Roman;sans-serif"/>
          <w:b w:val="false"/>
          <w:color w:val="000000"/>
          <w:sz w:val="22"/>
          <w:u w:val="single"/>
        </w:rPr>
        <w:t>Remedies Upon an Event of Default</w:t>
      </w:r>
      <w:r>
        <w:rPr>
          <w:rFonts w:ascii="Times New Roman;sans-serif" w:hAnsi="Times New Roman;sans-serif"/>
          <w:b w:val="false"/>
          <w:color w:val="000000"/>
          <w:sz w:val="22"/>
        </w:rPr>
        <w:t>.    If an Event of Default occurs (other than an event with respect to the Borrower described in Sections 7.01(h) or 7.01(i)), and at any time thereafter during the continuance of such Event of Default, the Administrative Agent may with the consent of the Required Lenders, and at the request of the Required Lenders shall, by notice to the Borrower, take any or all of the following actions, at the same or different times: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terminate the Commitments, and thereupon the Commitments shall terminate immediately;</w:t>
      </w:r>
    </w:p>
    <w:p>
      <w:pPr>
        <w:pStyle w:val="TextBody"/>
        <w:bidi w:val="0"/>
        <w:spacing w:before="0" w:after="24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3"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of the Borrower accrued hereunder and under any other Loan Document, shall become due and payable immediately, without presentment, demand, protest or other notice of any kind, all of which are hereby waived by the Borrower;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require that the Borrower provide cash collateral as required in Section 2.06(j); and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exercise on behalf of itself, the Lenders and the Issuing Banks all rights and remedies available to it, the Lenders and the Issuing Banks under the Loan Documents and Applicable Law.</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an Event of Default described in Sections 7.01(h) or 7.01(i) occurs with respect to the Borrower, the Commitments shall automatically terminate and the principal of the Loans then outstanding and cash collateral for the LC Exposure, together with accrued interest thereon and all fees and other Secured Obligations of the Borrower accrued hereunder and under any other Loan Document including any break funding payment or prepayment premium, shall automatically become due and payable, and the obligation of the Borrower to cash collateralize the LC Exposure as provided in clause (c) above shall automatically become effective, in each case, without presentment, demand, protest or other notice of any kind, all of which are hereby waived by the Borrower.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In addition to any other rights and remedies granted to the Administrative Agent and the Lenders in the Loan Documents, the Administrative Agent on behalf of the Holders of Secured Obligations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 pursuant to this Article VII,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accordance with the provisions of </w:t>
      </w:r>
      <w:r>
        <w:rPr>
          <w:rFonts w:ascii="Times New Roman;sans-serif" w:hAnsi="Times New Roman;sans-serif"/>
          <w:b w:val="false"/>
          <w:color w:val="000000"/>
          <w:sz w:val="22"/>
          <w:u w:val="single"/>
        </w:rPr>
        <w:t>Section 7.03</w:t>
      </w:r>
      <w:r>
        <w:rPr>
          <w:rFonts w:ascii="Times New Roman;sans-serif" w:hAnsi="Times New Roman;sans-serif"/>
          <w:b w:val="false"/>
          <w:color w:val="000000"/>
          <w:sz w:val="22"/>
        </w:rPr>
        <w: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the Borrower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4"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SECTION 7.03. </w:t>
      </w:r>
      <w:r>
        <w:rPr>
          <w:rFonts w:ascii="Times New Roman;sans-serif" w:hAnsi="Times New Roman;sans-serif"/>
          <w:b w:val="false"/>
          <w:color w:val="000000"/>
          <w:sz w:val="22"/>
          <w:u w:val="single"/>
        </w:rPr>
        <w:t>Application of Payments</w:t>
      </w:r>
      <w:r>
        <w:rPr>
          <w:rFonts w:ascii="Times New Roman;sans-serif" w:hAnsi="Times New Roman;sans-serif"/>
          <w:b w:val="false"/>
          <w:color w:val="000000"/>
          <w:sz w:val="22"/>
        </w:rPr>
        <w:t>. Notwithstanding anything herein to the contrary, following the occurrence and during the continuance of an Event of Default, and notice thereof to the Administrative Agent by the Borrower or the Required Lenders: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all payments received on account of the Secured Obligations shall, subject to Section 2.20, be applied by the Administrative Agent as follows:</w:t>
      </w:r>
    </w:p>
    <w:p>
      <w:pPr>
        <w:pStyle w:val="TextBody"/>
        <w:bidi w:val="0"/>
        <w:spacing w:lineRule="auto" w:line="240" w:before="0" w:after="2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to payment of that portion of the Secured Obligations constituting fees, indemnities, expenses and other amounts payable to the Administrative Agent (including fees and disbursements and other charges of counsel to the Administrative Agent payable under Section 9.03 and amounts pursuant to Section 2.12(c) payable to the Administrative Agent in its capacity as such);</w:t>
      </w:r>
    </w:p>
    <w:p>
      <w:pPr>
        <w:pStyle w:val="TextBody"/>
        <w:bidi w:val="0"/>
        <w:spacing w:lineRule="auto" w:line="240" w:before="0" w:after="24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to payment of that portion of the Secured Obligations constituting fees, expenses, indemnities and other amounts (other than principal, reimbursement obligations in respect of LC Disbursements, interest and Letter of Credit fees) payable to the Lenders and the Issuing Banks (including fees and disbursements and other charges of counsel to the Lenders and the Issuing Banks payable under Section 9.03) arising under the Loan Documents, ratably among them in proportion to the respective amounts described in this clause (ii) payable to them;</w:t>
      </w:r>
    </w:p>
    <w:p>
      <w:pPr>
        <w:pStyle w:val="TextBody"/>
        <w:bidi w:val="0"/>
        <w:spacing w:lineRule="auto" w:line="240" w:before="0" w:after="24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to payment of that portion of the Secured Obligations constituting accrued and unpaid Letter of Credit fees and charges and interest on the Loans and unreimbursed LC Disbursements, ratably among the Lenders and the Issuing Banks in proportion to the respective amounts described in this clause (iii) payable to them;</w:t>
      </w:r>
    </w:p>
    <w:p>
      <w:pPr>
        <w:pStyle w:val="TextBody"/>
        <w:bidi w:val="0"/>
        <w:spacing w:lineRule="auto" w:line="240" w:before="0" w:after="240"/>
        <w:jc w:val="both"/>
        <w:rPr/>
      </w:pPr>
      <w:r>
        <w:rPr>
          <w:rFonts w:ascii="Times New Roman;sans-serif" w:hAnsi="Times New Roman;sans-serif"/>
          <w:b w:val="false"/>
          <w:color w:val="000000"/>
          <w:sz w:val="22"/>
        </w:rPr>
        <w:t>(iv)    </w:t>
      </w: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(A) to payment of that portion of the Secured Obligations constituting unpaid principal of the Loans and unreimbursed LC Disbursements and any other amounts owing with respect to Banking Services Obligations and Swap Obligations and (B) to cash collateralize that portion of LC Exposure comprising the undrawn amount of Letters of Credit to the extent not otherwise cash collateralized by the Borrower pursuant to Section 2.06 or 2.20, ratably among the Lenders and the Issuing Banks in proportion to the respective amounts described in this clause (iv) payable to them;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(x) any such amounts applied pursuant to subclause (B) above shall be paid to the Administrative Agent for the ratable account of the applicable Issuing Banks to cash collateralize Secured Obligations in respect of Letters of Credit, (y) subject to Section 2.06 or 2.20,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7.03;</w:t>
      </w:r>
    </w:p>
    <w:p>
      <w:pPr>
        <w:pStyle w:val="TextBody"/>
        <w:bidi w:val="0"/>
        <w:spacing w:lineRule="auto" w:line="240" w:before="0" w:after="240"/>
        <w:jc w:val="both"/>
        <w:rPr/>
      </w:pPr>
      <w:r>
        <w:rPr>
          <w:rFonts w:ascii="Times New Roman;sans-serif" w:hAnsi="Times New Roman;sans-serif"/>
          <w:b w:val="false"/>
          <w:color w:val="000000"/>
          <w:sz w:val="22"/>
        </w:rPr>
        <w:t>(v)    </w:t>
      </w: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to the payment in full of all other Secured Obligations, in each case ratably among the Administrative Agent, the Lenders and the Issuing Banks based upon the respective aggregate amounts of all such Secured Obligations owing to them in accordance with the respective amounts thereof then due and payable; and</w:t>
      </w:r>
    </w:p>
    <w:p>
      <w:pPr>
        <w:pStyle w:val="TextBody"/>
        <w:bidi w:val="0"/>
        <w:spacing w:lineRule="auto" w:line="240" w:before="0" w:after="240"/>
        <w:jc w:val="both"/>
        <w:rPr/>
      </w:pPr>
      <w:r>
        <w:rPr>
          <w:rFonts w:ascii="Times New Roman;sans-serif" w:hAnsi="Times New Roman;sans-serif"/>
          <w:b w:val="false"/>
          <w:color w:val="000000"/>
          <w:sz w:val="22"/>
        </w:rPr>
        <w:t>(vi)    </w:t>
      </w:r>
      <w:r>
        <w:rPr>
          <w:rFonts w:ascii="Times New Roman;sans-serif" w:hAnsi="Times New Roman;sans-serif"/>
          <w:b w:val="false"/>
          <w:color w:val="000000"/>
          <w:sz w:val="22"/>
          <w:u w:val="single"/>
        </w:rPr>
        <w:t>finally</w:t>
      </w:r>
      <w:r>
        <w:rPr>
          <w:rFonts w:ascii="Times New Roman;sans-serif" w:hAnsi="Times New Roman;sans-serif"/>
          <w:b w:val="false"/>
          <w:color w:val="000000"/>
          <w:sz w:val="22"/>
        </w:rPr>
        <w:t>, the balance, if any, after all Secured Obligations have been indefeasibly paid in full, to the Borrower or as otherwise required by law;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if any amount remains on deposit as cash collateral after all Letters of Credit have either been fully drawn or expired (without any pending drawings), such remaining amount shall be applied to the other Secured Obligations, if any, in the order set forth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ans-serif" w:hAnsi="Times New Roman;sans-serif"/>
          <w:b w:val="false"/>
          <w:color w:val="000000"/>
          <w:sz w:val="22"/>
        </w:rPr>
        <w:t>ARTICLE VIII</w:t>
      </w:r>
      <w:r>
        <w:rPr>
          <w:rFonts w:ascii="Times New Roman;sans-serif" w:hAnsi="Times New Roman;sans-serif"/>
          <w:b w:val="false"/>
          <w:color w:val="000000"/>
          <w:sz w:val="22"/>
          <w:u w:val="single"/>
        </w:rPr>
        <w:br/>
        <w:br/>
        <w:t>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8.01. </w:t>
      </w:r>
      <w:r>
        <w:rPr>
          <w:rFonts w:ascii="Times New Roman;sans-serif" w:hAnsi="Times New Roman;sans-serif"/>
          <w:b w:val="false"/>
          <w:color w:val="000000"/>
          <w:sz w:val="22"/>
          <w:u w:val="single"/>
        </w:rPr>
        <w:t>Authorization and Action</w:t>
      </w:r>
      <w:r>
        <w:rPr>
          <w:rFonts w:ascii="Times New Roman;sans-serif" w:hAnsi="Times New Roman;sans-serif"/>
          <w:b w:val="false"/>
          <w:color w:val="000000"/>
          <w:sz w:val="22"/>
        </w:rPr>
        <w:t xml:space="preserve">. (a) Each Lender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w:t>
      </w:r>
    </w:p>
    <w:p>
      <w:pPr>
        <w:pStyle w:val="TextBody"/>
        <w:bidi w:val="0"/>
        <w:spacing w:before="0" w:after="24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5"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behalf and to exercise such powers under this Agreement and the other Loan Documents as are delegated to the Administrative Agent under such agreements and to exercise such powers as are reasonably incidental thereto.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lineRule="auto" w:line="240" w:before="0" w:after="240"/>
        <w:jc w:val="both"/>
        <w:rPr/>
      </w:pPr>
      <w:r>
        <w:rPr>
          <w:rFonts w:ascii="Times New Roman;sans-serif" w:hAnsi="Times New Roman;sans-serif"/>
          <w:b w:val="false"/>
          <w:color w:val="000000"/>
          <w:sz w:val="22"/>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    nothing in this Agreement or any Loan Document shall require the Administrative Agent to account to any Lender for any sum or the profit element of any sum received by the Administrative Agent for its own account;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w:t>
      </w:r>
    </w:p>
    <w:p>
      <w:pPr>
        <w:pStyle w:val="TextBody"/>
        <w:bidi w:val="0"/>
        <w:spacing w:before="0" w:after="24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6"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None of any 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    to collect and receive any monies or other property payable or deliverable on any such claims and to distribute the same;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any custodian, receiver, assignee, trustee, liquidator, sequestrator or other similar official in any such proceeding is hereby authorized by each Lender, each Issuing Bank and each other Holder of Secured Obligations to make such payments to the Administrative Agent and, in the event that the Administrative Agent shall consent to the making of such payments directly to the Lenders, the Issuing Banks or the other Holders of Secured Obligations,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    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Holder of Secured Obligations, whether or not a party hereto, will be deemed, by its acceptance of the benefits of the Collateral and of the Guarantees of the Secured Obligations provided under the Loan Documents, to have agreed to the provisions of this Article.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8.02. </w:t>
      </w:r>
      <w:r>
        <w:rPr>
          <w:rFonts w:ascii="Times New Roman;sans-serif" w:hAnsi="Times New Roman;sans-serif"/>
          <w:b w:val="false"/>
          <w:color w:val="000000"/>
          <w:sz w:val="22"/>
          <w:u w:val="single"/>
        </w:rPr>
        <w:t>Administrative Agent’s Reliance, Limitation of Liability, Etc</w:t>
      </w:r>
      <w:r>
        <w:rPr>
          <w:rFonts w:ascii="Times New Roman;sans-serif" w:hAnsi="Times New Roman;sans-serif"/>
          <w:b w:val="false"/>
          <w:color w:val="000000"/>
          <w:sz w:val="22"/>
        </w:rPr>
        <w:t xml:space="preserve">.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w:t>
      </w:r>
    </w:p>
    <w:p>
      <w:pPr>
        <w:pStyle w:val="TextBody"/>
        <w:bidi w:val="0"/>
        <w:spacing w:before="0" w:after="24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7"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(A) any statement, warranty or representation made in or in connection with any Loan Document, (B) the contents of any certificate, report or other document delivered thereunder or in connection therewith, (C) the performance or observance of any of the covenants, agreements or other terms or conditions set forth in any Loan Document or the occurrence of any Default or Event of Default, (D) the sufficiency, validity, enforceability, effectiveness or genuineness of any Loan Document or any other agreement, instrument or document, (E)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(F) the creation, perfection or priority of Liens on the Collateral. Notwithstanding anything herein to the contrary, the Administrative Agent shall not be liable for or be responsible for any Liabilities, costs or expenses suffered by the Borrower, any Subsidiary, any Lender or any Issuing Bank as a result of, any determination of the Revolving Exposure, any of the component amounts thereof or any portion thereof attributable to each Lender or Issuing Bank, or any Exchange Rate or calculation of any Dollar Amount.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8.03. </w:t>
      </w:r>
      <w:r>
        <w:rPr>
          <w:rFonts w:ascii="Times New Roman;sans-serif" w:hAnsi="Times New Roman;sans-serif"/>
          <w:b w:val="false"/>
          <w:color w:val="000000"/>
          <w:sz w:val="22"/>
          <w:u w:val="single"/>
        </w:rPr>
        <w:t>The Administrative Agent Individually</w:t>
      </w:r>
      <w:r>
        <w:rPr>
          <w:rFonts w:ascii="Times New Roman;sans-serif" w:hAnsi="Times New Roman;sans-serif"/>
          <w:b w:val="false"/>
          <w:color w:val="000000"/>
          <w:sz w:val="22"/>
        </w:rPr>
        <w:t xml:space="preserve">. With respect to its Commitment, Loans (including Swingline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w:t>
      </w:r>
    </w:p>
    <w:p>
      <w:pPr>
        <w:pStyle w:val="TextBody"/>
        <w:bidi w:val="0"/>
        <w:spacing w:before="0" w:after="24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8"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8.04. </w:t>
      </w:r>
      <w:r>
        <w:rPr>
          <w:rFonts w:ascii="Times New Roman;sans-serif" w:hAnsi="Times New Roman;sans-serif"/>
          <w:b w:val="false"/>
          <w:color w:val="000000"/>
          <w:sz w:val="22"/>
          <w:u w:val="single"/>
        </w:rPr>
        <w:t>Successor Administrative Agent</w:t>
      </w:r>
      <w:r>
        <w:rPr>
          <w:rFonts w:ascii="Times New Roman;sans-serif" w:hAnsi="Times New Roman;sans-serif"/>
          <w:b w:val="false"/>
          <w:color w:val="000000"/>
          <w:sz w:val="22"/>
        </w:rPr>
        <w:t>. (a) 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pStyle w:val="TextBody"/>
        <w:bidi w:val="0"/>
        <w:spacing w:lineRule="auto" w:line="240" w:before="0" w:after="240"/>
        <w:jc w:val="both"/>
        <w:rPr/>
      </w:pPr>
      <w:r>
        <w:rPr>
          <w:rFonts w:ascii="Times New Roman;sans-serif" w:hAnsi="Times New Roman;sans-serif"/>
          <w:b w:val="false"/>
          <w:color w:val="000000"/>
          <w:sz w:val="22"/>
        </w:rPr>
        <w:t xml:space="preserve">(b)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solely for purposes of maintaining any security interest granted to the Administrative Agent under any Collateral Document for the benefit of the Holders of Secured Obligations, the retiring Administrative Agent shall continue to be vested with such security interest as collateral agent for the benefit of the Holders of Secured Obligations, and shall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8.05. </w:t>
      </w:r>
      <w:r>
        <w:rPr>
          <w:rFonts w:ascii="Times New Roman;sans-serif" w:hAnsi="Times New Roman;sans-serif"/>
          <w:b w:val="false"/>
          <w:color w:val="000000"/>
          <w:sz w:val="22"/>
          <w:u w:val="single"/>
        </w:rPr>
        <w:t>Acknowledgments of Lenders and Issuing Banks</w:t>
      </w:r>
      <w:r>
        <w:rPr>
          <w:rFonts w:ascii="Times New Roman;sans-serif" w:hAnsi="Times New Roman;sans-serif"/>
          <w:b w:val="false"/>
          <w:color w:val="000000"/>
          <w:sz w:val="22"/>
        </w:rPr>
        <w:t xml:space="preserve">. (a) Each Lender and each Issuing Bank represents and warrants that (i) the Loan Documents set forth the terms of a commercial lending facility, (ii) in participating as a Lender, it is engaged in making, acquiring or holding commercial loans </w:t>
      </w:r>
    </w:p>
    <w:p>
      <w:pPr>
        <w:pStyle w:val="TextBody"/>
        <w:bidi w:val="0"/>
        <w:spacing w:before="0" w:after="24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9"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in providing other facilities set forth herein as may be applicable to such Lender or Issuing Bank,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Bank agrees not to assert a claim in contravention of the foregoing, such as a claim under the federal or state securities law), (iii) it has, independently and without reliance upon the Administrative Agent, any Arranger, any Syndication Agent, any Co-Documentation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Syndication Agent, any Co-Documentation Agent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lineRule="auto" w:line="240" w:before="0" w:after="240"/>
        <w:jc w:val="both"/>
        <w:rPr/>
      </w:pPr>
      <w:r>
        <w:rPr>
          <w:rFonts w:ascii="Times New Roman;sans-serif" w:hAnsi="Times New Roman;sans-serif"/>
          <w:b w:val="false"/>
          <w:color w:val="000000"/>
          <w:sz w:val="22"/>
        </w:rPr>
        <w:t>(c)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ans-serif" w:hAnsi="Times New Roman;sans-serif"/>
          <w:b w:val="false"/>
          <w:color w:val="000000"/>
          <w:sz w:val="22"/>
          <w:u w:val="single"/>
        </w:rPr>
        <w:t>Payment</w:t>
      </w:r>
      <w:r>
        <w:rPr>
          <w:color w:val="000000"/>
        </w:rPr>
        <w:t>”</w:t>
      </w:r>
      <w:r>
        <w:rPr>
          <w:rFonts w:ascii="Times New Roman;sans-serif" w:hAnsi="Times New Roman;sans-serif"/>
          <w:b w:val="false"/>
          <w:color w:val="000000"/>
          <w:sz w:val="22"/>
        </w:rPr>
        <w:t>)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8.05(c) shall be conclusive, absent manifest error.</w:t>
      </w:r>
    </w:p>
    <w:p>
      <w:pPr>
        <w:pStyle w:val="TextBody"/>
        <w:bidi w:val="0"/>
        <w:spacing w:lineRule="auto" w:line="240" w:before="0" w:after="240"/>
        <w:jc w:val="both"/>
        <w:rPr/>
      </w:pPr>
      <w:r>
        <w:rPr>
          <w:rFonts w:ascii="Times New Roman;sans-serif" w:hAnsi="Times New Roman;sans-serif"/>
          <w:b w:val="false"/>
          <w:color w:val="000000"/>
          <w:sz w:val="22"/>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sans-serif" w:hAnsi="Times New Roman;sans-serif"/>
          <w:b w:val="false"/>
          <w:color w:val="000000"/>
          <w:sz w:val="22"/>
          <w:u w:val="single"/>
        </w:rPr>
        <w:t>Payment Notice</w:t>
      </w:r>
      <w:r>
        <w:rPr>
          <w:color w:val="000000"/>
        </w:rPr>
        <w:t>”</w:t>
      </w:r>
      <w:r>
        <w:rPr>
          <w:rFonts w:ascii="Times New Roman;sans-serif" w:hAnsi="Times New Roman;sans-serif"/>
          <w:b w:val="false"/>
          <w:color w:val="000000"/>
          <w:sz w:val="22"/>
        </w:rPr>
        <w:t xml:space="preserve">) or (y) that was not preceded or accompanied by a Payment Notice, it shall be on notice, in each such case, that an error has been made with respect to such Payment.  Each Lender agrees that, in each such case, or if it otherwise becomes aware that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t>
      </w:r>
    </w:p>
    <w:p>
      <w:pPr>
        <w:pStyle w:val="TextBody"/>
        <w:bidi w:val="0"/>
        <w:spacing w:before="0" w:after="24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0"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(iii)    The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(iv)    Each party’s obligations under this Section 8.05(c)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8.06. </w:t>
      </w:r>
      <w:r>
        <w:rPr>
          <w:rFonts w:ascii="Times New Roman;sans-serif" w:hAnsi="Times New Roman;sans-serif"/>
          <w:b w:val="false"/>
          <w:color w:val="000000"/>
          <w:sz w:val="22"/>
          <w:u w:val="single"/>
        </w:rPr>
        <w:t>Collateral Matters</w:t>
      </w:r>
      <w:r>
        <w:rPr>
          <w:rFonts w:ascii="Times New Roman;sans-serif" w:hAnsi="Times New Roman;sans-serif"/>
          <w:b w:val="false"/>
          <w:color w:val="000000"/>
          <w:sz w:val="22"/>
        </w:rPr>
        <w:t>. (a) Except with respect to the exercise of setoff rights in accordance with Section 9.08 or with respect to a Holder of Secured Obligations’ right to file a proof of claim in an insolvency proceeding, no Holder of Secured Obligations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Holders of Secured Obligations in accordance with the terms thereof.</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Holder of Secured Obligations that is a party thereto any rights in connection with the management or release of any Collateral or of the obligations of any Loan Party under any Loan Document. By accepting the benefits of the Collateral, each Holder of Secured Obligations that is a party to any Banking Services Agreement or Swap Agreement in respect of Swap Obligations, as applicable, shall be deemed to have appointed the Administrative Agent to serve as administrative agent and collateral agent under the Loan Documents and agreed to be bound by the Loan Documents as a Holder of Secured Obligations thereunder, subject to the limitations set forth in this paragraph.</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The Holders of Secured Obligations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Holder of Secured Obligations for any failure to monitor or maintain any portion of the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8.07. </w:t>
      </w:r>
      <w:r>
        <w:rPr>
          <w:rFonts w:ascii="Times New Roman;sans-serif" w:hAnsi="Times New Roman;sans-serif"/>
          <w:b w:val="false"/>
          <w:color w:val="000000"/>
          <w:sz w:val="22"/>
          <w:u w:val="single"/>
        </w:rPr>
        <w:t>Certain ERISA Matters</w:t>
      </w:r>
      <w:r>
        <w:rPr>
          <w:rFonts w:ascii="Times New Roman;sans-serif" w:hAnsi="Times New Roman;sans-serif"/>
          <w:b w:val="false"/>
          <w:color w:val="000000"/>
          <w:sz w:val="22"/>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pStyle w:val="TextBody"/>
        <w:bidi w:val="0"/>
        <w:spacing w:lineRule="auto" w:line="240" w:before="0" w:after="2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shd w:fill="FFFFFF" w:val="clear"/>
        </w:rPr>
        <w:t>such Lender is not using “plan assets” (within the meaning of the Plan Asset Regulation) of one or more Benefit Plans in connection with the Loans, the Letters of Credit or the Commitments,</w:t>
      </w:r>
    </w:p>
    <w:p>
      <w:pPr>
        <w:pStyle w:val="TextBody"/>
        <w:bidi w:val="0"/>
        <w:spacing w:lineRule="auto" w:line="240" w:before="0" w:after="24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shd w:fill="FFFFFF" w:val="clear"/>
        </w:rPr>
        <w:t xml:space="preserve">the transaction exemption set forth in one or more PTEs, such as PTE 84-14 (a class exemption for certain transactions determined by independent qualified professional asset managers), PTE 95-60 (a </w:t>
      </w:r>
    </w:p>
    <w:p>
      <w:pPr>
        <w:pStyle w:val="TextBody"/>
        <w:bidi w:val="0"/>
        <w:spacing w:before="0" w:after="24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(iv)    such other representation, warranty and covenant as may be agreed in writing between the Administrative Agent, in its sole discretion, and such Lender.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any Syndication Agent, any Co-Documentation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8.08. </w:t>
      </w:r>
      <w:r>
        <w:rPr>
          <w:rFonts w:ascii="Times New Roman;sans-serif" w:hAnsi="Times New Roman;sans-serif"/>
          <w:b w:val="false"/>
          <w:color w:val="000000"/>
          <w:sz w:val="22"/>
          <w:u w:val="single"/>
        </w:rPr>
        <w:t>Posting of Communications</w:t>
      </w:r>
      <w:r>
        <w:rPr>
          <w:rFonts w:ascii="Times New Roman;sans-serif" w:hAnsi="Times New Roman;sans-serif"/>
          <w:b w:val="false"/>
          <w:color w:val="000000"/>
          <w:sz w:val="22"/>
        </w:rPr>
        <w:t>.</w:t>
      </w:r>
    </w:p>
    <w:p>
      <w:pPr>
        <w:pStyle w:val="TextBody"/>
        <w:bidi w:val="0"/>
        <w:spacing w:lineRule="auto" w:line="240" w:before="0" w:after="240"/>
        <w:jc w:val="both"/>
        <w:rPr/>
      </w:pPr>
      <w:r>
        <w:rPr>
          <w:rFonts w:ascii="Times New Roman;sans-serif" w:hAnsi="Times New Roman;sans-serif"/>
          <w:b w:val="false"/>
          <w:color w:val="000000"/>
          <w:sz w:val="22"/>
        </w:rPr>
        <w:t>(a)    The Borrower agrees that the Administrative Agent may, but shall not be obligated to, make any Communications available to the Lenders and the Issuing Bank by posting the Communications on IntraLinks™, DebtDomain, SyndTrak, ClearPar or any other electronic platform chosen by the Administrative Agent to be its electronic transmission system (the “</w:t>
      </w:r>
      <w:r>
        <w:rPr>
          <w:rFonts w:ascii="Times New Roman;sans-serif" w:hAnsi="Times New Roman;sans-serif"/>
          <w:b w:val="false"/>
          <w:color w:val="000000"/>
          <w:sz w:val="22"/>
          <w:u w:val="single"/>
        </w:rPr>
        <w:t>Approved Electronic Platform</w:t>
      </w:r>
      <w:r>
        <w:rPr>
          <w:color w:val="000000"/>
        </w:rPr>
        <w:t>”</w:t>
      </w:r>
      <w:r>
        <w:rPr>
          <w:rFonts w:ascii="Times New Roman;sans-serif" w:hAnsi="Times New Roman;sans-serif"/>
          <w:b w:val="false"/>
          <w:color w:val="000000"/>
          <w:sz w:val="22"/>
        </w:rPr>
        <w: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Although the Approved Electronic Platform and its primary web portal are secured with generally 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Banks and the Borrower hereby approves distribution of the Communications through the Approved Electronic Platform and understands and assumes the risks of such distribution.</w:t>
      </w:r>
    </w:p>
    <w:p>
      <w:pPr>
        <w:pStyle w:val="TextBody"/>
        <w:bidi w:val="0"/>
        <w:spacing w:lineRule="auto" w:line="240" w:before="0" w:after="2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shd w:fill="FFFFFF" w:val="clear"/>
        </w:rPr>
        <w:t xml:space="preserve">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w:t>
      </w:r>
    </w:p>
    <w:p>
      <w:pPr>
        <w:pStyle w:val="TextBody"/>
        <w:bidi w:val="0"/>
        <w:spacing w:before="0" w:after="24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2"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shd w:fill="FFFFFF" w:val="clear"/>
        </w:rPr>
        <w:t>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CO-DOCUMENTATION AGENT, ANY SYNDICATION AGENT OR ANY OF THEIR RESPECTIVE RELATED PARTIES (COLLECTIVELY, “</w:t>
      </w:r>
      <w:r>
        <w:rPr>
          <w:rFonts w:ascii="Times New Roman;sans-serif" w:hAnsi="Times New Roman;sans-serif"/>
          <w:b w:val="false"/>
          <w:color w:val="000000"/>
          <w:sz w:val="22"/>
          <w:u w:val="single"/>
          <w:shd w:fill="FFFFFF" w:val="clear"/>
        </w:rPr>
        <w:t>APPLICABLE PARTIES</w:t>
      </w:r>
      <w:r>
        <w:rPr>
          <w:color w:val="000000"/>
          <w:shd w:fill="FFFFFF" w:val="clear"/>
        </w:rPr>
        <w:t>”</w:t>
      </w:r>
      <w:r>
        <w:rPr>
          <w:rFonts w:ascii="Times New Roman;sans-serif" w:hAnsi="Times New Roman;sans-serif"/>
          <w:b w:val="false"/>
          <w:color w:val="000000"/>
          <w:sz w:val="22"/>
          <w:shd w:fill="FFFFFF" w:val="clear"/>
        </w:rPr>
        <w:t>) HAVE ANY LIABILITY TO ANY LOAN PARTY, ANY LENDER, THE ISSUING BANKS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lineRule="auto" w:line="240" w:before="0" w:after="240"/>
        <w:ind w:left="0" w:right="0" w:firstLine="1440"/>
        <w:jc w:val="both"/>
        <w:rPr/>
      </w:pPr>
      <w:r>
        <w:rPr>
          <w:color w:val="000000"/>
          <w:shd w:fill="FFFFFF" w:val="clear"/>
        </w:rPr>
        <w:t>“</w:t>
      </w:r>
      <w:r>
        <w:rPr>
          <w:rFonts w:ascii="Times New Roman;sans-serif" w:hAnsi="Times New Roman;sans-serif"/>
          <w:b w:val="false"/>
          <w:color w:val="000000"/>
          <w:sz w:val="22"/>
          <w:u w:val="single"/>
          <w:shd w:fill="FFFFFF" w:val="clear"/>
        </w:rPr>
        <w:t>Communications</w:t>
      </w:r>
      <w:r>
        <w:rPr>
          <w:color w:val="000000"/>
          <w:shd w:fill="FFFFFF" w:val="clear"/>
        </w:rPr>
        <w:t xml:space="preserve">” </w:t>
      </w:r>
      <w:r>
        <w:rPr>
          <w:rFonts w:ascii="Times New Roman;sans-serif" w:hAnsi="Times New Roman;sans-serif"/>
          <w:b w:val="false"/>
          <w:color w:val="000000"/>
          <w:sz w:val="22"/>
          <w:shd w:fill="FFFFFF" w:val="clear"/>
        </w:rPr>
        <w:t>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Each of the Lenders,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Nothing herein shall prejudice the right of the Administrative Agent, any Lender or any Issuing Bank to give any notice or other communication pursuant to any Loan Document in any other manner specified in such Loan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8.09. </w:t>
      </w:r>
      <w:r>
        <w:rPr>
          <w:rFonts w:ascii="Times New Roman;sans-serif" w:hAnsi="Times New Roman;sans-serif"/>
          <w:b w:val="false"/>
          <w:color w:val="000000"/>
          <w:sz w:val="22"/>
          <w:u w:val="single"/>
        </w:rPr>
        <w:t>Credit Bidding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Holders of Secured Obligations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of Secured Obligations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Holders of Secured Obligations’ ratable interests in the Obligations which were credit bid shall be deemed without any further action under this Agreement to be assigned to such vehicle </w:t>
      </w:r>
    </w:p>
    <w:p>
      <w:pPr>
        <w:pStyle w:val="TextBody"/>
        <w:bidi w:val="0"/>
        <w:spacing w:before="0" w:after="24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3"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or vehicles for the purpose of closing such sale, (iii) the Administrative Agent shall be authorized to adopt documents providing for the governance of the acquisition vehicle or vehicles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Holders of Secured Obligations,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Holder of Secured Obligations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Holders of Secured Obligations pro rata with their original interest in such Obligations and the equity interests and/or debt instruments issued by any acquisition vehicle on account of such Obligations shall automatically be cancelled, without the need for any Holder of Secured Obligations or any acquisition vehicle to take any further action. Notwithstanding that the ratable portion of the Obligations of each Holder of Secured Obligations are deemed assigned to the acquisition vehicle or vehicles as set forth in clause (ii) above, each Holder of Secured Obligations shall execute such documents and provide such information regarding the Holder of Secured Obligations (and/or any designee of the Holder of Secured Obligations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8.10. </w:t>
      </w:r>
      <w:r>
        <w:rPr>
          <w:rFonts w:ascii="Times New Roman;sans-serif" w:hAnsi="Times New Roman;sans-serif"/>
          <w:b w:val="false"/>
          <w:color w:val="000000"/>
          <w:sz w:val="22"/>
          <w:u w:val="single"/>
        </w:rPr>
        <w:t>Intercreditor Agreement</w:t>
      </w:r>
      <w:r>
        <w:rPr>
          <w:rFonts w:ascii="Times New Roman;sans-serif" w:hAnsi="Times New Roman;sans-serif"/>
          <w:b w:val="false"/>
          <w:color w:val="000000"/>
          <w:sz w:val="22"/>
        </w:rPr>
        <w:t xml:space="preserve">.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Each Lender hereby further authorizes the Administrative Agent, on behalf of the Holders of Secured Obligations, without further authorization or consent of the Lenders, to (i) enter into the Permitted Receivables Facility Intercreditor Agreement and (ii) exercise all the powers, rights and remedies under the Permitted Receivables Facility Intercreditor Agreement in accordance with the terms thereof.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Notwithstanding the provisions in this Agreement and/or any other Loan Document, each Lender and the Holders of Secured Obligations agrees to each of the terms and provisions of the Permitted Receivables Facility Intercreditor Agreement.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Each Lender and the Holders of Secured Obligations agrees to be bound by the terms and provisions of the Permitted Receivables Facility Intercreditor Agreement.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Each Lender acknowledges and agrees that the terms and provisions of the Permitted Receivables Facility Intercreditor Agreement govern and control over the terms and provisions of this Agreement and the other Loan Documents to the extent such terms and provisions of this Agreement and the other Loan Documents address or provide for remedial actions relating to the Equity Interests of the Receivables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lineRule="auto" w:line="240" w:before="0" w:after="240"/>
        <w:jc w:val="center"/>
        <w:rPr/>
      </w:pPr>
      <w:r>
        <w:rPr>
          <w:rFonts w:ascii="Times New Roman;sans-serif" w:hAnsi="Times New Roman;sans-serif"/>
          <w:b w:val="false"/>
          <w:color w:val="000000"/>
          <w:sz w:val="22"/>
        </w:rPr>
        <w:t>ARTICLE IX</w:t>
      </w:r>
      <w:r>
        <w:rPr>
          <w:rFonts w:ascii="Times New Roman;sans-serif" w:hAnsi="Times New Roman;sans-serif"/>
          <w:b w:val="false"/>
          <w:color w:val="000000"/>
          <w:sz w:val="22"/>
          <w:u w:val="single"/>
        </w:rPr>
        <w:br/>
        <w:b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9.01.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 Except in the case of notices and other communications expressly permitted to be given by telephone (and subject to paragraph (b) below), all notices and other communications </w:t>
      </w:r>
    </w:p>
    <w:p>
      <w:pPr>
        <w:pStyle w:val="TextBody"/>
        <w:bidi w:val="0"/>
        <w:spacing w:before="0" w:after="24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4"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provided for herein shall be in writing and shall be delivered by hand or overnight courier service, mailed by certified or registered mail or sent by telecopy, as follows: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if to the Borrower, to MYR Group Inc., 12121 Grant Street, Suite 610, Thornton, CO 80241, Attn: Kelly Huntington, Senior Vice President and CFO, Telephone (303) 286-8000;</w:t>
      </w:r>
    </w:p>
    <w:p>
      <w:pPr>
        <w:pStyle w:val="TextBody"/>
        <w:bidi w:val="0"/>
        <w:spacing w:lineRule="auto" w:line="240" w:before="0" w:after="240"/>
        <w:jc w:val="both"/>
        <w:rPr/>
      </w:pPr>
      <w:r>
        <w:rPr>
          <w:rFonts w:ascii="Times New Roman;sans-serif" w:hAnsi="Times New Roman;sans-serif"/>
          <w:b w:val="false"/>
          <w:color w:val="000000"/>
          <w:sz w:val="22"/>
        </w:rPr>
        <w:t xml:space="preserve">(ii)    if to the Administrative Agent or Swingline Lender, to JPMorgan Chase Bank, N.A., 131 S Dearborn St, Floor 04, Chicago, IL, 60603-5506, Attention: Loan and Agency Servicing, Email: </w:t>
      </w:r>
      <w:r>
        <w:rPr>
          <w:rFonts w:ascii="Times New Roman;sans-serif" w:hAnsi="Times New Roman;sans-serif"/>
          <w:b w:val="false"/>
          <w:color w:val="000000"/>
          <w:sz w:val="22"/>
          <w:u w:val="single"/>
        </w:rPr>
        <w:t>jpm.agency.cri@jpmorgan.com</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agency.tax.reporting@jpmorgan.com</w:t>
      </w:r>
      <w:r>
        <w:rPr>
          <w:color w:val="000000"/>
        </w:rPr>
        <w:t xml:space="preserve"> </w:t>
      </w:r>
      <w:r>
        <w:rPr>
          <w:rFonts w:ascii="Times New Roman;sans-serif" w:hAnsi="Times New Roman;sans-serif"/>
          <w:b w:val="false"/>
          <w:color w:val="000000"/>
          <w:sz w:val="22"/>
        </w:rPr>
        <w:t xml:space="preserve">(with respect to agency withholding tax inquiries) or </w:t>
      </w:r>
      <w:r>
        <w:rPr>
          <w:rFonts w:ascii="Times New Roman;sans-serif" w:hAnsi="Times New Roman;sans-serif"/>
          <w:b w:val="false"/>
          <w:color w:val="000000"/>
          <w:sz w:val="22"/>
          <w:u w:val="single"/>
        </w:rPr>
        <w:t>covenant.compliance@jpmchase.com</w:t>
      </w:r>
      <w:r>
        <w:rPr>
          <w:color w:val="000000"/>
        </w:rPr>
        <w:t xml:space="preserve"> </w:t>
      </w:r>
      <w:r>
        <w:rPr>
          <w:rFonts w:ascii="Times New Roman;sans-serif" w:hAnsi="Times New Roman;sans-serif"/>
          <w:b w:val="false"/>
          <w:color w:val="000000"/>
          <w:sz w:val="22"/>
        </w:rPr>
        <w:t>(with respect to agency compliance, financials or virtual data rooms);</w:t>
      </w:r>
    </w:p>
    <w:p>
      <w:pPr>
        <w:pStyle w:val="TextBody"/>
        <w:bidi w:val="0"/>
        <w:spacing w:lineRule="auto" w:line="240" w:before="0" w:after="240"/>
        <w:jc w:val="both"/>
        <w:rPr/>
      </w:pPr>
      <w:r>
        <w:rPr>
          <w:rFonts w:ascii="Times New Roman;sans-serif" w:hAnsi="Times New Roman;sans-serif"/>
          <w:b w:val="false"/>
          <w:color w:val="000000"/>
          <w:sz w:val="22"/>
        </w:rPr>
        <w:t xml:space="preserve">(iii)    if to JPMorgan, as Issuing Bank, to JPMorgan Chase Bank, N.A., 131 S Dearborn St, Floor 04, Chicago, IL, 60603-5506, Attention: LC Agency Team (Telephone No. 800-364-1969; Facsimile No. 856-294-5267, Email: </w:t>
      </w:r>
      <w:r>
        <w:rPr>
          <w:rFonts w:ascii="Times New Roman;sans-serif" w:hAnsi="Times New Roman;sans-serif"/>
          <w:b w:val="false"/>
          <w:color w:val="000000"/>
          <w:sz w:val="22"/>
          <w:u w:val="single"/>
        </w:rPr>
        <w:t>chicago.lc.agency.activity.team@jpmchase.com</w:t>
      </w:r>
      <w:r>
        <w:rPr>
          <w:rFonts w:ascii="Times New Roman;sans-serif" w:hAnsi="Times New Roman;sans-serif"/>
          <w:b w:val="false"/>
          <w:color w:val="000000"/>
          <w:sz w:val="22"/>
        </w:rPr>
        <w:t xml:space="preserve">), with a copy to JPMorgan Chase Bank, N.A., 131 S Dearborn St, Floor 04, Chicago, IL, 60603-5506, Attention: Loan and Agency Servicing, Email: </w:t>
      </w:r>
      <w:r>
        <w:rPr>
          <w:rFonts w:ascii="Times New Roman;sans-serif" w:hAnsi="Times New Roman;sans-serif"/>
          <w:b w:val="false"/>
          <w:color w:val="000000"/>
          <w:sz w:val="22"/>
          <w:u w:val="single"/>
        </w:rPr>
        <w:t>jpm.agency.cri@jpmorgan.com</w:t>
      </w:r>
      <w:r>
        <w:rPr>
          <w:rFonts w:ascii="Times New Roman;sans-serif" w:hAnsi="Times New Roman;sans-serif"/>
          <w:b w:val="false"/>
          <w:color w:val="000000"/>
          <w:sz w:val="22"/>
        </w:rPr>
        <w:t>;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(iv)    if to any other Lender (including any other Issuing Bank or Swingline Lender), to it at its address (or telecopy number) set forth in its Administrative Questionnaire.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pStyle w:val="TextBody"/>
        <w:bidi w:val="0"/>
        <w:spacing w:lineRule="auto" w:line="240" w:before="0" w:after="240"/>
        <w:jc w:val="both"/>
        <w:rPr/>
      </w:pPr>
      <w:r>
        <w:rPr>
          <w:rFonts w:ascii="Times New Roman;sans-serif" w:hAnsi="Times New Roman;sans-serif"/>
          <w:b w:val="false"/>
          <w:color w:val="000000"/>
          <w:sz w:val="22"/>
        </w:rPr>
        <w:t xml:space="preserve">(b)    Notices and other communications to the Lenders and the Issuing Banks hereunder may be delivered or furnished by using Approved Electronic Platforms pursuant to procedures approved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approval of such procedures may be limited to particular notices or communications.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Any party hereto may change its address or telecopy number for notices and other communications hereunder by notice to the other parties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9.02. </w:t>
      </w:r>
      <w:r>
        <w:rPr>
          <w:rFonts w:ascii="Times New Roman;sans-serif" w:hAnsi="Times New Roman;sans-serif"/>
          <w:b w:val="false"/>
          <w:color w:val="000000"/>
          <w:sz w:val="22"/>
          <w:u w:val="single"/>
        </w:rPr>
        <w:t>Waivers; Amendments</w:t>
      </w:r>
      <w:r>
        <w:rPr>
          <w:rFonts w:ascii="Times New Roman;sans-serif" w:hAnsi="Times New Roman;sans-serif"/>
          <w:b w:val="false"/>
          <w:color w:val="000000"/>
          <w:sz w:val="22"/>
        </w:rPr>
        <w:t xml:space="preserve">.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the Borrower </w:t>
      </w:r>
    </w:p>
    <w:p>
      <w:pPr>
        <w:pStyle w:val="TextBody"/>
        <w:bidi w:val="0"/>
        <w:spacing w:before="0" w:after="24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5"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lineRule="auto" w:line="240" w:before="0" w:after="240"/>
        <w:jc w:val="both"/>
        <w:rPr/>
      </w:pPr>
      <w:r>
        <w:rPr>
          <w:rFonts w:ascii="Times New Roman;sans-serif" w:hAnsi="Times New Roman;sans-serif"/>
          <w:b w:val="false"/>
          <w:color w:val="000000"/>
          <w:sz w:val="22"/>
        </w:rPr>
        <w:t xml:space="preserve">(b)    Except as provided in Section 2.04 with respect to an Incremental Term Loan Amendment and subject to Section 2.14(b), 2.14(c), 9.02(c) and 9.02(f),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such agreement shall (i) increase the Commitment of any Lender without the written consent of such Lender, (ii) reduce or forgive the principal amount of any Loan or LC Disbursement or reduce the rate of interest thereon, or reduce or forgive any interest or fees payable hereunder, without the written consent of each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(ii)),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directly affected thereby, (iv) change Section 2.09(b) or 2.18(b) or 2.18(d) in a manner that would alter the ratable reduction of Commitments or the pro rata sharing of payments required thereby, without the written consent of each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foregoing limitation in respect of Sections 2.18(b) and 2.18(d) shall not prohibit each Lender directly affected thereby from consenting, upon the request of the Borrower, to the extension of the final maturity date of its Loans and other Obligations or the scheduled date of expiration of its Commitment beyond the Maturity Date as contemplated by Section 9.02(b)(iii) above, (v) change the payment waterfall provisions of Section 2.20(b) or 7.03 without the written consent of each Lender, (vi)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(it being understood that, solely with the consent of the parties prescribed by Section 2.04 to be parties to an Incremental Term Loan Amendment, Incremental Term Loans may be included in the determination of Required Lenders on substantially the same basis as the Commitments and the Revolving Loans are included on the Effective Date), (vii) (x) release the Borrower from its obligations under Article X or (y) release all or substantially all of the Subsidiary Guarantors from their obligation under the Subsidiary Guaranty (except as otherwise permitted herein or in the other Loan Documents), without the written consent of each Lender, (viii) except as provided in clauses (d) and (e) of this Section or in any Collateral Document, release all or substantially all of the Collateral, without the written consent of each Lender or (ix) subordinate (x) the Liens securing any of the Obligations on all or substantially all of the Collateral (“</w:t>
      </w:r>
      <w:r>
        <w:rPr>
          <w:rFonts w:ascii="Times New Roman;sans-serif" w:hAnsi="Times New Roman;sans-serif"/>
          <w:b w:val="false"/>
          <w:color w:val="000000"/>
          <w:sz w:val="22"/>
          <w:u w:val="single"/>
        </w:rPr>
        <w:t>Existing Liens</w:t>
      </w:r>
      <w:r>
        <w:rPr>
          <w:color w:val="000000"/>
        </w:rPr>
        <w:t>”</w:t>
      </w:r>
      <w:r>
        <w:rPr>
          <w:rFonts w:ascii="Times New Roman;sans-serif" w:hAnsi="Times New Roman;sans-serif"/>
          <w:b w:val="false"/>
          <w:color w:val="000000"/>
          <w:sz w:val="22"/>
        </w:rPr>
        <w:t>)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w:t>
      </w:r>
      <w:r>
        <w:rPr>
          <w:rFonts w:ascii="Times New Roman;sans-serif" w:hAnsi="Times New Roman;sans-serif"/>
          <w:b w:val="false"/>
          <w:color w:val="000000"/>
          <w:sz w:val="22"/>
          <w:u w:val="single"/>
        </w:rPr>
        <w:t>Senior Indebtedness</w:t>
      </w:r>
      <w:r>
        <w:rPr>
          <w:color w:val="000000"/>
        </w:rPr>
        <w:t>”</w:t>
      </w:r>
      <w:r>
        <w:rPr>
          <w:rFonts w:ascii="Times New Roman;sans-serif" w:hAnsi="Times New Roman;sans-serif"/>
          <w:b w:val="false"/>
          <w:color w:val="000000"/>
          <w:sz w:val="22"/>
        </w:rPr>
        <w:t>), in either the case of subclause (x) or (y), unless each adversely affected Lender has been offered a bona fide opportunity to fund or otherwise provide 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Times New Roman;sans-serif" w:hAnsi="Times New Roman;sans-serif"/>
          <w:b w:val="false"/>
          <w:color w:val="000000"/>
          <w:sz w:val="22"/>
          <w:u w:val="single"/>
        </w:rPr>
        <w:t>Ancillary Fees</w:t>
      </w:r>
      <w:r>
        <w:rPr>
          <w:color w:val="000000"/>
        </w:rPr>
        <w:t>”</w:t>
      </w:r>
      <w:r>
        <w:rPr>
          <w:rFonts w:ascii="Times New Roman;sans-serif" w:hAnsi="Times New Roman;sans-serif"/>
          <w:b w:val="false"/>
          <w:color w:val="000000"/>
          <w:sz w:val="22"/>
        </w:rPr>
        <w:t xml:space="preserve">) as offered to all 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material terms of the arrangements pursuant to which the Senior Indebtedness is to be provided, which offer shall remain open to each adversely affected Lender for a period of not less than five Business Days;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w:t>
      </w:r>
    </w:p>
    <w:p>
      <w:pPr>
        <w:pStyle w:val="TextBody"/>
        <w:bidi w:val="0"/>
        <w:spacing w:before="0" w:after="24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6"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that no such agreement shall amend, modify or otherwise affect the rights or duties of the Administrative Agent, the Swingline Lender or any Issuing Bank hereunder without the prior written consent of the Administrative Agent, the Swingline Lender or such Issuing Bank, as the case may be (it being understood that any change to Section 2.20 shall require the consent of the Administrative Agent, each Issuing Bank and the Swingline Lender and that no agreement shall amend or modify the provisions of Section 2.06 without the prior written consent of the Administrative Agent and the Issuing Banks). The Administrative Agent may also amend the </w:t>
      </w:r>
      <w:r>
        <w:rPr>
          <w:rFonts w:ascii="Times New Roman;sans-serif" w:hAnsi="Times New Roman;sans-serif"/>
          <w:b w:val="false"/>
          <w:color w:val="000000"/>
          <w:sz w:val="22"/>
          <w:u w:val="single"/>
        </w:rPr>
        <w:t>Commitment Schedule</w:t>
      </w:r>
      <w:r>
        <w:rPr>
          <w:color w:val="000000"/>
        </w:rPr>
        <w:t xml:space="preserve"> </w:t>
      </w:r>
      <w:r>
        <w:rPr>
          <w:rFonts w:ascii="Times New Roman;sans-serif" w:hAnsi="Times New Roman;sans-serif"/>
          <w:b w:val="false"/>
          <w:color w:val="000000"/>
          <w:sz w:val="22"/>
        </w:rPr>
        <w:t>to reflect assignments entered into pursuant to Section 9.04.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pStyle w:val="TextBody"/>
        <w:bidi w:val="0"/>
        <w:spacing w:lineRule="auto" w:line="240" w:before="0" w:after="240"/>
        <w:jc w:val="both"/>
        <w:rPr/>
      </w:pPr>
      <w:r>
        <w:rPr>
          <w:rFonts w:ascii="Times New Roman;sans-serif" w:hAnsi="Times New Roman;sans-serif"/>
          <w:b w:val="false"/>
          <w:color w:val="000000"/>
          <w:sz w:val="22"/>
        </w:rPr>
        <w:t xml:space="preserve">(c)    Notwithstanding the foregoing, this Agreement and any other Loan Document may be amended (or amended and restated) with the written consent of the Required Lenders, the Administrative Agent and the Borrower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amendment (or amendment or restatement) shall increase the Commitment or change the Applicable Percentage of any Lender without the written consent of such Lender.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The Lenders hereby irrevocably authorize the Administrative Agent, at its option and in its sole discretion, to release any Liens granted to the Administrative Agent by the Loan Parties on any Collateral (i) upon the termination of the Commitments, payment and satisfaction in full in cash of all Secured Obligations (other than Unliquidated Obligations), and the cash collateralization of all Unliquidated Obligations in a manner satisfactory to the Administrative Agent, (ii) constituting property being sold or disposed of if the Borrower certifies to the Administrative Agent that the sale or disposition is made in compliance with the terms of this Agreement (and the Administrative Agent may rely conclusively on any such certificate, without further inquiry), (iii) constituting property leased to the Borrower or any Subsidiary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In addition, each of the Lenders, on behalf of itself and any of its Affiliates that are Secured Parties, irrevocably authorizes the Administrative Agent, at its option and in its discretion, (A) to subordinate any Lien on any property granted to or held by the Administrative Agent under any Loan Document to the holder of any Lien on such property that is permitted by Section 6.02(d) or (B) in the event that the Borrower shall have advised the Administrative Agent that, notwithstanding the use by the Borrower of commercially reasonable efforts to obtain the consent of such holder (but without the requirement to pay any sums to obtain such consent) to permit the Administrative Agent to retain its liens (on a subordinated basis as contemplated by clause (A) above), the holder of such other Indebtedness requires, as a condition to the extension of such credit, that the Liens on such assets granted to or held by the Administrative Agent under any Loan Document be released, to release the Administrative Agent’s Liens on such assets.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Holder of Secured Obligations for any failure to monitor or maintain any portion of the Collateral.</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not </w:t>
      </w:r>
    </w:p>
    <w:p>
      <w:pPr>
        <w:pStyle w:val="TextBody"/>
        <w:bidi w:val="0"/>
        <w:spacing w:before="0" w:after="24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7"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obtained being referred to herein as a “</w:t>
      </w:r>
      <w:r>
        <w:rPr>
          <w:rFonts w:ascii="Times New Roman;sans-serif" w:hAnsi="Times New Roman;sans-serif"/>
          <w:b w:val="false"/>
          <w:color w:val="000000"/>
          <w:sz w:val="22"/>
          <w:u w:val="single"/>
        </w:rPr>
        <w:t>Non-Consenting Lender”</w:t>
      </w:r>
      <w:r>
        <w:rPr>
          <w:rFonts w:ascii="Times New Roman;sans-serif" w:hAnsi="Times New Roman;sans-serif"/>
          <w:b w:val="false"/>
          <w:color w:val="000000"/>
          <w:sz w:val="22"/>
        </w:rPr>
        <w:t xml:space="preserve">), then the Borrower may elect to replace a Non-Consenting Lender as a Lender party to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the outstanding principal amount of its Loans and participations in LC Disbursements and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Notwithstanding anything to the contrary herein, the Administrative Agent may, with the consent of the Borrower only, amend, modify or supplement this Agreement or any of the other Loan Documents to cure any ambiguity, omission, mistake, defect or inconsistency.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9.03. </w:t>
      </w:r>
      <w:r>
        <w:rPr>
          <w:rFonts w:ascii="Times New Roman;sans-serif" w:hAnsi="Times New Roman;sans-serif"/>
          <w:b w:val="false"/>
          <w:color w:val="000000"/>
          <w:sz w:val="22"/>
          <w:u w:val="single"/>
        </w:rPr>
        <w:t>Expenses; Indemnity; Limitation of Liability; Damage Waiver</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The Borrower shall pay (i) all reasonable and documented out of pocket expenses incurred by the Administrative Agent and its Affiliates, including the reasonable fees, charges and disbursements of counsel for the Administrative Agent, in connection with the initial general syndication and distribution (including, without limitation, via the internet or through a service such as Intralinks) of the credit facilities provided for herein, the preparation and administration of the other Loan Documents or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reasonable and documented out-of-pocket expenses incurred by the Administrative Agent, any Issuing Bank or any Lender, including the fees, charges and disbursements of any counsel for the Administrative Agent, any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pStyle w:val="TextBody"/>
        <w:bidi w:val="0"/>
        <w:spacing w:lineRule="auto" w:line="240" w:before="0" w:after="2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Limitation of Liability</w:t>
      </w:r>
      <w:r>
        <w:rPr>
          <w:rFonts w:ascii="Times New Roman;sans-serif" w:hAnsi="Times New Roman;sans-serif"/>
          <w:b w:val="false"/>
          <w:color w:val="000000"/>
          <w:sz w:val="22"/>
        </w:rPr>
        <w:t>. To the extent permitted by applicable law (i) neither the Borrower nor any Loan Party shall assert, and the Borrower and each Loan Party hereby waives, any claim against the Administrative Agent, any Arranger, any Syndication Agent, any Co-Documentation Agent, any Issuing Bank, any Lender and any Related Party of any of the foregoing Persons (each such Person being called a “</w:t>
      </w:r>
      <w:r>
        <w:rPr>
          <w:rFonts w:ascii="Times New Roman;sans-serif" w:hAnsi="Times New Roman;sans-serif"/>
          <w:b w:val="false"/>
          <w:color w:val="000000"/>
          <w:sz w:val="22"/>
          <w:u w:val="single"/>
        </w:rPr>
        <w:t>Lender-Related Person</w:t>
      </w:r>
      <w:r>
        <w:rPr>
          <w:color w:val="000000"/>
        </w:rPr>
        <w:t>”</w:t>
      </w:r>
      <w:r>
        <w:rPr>
          <w:rFonts w:ascii="Times New Roman;sans-serif" w:hAnsi="Times New Roman;sans-serif"/>
          <w:b w:val="false"/>
          <w:color w:val="000000"/>
          <w:sz w:val="22"/>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any agreement or instrument contemplated hereby or thereby, the Transactions, any Loan or Letter of Credit or the use of the proceeds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nothing in this Section 9.03(b) shall relieve the Borrower or any Loan Party of any obligation it may have to indemnify an Indemnitee, as provided in Section 9.03(c), against any special, indirect, consequential or punitive damages asserted against such Indemnitee by a third party.</w:t>
      </w:r>
    </w:p>
    <w:p>
      <w:pPr>
        <w:pStyle w:val="TextBody"/>
        <w:bidi w:val="0"/>
        <w:spacing w:lineRule="auto" w:line="240" w:before="0" w:after="2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Indemnity.</w:t>
      </w:r>
      <w:r>
        <w:rPr>
          <w:color w:val="000000"/>
        </w:rPr>
        <w:t xml:space="preserve"> </w:t>
      </w:r>
      <w:r>
        <w:rPr>
          <w:rFonts w:ascii="Times New Roman;sans-serif" w:hAnsi="Times New Roman;sans-serif"/>
          <w:b w:val="false"/>
          <w:color w:val="000000"/>
          <w:sz w:val="22"/>
        </w:rPr>
        <w:t>The Borrower shall indemnify the Administrative Agent, each Arranger, each Syndication Agent, each Co-Documentation Agent, each Issuing Bank, each Lender and each Related Party of any of the foregoing Persons (each such Person being called an “</w:t>
      </w:r>
      <w:r>
        <w:rPr>
          <w:rFonts w:ascii="Times New Roman;sans-serif" w:hAnsi="Times New Roman;sans-serif"/>
          <w:b w:val="false"/>
          <w:color w:val="000000"/>
          <w:sz w:val="22"/>
          <w:u w:val="single"/>
        </w:rPr>
        <w:t>Indemnitee</w:t>
      </w:r>
      <w:r>
        <w:rPr>
          <w:color w:val="000000"/>
        </w:rPr>
        <w:t>”</w:t>
      </w:r>
      <w:r>
        <w:rPr>
          <w:rFonts w:ascii="Times New Roman;sans-serif" w:hAnsi="Times New Roman;sans-serif"/>
          <w:b w:val="false"/>
          <w:color w:val="000000"/>
          <w:sz w:val="22"/>
        </w:rPr>
        <w:t xml:space="preserve">) against, and hold </w:t>
      </w:r>
    </w:p>
    <w:p>
      <w:pPr>
        <w:pStyle w:val="TextBody"/>
        <w:bidi w:val="0"/>
        <w:spacing w:before="0" w:after="24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8"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each Indemnitee harmless from, any and all Liabilities and related reasonable out-of-pocket expenses, including the fees, charges and disbursements of any counsel for any Indemnitee, incurred by or asserted against any Indemnitee arising out of or in connection with any actual or prospective Proceeding, whether based on contract, tort or any other theory and regardless of whether any Indemnitee is a party thereto, relating to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the Borrower or any of its Subsidiaries, or any Environmental Liability related in any way to the Borrower or any of its Subsidiaries, or (iv) any Proceeding relating to any of the foregoing, whether or not such Proceeding is brought by the Borrower or any other Loan Party or its or their respective equity holders, Affiliates, creditors or any third Person and whether based on contract, tort or any other theory and regardless of whether any Indemnitee is a party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indemnity shall not, as to any Indemnitee, be available to the extent that such Liabilities or related expenses are determined by a court of competent jurisdiction by final and non-appealable judgment to have resulted from (x) the gross negligence or willful misconduct of such Indemnitee (or any Related Party thereof) or (y) a claim made by the Borrower against an Indemnitee for breach by such Indemnitee (or any Related Party thereof) of its obligations under the Loan Documents. Paragraph (c) of this Section shall not apply with respect to Taxes other than any Taxes that represent losses, claims, damages, etc. arising from any non-Tax claim.</w:t>
      </w:r>
    </w:p>
    <w:p>
      <w:pPr>
        <w:pStyle w:val="TextBody"/>
        <w:bidi w:val="0"/>
        <w:spacing w:lineRule="auto" w:line="240" w:before="0" w:after="2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Lender Reimbursement</w:t>
      </w:r>
      <w:r>
        <w:rPr>
          <w:rFonts w:ascii="Times New Roman;sans-serif" w:hAnsi="Times New Roman;sans-serif"/>
          <w:b w:val="false"/>
          <w:color w:val="000000"/>
          <w:sz w:val="22"/>
        </w:rPr>
        <w:t>. Each Lender severally agrees to pay any amount required to be paid by the Borrower under paragraphs (a), (b) or (c) of this Section 9.03 to the Administrative Agent, each Issuing Bank, each Swingline Lender and each Related Party of any of the foregoing Persons (each, an “</w:t>
      </w:r>
      <w:r>
        <w:rPr>
          <w:rFonts w:ascii="Times New Roman;sans-serif" w:hAnsi="Times New Roman;sans-serif"/>
          <w:b w:val="false"/>
          <w:color w:val="000000"/>
          <w:sz w:val="22"/>
          <w:u w:val="single"/>
        </w:rPr>
        <w:t>Agent Related Person</w:t>
      </w:r>
      <w:r>
        <w:rPr>
          <w:color w:val="000000"/>
        </w:rPr>
        <w:t>”</w:t>
      </w:r>
      <w:r>
        <w:rPr>
          <w:rFonts w:ascii="Times New Roman;sans-serif" w:hAnsi="Times New Roman;sans-serif"/>
          <w:b w:val="false"/>
          <w:color w:val="000000"/>
          <w:sz w:val="22"/>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 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 Related Person under or in connection with any of the foregoing;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unreimbursed expense or Liability or related expense, as the case may be, was incurred by or asserted against such Agent Related Person in its capacity as such;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further that no Lender shall be liable for the payment of any portion of such Liabilities, costs, expenses or disbursements that are found by a final and nonappealable decision of a court of competent jurisdiction to have resulted primarily from such Agent Related Person’s gross negligence or willful misconduct. The agreements in this Section shall survive the termination of this Agreement and the payment of the Loans and all other amounts payable hereunder.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All amounts due under this Section shall be payable promptly after written demand therefor.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9.04.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xml:space="preserve">. (a) 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w:t>
      </w:r>
    </w:p>
    <w:p>
      <w:pPr>
        <w:pStyle w:val="TextBody"/>
        <w:bidi w:val="0"/>
        <w:spacing w:before="0" w:after="24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contemplated hereby, the Related Parties of each of the Administrative Agent, the Issuing Banks and the Lenders) any legal or equitable right, remedy or claim under or by reason of this Agreement.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(i) Subject to the conditions set forth in paragraph (b)(ii) below, any Lender may assign to one or more assignees (other than an Ineligible Institution) all or a portion of its rights and obligations under this Agreement (including all or a portion of its Commitment and the Loans at the time owing to it) with the prior written consent (such consent not to be unreasonably withheld) 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be deemed to have consented to any such assignment unless it shall object thereto by written notice to the Administrative Agent within five (5) Business Days after having received notice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further, that no consent of the Borrower shall be required for an assignment to a Lender, an Affiliate of a Lender, an Approved Fund or, if an Event of Default has occurred and is continuing, any other assignee;</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Administrative Agent;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the Issuing Banks;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 consent of an Issuing Bank shall be required if (x) an Event of Default occurs with respect to the Borrower under Sections 7.01(h) or 7.01(i) and (y) such Issuing Bank has no outstanding Letters of Credit at that time;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(D)    the Swingline Lender;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that non consent of a Swingline Lender shall be required if (x) an Event of Default occurs with respect to the Borrower under Sections 7.01(h) or 7.01(i) and (y) such Swingline Lender has no outstanding Swingline Loans at that time.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    Assignments shall be subject to the following additional conditions: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consent of the Borrower shall be required if an Event of Default has occurred and is continuing;</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each partial assignment shall be made as an assignment of a proportionate part of all the assigning Lender’s rights and obligations under this Agreement;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the assignee, if it shall not be a Lender, shall deliver to the Administrative Agent an Administrative Questionnaire in which the assignee designates one or more credit contacts to whom all syndicate-level information (which may contain, subject to Section 9.12, material non-public information about the Borrower and its Subsidiaries) will be made available and who may receive such information in accordance with the assignee’s compliance procedures and applicable laws, including Federal and state securities laws.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For the purposes of this Section 9.04(b), the terms “</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Ineligible Institution</w:t>
      </w:r>
      <w:r>
        <w:rPr>
          <w:color w:val="000000"/>
        </w:rPr>
        <w:t xml:space="preserve">” </w:t>
      </w:r>
      <w:r>
        <w:rPr>
          <w:rFonts w:ascii="Times New Roman;sans-serif" w:hAnsi="Times New Roman;sans-serif"/>
          <w:b w:val="false"/>
          <w:color w:val="000000"/>
          <w:sz w:val="22"/>
        </w:rPr>
        <w:t>have the following meanings:</w:t>
      </w:r>
    </w:p>
    <w:p>
      <w:pPr>
        <w:pStyle w:val="TextBody"/>
        <w:bidi w:val="0"/>
        <w:spacing w:before="0" w:after="24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60"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Ineligible Institution</w:t>
      </w:r>
      <w:r>
        <w:rPr>
          <w:color w:val="000000"/>
        </w:rPr>
        <w:t xml:space="preserve">” </w:t>
      </w:r>
      <w:r>
        <w:rPr>
          <w:rFonts w:ascii="Times New Roman;sans-serif" w:hAnsi="Times New Roman;sans-serif"/>
          <w:b w:val="false"/>
          <w:color w:val="000000"/>
          <w:sz w:val="22"/>
        </w:rPr>
        <w:t>means (a) a natural person, (b) a Defaulting Lender or its Parent, (c) the Borrower, any of its Subsidiaries or any of its Affiliates, or (d) a company, investment vehicle or trust for, or owned and operated for the primary benefit of, a natural person or relative(s) thereof.</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pStyle w:val="TextBody"/>
        <w:bidi w:val="0"/>
        <w:spacing w:lineRule="auto" w:line="240" w:before="0" w:after="240"/>
        <w:jc w:val="both"/>
        <w:rPr/>
      </w:pPr>
      <w:r>
        <w:rPr>
          <w:rFonts w:ascii="Times New Roman;sans-serif" w:hAnsi="Times New Roman;sans-serif"/>
          <w:b w:val="false"/>
          <w:color w:val="000000"/>
          <w:sz w:val="22"/>
        </w:rPr>
        <w:t>(iv)    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The entries in the Register shall be conclusive,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pStyle w:val="TextBody"/>
        <w:bidi w:val="0"/>
        <w:spacing w:lineRule="auto" w:line="240" w:before="0" w:after="240"/>
        <w:jc w:val="both"/>
        <w:rPr/>
      </w:pPr>
      <w:r>
        <w:rPr>
          <w:rFonts w:ascii="Times New Roman;sans-serif" w:hAnsi="Times New Roman;sans-serif"/>
          <w:b w:val="false"/>
          <w:color w:val="000000"/>
          <w:sz w:val="22"/>
        </w:rPr>
        <w:t xml:space="preserve">(v)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lineRule="auto" w:line="240" w:before="0" w:after="240"/>
        <w:jc w:val="both"/>
        <w:rPr/>
      </w:pPr>
      <w:r>
        <w:rPr>
          <w:rFonts w:ascii="Times New Roman;sans-serif" w:hAnsi="Times New Roman;sans-serif"/>
          <w:b w:val="false"/>
          <w:color w:val="000000"/>
          <w:sz w:val="22"/>
        </w:rPr>
        <w:t>(c)    (i) Any Lender may, without the consent of, or notice to, the Borrower, the Administrative Agent, the Issuing Banks or the Swingline Lender, sell participations to one or more banks or other entities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other than an Ineligible Institution, in all or a portion of such Lender’s rights and obligations under this Agreement (including all or a portion of its Commitment and the Loans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Lender’s obligations under this Agreement shall remain unchanged, (B) such Lender shall remain solely responsible to the other parties hereto for the performance of such obligations </w:t>
      </w:r>
    </w:p>
    <w:p>
      <w:pPr>
        <w:pStyle w:val="TextBody"/>
        <w:bidi w:val="0"/>
        <w:spacing w:before="0" w:after="24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61"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agreement or instrument may provide that such Lender will not, without the consent of the Participant, agree to any amendment, modification or waiver described in the first proviso to Section 9.02(b) that affects such Participant. Subject to paragraph (c)(ii) of this Section, the Borrower agrees that each Participant shall be entitled to the benefits of Sections 2.15, 2.16 and 2.17 to the same extent as if it were a Lender and had acquired its interest by assignment pursuant to paragraph (b) of this Section. To the extent permitted by law, each Participant also shall be entitled to the benefits of Section 9.08 as though it were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such Participant agrees to be subject to Section 2.18(d) as though it were a Lender.</w:t>
      </w:r>
    </w:p>
    <w:p>
      <w:pPr>
        <w:pStyle w:val="TextBody"/>
        <w:bidi w:val="0"/>
        <w:spacing w:lineRule="auto" w:line="240" w:before="0" w:after="240"/>
        <w:jc w:val="both"/>
        <w:rPr/>
      </w:pPr>
      <w:r>
        <w:rPr>
          <w:rFonts w:ascii="Times New Roman;sans-serif" w:hAnsi="Times New Roman;sans-serif"/>
          <w:b w:val="false"/>
          <w:color w:val="000000"/>
          <w:sz w:val="22"/>
        </w:rPr>
        <w:t>(ii)    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2.17 unless the Borrower is notified of the participation sold to such Participant and such Participant agrees, for the benefit of the Borrower, to comply with Sections 2.17(e) and 2.17(f) as though it were a Lender (it being understood that the documentation required under Sections 2.17(e) and 2.17(f) shall be delivered to the participating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jc w:val="both"/>
        <w:rPr/>
      </w:pPr>
      <w:r>
        <w:rPr>
          <w:rFonts w:ascii="Times New Roman;sans-serif" w:hAnsi="Times New Roman;sans-serif"/>
          <w:b w:val="false"/>
          <w:color w:val="000000"/>
          <w:sz w:val="22"/>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of a security interest shall release a Lender from any of its obligations hereunder or substitute any such pledgee or assignee for such Lender as a party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9.05.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w:t>
      </w:r>
    </w:p>
    <w:p>
      <w:pPr>
        <w:pStyle w:val="TextBody"/>
        <w:bidi w:val="0"/>
        <w:spacing w:before="0" w:after="24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62"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consummation of the transactions contemplated hereby, the repayment of the Loans, the expiration or termination of the Letters of Credit and the Commitments or the termination of this Agreement or any other Loan Document or any provision hereof or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9.06. </w:t>
      </w:r>
      <w:r>
        <w:rPr>
          <w:rFonts w:ascii="Times New Roman;sans-serif" w:hAnsi="Times New Roman;sans-serif"/>
          <w:b w:val="false"/>
          <w:color w:val="000000"/>
          <w:sz w:val="22"/>
          <w:u w:val="single"/>
        </w:rPr>
        <w:t>Counterparts; Integration; Effectiveness; Electronic Execution</w:t>
      </w:r>
      <w:r>
        <w:rPr>
          <w:rFonts w:ascii="Times New Roman;sans-serif" w:hAnsi="Times New Roman;sans-serif"/>
          <w:b w:val="false"/>
          <w:color w:val="000000"/>
          <w:sz w:val="22"/>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w:t>
      </w:r>
    </w:p>
    <w:p>
      <w:pPr>
        <w:pStyle w:val="TextBody"/>
        <w:bidi w:val="0"/>
        <w:spacing w:lineRule="auto" w:line="240" w:before="0" w:after="240"/>
        <w:jc w:val="both"/>
        <w:rPr/>
      </w:pPr>
      <w:r>
        <w:rPr>
          <w:rFonts w:ascii="Times New Roman;sans-serif" w:hAnsi="Times New Roman;sans-serif"/>
          <w:b w:val="false"/>
          <w:color w:val="000000"/>
          <w:sz w:val="22"/>
        </w:rPr>
        <w:t>(b)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sans-serif" w:hAnsi="Times New Roman;sans-serif"/>
          <w:b w:val="false"/>
          <w:color w:val="000000"/>
          <w:sz w:val="22"/>
          <w:u w:val="single"/>
        </w:rPr>
        <w:t>Ancillary Document</w:t>
      </w:r>
      <w:r>
        <w:rPr>
          <w:color w:val="000000"/>
        </w:rPr>
        <w:t>”</w:t>
      </w:r>
      <w:r>
        <w:rPr>
          <w:rFonts w:ascii="Times New Roman;sans-serif" w:hAnsi="Times New Roman;sans-serif"/>
          <w:b w:val="false"/>
          <w:color w:val="000000"/>
          <w:sz w:val="22"/>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nothing herein shall require the Administrative Agent to accept Electronic Signatures in any form or format without its prior written consent and pursuant to procedures approved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w:t>
      </w:r>
    </w:p>
    <w:p>
      <w:pPr>
        <w:pStyle w:val="TextBody"/>
        <w:bidi w:val="0"/>
        <w:spacing w:before="0" w:after="24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63" name="Frame1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and/or any Loan Party to use any available security measures in connection with the execution, delivery or transmission of any Electronic Signature.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9.07.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9.08. </w:t>
      </w:r>
      <w:r>
        <w:rPr>
          <w:rFonts w:ascii="Times New Roman;sans-serif" w:hAnsi="Times New Roman;sans-serif"/>
          <w:b w:val="false"/>
          <w:color w:val="000000"/>
          <w:sz w:val="22"/>
          <w:u w:val="single"/>
        </w:rPr>
        <w:t>Right of Setoff</w:t>
      </w:r>
      <w:r>
        <w:rPr>
          <w:rFonts w:ascii="Times New Roman;sans-serif" w:hAnsi="Times New Roman;sans-serif"/>
          <w:b w:val="false"/>
          <w:color w:val="000000"/>
          <w:sz w:val="22"/>
        </w:rPr>
        <w:t xml:space="preserve">. If an Event of Default shall have occurred and be continuing, each Lender, each Issuing Bank, and each of their respective Affiliates is hereby authorized at any time and from time to time, to the fullest extent permitted by law, to setoff and apply any and all deposits (general or special, time or demand, provisional or final and in whatever currency denominated) at any time held, and other obligations at any time owing, by such Lender, such Issuing Bank or any such Affiliate, to or for the credit or the account of the Borrower or any Subsidiary Guarantor against any and all of the Secured Obligations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may be contingent or unmatured or are owed to a branch office or Affiliate of such Lender or such Issuing Bank different from the branch office or Affiliate holding such deposit or obligated on such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event that any Defaulting Lender shall exercise any such right of setoff, (x) all amounts so setoff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Borrower and the Administrative Agent promptly after any such setoff and application;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to give such notice shall not affect the validity of such setoff and application.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9.09. </w:t>
      </w:r>
      <w:r>
        <w:rPr>
          <w:rFonts w:ascii="Times New Roman;sans-serif" w:hAnsi="Times New Roman;sans-serif"/>
          <w:b w:val="false"/>
          <w:color w:val="000000"/>
          <w:sz w:val="22"/>
          <w:u w:val="single"/>
        </w:rPr>
        <w:t>Governing Law; Jurisdiction; Consent to Service of Process</w:t>
      </w:r>
      <w:r>
        <w:rPr>
          <w:rFonts w:ascii="Times New Roman;sans-serif" w:hAnsi="Times New Roman;sans-serif"/>
          <w:b w:val="false"/>
          <w:color w:val="000000"/>
          <w:sz w:val="22"/>
        </w:rPr>
        <w:t>. (a) The Loan Documents (other than those containing a contrary express choice of law provision) shall be governed by and construed in accordance with the laws of the State of New York, but giving effect to federal laws applicable to national banks.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Each of the Lenders and the Administrative Agent hereby irrevocably and unconditionally agrees that, notwithstanding the governing law provisions of any applicable Loan Document, any claims brought against the Administrative Agent by any Holder of Secured Obligations relating to this Agreement, any other Loan Document, the Collateral or the consummation or administration of the transactions contemplated hereby or thereby shall be construed in accordance with and governed by the law of the State of New York.</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Borrower hereby irrevocably and unconditionally submits, for itself and its property, to the exclusive jurisdiction of the United States District Court of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any Issuing Bank or </w:t>
      </w:r>
    </w:p>
    <w:p>
      <w:pPr>
        <w:pStyle w:val="TextBody"/>
        <w:bidi w:val="0"/>
        <w:spacing w:before="0" w:after="24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4"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    The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9.10. </w:t>
      </w:r>
      <w:r>
        <w:rPr>
          <w:rFonts w:ascii="Times New Roman;sans-serif" w:hAnsi="Times New Roman;sans-serif"/>
          <w:b w:val="false"/>
          <w:color w:val="000000"/>
          <w:sz w:val="22"/>
          <w:u w:val="single"/>
        </w:rPr>
        <w:t>WAIVER OF JURY TRIAL</w:t>
      </w:r>
      <w:r>
        <w:rPr>
          <w:rFonts w:ascii="Times New Roman;sans-serif" w:hAnsi="Times New Roman;sans-serif"/>
          <w:b w:val="false"/>
          <w:color w:val="000000"/>
          <w:sz w:val="22"/>
        </w:rPr>
        <w:t>.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9.11.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9.12.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Each of the Administrative Agent, the Issuing Banks and the Lenders agrees to maintain the confidentiality of the Information (as defined below), except that Information may be disclosed (a) to its and its Affiliates’ Related Parties, including accountants, legal counsel and other advisors (it being understood that the Persons to whom such disclosure is made will be informed of the confidential nature of such Information and instructed to keep such Information confidential), (b) to the extent required or requested by any Governmental Authority (including any self-regulatory authority, such as the National Association of Insurance Commissioners), (c) to the extent required by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Related Parties) to any swap, derivative or other transaction relating to the Borrower, its Subsidiaries and their obligations, (g) on a confidential basis to (i) any rating agency in connection with the rating of the Borrower or its Subsidiaries or this Agreement or (ii) the CUSIP Service Bureau or any similar agency in connection with the issuance and monitoring of identification numbers with respect to this Agreement, (h) with the consent of the Borrower or (i) to the extent such Information (x) becomes </w:t>
      </w:r>
    </w:p>
    <w:p>
      <w:pPr>
        <w:pStyle w:val="TextBody"/>
        <w:bidi w:val="0"/>
        <w:spacing w:before="0" w:after="24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5"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publicly available other than as a result of a breach of this Section or (y) becomes available to the Administrative Agent, any Issuing Bank or any Lender, or any of their respective Affiliates, on a nonconfidential basis from a source other than the Borrower. For the purposes of this Section, “</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40"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40"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9.13. </w:t>
      </w:r>
      <w:r>
        <w:rPr>
          <w:rFonts w:ascii="Times New Roman;sans-serif" w:hAnsi="Times New Roman;sans-serif"/>
          <w:b w:val="false"/>
          <w:color w:val="000000"/>
          <w:sz w:val="22"/>
          <w:u w:val="single"/>
        </w:rPr>
        <w:t>Several Obligations; Nonreliance; Violation of Law</w:t>
      </w:r>
      <w:r>
        <w:rPr>
          <w:rFonts w:ascii="Times New Roman;sans-serif" w:hAnsi="Times New Roman;sans-serif"/>
          <w:b w:val="false"/>
          <w:color w:val="000000"/>
          <w:sz w:val="22"/>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for the repayment of the Borrowings provided for herein. Anything contained in this Agreement to the contrary notwithstanding, neither an Issuing Bank nor any Lender shall be obligated to extend credit to the Borrower in violation of any Requirement of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9.14. </w:t>
      </w:r>
      <w:r>
        <w:rPr>
          <w:rFonts w:ascii="Times New Roman;sans-serif" w:hAnsi="Times New Roman;sans-serif"/>
          <w:b w:val="false"/>
          <w:color w:val="000000"/>
          <w:sz w:val="22"/>
          <w:u w:val="single"/>
        </w:rPr>
        <w:t>USA PATRIOT Act</w:t>
      </w:r>
      <w:r>
        <w:rPr>
          <w:rFonts w:ascii="Times New Roman;sans-serif" w:hAnsi="Times New Roman;sans-serif"/>
          <w:b w:val="false"/>
          <w:color w:val="000000"/>
          <w:sz w:val="22"/>
        </w:rPr>
        <w: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9.15. </w:t>
      </w:r>
      <w:r>
        <w:rPr>
          <w:rFonts w:ascii="Times New Roman;sans-serif" w:hAnsi="Times New Roman;sans-serif"/>
          <w:b w:val="false"/>
          <w:color w:val="000000"/>
          <w:sz w:val="22"/>
          <w:u w:val="single"/>
        </w:rPr>
        <w:t>Disclosure</w:t>
      </w:r>
      <w:r>
        <w:rPr>
          <w:rFonts w:ascii="Times New Roman;sans-serif" w:hAnsi="Times New Roman;sans-serif"/>
          <w:b w:val="false"/>
          <w:color w:val="000000"/>
          <w:sz w:val="22"/>
        </w:rPr>
        <w:t>. The Borrower and each Lender hereby acknowledges and agrees that the Administrative Agent and/or its Affiliates from time to time may hold investments in, make other loans to or have other relationships with any of the Borrower, its Subsidiaries and their respective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9.16. </w:t>
      </w:r>
      <w:r>
        <w:rPr>
          <w:rFonts w:ascii="Times New Roman;sans-serif" w:hAnsi="Times New Roman;sans-serif"/>
          <w:b w:val="false"/>
          <w:color w:val="000000"/>
          <w:sz w:val="22"/>
          <w:u w:val="single"/>
        </w:rPr>
        <w:t>Appointment for Perfection</w:t>
      </w:r>
      <w:r>
        <w:rPr>
          <w:rFonts w:ascii="Times New Roman;sans-serif" w:hAnsi="Times New Roman;sans-serif"/>
          <w:b w:val="false"/>
          <w:color w:val="000000"/>
          <w:sz w:val="22"/>
        </w:rPr>
        <w:t xml:space="preserve">. Each Lender hereby appoints each other Lender as its agent for the purpose of perfecting Liens, for the benefit of the Administrative Agent and the Holders of Secured Obligations, in assets which, in accordance with Article 9 of the UCC or any other applicable law can be perfected only by possession. Should any Lender (other than the Administrative Agent) obtain possession of any such Collateral, such Lender shall notify the Administrative Agent thereof, and, promptly upon the Administrative Agent’s request therefor shall deliver such Collateral to the </w:t>
      </w:r>
    </w:p>
    <w:p>
      <w:pPr>
        <w:pStyle w:val="TextBody"/>
        <w:bidi w:val="0"/>
        <w:spacing w:before="0" w:after="24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 or otherwise deal with such Collateral in accordance with the Administrative Agent’s instructions.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9.17. </w:t>
      </w:r>
      <w:r>
        <w:rPr>
          <w:rFonts w:ascii="Times New Roman;sans-serif" w:hAnsi="Times New Roman;sans-serif"/>
          <w:b w:val="false"/>
          <w:color w:val="000000"/>
          <w:sz w:val="22"/>
          <w:u w:val="single"/>
        </w:rPr>
        <w:t>Releases of Subsidiary Guarantors</w:t>
      </w:r>
      <w:r>
        <w:rPr>
          <w:rFonts w:ascii="Times New Roman;sans-serif" w:hAnsi="Times New Roman;sans-serif"/>
          <w:b w:val="false"/>
          <w:color w:val="000000"/>
          <w:sz w:val="22"/>
        </w:rPr>
        <w:t>.</w:t>
      </w:r>
    </w:p>
    <w:p>
      <w:pPr>
        <w:pStyle w:val="TextBody"/>
        <w:bidi w:val="0"/>
        <w:spacing w:lineRule="auto" w:line="240" w:before="0" w:after="240"/>
        <w:jc w:val="both"/>
        <w:rPr/>
      </w:pPr>
      <w:r>
        <w:rPr>
          <w:rFonts w:ascii="Times New Roman;sans-serif" w:hAnsi="Times New Roman;sans-serif"/>
          <w:b w:val="false"/>
          <w:color w:val="000000"/>
          <w:sz w:val="22"/>
        </w:rPr>
        <w:t xml:space="preserve">(a)    A Subsidiary Guarantor shall automatically be released from its obligations under the Subsidiary Guaranty upon the consummation of any transaction permitted by this Agreement as a result of which such Subsidiary Guarantor ceases to be a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Further, the Administrative Agent may (and is hereby irrevocably authorized by each Lender to), upon the request of the Borrower, release any Subsidiary Guarantor from its obligations under the Subsidiary Guaranty if such Subsidiary Guarantor is no longer a Material Subsidiary.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At such time as the principal and interest on the Loans, all LC Disbursements, the fees, expenses and other amounts payable under the Loan Documents and the other Obligations (other than Banking Services Obligations, Swap Obligations, and other Obligations expressly stated to survive such payment and termination) shall have been paid in full, the Commitments shall have been terminated and no Letters of Credit shall be outstanding, the Subsidiary Guaranty and all obligations (other than those expressly stated to survive such termination) of each Subsidiary Guarantor thereunder shall automatically terminate, all without delivery of any instrument or performance of any act by any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9.18. </w:t>
      </w:r>
      <w:r>
        <w:rPr>
          <w:rFonts w:ascii="Times New Roman;sans-serif" w:hAnsi="Times New Roman;sans-serif"/>
          <w:b w:val="false"/>
          <w:color w:val="000000"/>
          <w:sz w:val="22"/>
          <w:u w:val="single"/>
        </w:rPr>
        <w:t>Interest Rate Limitation</w:t>
      </w:r>
      <w:r>
        <w:rPr>
          <w:rFonts w:ascii="Times New Roman;sans-serif" w:hAnsi="Times New Roman;sans-serif"/>
          <w:b w:val="false"/>
          <w:color w:val="000000"/>
          <w:sz w:val="22"/>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val="false"/>
          <w:color w:val="000000"/>
          <w:sz w:val="22"/>
          <w:u w:val="single"/>
        </w:rPr>
        <w:t>Charges</w:t>
      </w:r>
      <w:r>
        <w:rPr>
          <w:color w:val="000000"/>
        </w:rPr>
        <w:t>”</w:t>
      </w:r>
      <w:r>
        <w:rPr>
          <w:rFonts w:ascii="Times New Roman;sans-serif" w:hAnsi="Times New Roman;sans-serif"/>
          <w:b w:val="false"/>
          <w:color w:val="000000"/>
          <w:sz w:val="22"/>
        </w:rPr>
        <w:t>), shall exceed the maximum lawful rate (the “</w:t>
      </w:r>
      <w:r>
        <w:rPr>
          <w:rFonts w:ascii="Times New Roman;sans-serif" w:hAnsi="Times New Roman;sans-serif"/>
          <w:b w:val="false"/>
          <w:color w:val="000000"/>
          <w:sz w:val="22"/>
          <w:u w:val="single"/>
        </w:rPr>
        <w:t>Maximum Rate</w:t>
      </w:r>
      <w:r>
        <w:rPr>
          <w:color w:val="000000"/>
        </w:rPr>
        <w:t>”</w:t>
      </w:r>
      <w:r>
        <w:rPr>
          <w:rFonts w:ascii="Times New Roman;sans-serif" w:hAnsi="Times New Roman;sans-serif"/>
          <w:b w:val="false"/>
          <w:color w:val="000000"/>
          <w:sz w:val="22"/>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jc w:val="both"/>
        <w:rPr/>
      </w:pPr>
      <w:r>
        <w:rPr>
          <w:rFonts w:ascii="Times New Roman;sans-serif" w:hAnsi="Times New Roman;sans-serif"/>
          <w:b w:val="false"/>
          <w:color w:val="000000"/>
          <w:sz w:val="22"/>
        </w:rPr>
        <w:t xml:space="preserve">SECTION 9.19. </w:t>
      </w:r>
      <w:r>
        <w:rPr>
          <w:rFonts w:ascii="Times New Roman;sans-serif" w:hAnsi="Times New Roman;sans-serif"/>
          <w:b w:val="false"/>
          <w:color w:val="000000"/>
          <w:sz w:val="22"/>
          <w:u w:val="single"/>
        </w:rPr>
        <w:t>No Advisory or Fiduciary Responsibility</w:t>
      </w:r>
      <w:r>
        <w:rPr>
          <w:rFonts w:ascii="Times New Roman;sans-serif" w:hAnsi="Times New Roman;sans-serif"/>
          <w:b w:val="false"/>
          <w:color w:val="000000"/>
          <w:sz w:val="22"/>
        </w:rPr>
        <w:t>. (a)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w:t>
      </w:r>
    </w:p>
    <w:p>
      <w:pPr>
        <w:pStyle w:val="TextBody"/>
        <w:bidi w:val="0"/>
        <w:spacing w:before="0" w:after="24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7"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9.20. </w:t>
      </w:r>
      <w:r>
        <w:rPr>
          <w:rFonts w:ascii="Times New Roman;sans-serif" w:hAnsi="Times New Roman;sans-serif"/>
          <w:b w:val="false"/>
          <w:color w:val="000000"/>
          <w:sz w:val="22"/>
          <w:u w:val="single"/>
        </w:rPr>
        <w:t>Acknowledgment and Consent to Bail-In of Affected Financial Institutions</w:t>
      </w:r>
      <w:r>
        <w:rPr>
          <w:rFonts w:ascii="Times New Roman;sans-serif" w:hAnsi="Times New Roman;sans-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the effects of any Bail-In Action on any such liability, including, if applicable: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a reduction in full or in part or cancellation of any such liability;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(iii)    the variation of the terms of such liability in connection with the exercise of the Write-Down and Conversion Powers of the applicable Resolution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9.21. </w:t>
      </w:r>
      <w:r>
        <w:rPr>
          <w:rFonts w:ascii="Times New Roman;sans-serif" w:hAnsi="Times New Roman;sans-serif"/>
          <w:b w:val="false"/>
          <w:color w:val="000000"/>
          <w:sz w:val="22"/>
          <w:u w:val="single"/>
        </w:rPr>
        <w:t>Acknowledgement Regarding Any Supported QFCs</w:t>
      </w:r>
      <w:r>
        <w:rPr>
          <w:rFonts w:ascii="Times New Roman;sans-serif" w:hAnsi="Times New Roman;sans-serif"/>
          <w:b w:val="false"/>
          <w:color w:val="000000"/>
          <w:sz w:val="22"/>
        </w:rPr>
        <w:t>. To the extent that the Loan Documents provide support, through a guarantee or otherwise, for Hedging Agreements or any other agreement or instrument that is a QFC (such support “</w:t>
      </w:r>
      <w:r>
        <w:rPr>
          <w:rFonts w:ascii="Times New Roman;sans-serif" w:hAnsi="Times New Roman;sans-serif"/>
          <w:b w:val="false"/>
          <w:color w:val="000000"/>
          <w:sz w:val="22"/>
          <w:u w:val="single"/>
        </w:rPr>
        <w:t>QFC Credit Support</w:t>
      </w:r>
      <w:r>
        <w:rPr>
          <w:color w:val="000000"/>
        </w:rPr>
        <w:t xml:space="preserve">” </w:t>
      </w:r>
      <w:r>
        <w:rPr>
          <w:rFonts w:ascii="Times New Roman;sans-serif" w:hAnsi="Times New Roman;sans-serif"/>
          <w:b w:val="false"/>
          <w:color w:val="000000"/>
          <w:sz w:val="22"/>
        </w:rPr>
        <w:t>and each such QFC a “</w:t>
      </w:r>
      <w:r>
        <w:rPr>
          <w:rFonts w:ascii="Times New Roman;sans-serif" w:hAnsi="Times New Roman;sans-serif"/>
          <w:b w:val="false"/>
          <w:color w:val="000000"/>
          <w:sz w:val="22"/>
          <w:u w:val="single"/>
        </w:rPr>
        <w:t>Supported QFC</w:t>
      </w:r>
      <w:r>
        <w:rPr>
          <w:color w:val="000000"/>
        </w:rPr>
        <w:t>”</w:t>
      </w:r>
      <w:r>
        <w:rPr>
          <w:rFonts w:ascii="Times New Roman;sans-serif" w:hAnsi="Times New Roman;sans-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2"/>
          <w:u w:val="single"/>
        </w:rPr>
        <w:t>U.S. Special Resolution Regimes</w:t>
      </w:r>
      <w:r>
        <w:rPr>
          <w:color w:val="000000"/>
        </w:rPr>
        <w:t>”</w:t>
      </w:r>
      <w:r>
        <w:rPr>
          <w:rFonts w:ascii="Times New Roman;sans-serif" w:hAnsi="Times New Roman;sans-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40" w:before="0" w:after="240"/>
        <w:jc w:val="both"/>
        <w:rPr/>
      </w:pPr>
      <w:r>
        <w:rPr>
          <w:rFonts w:ascii="Times New Roman;sans-serif" w:hAnsi="Times New Roman;sans-serif"/>
          <w:b w:val="false"/>
          <w:color w:val="000000"/>
          <w:sz w:val="22"/>
        </w:rPr>
        <w:t>In the event a Covered Entity that is party to a Supported QFC (each, a “</w:t>
      </w:r>
      <w:r>
        <w:rPr>
          <w:rFonts w:ascii="Times New Roman;sans-serif" w:hAnsi="Times New Roman;sans-serif"/>
          <w:b w:val="false"/>
          <w:color w:val="000000"/>
          <w:sz w:val="22"/>
          <w:u w:val="single"/>
        </w:rPr>
        <w:t>Covered Party</w:t>
      </w:r>
      <w:r>
        <w:rPr>
          <w:color w:val="000000"/>
        </w:rPr>
        <w:t>”</w:t>
      </w:r>
      <w:r>
        <w:rPr>
          <w:rFonts w:ascii="Times New Roman;sans-serif" w:hAnsi="Times New Roman;sans-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w:t>
      </w:r>
    </w:p>
    <w:p>
      <w:pPr>
        <w:pStyle w:val="TextBody"/>
        <w:bidi w:val="0"/>
        <w:spacing w:before="0" w:after="24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68"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val="false"/>
          <w:color w:val="000000"/>
          <w:sz w:val="22"/>
        </w:rPr>
        <w:t xml:space="preserve">SECTION 9.22. </w:t>
      </w:r>
      <w:r>
        <w:rPr>
          <w:rFonts w:ascii="Times New Roman;sans-serif" w:hAnsi="Times New Roman;sans-serif"/>
          <w:b w:val="false"/>
          <w:color w:val="000000"/>
          <w:sz w:val="22"/>
          <w:u w:val="single"/>
        </w:rPr>
        <w:t>Lender Acknowledgment Regarding Name Change of MYR Transmission Services, Inc.</w:t>
      </w:r>
      <w:r>
        <w:rPr>
          <w:rFonts w:ascii="Times New Roman;sans-serif" w:hAnsi="Times New Roman;sans-serif"/>
          <w:b w:val="false"/>
          <w:color w:val="000000"/>
          <w:sz w:val="22"/>
        </w:rPr>
        <w:t xml:space="preserve">. By its execution of this Agreement, each Lender (which, for the avoidance of doubt, collectively constitute “Required Lenders” under the Existing Credit Agreement) hereby confirms and agrees that no Default or Event of Default shall be deemed to have occurred or be continuing under the Existing Credit Agreement or this Agreement solely as a result of the name change of MYR Transmission Services, Inc. to “MYR Energy Services, Inc.” on or about February 5, 2020.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ans-serif" w:hAnsi="Times New Roman;sans-serif"/>
          <w:b w:val="false"/>
          <w:color w:val="000000"/>
          <w:sz w:val="22"/>
        </w:rPr>
        <w:t>ARTICLE X</w:t>
      </w:r>
      <w:r>
        <w:rPr>
          <w:rFonts w:ascii="Times New Roman;sans-serif" w:hAnsi="Times New Roman;sans-serif"/>
          <w:b w:val="false"/>
          <w:color w:val="000000"/>
          <w:sz w:val="22"/>
          <w:u w:val="single"/>
        </w:rPr>
        <w:br/>
        <w:br/>
        <w:t>Borrower Guarantee</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order to induce the Lenders to extend credit to the Borrower hereunder and for other good and valuable consideration (the receipt and sufficiency of which are hereby acknowledged), the Borrower hereby absolutely and irrevocably and unconditionally guarantees, as a primary obligor and not merely as a surety, the payment when and as due of the Specified Ancillary Obligations of the Subsidiaries. The Borrower further agrees that the due and punctual payment of such Specified Ancillary Obligations may be extended or renewed, in whole or in part, without notice to or further assent from it, and that it will remain bound upon its guarantee hereunder notwithstanding any such extension or renewal of any such Specified Ancillary Obligation.</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waives presentment to, demand of payment from and protest to any Subsidiary of any of the Specified Ancillary Obligations, and also waives notice of acceptance of its obligations and notice of protest for nonpayment. The obligations of the Borrower hereunder shall not be affected by (a) the failure of any applicable Lender (or any of its Affiliates) to assert any claim or demand or to enforce any right or remedy against any Subsidiary under the provisions of any Banking Services Agreement, any Swap Agreement or otherwise; (b) any extension or renewal of any of the Specified Ancillary Obligations; (c) any rescission, waiver, amendment or modification of, or release from, any of the terms or provisions of this Agreement, any other Loan Document, any Banking Services Agreement, any Swap Agreement or other agreement; (d) any default, failure or delay, willful or otherwise, in the performance of any of the Specified Ancillary Obligations; (e) the failure of any applicable Lender (or any of its Affiliates) to take any steps to perfect and maintain any security interest in, or to preserve any rights to, any security or collateral for the Specified Ancillary Obligations, if any; (f) any change in the corporate, partnership or other existence, structure or ownership of any Subsidiary or any other guarantor of any of the Specified Ancillary Obligations; (g) the enforceability or validity of the Specified Ancillary Obligations or any part thereof or the genuineness, enforceability or validity of any agreement relating thereto or with respect to any collateral securing the Specified Ancillary Obligations or any part thereof, or any other invalidity or unenforceability relating to or against any Subsidiary or any other guarantor of any of the Specified Ancillary Obligations, for any reason related to this Agreement, any other Loan Document, any Banking Services Agreement, any Swap Agreement, or any provision of applicable law, decree, order or regulation of any jurisdiction purporting to prohibit the payment by such Subsidiary or any other guarantor of the Specified Ancillary Obligations, of any of the Specified Ancillary Obligations or otherwise affecting any term of any of the Specified Ancillary Obligations; or (h) any other act, omission or delay to do any other act which may or might in any manner or to any extent vary the risk of the Borrower or otherwise operate as a discharge of a guarantor as a matter of law or equity or which would impair or eliminate any right of the Borrower to subrogation.</w:t>
      </w:r>
    </w:p>
    <w:p>
      <w:pPr>
        <w:pStyle w:val="TextBody"/>
        <w:bidi w:val="0"/>
        <w:spacing w:before="0" w:after="24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69"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further agrees that its agreement hereunder constitutes a guarantee of payment when due (whether or not any bankruptcy or similar proceeding shall have stayed the accrual or collection of any of the Specified Ancillary Obligations or operated as a discharge thereof) and not merely of collection, and waives any right to require that any resort be had by any applicable Lender (or any of its Affiliates) to any balance of any deposit account or credit on the books of the Administrative Agent, any Issuing Bank or any Lender in favor of any Subsidiary or any other Person.</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obligations of the Borrower hereunder shall not be subject to any reduction, limitation, impairment or termination for any reason, and shall not be subject to any defense or set-off, counterclaim, recoupment or termination whatsoever, by reason of the invalidity, illegality or unenforceability of any of the Specified Ancillary Obligations, any impossibility in the performance of any of the Specified Ancillary Obligations or otherwise.</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further agrees that its obligations hereunder shall constitute a continuing and irrevocable guarantee of all Specified Ancillary Obligations now or hereafter existing and shall continue to be effective or be reinstated, as the case may be, if at any time payment, or any part thereof, of any Specified Ancillary Obligation (including a payment effected through exercise of a right of setoff) is rescinded, or is or must otherwise be restored or returned by any applicable Lender (or any of its Affiliates) upon the insolvency, bankruptcy or reorganization of any Subsidiary or otherwise (including pursuant to any settlement entered into by a holder of Specified Ancillary Obligations in its discretion).</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furtherance of the foregoing and not in limitation of any other right which any applicable Lender (or any of its Affiliates) may have at law or in equity against the Borrower by virtue hereof, upon the failure of any Subsidiary to pay any Specified Ancillary Obligation when and as the same shall become due, whether at maturity, by acceleration, after notice of prepayment or otherwise, the Borrower hereby promises to and will, upon receipt of written demand by any applicable Lender (or any of its Affiliates), forthwith pay, or cause to be paid, to such applicable Lender (or any of its Affiliates) in cash an amount equal to the unpaid principal amount of such Specified Ancillary Obligations then due, together with accrued and unpaid interest thereon. The Borrower further agrees that if payment in respect of any Specified Ancillary Obligation shall be due in a currency other than Dollars and/or at a place of payment other than New York, Chicago or any other Foreign Payment Office and if, by reason of any Change in Law, disruption of currency or foreign exchange markets, war or civil disturbance or other event, payment of such Specified Ancillary Obligation in such currency or at such place of payment shall be impossible or, in the reasonable judgment of any applicable Lender (or any of its Affiliates), disadvantageous to such applicable Lender (or any of its Affiliates) in any material respect, then, at the election of such applicable Lender, the Borrower shall make payment of such Specified Ancillary Obligation in Dollars (based upon the applicable Equivalent Amount in effect on the date of payment) and/or in New York, Chicago or such other Foreign Payment Office as is designated by such applicable Lender (or its Affiliate) and, as a separate and independent obligation, shall indemnify such applicable Lender (and any of its Affiliates) against any losses or reasonable out-of-pocket expenses that it shall sustain as a result of such alternative payment.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Upon payment by the Borrower of any sums as provided above, all rights of the Borrower against any Subsidiary arising as a result thereof by way of right of subrogation or otherwise shall in all respects be subordinated and junior in right of payment to the prior indefeasible payment in full in cash of all the Specified Ancillary Obligations owed by such Subsidiary to the applicable Lender (or its applicable Affiliates).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Nothing shall discharge or satisfy the liability of the Borrower hereunder except the full performance and payment in cash of the Secured Obligations.</w:t>
      </w:r>
    </w:p>
    <w:p>
      <w:pPr>
        <w:pStyle w:val="TextBody"/>
        <w:bidi w:val="0"/>
        <w:spacing w:before="0" w:after="24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70"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The Borrower hereby absolutely, unconditionally and irrevocably undertakes to provide such funds or other support as may be needed from time to time by each Subsidiary Guarantor to honor all of its obligations under the Subsidiary Guaranty in respect of Specified Swap Obligations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however, that the Borrower shall only be liable under this paragraph for the maximum amount of such liability that can be hereby incurred without rendering its obligations under this paragraph or otherwise under this </w:t>
      </w:r>
      <w:r>
        <w:rPr>
          <w:rFonts w:ascii="Times New Roman;sans-serif" w:hAnsi="Times New Roman;sans-serif"/>
          <w:b w:val="false"/>
          <w:color w:val="000000"/>
          <w:sz w:val="22"/>
          <w:u w:val="single"/>
        </w:rPr>
        <w:t>Article X</w:t>
      </w:r>
      <w:r>
        <w:rPr>
          <w:color w:val="000000"/>
        </w:rPr>
        <w:t xml:space="preserve"> </w:t>
      </w:r>
      <w:r>
        <w:rPr>
          <w:rFonts w:ascii="Times New Roman;sans-serif" w:hAnsi="Times New Roman;sans-serif"/>
          <w:b w:val="false"/>
          <w:color w:val="000000"/>
          <w:sz w:val="22"/>
        </w:rPr>
        <w:t>voidable under applicable law relating to fraudulent conveyance or fraudulent transfer, and not for any greater amount). The Borrower intends that this paragraph constitute, and this paragraph shall be deemed to constitute, a “keepwell, support, or other agreement” for the benefit of each Subsidiary Guarantor for all purposes of Section 1a(18)(A)(v)(II) of the Commodity Exchange Act.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71"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Agreement to be duly executed by their respective authorized officers as of the day and year first above written.</w:t>
      </w:r>
    </w:p>
    <w:tbl>
      <w:tblPr>
        <w:tblW w:w="3942" w:type="dxa"/>
        <w:jc w:val="left"/>
        <w:tblInd w:w="0" w:type="dxa"/>
        <w:tblLayout w:type="fixed"/>
        <w:tblCellMar>
          <w:top w:w="28" w:type="dxa"/>
          <w:left w:w="28" w:type="dxa"/>
          <w:bottom w:w="28" w:type="dxa"/>
          <w:right w:w="28" w:type="dxa"/>
        </w:tblCellMar>
      </w:tblPr>
      <w:tblGrid>
        <w:gridCol w:w="124"/>
        <w:gridCol w:w="109"/>
        <w:gridCol w:w="109"/>
        <w:gridCol w:w="1053"/>
        <w:gridCol w:w="1053"/>
        <w:gridCol w:w="14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MYR GROUP INC., as the Borrower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Kelly Huntington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Kelly Huntington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Senior Vice President and </w:t>
              <w:br/>
              <w:t>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93370"/>
                <wp:effectExtent l="0" t="0" r="0" b="0"/>
                <wp:wrapNone/>
                <wp:docPr id="172" name="Frame17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r>
                              <w:br w:type="page"/>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individually as a Lender, as an Issuing Bank and as Administrative Agent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 xml:space="preserve">/s/ Brian Ward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Brian Ward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40"/>
              <w:jc w:val="left"/>
              <w:rPr/>
            </w:pPr>
            <w:r>
              <w:rPr/>
            </w:r>
          </w:p>
          <w:p>
            <w:pPr>
              <w:pStyle w:val="TableContents"/>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(TORONTO BRANCH),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 xml:space="preserve">/s/ Jeffrey Coleman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Jeffrey Coleman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r>
    </w:tbl>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293370"/>
                <wp:effectExtent l="0" t="0" r="0" b="0"/>
                <wp:wrapNone/>
                <wp:docPr id="173" name="Frame17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r>
                              <w:br w:type="page"/>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v:textbox>
                <w10:wrap type="none"/>
              </v:rect>
            </w:pict>
          </mc:Fallback>
        </mc:AlternateContent>
      </w:r>
    </w:p>
    <w:p>
      <w:pPr>
        <w:pStyle w:val="TextBody"/>
        <w:bidi w:val="0"/>
        <w:spacing w:before="0" w:after="240"/>
        <w:jc w:val="left"/>
        <w:rPr/>
      </w:pPr>
      <w:r>
        <w:rPr/>
      </w:r>
    </w:p>
    <w:tbl>
      <w:tblPr>
        <w:tblW w:w="9881" w:type="dxa"/>
        <w:jc w:val="left"/>
        <w:tblInd w:w="0" w:type="dxa"/>
        <w:tblLayout w:type="fixed"/>
        <w:tblCellMar>
          <w:top w:w="28" w:type="dxa"/>
          <w:left w:w="28" w:type="dxa"/>
          <w:bottom w:w="28" w:type="dxa"/>
          <w:right w:w="28" w:type="dxa"/>
        </w:tblCellMar>
      </w:tblPr>
      <w:tblGrid>
        <w:gridCol w:w="124"/>
        <w:gridCol w:w="109"/>
        <w:gridCol w:w="109"/>
        <w:gridCol w:w="2791"/>
        <w:gridCol w:w="2791"/>
        <w:gridCol w:w="39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 individually as a Lender, as an Issuing Bank and as Syndication Agent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A. Quinn Richardson</w:t>
            </w:r>
            <w:r>
              <w:rPr>
                <w:color w:val="000000"/>
              </w:rPr>
              <w:t xml:space="preserv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A. Quinn Richardson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
            <w:tcBorders/>
            <w:tcMar>
              <w:top w:w="0" w:type="dxa"/>
              <w:left w:w="0" w:type="dxa"/>
              <w:bottom w:w="0" w:type="dxa"/>
              <w:right w:w="0" w:type="dxa"/>
            </w:tcMar>
            <w:vAlign w:val="center"/>
          </w:tcPr>
          <w:p>
            <w:pPr>
              <w:pStyle w:val="TableContents"/>
              <w:bidi w:val="0"/>
              <w:spacing w:before="0" w:after="240"/>
              <w:jc w:val="left"/>
              <w:rPr/>
            </w:pPr>
            <w:r>
              <w:rPr/>
            </w:r>
          </w:p>
          <w:p>
            <w:pPr>
              <w:pStyle w:val="TableContents"/>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NATIONAL ASSOCIATION (CANADA BRANCH),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Sylwia Durkiewicz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Sylwia Durkiewicz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93370"/>
                <wp:effectExtent l="0" t="0" r="0" b="0"/>
                <wp:wrapNone/>
                <wp:docPr id="174" name="Frame17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r>
                              <w:br w:type="page"/>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MONTREAL, individually as a Lender, as an Issuing Bank and as a Co-Documentation Agent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Michael Gift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Michael Gift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93370"/>
                <wp:effectExtent l="0" t="0" r="0" b="0"/>
                <wp:wrapNone/>
                <wp:docPr id="175" name="Frame17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r>
                              <w:br w:type="page"/>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v:textbox>
                <w10:wrap type="none"/>
              </v:rect>
            </w:pict>
          </mc:Fallback>
        </mc:AlternateContent>
      </w:r>
    </w:p>
    <w:p>
      <w:pPr>
        <w:pStyle w:val="TextBody"/>
        <w:bidi w:val="0"/>
        <w:spacing w:before="0" w:after="2"/>
        <w:jc w:val="left"/>
        <w:rPr/>
      </w:pPr>
      <w:r>
        <w:rPr/>
      </w:r>
    </w:p>
    <w:p>
      <w:pPr>
        <w:pStyle w:val="TextBody"/>
        <w:bidi w:val="0"/>
        <w:spacing w:before="0" w:after="240"/>
        <w:jc w:val="left"/>
        <w:rPr/>
      </w:pPr>
      <w:r>
        <w:rPr/>
      </w:r>
    </w:p>
    <w:tbl>
      <w:tblPr>
        <w:tblW w:w="9807" w:type="dxa"/>
        <w:jc w:val="left"/>
        <w:tblInd w:w="0" w:type="dxa"/>
        <w:tblLayout w:type="fixed"/>
        <w:tblCellMar>
          <w:top w:w="28" w:type="dxa"/>
          <w:left w:w="28" w:type="dxa"/>
          <w:bottom w:w="28" w:type="dxa"/>
          <w:right w:w="28" w:type="dxa"/>
        </w:tblCellMar>
      </w:tblPr>
      <w:tblGrid>
        <w:gridCol w:w="124"/>
        <w:gridCol w:w="109"/>
        <w:gridCol w:w="109"/>
        <w:gridCol w:w="2772"/>
        <w:gridCol w:w="2772"/>
        <w:gridCol w:w="39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39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CIBC BANK USA, individually as a Lender, as an Issuing Bank and as a Co-Documentation Agent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David L. Sauerman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David L. Sauerman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293370"/>
                <wp:effectExtent l="0" t="0" r="0" b="0"/>
                <wp:wrapNone/>
                <wp:docPr id="176" name="Frame17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r>
                              <w:br w:type="page"/>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v:textbox>
                <w10:wrap type="none"/>
              </v:rect>
            </w:pict>
          </mc:Fallback>
        </mc:AlternateContent>
      </w:r>
    </w:p>
    <w:tbl>
      <w:tblPr>
        <w:tblW w:w="6492" w:type="dxa"/>
        <w:jc w:val="left"/>
        <w:tblInd w:w="0" w:type="dxa"/>
        <w:tblLayout w:type="fixed"/>
        <w:tblCellMar>
          <w:top w:w="28" w:type="dxa"/>
          <w:left w:w="28" w:type="dxa"/>
          <w:bottom w:w="28" w:type="dxa"/>
          <w:right w:w="28" w:type="dxa"/>
        </w:tblCellMar>
      </w:tblPr>
      <w:tblGrid>
        <w:gridCol w:w="124"/>
        <w:gridCol w:w="109"/>
        <w:gridCol w:w="109"/>
        <w:gridCol w:w="1801"/>
        <w:gridCol w:w="1801"/>
        <w:gridCol w:w="25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TD BANK, N.A., as a lender and as a Co-Documentation Agent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Megan O'Neill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Megan O'Neill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93370"/>
                <wp:effectExtent l="0" t="0" r="0" b="0"/>
                <wp:wrapNone/>
                <wp:docPr id="177" name="Frame17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r>
                              <w:br w:type="page"/>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 individually as a Lender and as a Co-Documentation Agent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Rosalie C. Hawley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Rosalie C. Hawley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93370"/>
                <wp:effectExtent l="0" t="0" r="0" b="0"/>
                <wp:wrapNone/>
                <wp:docPr id="178" name="Frame17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r>
                              <w:br w:type="page"/>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v:textbox>
                <w10:wrap type="none"/>
              </v:rect>
            </w:pict>
          </mc:Fallback>
        </mc:AlternateContent>
      </w:r>
    </w:p>
    <w:tbl>
      <w:tblPr>
        <w:tblW w:w="5472" w:type="dxa"/>
        <w:jc w:val="left"/>
        <w:tblInd w:w="0" w:type="dxa"/>
        <w:tblLayout w:type="fixed"/>
        <w:tblCellMar>
          <w:top w:w="28" w:type="dxa"/>
          <w:left w:w="28" w:type="dxa"/>
          <w:bottom w:w="28" w:type="dxa"/>
          <w:right w:w="28" w:type="dxa"/>
        </w:tblCellMar>
      </w:tblPr>
      <w:tblGrid>
        <w:gridCol w:w="124"/>
        <w:gridCol w:w="109"/>
        <w:gridCol w:w="109"/>
        <w:gridCol w:w="1502"/>
        <w:gridCol w:w="1502"/>
        <w:gridCol w:w="21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Jonathan F. Lindvall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Jonathan F. Lindvall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93370"/>
                <wp:effectExtent l="0" t="0" r="0" b="0"/>
                <wp:wrapNone/>
                <wp:docPr id="179" name="Frame17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r>
                              <w:br w:type="page"/>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Amended and Restated Credit Agreement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MYR Group Inc.</w:t>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COMMITMENT SCHEDULE</w:t>
      </w:r>
    </w:p>
    <w:p>
      <w:pPr>
        <w:pStyle w:val="TextBody"/>
        <w:bidi w:val="0"/>
        <w:spacing w:before="0" w:after="240"/>
        <w:ind w:left="0" w:right="0" w:firstLine="720"/>
        <w:jc w:val="both"/>
        <w:rPr/>
      </w:pPr>
      <w:r>
        <w:rPr/>
      </w:r>
    </w:p>
    <w:tbl>
      <w:tblPr>
        <w:tblW w:w="4741" w:type="dxa"/>
        <w:jc w:val="left"/>
        <w:tblInd w:w="0" w:type="dxa"/>
        <w:tblLayout w:type="fixed"/>
        <w:tblCellMar>
          <w:top w:w="28" w:type="dxa"/>
          <w:left w:w="28" w:type="dxa"/>
          <w:bottom w:w="28" w:type="dxa"/>
          <w:right w:w="28" w:type="dxa"/>
        </w:tblCellMar>
      </w:tblPr>
      <w:tblGrid>
        <w:gridCol w:w="1072"/>
        <w:gridCol w:w="945"/>
        <w:gridCol w:w="953"/>
        <w:gridCol w:w="518"/>
        <w:gridCol w:w="518"/>
        <w:gridCol w:w="735"/>
      </w:tblGrid>
      <w:tr>
        <w:trPr/>
        <w:tc>
          <w:tcPr>
            <w:tcW w:w="107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Lender</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Commitment</w:t>
            </w:r>
          </w:p>
        </w:tc>
      </w:tr>
      <w:tr>
        <w:trPr/>
        <w:tc>
          <w:tcPr>
            <w:tcW w:w="297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c>
          <w:tcPr>
            <w:tcW w:w="17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$130,000,000.00</w:t>
            </w:r>
          </w:p>
        </w:tc>
      </w:tr>
      <w:tr>
        <w:trPr/>
        <w:tc>
          <w:tcPr>
            <w:tcW w:w="297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w:t>
            </w:r>
          </w:p>
        </w:tc>
        <w:tc>
          <w:tcPr>
            <w:tcW w:w="17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$130,000,000.00</w:t>
            </w:r>
          </w:p>
        </w:tc>
      </w:tr>
      <w:tr>
        <w:trPr/>
        <w:tc>
          <w:tcPr>
            <w:tcW w:w="297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Montreal</w:t>
            </w:r>
          </w:p>
        </w:tc>
        <w:tc>
          <w:tcPr>
            <w:tcW w:w="17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$57,500,000.00</w:t>
            </w:r>
          </w:p>
        </w:tc>
      </w:tr>
      <w:tr>
        <w:trPr/>
        <w:tc>
          <w:tcPr>
            <w:tcW w:w="297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CIBC Bank USA</w:t>
            </w:r>
          </w:p>
        </w:tc>
        <w:tc>
          <w:tcPr>
            <w:tcW w:w="17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$50,000,000.00</w:t>
            </w:r>
          </w:p>
        </w:tc>
      </w:tr>
      <w:tr>
        <w:trPr/>
        <w:tc>
          <w:tcPr>
            <w:tcW w:w="297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TD Bank, N.A.</w:t>
            </w:r>
          </w:p>
        </w:tc>
        <w:tc>
          <w:tcPr>
            <w:tcW w:w="17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$50,000,000.00</w:t>
            </w:r>
          </w:p>
        </w:tc>
      </w:tr>
      <w:tr>
        <w:trPr/>
        <w:tc>
          <w:tcPr>
            <w:tcW w:w="297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w:t>
            </w:r>
          </w:p>
        </w:tc>
        <w:tc>
          <w:tcPr>
            <w:tcW w:w="17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$47,500,000.00</w:t>
            </w:r>
          </w:p>
        </w:tc>
      </w:tr>
      <w:tr>
        <w:trPr/>
        <w:tc>
          <w:tcPr>
            <w:tcW w:w="297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 Bank National Association</w:t>
            </w:r>
          </w:p>
        </w:tc>
        <w:tc>
          <w:tcPr>
            <w:tcW w:w="17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$25,000,000.00</w:t>
            </w:r>
          </w:p>
        </w:tc>
      </w:tr>
      <w:tr>
        <w:trPr/>
        <w:tc>
          <w:tcPr>
            <w:tcW w:w="297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Total</w:t>
            </w:r>
          </w:p>
        </w:tc>
        <w:tc>
          <w:tcPr>
            <w:tcW w:w="177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$490,000,000.00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Commitment Schedule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Commitment Schedule</w:t>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val="false"/>
          <w:color w:val="000000"/>
          <w:sz w:val="22"/>
        </w:rPr>
      </w:pPr>
      <w:r>
        <w:rPr>
          <w:rFonts w:ascii="Times New Roman;sans-serif" w:hAnsi="Times New Roman;sans-serif"/>
          <w:b w:val="false"/>
          <w:color w:val="000000"/>
          <w:sz w:val="22"/>
        </w:rPr>
        <w:t>LETTER OF CREDIT COMMITMENT SCHEDULE</w:t>
      </w:r>
    </w:p>
    <w:tbl>
      <w:tblPr>
        <w:tblW w:w="5850" w:type="dxa"/>
        <w:jc w:val="left"/>
        <w:tblInd w:w="0" w:type="dxa"/>
        <w:tblLayout w:type="fixed"/>
        <w:tblCellMar>
          <w:top w:w="28" w:type="dxa"/>
          <w:left w:w="28" w:type="dxa"/>
          <w:bottom w:w="28" w:type="dxa"/>
          <w:right w:w="28" w:type="dxa"/>
        </w:tblCellMar>
      </w:tblPr>
      <w:tblGrid>
        <w:gridCol w:w="1022"/>
        <w:gridCol w:w="897"/>
        <w:gridCol w:w="901"/>
        <w:gridCol w:w="887"/>
        <w:gridCol w:w="887"/>
        <w:gridCol w:w="1256"/>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Issuing Bank</w:t>
            </w:r>
          </w:p>
        </w:tc>
        <w:tc>
          <w:tcPr>
            <w:tcW w:w="30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Letter of Credit Commitment</w:t>
            </w:r>
          </w:p>
        </w:tc>
      </w:tr>
      <w:tr>
        <w:trPr/>
        <w:tc>
          <w:tcPr>
            <w:tcW w:w="28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c>
          <w:tcPr>
            <w:tcW w:w="30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$28,250,000</w:t>
            </w:r>
          </w:p>
        </w:tc>
      </w:tr>
      <w:tr>
        <w:trPr/>
        <w:tc>
          <w:tcPr>
            <w:tcW w:w="28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w:t>
            </w:r>
          </w:p>
        </w:tc>
        <w:tc>
          <w:tcPr>
            <w:tcW w:w="30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$28,250,000</w:t>
            </w:r>
          </w:p>
        </w:tc>
      </w:tr>
      <w:tr>
        <w:trPr/>
        <w:tc>
          <w:tcPr>
            <w:tcW w:w="28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Montreal</w:t>
            </w:r>
          </w:p>
        </w:tc>
        <w:tc>
          <w:tcPr>
            <w:tcW w:w="30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$11,000,000</w:t>
            </w:r>
          </w:p>
        </w:tc>
      </w:tr>
      <w:tr>
        <w:trPr/>
        <w:tc>
          <w:tcPr>
            <w:tcW w:w="28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CIBC Bank USA</w:t>
            </w:r>
          </w:p>
        </w:tc>
        <w:tc>
          <w:tcPr>
            <w:tcW w:w="30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$7,500,000</w:t>
            </w:r>
          </w:p>
        </w:tc>
      </w:tr>
      <w:tr>
        <w:trPr/>
        <w:tc>
          <w:tcPr>
            <w:tcW w:w="282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Total</w:t>
            </w:r>
          </w:p>
        </w:tc>
        <w:tc>
          <w:tcPr>
            <w:tcW w:w="303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$75,000,000</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Letter of Credit Commitment Schedule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Letter of Credit Commitment Schedule</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EXHIBIT A</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ASSIGNMENT AND ASSUMPTION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This Assignment and Assumption (the “</w:t>
      </w:r>
      <w:r>
        <w:rPr>
          <w:rFonts w:ascii="Times New Roman;sans-serif" w:hAnsi="Times New Roman;sans-serif"/>
          <w:b w:val="false"/>
          <w:color w:val="000000"/>
          <w:sz w:val="22"/>
          <w:u w:val="single"/>
        </w:rPr>
        <w:t>Assignment and Assumption</w:t>
      </w:r>
      <w:r>
        <w:rPr>
          <w:color w:val="000000"/>
        </w:rPr>
        <w:t>”</w:t>
      </w:r>
      <w:r>
        <w:rPr>
          <w:rFonts w:ascii="Times New Roman;sans-serif" w:hAnsi="Times New Roman;sans-serif"/>
          <w:b w:val="false"/>
          <w:color w:val="000000"/>
          <w:sz w:val="22"/>
        </w:rPr>
        <w:t>) is dated as of the Effective Date set forth below and is entered into by and between [</w:t>
      </w:r>
      <w:r>
        <w:rPr>
          <w:rFonts w:ascii="Times New Roman;sans-serif" w:hAnsi="Times New Roman;sans-serif"/>
          <w:b w:val="false"/>
          <w:i/>
          <w:color w:val="000000"/>
          <w:sz w:val="22"/>
        </w:rPr>
        <w:t>Insert name of Assignor</w:t>
      </w:r>
      <w:r>
        <w:rPr>
          <w:rFonts w:ascii="Times New Roman;sans-serif" w:hAnsi="Times New Roman;sans-serif"/>
          <w:b w:val="false"/>
          <w:color w:val="000000"/>
          <w:sz w:val="22"/>
        </w:rPr>
        <w:t>] (the “</w:t>
      </w:r>
      <w:r>
        <w:rPr>
          <w:rFonts w:ascii="Times New Roman;sans-serif" w:hAnsi="Times New Roman;sans-serif"/>
          <w:b w:val="false"/>
          <w:color w:val="000000"/>
          <w:sz w:val="22"/>
          <w:u w:val="single"/>
        </w:rPr>
        <w:t>Assignor</w:t>
      </w:r>
      <w:r>
        <w:rPr>
          <w:color w:val="000000"/>
        </w:rPr>
        <w:t>”</w:t>
      </w:r>
      <w:r>
        <w:rPr>
          <w:rFonts w:ascii="Times New Roman;sans-serif" w:hAnsi="Times New Roman;sans-serif"/>
          <w:b w:val="false"/>
          <w:color w:val="000000"/>
          <w:sz w:val="22"/>
        </w:rPr>
        <w:t>) and [</w:t>
      </w:r>
      <w:r>
        <w:rPr>
          <w:rFonts w:ascii="Times New Roman;sans-serif" w:hAnsi="Times New Roman;sans-serif"/>
          <w:b w:val="false"/>
          <w:i/>
          <w:color w:val="000000"/>
          <w:sz w:val="22"/>
        </w:rPr>
        <w:t>Insert name of Assignee</w:t>
      </w:r>
      <w:r>
        <w:rPr>
          <w:rFonts w:ascii="Times New Roman;sans-serif" w:hAnsi="Times New Roman;sans-serif"/>
          <w:b w:val="false"/>
          <w:color w:val="000000"/>
          <w:sz w:val="22"/>
        </w:rPr>
        <w:t>] (the</w:t>
      </w:r>
      <w:r>
        <w:rPr>
          <w:color w:val="000000"/>
        </w:rPr>
        <w:t xml:space="preserve"> “</w:t>
      </w:r>
      <w:r>
        <w:rPr>
          <w:rFonts w:ascii="Times New Roman;sans-serif" w:hAnsi="Times New Roman;sans-serif"/>
          <w:b w:val="false"/>
          <w:color w:val="000000"/>
          <w:sz w:val="22"/>
          <w:u w:val="single"/>
        </w:rPr>
        <w:t>Assignee</w:t>
      </w:r>
      <w:r>
        <w:rPr>
          <w:color w:val="000000"/>
        </w:rPr>
        <w:t>”</w:t>
      </w:r>
      <w:r>
        <w:rPr>
          <w:rFonts w:ascii="Times New Roman;sans-serif" w:hAnsi="Times New Roman;sans-serif"/>
          <w:b w:val="false"/>
          <w:color w:val="000000"/>
          <w:sz w:val="22"/>
        </w:rPr>
        <w:t>). Capitalized terms used but not defined herein shall have the meanings given to them in the Credit Agreement identified below (as amended,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swingline loans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sans-serif" w:hAnsi="Times New Roman;sans-serif"/>
          <w:b w:val="false"/>
          <w:color w:val="000000"/>
          <w:sz w:val="22"/>
          <w:u w:val="single"/>
        </w:rPr>
        <w:t>Assigned Loan Interest</w:t>
      </w:r>
      <w:r>
        <w:rPr>
          <w:color w:val="000000"/>
        </w:rPr>
        <w:t>”</w:t>
      </w:r>
      <w:r>
        <w:rPr>
          <w:rFonts w:ascii="Times New Roman;sans-serif" w:hAnsi="Times New Roman;sans-serif"/>
          <w:b w:val="false"/>
          <w:color w:val="000000"/>
          <w:sz w:val="22"/>
        </w:rPr>
        <w:t>). Such sale and assignment is without recourse to the Assignor and, except as expressly provided in this Assignment and Assumption, without representation or warranty by the Assignor.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611"/>
        <w:gridCol w:w="605"/>
        <w:gridCol w:w="572"/>
        <w:gridCol w:w="2888"/>
        <w:gridCol w:w="2149"/>
        <w:gridCol w:w="3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Assignor:</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Assignee:</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5" w:type="dxa"/>
            <w:gridSpan w:val="3"/>
            <w:tcBorders/>
            <w:tcMar>
              <w:top w:w="0" w:type="dxa"/>
              <w:left w:w="0" w:type="dxa"/>
              <w:bottom w:w="0" w:type="dxa"/>
              <w:right w:w="0" w:type="dxa"/>
            </w:tcMar>
            <w:vAlign w:val="center"/>
          </w:tcPr>
          <w:p>
            <w:pPr>
              <w:pStyle w:val="TableContents"/>
              <w:bidi w:val="0"/>
              <w:spacing w:lineRule="auto" w:line="240" w:before="0" w:after="120"/>
              <w:jc w:val="left"/>
              <w:rPr/>
            </w:pPr>
            <w:r>
              <w:rPr>
                <w:rFonts w:ascii="Times New Roman;sans-serif" w:hAnsi="Times New Roman;sans-serif"/>
                <w:b w:val="false"/>
                <w:color w:val="000000"/>
                <w:sz w:val="22"/>
              </w:rPr>
              <w:t>[and is an Affiliate/Approved Fund of [</w:t>
            </w:r>
            <w:r>
              <w:rPr>
                <w:rFonts w:ascii="Times New Roman;sans-serif" w:hAnsi="Times New Roman;sans-serif"/>
                <w:b w:val="false"/>
                <w:i/>
                <w:color w:val="000000"/>
                <w:sz w:val="22"/>
              </w:rPr>
              <w:t>identify Lender</w:t>
            </w:r>
            <w:r>
              <w:rPr>
                <w:rFonts w:ascii="Times New Roman;sans-serif" w:hAnsi="Times New Roman;sans-serif"/>
                <w:b w:val="false"/>
                <w:color w:val="000000"/>
                <w:sz w:val="22"/>
              </w:rPr>
              <w:t>]]</w:t>
            </w:r>
            <w:r>
              <w:rPr>
                <w:rFonts w:ascii="Times New Roman;sans-serif" w:hAnsi="Times New Roman;sans-serif"/>
                <w:b w:val="false"/>
                <w:color w:val="000000"/>
                <w:sz w:val="14"/>
              </w:rPr>
              <w:t>1</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Borrower:</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MYR Group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as the administrative agent under the Credit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Credit Agreement:</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Third Amended and Restated Credit Agreement dated as of May 31, 2023 among MYR Group Inc., as the Borrower, the Lenders parties thereto and JPMorgan Chase Bank, N.A., as Administrative Agent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Assigned Loan Interest:</w:t>
            </w:r>
          </w:p>
        </w:tc>
        <w:tc>
          <w:tcPr>
            <w:tcW w:w="8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40" w:before="0" w:after="240"/>
        <w:jc w:val="left"/>
        <w:rPr/>
      </w:pP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18"/>
        </w:rPr>
        <w:t>Select as applicable.</w:t>
      </w:r>
    </w:p>
    <w:p>
      <w:pPr>
        <w:pStyle w:val="TextBody"/>
        <w:bidi w:val="0"/>
        <w:spacing w:before="0" w:after="24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60655"/>
                <wp:effectExtent l="0" t="0" r="0" b="0"/>
                <wp:wrapNone/>
                <wp:docPr id="182" name="Frame1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37"/>
        <w:gridCol w:w="1261"/>
        <w:gridCol w:w="1267"/>
        <w:gridCol w:w="997"/>
        <w:gridCol w:w="997"/>
        <w:gridCol w:w="999"/>
        <w:gridCol w:w="505"/>
        <w:gridCol w:w="505"/>
        <w:gridCol w:w="505"/>
        <w:gridCol w:w="505"/>
        <w:gridCol w:w="505"/>
        <w:gridCol w:w="722"/>
      </w:tblGrid>
      <w:tr>
        <w:trPr/>
        <w:tc>
          <w:tcPr>
            <w:tcW w:w="143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Aggregate Amount of Commitment/Loans for all Lenders</w:t>
            </w:r>
          </w:p>
        </w:tc>
        <w:tc>
          <w:tcPr>
            <w:tcW w:w="2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Amount of Commitment/Loans Assigned</w:t>
            </w:r>
          </w:p>
        </w:tc>
        <w:tc>
          <w:tcPr>
            <w:tcW w:w="3247"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Percentage Assigned of Commitment/Loans</w:t>
            </w:r>
            <w:r>
              <w:rPr>
                <w:rFonts w:ascii="Times New Roman;sans-serif" w:hAnsi="Times New Roman;sans-serif"/>
                <w:b w:val="false"/>
                <w:color w:val="000000"/>
                <w:sz w:val="14"/>
              </w:rPr>
              <w:t>2</w:t>
            </w:r>
          </w:p>
        </w:tc>
      </w:tr>
      <w:tr>
        <w:trPr/>
        <w:tc>
          <w:tcPr>
            <w:tcW w:w="3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9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32"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9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32"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9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32"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Effective Date: _____________ ___, 20___ [TO BE INSERTED BY ADMINISTRATIVE AGENT AND WHICH SHALL BE THE EFFECTIVE DATE OF RECORDATION OF TRANSFER IN THE REGISTER THEREFOR.]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[its]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terms set forth in this Assignment and Assumption are hereby agreed to:</w:t>
      </w:r>
    </w:p>
    <w:p>
      <w:pPr>
        <w:pStyle w:val="TextBody"/>
        <w:bidi w:val="0"/>
        <w:spacing w:lineRule="auto" w:line="240" w:before="0" w:after="240"/>
        <w:jc w:val="left"/>
        <w:rPr/>
      </w:pPr>
      <w:r>
        <w:rPr>
          <w:rFonts w:ascii="Times New Roman;sans-serif" w:hAnsi="Times New Roman;sans-serif"/>
          <w:b w:val="false"/>
          <w:color w:val="000000"/>
          <w:sz w:val="14"/>
        </w:rPr>
        <w:t>2</w:t>
      </w:r>
      <w:r>
        <w:rPr>
          <w:color w:val="000000"/>
        </w:rPr>
        <w:t xml:space="preserve"> </w:t>
      </w:r>
      <w:r>
        <w:rPr>
          <w:rFonts w:ascii="Times New Roman;sans-serif" w:hAnsi="Times New Roman;sans-serif"/>
          <w:b w:val="false"/>
          <w:color w:val="000000"/>
          <w:sz w:val="18"/>
        </w:rPr>
        <w:t>Set forth, to at least 9 decimals, as a percentage of the Commitment/Loans of all Lenders thereunder.</w:t>
      </w:r>
    </w:p>
    <w:p>
      <w:pPr>
        <w:pStyle w:val="TextBody"/>
        <w:bidi w:val="0"/>
        <w:spacing w:before="0" w:after="24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60655"/>
                <wp:effectExtent l="0" t="0" r="0" b="0"/>
                <wp:wrapNone/>
                <wp:docPr id="183" name="Frame1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p>
                  </w:txbxContent>
                </v:textbox>
                <w10:wrap type="none"/>
              </v:rect>
            </w:pict>
          </mc:Fallback>
        </mc:AlternateContent>
      </w:r>
    </w:p>
    <w:tbl>
      <w:tblPr>
        <w:tblW w:w="4601" w:type="dxa"/>
        <w:jc w:val="left"/>
        <w:tblInd w:w="0" w:type="dxa"/>
        <w:tblLayout w:type="fixed"/>
        <w:tblCellMar>
          <w:top w:w="28" w:type="dxa"/>
          <w:left w:w="28" w:type="dxa"/>
          <w:bottom w:w="28" w:type="dxa"/>
          <w:right w:w="28" w:type="dxa"/>
        </w:tblCellMar>
      </w:tblPr>
      <w:tblGrid>
        <w:gridCol w:w="124"/>
        <w:gridCol w:w="109"/>
        <w:gridCol w:w="109"/>
        <w:gridCol w:w="1244"/>
        <w:gridCol w:w="1244"/>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ASSIGNOR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ASSIGNOR]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ASSIGNEE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ASSIGNEE]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bidi w:val="0"/>
        <w:spacing w:before="0" w:after="240"/>
        <w:jc w:val="left"/>
        <w:rPr/>
      </w:pPr>
      <w:r>
        <w:rPr/>
      </w:r>
    </w:p>
    <w:tbl>
      <w:tblPr>
        <w:tblW w:w="6362" w:type="dxa"/>
        <w:jc w:val="left"/>
        <w:tblInd w:w="0" w:type="dxa"/>
        <w:tblLayout w:type="fixed"/>
        <w:tblCellMar>
          <w:top w:w="28" w:type="dxa"/>
          <w:left w:w="28" w:type="dxa"/>
          <w:bottom w:w="28" w:type="dxa"/>
          <w:right w:w="28" w:type="dxa"/>
        </w:tblCellMar>
      </w:tblPr>
      <w:tblGrid>
        <w:gridCol w:w="686"/>
        <w:gridCol w:w="605"/>
        <w:gridCol w:w="605"/>
        <w:gridCol w:w="1361"/>
        <w:gridCol w:w="1361"/>
        <w:gridCol w:w="1372"/>
        <w:gridCol w:w="109"/>
        <w:gridCol w:w="109"/>
        <w:gridCol w:w="154"/>
      </w:tblGrid>
      <w:tr>
        <w:trPr/>
        <w:tc>
          <w:tcPr>
            <w:tcW w:w="68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Consented to and Accepted: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 and an Issuing Bank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60655"/>
                <wp:effectExtent l="0" t="0" r="0" b="0"/>
                <wp:wrapNone/>
                <wp:docPr id="184" name="Frame1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p>
                  </w:txbxContent>
                </v:textbox>
                <w10:wrap type="none"/>
              </v:rect>
            </w:pict>
          </mc:Fallback>
        </mc:AlternateContent>
      </w:r>
    </w:p>
    <w:tbl>
      <w:tblPr>
        <w:tblW w:w="4963" w:type="dxa"/>
        <w:jc w:val="left"/>
        <w:tblInd w:w="0" w:type="dxa"/>
        <w:tblLayout w:type="fixed"/>
        <w:tblCellMar>
          <w:top w:w="28" w:type="dxa"/>
          <w:left w:w="28" w:type="dxa"/>
          <w:bottom w:w="28" w:type="dxa"/>
          <w:right w:w="28" w:type="dxa"/>
        </w:tblCellMar>
      </w:tblPr>
      <w:tblGrid>
        <w:gridCol w:w="850"/>
        <w:gridCol w:w="747"/>
        <w:gridCol w:w="747"/>
        <w:gridCol w:w="747"/>
        <w:gridCol w:w="747"/>
        <w:gridCol w:w="753"/>
        <w:gridCol w:w="109"/>
        <w:gridCol w:w="109"/>
        <w:gridCol w:w="154"/>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0"/>
              </w:rPr>
              <w:t>BANK OF AMERICA, N.A., as</w:t>
              <w:br/>
            </w:r>
            <w:r>
              <w:rPr>
                <w:rFonts w:ascii="Times New Roman;sans-serif" w:hAnsi="Times New Roman;sans-serif"/>
                <w:b w:val="false"/>
                <w:sz w:val="20"/>
              </w:rPr>
              <w:br/>
              <w:br/>
            </w:r>
            <w:r>
              <w:rPr>
                <w:rFonts w:ascii="Times New Roman;sans-serif" w:hAnsi="Times New Roman;sans-serif"/>
                <w:b w:val="false"/>
                <w:color w:val="000000"/>
                <w:sz w:val="20"/>
              </w:rPr>
              <w:t>an Issuing Bank</w:t>
              <w:br/>
            </w:r>
            <w:r>
              <w:rPr>
                <w:rFonts w:ascii="Times New Roman;sans-serif" w:hAnsi="Times New Roman;sans-serif"/>
                <w:b w:val="false"/>
                <w:sz w:val="20"/>
              </w:rPr>
              <w:br/>
              <w:br/>
              <w:br/>
              <w:br/>
              <w:br/>
            </w:r>
            <w:r>
              <w:rPr>
                <w:rFonts w:ascii="Times New Roman;sans-serif" w:hAnsi="Times New Roman;sans-serif"/>
                <w:b w:val="false"/>
                <w:color w:val="000000"/>
                <w:sz w:val="20"/>
              </w:rPr>
              <w:t>By    _________________________________</w:t>
              <w:br/>
            </w:r>
            <w:r>
              <w:rPr>
                <w:rFonts w:ascii="Times New Roman;sans-serif" w:hAnsi="Times New Roman;sans-serif"/>
                <w:b w:val="false"/>
                <w:sz w:val="20"/>
              </w:rPr>
              <w:br/>
            </w:r>
            <w:r>
              <w:rPr>
                <w:color w:val="000000"/>
              </w:rPr>
              <w:t>        </w:t>
            </w:r>
            <w:r>
              <w:rPr>
                <w:rFonts w:ascii="Times New Roman;sans-serif" w:hAnsi="Times New Roman;sans-serif"/>
                <w:b w:val="false"/>
                <w:color w:val="000000"/>
                <w:sz w:val="20"/>
              </w:rPr>
              <w:t>Title</w:t>
              <w:br/>
            </w:r>
            <w:r>
              <w:rPr>
                <w:rFonts w:ascii="Times New Roman;sans-serif" w:hAnsi="Times New Roman;sans-serif"/>
                <w:b w:val="false"/>
                <w:sz w:val="20"/>
              </w:rPr>
              <w:br/>
              <w:br/>
              <w:br/>
            </w:r>
            <w:r>
              <w:rPr>
                <w:rFonts w:ascii="Times New Roman;sans-serif" w:hAnsi="Times New Roman;sans-serif"/>
                <w:b w:val="false"/>
                <w:color w:val="000000"/>
                <w:sz w:val="20"/>
              </w:rPr>
              <w:t>[OTHERS ISSUING BANKS], as</w:t>
              <w:br/>
            </w:r>
            <w:r>
              <w:rPr>
                <w:rFonts w:ascii="Times New Roman;sans-serif" w:hAnsi="Times New Roman;sans-serif"/>
                <w:b w:val="false"/>
                <w:sz w:val="20"/>
              </w:rPr>
              <w:br/>
              <w:br/>
            </w:r>
            <w:r>
              <w:rPr>
                <w:rFonts w:ascii="Times New Roman;sans-serif" w:hAnsi="Times New Roman;sans-serif"/>
                <w:b w:val="false"/>
                <w:color w:val="000000"/>
                <w:sz w:val="20"/>
              </w:rPr>
              <w:t>an Issuing Bank</w:t>
              <w:br/>
            </w:r>
            <w:r>
              <w:rPr>
                <w:rFonts w:ascii="Times New Roman;sans-serif" w:hAnsi="Times New Roman;sans-serif"/>
                <w:b w:val="false"/>
                <w:sz w:val="20"/>
              </w:rPr>
              <w:br/>
              <w:br/>
              <w:br/>
              <w:br/>
              <w:br/>
            </w:r>
            <w:r>
              <w:rPr>
                <w:rFonts w:ascii="Times New Roman;sans-serif" w:hAnsi="Times New Roman;sans-serif"/>
                <w:b w:val="false"/>
                <w:color w:val="000000"/>
                <w:sz w:val="20"/>
              </w:rPr>
              <w:t>By    _________________________________</w:t>
              <w:br/>
            </w:r>
            <w:r>
              <w:rPr>
                <w:rFonts w:ascii="Times New Roman;sans-serif" w:hAnsi="Times New Roman;sans-serif"/>
                <w:b w:val="false"/>
                <w:sz w:val="20"/>
              </w:rPr>
              <w:br/>
            </w:r>
            <w:r>
              <w:rPr>
                <w:color w:val="000000"/>
              </w:rPr>
              <w:t>        </w:t>
            </w:r>
            <w:r>
              <w:rPr>
                <w:rFonts w:ascii="Times New Roman;sans-serif" w:hAnsi="Times New Roman;sans-serif"/>
                <w:b w:val="false"/>
                <w:color w:val="000000"/>
                <w:sz w:val="20"/>
              </w:rPr>
              <w:t>Title</w:t>
              <w:br/>
            </w:r>
            <w:r>
              <w:rPr>
                <w:rFonts w:ascii="Times New Roman;sans-serif" w:hAnsi="Times New Roman;sans-serif"/>
                <w:b w:val="false"/>
                <w:sz w:val="20"/>
              </w:rPr>
              <w:br/>
              <w:br/>
            </w:r>
            <w:r>
              <w:rPr>
                <w:rFonts w:ascii="Times New Roman;sans-serif" w:hAnsi="Times New Roman;sans-serif"/>
                <w:b w:val="false"/>
                <w:color w:val="000000"/>
                <w:sz w:val="20"/>
              </w:rPr>
              <w:t>[Consented to:]</w:t>
            </w:r>
            <w:r>
              <w:rPr>
                <w:rFonts w:ascii="Times New Roman;sans-serif" w:hAnsi="Times New Roman;sans-serif"/>
                <w:b w:val="false"/>
                <w:color w:val="000000"/>
                <w:sz w:val="13"/>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MYR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40" w:before="0" w:after="240"/>
        <w:jc w:val="left"/>
        <w:rPr/>
      </w:pPr>
      <w:r>
        <w:rPr>
          <w:rFonts w:ascii="Times New Roman;sans-serif" w:hAnsi="Times New Roman;sans-serif"/>
          <w:b w:val="false"/>
          <w:color w:val="000000"/>
          <w:sz w:val="14"/>
        </w:rPr>
        <w:t>3</w:t>
      </w:r>
      <w:r>
        <w:rPr>
          <w:color w:val="000000"/>
        </w:rPr>
        <w:t xml:space="preserve"> </w:t>
      </w:r>
      <w:r>
        <w:rPr>
          <w:rFonts w:ascii="Times New Roman;sans-serif" w:hAnsi="Times New Roman;sans-serif"/>
          <w:b w:val="false"/>
          <w:color w:val="000000"/>
          <w:sz w:val="18"/>
        </w:rPr>
        <w:t>To be added only if the consent of the Borrower is required by the terms of the Credit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60655"/>
                <wp:effectExtent l="0" t="0" r="0" b="0"/>
                <wp:wrapNone/>
                <wp:docPr id="185" name="Frame1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ANNEX 1</w:t>
      </w:r>
    </w:p>
    <w:p>
      <w:pPr>
        <w:pStyle w:val="TextBody"/>
        <w:bidi w:val="0"/>
        <w:spacing w:lineRule="auto" w:line="240" w:before="0" w:after="240"/>
        <w:jc w:val="center"/>
        <w:rPr/>
      </w:pPr>
      <w:r>
        <w:rPr>
          <w:rFonts w:ascii="Times New Roman;sans-serif" w:hAnsi="Times New Roman;sans-serif"/>
          <w:b w:val="false"/>
          <w:color w:val="000000"/>
          <w:sz w:val="22"/>
        </w:rPr>
        <w:t>[__________________]</w:t>
      </w:r>
      <w:r>
        <w:rPr>
          <w:rFonts w:ascii="Times New Roman;sans-serif" w:hAnsi="Times New Roman;sans-serif"/>
          <w:b w:val="false"/>
          <w:color w:val="000000"/>
          <w:sz w:val="14"/>
        </w:rPr>
        <w:t>4</w:t>
      </w:r>
      <w:r>
        <w:rPr>
          <w:rFonts w:ascii="Times New Roman;sans-serif" w:hAnsi="Times New Roman;sans-serif"/>
          <w:b w:val="false"/>
          <w:color w:val="000000"/>
          <w:sz w:val="22"/>
        </w:rPr>
        <w:br/>
        <w:br/>
        <w:t>STANDARD TERMS AND CONDITIONS FOR</w:t>
        <w:br/>
        <w:t>ASSIGNMENT AND ASSUMPTION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Assignor</w:t>
      </w:r>
      <w:r>
        <w:rPr>
          <w:rFonts w:ascii="Times New Roman;sans-serif" w:hAnsi="Times New Roman;sans-serif"/>
          <w:b w:val="false"/>
          <w:color w:val="000000"/>
          <w:sz w:val="22"/>
        </w:rPr>
        <w:t>. The Assignor (a) represents and warrants that (i) it is the legal and beneficial owner of the Assigned Loan Interest, (ii) the Assigned Loan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Assignee</w:t>
      </w:r>
      <w:r>
        <w:rPr>
          <w:rFonts w:ascii="Times New Roman;sans-serif" w:hAnsi="Times New Roman;sans-serif"/>
          <w:b w:val="false"/>
          <w:color w:val="000000"/>
          <w:sz w:val="22"/>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Loan Interest and become a Lender, (iii) from and after the Effective Date, it shall be bound by the provisions of the Credit Agreement as a Lender thereunder and, to the extent of the Assigned Loan Interest, shall have the obligations of a Lender thereunder, (iv) it has received a copy of the Credit Agreement, together with copies of the most recent financial statements delivered pursuant to Section ___ thereof, as applicable, and such other documents and information as it has deemed appropriate to make its own credit analysis and decision to enter into this Assignment and Assumption and to purchase the Assigned Loan Interest on the basis of which it has made such analysis and decision independently and without reliance on the Administrative Agent or any other Lender,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Without limiting the foregoing, the Assignee represents and warrants, and agrees to, each of the matters set forth in Section 8.05 of the Credit Agreement, including that the Loan Documents set out the terms of a commercial lending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From and after the Effective Date, the Administrative Agent shall make all payments in respect of the Assigned Loan Interest (including payments of principal, interest, fees and other amounts) to the Assignor for amounts which have accrued to but excluding the Effective Date and to the Assignee for amounts which have accrued from and after the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General Provisions</w:t>
      </w:r>
      <w:r>
        <w:rPr>
          <w:rFonts w:ascii="Times New Roman;sans-serif" w:hAnsi="Times New Roman;sans-serif"/>
          <w:b w:val="false"/>
          <w:color w:val="000000"/>
          <w:sz w:val="22"/>
        </w:rPr>
        <w:t>. This Assignment and Assumption shall be binding upon, and inure to the benefit of, the parties hereto and their respective successors and assigns. This Assignment and Assumption may be executed in any number of counterparts, which together shall constitute one instrument.</w:t>
      </w:r>
    </w:p>
    <w:p>
      <w:pPr>
        <w:pStyle w:val="TextBody"/>
        <w:bidi w:val="0"/>
        <w:spacing w:lineRule="auto" w:line="240" w:before="0" w:after="240"/>
        <w:jc w:val="left"/>
        <w:rPr/>
      </w:pPr>
      <w:r>
        <w:rPr>
          <w:rFonts w:ascii="Times New Roman;sans-serif" w:hAnsi="Times New Roman;sans-serif"/>
          <w:b w:val="false"/>
          <w:color w:val="000000"/>
          <w:sz w:val="14"/>
        </w:rPr>
        <w:t>4</w:t>
      </w:r>
      <w:r>
        <w:rPr>
          <w:color w:val="000000"/>
        </w:rPr>
        <w:t xml:space="preserve"> </w:t>
      </w:r>
      <w:r>
        <w:rPr>
          <w:rFonts w:ascii="Times New Roman;sans-serif" w:hAnsi="Times New Roman;sans-serif"/>
          <w:b w:val="false"/>
          <w:color w:val="000000"/>
          <w:sz w:val="18"/>
        </w:rPr>
        <w:t>Describe Credit Agreement at option of Administrative Agent.</w:t>
      </w:r>
    </w:p>
    <w:p>
      <w:pPr>
        <w:pStyle w:val="TextBody"/>
        <w:bidi w:val="0"/>
        <w:spacing w:before="0" w:after="24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60655"/>
                <wp:effectExtent l="0" t="0" r="0" b="0"/>
                <wp:wrapNone/>
                <wp:docPr id="186" name="Frame1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Delivery of an executed counterpart of a signature page of this Assignment and Assumption by an Approved Electronic Platform shall be effective as delivery of a manually executed counterpart of this Assignment and Assumption. This Assignment and Assumption shall be governed by, and construed in accordance with, the law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60655"/>
                <wp:effectExtent l="0" t="0" r="0" b="0"/>
                <wp:wrapNone/>
                <wp:docPr id="187" name="Frame1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EXHIBIT B</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LIST OF CLOSING DOCUMENTS</w:t>
      </w:r>
    </w:p>
    <w:p>
      <w:pPr>
        <w:pStyle w:val="TextBody"/>
        <w:bidi w:val="0"/>
        <w:spacing w:before="0" w:after="240"/>
        <w:jc w:val="left"/>
        <w:rPr/>
      </w:pPr>
      <w:r>
        <w:rPr/>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60655"/>
                <wp:effectExtent l="0" t="0" r="0" b="0"/>
                <wp:wrapNone/>
                <wp:docPr id="188" name="Frame1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B</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EXHIBIT C-1</w:t>
      </w:r>
    </w:p>
    <w:p>
      <w:pPr>
        <w:pStyle w:val="TextBody"/>
        <w:bidi w:val="0"/>
        <w:spacing w:before="0" w:after="240"/>
        <w:jc w:val="left"/>
        <w:rPr/>
      </w:pPr>
      <w:r>
        <w:rPr/>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FORM OF INCREASING LENDER SUPPLEMENT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INCREASING LENDER SUPPLEMENT, dated __________, 20___ (this “</w:t>
      </w:r>
      <w:r>
        <w:rPr>
          <w:rFonts w:ascii="Times New Roman;sans-serif" w:hAnsi="Times New Roman;sans-serif"/>
          <w:b w:val="false"/>
          <w:color w:val="000000"/>
          <w:sz w:val="22"/>
          <w:u w:val="single"/>
        </w:rPr>
        <w:t>Supplement</w:t>
      </w:r>
      <w:r>
        <w:rPr>
          <w:color w:val="000000"/>
        </w:rPr>
        <w:t>”</w:t>
      </w:r>
      <w:r>
        <w:rPr>
          <w:rFonts w:ascii="Times New Roman;sans-serif" w:hAnsi="Times New Roman;sans-serif"/>
          <w:b w:val="false"/>
          <w:color w:val="000000"/>
          <w:sz w:val="22"/>
        </w:rPr>
        <w:t>), by and among each of the signatories hereto, to the Third Amended and Restated Credit Agreement, dated as of May 31, 2023 (as amended,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MYR Group Inc.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Lenders party thereto and JPMorgan Chase Bank, N.A., as administrative agent (in such capacity,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E T H</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2.04 of the Credit Agreement, the Borrower has the right, subject to the terms and conditions thereof, to effectuate from time to time an increase in the Aggregate Commitment and/or one or more tranches of Incremental Term Loans under the Credit Agreement by requesting one or more Lenders to increase the amount of its Commitment and/or to participate in such a tranche;</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 has given notice to the Administrative Agent of its intention to [increase the Aggregate Commitment] [and] [enter into a tranche of Incremental Term Loans] pursuant to such Section 2.04;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2.04 of the Credit Agreement, the undersigned Increasing Lender now desires to [increase the amount of its Commitment] [and] [participate in a tranche of Incremental Term Loans] under the Credit Agreement by executing and delivering to the Borrower and the Administrative Agent this Supplement;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each of the parties hereto hereby agrees as follows: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1.    The undersigned Increasing Lender agrees, subject to the terms and conditions of the Credit Agreement, that on the date of this Supplement it shall [have its Commitment increased by $[__________], thereby making the aggregate amount of its total Commitments equal to $[__________]] [and] [participate in a tranche of Incremental Term Loans with a commitment amount equal to $[__________] with respect thereto].</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2.    The Borrower hereby represents and warrants that no Default or Event of Default has occurred and is continuing on and as of the date hereof.</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3.    Terms defined in the Credit Agreement shall have their defined meanings when used herein.</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4.    This Supplement shall be governed by, and construed in accordance with, the laws of the State of New York, but giving effect to federal laws applicable to national banks.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5.    This Supplement may be executed in any number of counterparts and by different parties hereto in separate counterparts, each of which when so executed shall be deemed to be an original and all of which taken together shall constitute one and the same document.</w:t>
      </w:r>
    </w:p>
    <w:p>
      <w:pPr>
        <w:pStyle w:val="TextBody"/>
        <w:bidi w:val="0"/>
        <w:spacing w:before="0" w:after="240"/>
        <w:ind w:left="0" w:right="0" w:firstLine="144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60655"/>
                <wp:effectExtent l="0" t="0" r="0" b="0"/>
                <wp:wrapNone/>
                <wp:docPr id="189" name="Frame1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C-1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each of the undersigned has caused this Supplement to be executed and delivered by a duly authorized officer on the date first above written.</w:t>
      </w:r>
    </w:p>
    <w:p>
      <w:pPr>
        <w:pStyle w:val="TextBody"/>
        <w:bidi w:val="0"/>
        <w:spacing w:lineRule="auto" w:line="240" w:before="240" w:after="480"/>
        <w:jc w:val="left"/>
        <w:rPr>
          <w:rFonts w:ascii="Times New Roman;sans-serif" w:hAnsi="Times New Roman;sans-serif"/>
          <w:b w:val="false"/>
          <w:color w:val="000000"/>
          <w:sz w:val="22"/>
        </w:rPr>
      </w:pPr>
      <w:r>
        <w:rPr>
          <w:rFonts w:ascii="Times New Roman;sans-serif" w:hAnsi="Times New Roman;sans-serif"/>
          <w:b w:val="false"/>
          <w:color w:val="000000"/>
          <w:sz w:val="22"/>
        </w:rPr>
        <w:t>[INSERT NAME OF INCREASING LENDER]</w:t>
      </w:r>
    </w:p>
    <w:p>
      <w:pPr>
        <w:pStyle w:val="TextBody"/>
        <w:bidi w:val="0"/>
        <w:spacing w:lineRule="auto" w:line="240" w:before="240" w:after="48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____________________________________</w:t>
        <w:br/>
        <w:t>Name:</w:t>
        <w:br/>
        <w:t>Title: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Accepted and agreed to as of the date first written above:</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MYR GROUP INC.</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______________________________________</w:t>
        <w:br/>
        <w:t>Name:</w:t>
        <w:br/>
        <w:t>Title: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Acknowledged as of the date first written above:</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br/>
        <w:t>as Administrative Agent</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______________________________________</w:t>
        <w:b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60655"/>
                <wp:effectExtent l="0" t="0" r="0" b="0"/>
                <wp:wrapNone/>
                <wp:docPr id="190" name="Frame1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C-1</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EXHIBIT C-2</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FORM OF AUGMENTING LENDER SUPPLEMENT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AUGMENTING LENDER SUPPLEMENT, dated __________, 20___ (this “</w:t>
      </w:r>
      <w:r>
        <w:rPr>
          <w:rFonts w:ascii="Times New Roman;sans-serif" w:hAnsi="Times New Roman;sans-serif"/>
          <w:b w:val="false"/>
          <w:color w:val="000000"/>
          <w:sz w:val="22"/>
          <w:u w:val="single"/>
        </w:rPr>
        <w:t>Supplement</w:t>
      </w:r>
      <w:r>
        <w:rPr>
          <w:color w:val="000000"/>
        </w:rPr>
        <w:t>”</w:t>
      </w:r>
      <w:r>
        <w:rPr>
          <w:rFonts w:ascii="Times New Roman;sans-serif" w:hAnsi="Times New Roman;sans-serif"/>
          <w:b w:val="false"/>
          <w:color w:val="000000"/>
          <w:sz w:val="22"/>
        </w:rPr>
        <w:t>), to the Third Amended and Restated Credit Agreement, dated as of May 31, 2023 (as amended,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MYR Group Inc.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Lenders party thereto and JPMorgan Chase Bank, N.A., as administrative agent (in such capacity,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E T H</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Credit Agreement provides in Section 2.04 thereof that any bank, financial institution or other entity may [extend Commitments] [and] [participate in tranches of Incremental Term Loans] under the Credit Agreement subject to the approval of the Borrower and the Administrative Agent, by executing and delivering to the Borrower and the Administrative Agent a supplement to the Credit Agreement in substantially the form of this Supplement;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undersigned Augmenting Lender was not an original party to the Credit Agreement but now desires to become a party thereto;</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each of the parties hereto hereby agrees as follows: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1.    The undersigned Augmenting Lender agrees to be bound by the provisions of the Credit Agreement and agrees that it shall, on the date of this Supplement, become a Lender for all purposes of the Credit Agreement to the same extent as if originally a party thereto, with a [Commitment with respect to Revolving Loans of $[__________]] [and] [a commitment with respect to Incremental Term Loans of $[__________]].</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2.    The undersigned Augmenting Lender (a) represents and warrants that it is legally authorized to enter into this Supplement; (b) confirms that it has received a copy of the Credit Agreement, together with copies of the most recent financial statements delivered pursuant to Section 5.01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3.    The undersigned’s address for notices for the purposes of the Credit Agreement is as follows: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4.    The Borrower hereby represents and warrants that no Default or Event of Default has occurred and is continuing on and as of the date hereof.</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5.    Terms defined in the Credit Agreement shall have their defined meanings when used herein.</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6.    This Supplement shall be governed by, and construed in accordance with, the laws of the State of New York, but giving effect to federal laws applicable to national banks.</w:t>
      </w:r>
    </w:p>
    <w:p>
      <w:pPr>
        <w:pStyle w:val="TextBody"/>
        <w:bidi w:val="0"/>
        <w:spacing w:before="0" w:after="24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91" name="Frame1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C-2</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7.    This Supplement may be executed in any number of counterparts and by different parties hereto in separate counterparts, each of which when so executed shall be deemed to be an original and all of which taken together shall constitute one and the same document.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this page intentionally left blank]</w:t>
      </w:r>
    </w:p>
    <w:p>
      <w:pPr>
        <w:pStyle w:val="TextBody"/>
        <w:bidi w:val="0"/>
        <w:spacing w:before="0" w:after="240"/>
        <w:ind w:left="0" w:right="0" w:firstLine="144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60655"/>
                <wp:effectExtent l="0" t="0" r="0" b="0"/>
                <wp:wrapNone/>
                <wp:docPr id="192" name="Frame1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C-2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each of the undersigned has caused this Supplement to be executed and delivered by a duly authorized officer on the date first above written.</w:t>
      </w:r>
    </w:p>
    <w:p>
      <w:pPr>
        <w:pStyle w:val="TextBody"/>
        <w:bidi w:val="0"/>
        <w:spacing w:lineRule="auto" w:line="240" w:before="240" w:after="480"/>
        <w:jc w:val="left"/>
        <w:rPr>
          <w:rFonts w:ascii="Times New Roman;sans-serif" w:hAnsi="Times New Roman;sans-serif"/>
          <w:b w:val="false"/>
          <w:color w:val="000000"/>
          <w:sz w:val="22"/>
        </w:rPr>
      </w:pPr>
      <w:r>
        <w:rPr>
          <w:rFonts w:ascii="Times New Roman;sans-serif" w:hAnsi="Times New Roman;sans-serif"/>
          <w:b w:val="false"/>
          <w:color w:val="000000"/>
          <w:sz w:val="22"/>
        </w:rPr>
        <w:t>[INSERT NAME OF AUGMENTING LENDER]</w:t>
      </w:r>
    </w:p>
    <w:p>
      <w:pPr>
        <w:pStyle w:val="TextBody"/>
        <w:bidi w:val="0"/>
        <w:spacing w:lineRule="auto" w:line="240" w:before="240" w:after="48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____________________________________</w:t>
        <w:br/>
        <w:t>Name:</w:t>
        <w:br/>
        <w:t>Title: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Accepted and agreed to as of the date first written above:</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MYR GROUP INC.</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______________________________________</w:t>
        <w:br/>
        <w:t>Name:</w:t>
        <w:br/>
        <w:t>Title: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Acknowledged as of the date first written above:</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br/>
        <w:t>as Administrative Agent</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______________________________________</w:t>
        <w:br/>
        <w:t>Name:</w:t>
        <w:br/>
        <w:t>Title:</w:t>
      </w:r>
    </w:p>
    <w:p>
      <w:pPr>
        <w:pStyle w:val="TextBody"/>
        <w:bidi w:val="0"/>
        <w:spacing w:before="0" w:after="240"/>
        <w:ind w:left="0" w:right="0" w:firstLine="720"/>
        <w:jc w:val="both"/>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60655"/>
                <wp:effectExtent l="0" t="0" r="0" b="0"/>
                <wp:wrapNone/>
                <wp:docPr id="193" name="Frame1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C-2</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EXHIBIT D</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COMPLIANCE CERTIFICATE</w:t>
      </w:r>
    </w:p>
    <w:tbl>
      <w:tblPr>
        <w:tblW w:w="3914" w:type="dxa"/>
        <w:jc w:val="left"/>
        <w:tblInd w:w="0" w:type="dxa"/>
        <w:tblLayout w:type="fixed"/>
        <w:tblCellMar>
          <w:top w:w="28" w:type="dxa"/>
          <w:left w:w="28" w:type="dxa"/>
          <w:bottom w:w="28" w:type="dxa"/>
          <w:right w:w="28" w:type="dxa"/>
        </w:tblCellMar>
      </w:tblPr>
      <w:tblGrid>
        <w:gridCol w:w="157"/>
        <w:gridCol w:w="137"/>
        <w:gridCol w:w="140"/>
        <w:gridCol w:w="1020"/>
        <w:gridCol w:w="1020"/>
        <w:gridCol w:w="1440"/>
      </w:tblGrid>
      <w:tr>
        <w:trPr/>
        <w:tc>
          <w:tcPr>
            <w:tcW w:w="1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Lenders parties to the</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Credit Agreement Described Below</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Compliance Certificate is furnished pursuant to that certain Third Amended and Restated Credit Agreement, dated as of May 31, 2023 (as amended, modified, renewed or extended from time to time, the “Agreement”) among MYR Group Inc. (the “Borrower”), the Lenders party thereto and JPMorgan Chase Bank, N.A., as Administrative Agent for the Lenders and as the Issuing Bank. Unless otherwise defined herein, capitalized terms used in this Compliance Certificate have the meanings ascribed thereto in the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HEREBY CERTIFIES THAT: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1.    I am the duly elected __________ of the Borrower;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2.    [</w:t>
      </w:r>
      <w:r>
        <w:rPr>
          <w:rFonts w:ascii="Times New Roman;sans-serif" w:hAnsi="Times New Roman;sans-serif"/>
          <w:b/>
          <w:color w:val="000000"/>
          <w:sz w:val="22"/>
        </w:rPr>
        <w:t>For quarterly financial statements add:</w:t>
      </w:r>
      <w:r>
        <w:rPr>
          <w:color w:val="000000"/>
        </w:rPr>
        <w:t xml:space="preserve"> </w:t>
      </w:r>
      <w:r>
        <w:rPr>
          <w:rFonts w:ascii="Times New Roman;sans-serif" w:hAnsi="Times New Roman;sans-serif"/>
          <w:b w:val="false"/>
          <w:color w:val="000000"/>
          <w:sz w:val="22"/>
        </w:rPr>
        <w:t>The attached financial statements present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3.    I have no knowledge of (i) the existence of any condition or event which constitutes a Default during or at the end of the accounting period covered by the attached financial statements or as of the date of this Compliance Certificate or (ii) any change in GAAP or in the application thereof that would impact the covenant calculations under Section 6.12 of the Agreement that has occurred since the date of the audited financial statements referred to in Section 3.04 of the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Schedule I</w:t>
      </w:r>
      <w:r>
        <w:rPr>
          <w:color w:val="000000"/>
        </w:rPr>
        <w:t xml:space="preserve"> </w:t>
      </w:r>
      <w:r>
        <w:rPr>
          <w:rFonts w:ascii="Times New Roman;sans-serif" w:hAnsi="Times New Roman;sans-serif"/>
          <w:b w:val="false"/>
          <w:color w:val="000000"/>
          <w:sz w:val="22"/>
        </w:rPr>
        <w:t>attached hereto sets forth financial data and computations evidencing the Borrower’s compliance with Section 6.12 of the Agreement, all of which data and computations are true, complete and correct;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Schedule II</w:t>
      </w:r>
      <w:r>
        <w:rPr>
          <w:color w:val="000000"/>
        </w:rPr>
        <w:t xml:space="preserve"> </w:t>
      </w:r>
      <w:r>
        <w:rPr>
          <w:rFonts w:ascii="Times New Roman;sans-serif" w:hAnsi="Times New Roman;sans-serif"/>
          <w:b w:val="false"/>
          <w:color w:val="000000"/>
          <w:sz w:val="22"/>
        </w:rPr>
        <w:t>hereto sets forth the computations necessary to determine the Applicable Rate commencing on the Business Day this Compliance Certificate is delivered.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Described below are the exceptions, if any, to paragraph 3 by listing, in detail, (i) the nature of the condition or event, the period during which it has existed and the action which the Borrower has taken, is taking or proposes to take with respect to each such condition or event or (i) the change in GAAP or the application thereof and the effect of such change on the attached financial statements:</w:t>
      </w:r>
    </w:p>
    <w:p>
      <w:pPr>
        <w:pStyle w:val="TextBody"/>
        <w:bidi w:val="0"/>
        <w:spacing w:before="0" w:after="24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60655"/>
                <wp:effectExtent l="0" t="0" r="0" b="0"/>
                <wp:wrapNone/>
                <wp:docPr id="194" name="Frame1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D</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foregoing certifications, together with the computations set forth in Schedule I and Schedule II hereto and the financial statements delivered with this Compliance Certificate in support hereof, are made and delivered this ____ day of _____, ___.</w:t>
      </w:r>
    </w:p>
    <w:p>
      <w:pPr>
        <w:pStyle w:val="TextBody"/>
        <w:bidi w:val="0"/>
        <w:spacing w:before="0" w:after="240"/>
        <w:ind w:left="0" w:right="0" w:firstLine="720"/>
        <w:jc w:val="both"/>
        <w:rPr/>
      </w:pPr>
      <w:r>
        <w:rPr/>
      </w:r>
    </w:p>
    <w:tbl>
      <w:tblPr>
        <w:tblW w:w="2568" w:type="dxa"/>
        <w:jc w:val="left"/>
        <w:tblInd w:w="0" w:type="dxa"/>
        <w:tblLayout w:type="fixed"/>
        <w:tblCellMar>
          <w:top w:w="28" w:type="dxa"/>
          <w:left w:w="28" w:type="dxa"/>
          <w:bottom w:w="28" w:type="dxa"/>
          <w:right w:w="28" w:type="dxa"/>
        </w:tblCellMar>
      </w:tblPr>
      <w:tblGrid>
        <w:gridCol w:w="124"/>
        <w:gridCol w:w="109"/>
        <w:gridCol w:w="109"/>
        <w:gridCol w:w="160"/>
        <w:gridCol w:w="160"/>
        <w:gridCol w:w="160"/>
        <w:gridCol w:w="160"/>
        <w:gridCol w:w="160"/>
        <w:gridCol w:w="160"/>
        <w:gridCol w:w="239"/>
        <w:gridCol w:w="239"/>
        <w:gridCol w:w="241"/>
        <w:gridCol w:w="160"/>
        <w:gridCol w:w="160"/>
        <w:gridCol w:w="2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MYR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12"/>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7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5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54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60655"/>
                <wp:effectExtent l="0" t="0" r="0" b="0"/>
                <wp:wrapNone/>
                <wp:docPr id="195" name="Frame1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D</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SCHEDULE I</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Compliance as of _________, ____ with</w:t>
        <w:br/>
        <w:t>Provisions of ____ and ____ of</w:t>
        <w:br/>
        <w:t>the Agreement</w:t>
      </w:r>
    </w:p>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60655"/>
                <wp:effectExtent l="0" t="0" r="0" b="0"/>
                <wp:wrapNone/>
                <wp:docPr id="196" name="Frame1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D</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SCHEDULE II</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Borrower’s Applicable Rate Calculation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60655"/>
                <wp:effectExtent l="0" t="0" r="0" b="0"/>
                <wp:wrapNone/>
                <wp:docPr id="197" name="Frame1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D</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Richard S. Swartz, Jr.,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MYR Group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39" w:type="dxa"/>
        <w:jc w:val="left"/>
        <w:tblInd w:w="0" w:type="dxa"/>
        <w:tblLayout w:type="fixed"/>
        <w:tblCellMar>
          <w:top w:w="28" w:type="dxa"/>
          <w:left w:w="28" w:type="dxa"/>
          <w:bottom w:w="28" w:type="dxa"/>
          <w:right w:w="28" w:type="dxa"/>
        </w:tblCellMar>
      </w:tblPr>
      <w:tblGrid>
        <w:gridCol w:w="443"/>
        <w:gridCol w:w="390"/>
        <w:gridCol w:w="396"/>
        <w:gridCol w:w="939"/>
        <w:gridCol w:w="939"/>
        <w:gridCol w:w="1332"/>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S. SWARTZ, JR.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b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Kelly M. Huntington,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MYR Group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69" w:type="dxa"/>
        <w:jc w:val="left"/>
        <w:tblInd w:w="0" w:type="dxa"/>
        <w:tblLayout w:type="fixed"/>
        <w:tblCellMar>
          <w:top w:w="28" w:type="dxa"/>
          <w:left w:w="28" w:type="dxa"/>
          <w:bottom w:w="28" w:type="dxa"/>
          <w:right w:w="28" w:type="dxa"/>
        </w:tblCellMar>
      </w:tblPr>
      <w:tblGrid>
        <w:gridCol w:w="443"/>
        <w:gridCol w:w="390"/>
        <w:gridCol w:w="396"/>
        <w:gridCol w:w="1213"/>
        <w:gridCol w:w="1213"/>
        <w:gridCol w:w="171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Richard S. Swartz, Jr., Chief Executive Officer and President of MYR Group Inc. (the “Company”),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for the quarter and six months ended June 30, 2023 of the Company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such report fairly presents, in all material respects, the financial condition and results of operations of the Company.</w:t>
      </w:r>
    </w:p>
    <w:tbl>
      <w:tblPr>
        <w:tblW w:w="4469" w:type="dxa"/>
        <w:jc w:val="left"/>
        <w:tblInd w:w="0" w:type="dxa"/>
        <w:tblLayout w:type="fixed"/>
        <w:tblCellMar>
          <w:top w:w="28" w:type="dxa"/>
          <w:left w:w="28" w:type="dxa"/>
          <w:bottom w:w="28" w:type="dxa"/>
          <w:right w:w="28" w:type="dxa"/>
        </w:tblCellMar>
      </w:tblPr>
      <w:tblGrid>
        <w:gridCol w:w="443"/>
        <w:gridCol w:w="390"/>
        <w:gridCol w:w="396"/>
        <w:gridCol w:w="948"/>
        <w:gridCol w:w="948"/>
        <w:gridCol w:w="134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S. SWARTZ, JR.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President</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Kelly M. Huntington, Senior Vice President and Chief Financial Officer of MYR Group, Inc. (the “Company”),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for the quarter and six months ended June 30, 2023 of the Company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such report fairly presents, in all material respects, the financial condition and results of operations of the Company.</w:t>
      </w:r>
    </w:p>
    <w:tbl>
      <w:tblPr>
        <w:tblW w:w="5474" w:type="dxa"/>
        <w:jc w:val="left"/>
        <w:tblInd w:w="0" w:type="dxa"/>
        <w:tblLayout w:type="fixed"/>
        <w:tblCellMar>
          <w:top w:w="28" w:type="dxa"/>
          <w:left w:w="28" w:type="dxa"/>
          <w:bottom w:w="28" w:type="dxa"/>
          <w:right w:w="28" w:type="dxa"/>
        </w:tblCellMar>
      </w:tblPr>
      <w:tblGrid>
        <w:gridCol w:w="443"/>
        <w:gridCol w:w="390"/>
        <w:gridCol w:w="396"/>
        <w:gridCol w:w="1244"/>
        <w:gridCol w:w="1244"/>
        <w:gridCol w:w="1757"/>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00923/000070092323000035/myr-certificateofamendment.htm" TargetMode="External"/><Relationship Id="rId3" Type="http://schemas.openxmlformats.org/officeDocument/2006/relationships/hyperlink" Target="https://www.sec.gov/Archives/edgar/data/700923/000070092323000035/myr-certificateofamendment.htm" TargetMode="External"/><Relationship Id="rId4" Type="http://schemas.openxmlformats.org/officeDocument/2006/relationships/hyperlink" Target="https://www.sec.gov/Archives/edgar/data/700923/000070092323000035/myr-arbylawsboarddeclassif.htm" TargetMode="External"/><Relationship Id="rId5" Type="http://schemas.openxmlformats.org/officeDocument/2006/relationships/hyperlink" Target="https://www.sec.gov/Archives/edgar/data/700923/000070092323000035/myr-arbylawsboarddeclassif.htm" TargetMode="Externa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167</Pages>
  <Words>112474</Words>
  <Characters>596690</Characters>
  <CharactersWithSpaces>707834</CharactersWithSpaces>
  <Paragraphs>3956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