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06" w:lineRule="exact"/>
        <w:rPr>
          <w:sz w:val="24"/>
          <w:szCs w:val="24"/>
          <w:color w:val="auto"/>
        </w:rPr>
      </w:pPr>
    </w:p>
    <w:p>
      <w:pPr>
        <w:ind w:left="3740" w:right="1620" w:hanging="3408"/>
        <w:spacing w:after="0" w:line="501" w:lineRule="auto"/>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60" w:right="1600" w:hanging="4128"/>
        <w:spacing w:after="0" w:line="501" w:lineRule="auto"/>
        <w:tabs>
          <w:tab w:leader="none" w:pos="66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1-08325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1380" w:type="dxa"/>
        <w:tblCellMar>
          <w:top w:w="0" w:type="dxa"/>
          <w:left w:w="0" w:type="dxa"/>
          <w:bottom w:w="0" w:type="dxa"/>
          <w:right w:w="0" w:type="dxa"/>
        </w:tblCellMar>
      </w:tblPr>
      <w:tr>
        <w:trPr>
          <w:trHeight w:val="306"/>
        </w:trPr>
        <w:tc>
          <w:tcPr>
            <w:tcW w:w="3060" w:type="dxa"/>
            <w:vAlign w:val="bottom"/>
          </w:tcPr>
          <w:p>
            <w:pPr>
              <w:spacing w:after="0"/>
              <w:rPr>
                <w:sz w:val="24"/>
                <w:szCs w:val="24"/>
                <w:color w:val="auto"/>
              </w:rPr>
            </w:pPr>
          </w:p>
        </w:tc>
        <w:tc>
          <w:tcPr>
            <w:tcW w:w="5480" w:type="dxa"/>
            <w:vAlign w:val="bottom"/>
          </w:tcPr>
          <w:p>
            <w:pPr>
              <w:jc w:val="center"/>
              <w:ind w:right="2843"/>
              <w:spacing w:after="0"/>
              <w:rPr>
                <w:sz w:val="20"/>
                <w:szCs w:val="20"/>
                <w:color w:val="auto"/>
              </w:rPr>
            </w:pPr>
            <w:r>
              <w:rPr>
                <w:rFonts w:ascii="Arial" w:cs="Arial" w:eastAsia="Arial" w:hAnsi="Arial"/>
                <w:sz w:val="25"/>
                <w:szCs w:val="25"/>
                <w:b w:val="1"/>
                <w:bCs w:val="1"/>
                <w:color w:val="auto"/>
              </w:rPr>
              <w:t>MYR GROUP INC.</w:t>
            </w:r>
          </w:p>
        </w:tc>
      </w:tr>
      <w:tr>
        <w:trPr>
          <w:trHeight w:val="230"/>
        </w:trPr>
        <w:tc>
          <w:tcPr>
            <w:tcW w:w="85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3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480" w:type="dxa"/>
            <w:vAlign w:val="bottom"/>
          </w:tcPr>
          <w:p>
            <w:pPr>
              <w:jc w:val="right"/>
              <w:ind w:right="763"/>
              <w:spacing w:after="0"/>
              <w:rPr>
                <w:sz w:val="20"/>
                <w:szCs w:val="20"/>
                <w:color w:val="auto"/>
              </w:rPr>
            </w:pPr>
            <w:r>
              <w:rPr>
                <w:rFonts w:ascii="Arial" w:cs="Arial" w:eastAsia="Arial" w:hAnsi="Arial"/>
                <w:sz w:val="18"/>
                <w:szCs w:val="18"/>
                <w:b w:val="1"/>
                <w:bCs w:val="1"/>
                <w:color w:val="auto"/>
              </w:rPr>
              <w:t>36-3158643</w:t>
            </w:r>
          </w:p>
        </w:tc>
      </w:tr>
      <w:tr>
        <w:trPr>
          <w:trHeight w:val="216"/>
        </w:trPr>
        <w:tc>
          <w:tcPr>
            <w:tcW w:w="306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480" w:type="dxa"/>
            <w:vAlign w:val="bottom"/>
          </w:tcPr>
          <w:p>
            <w:pPr>
              <w:jc w:val="center"/>
              <w:ind w:left="2783"/>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3060" w:type="dxa"/>
            <w:vAlign w:val="bottom"/>
          </w:tcPr>
          <w:p>
            <w:pPr>
              <w:jc w:val="center"/>
              <w:ind w:right="170"/>
              <w:spacing w:after="0"/>
              <w:rPr>
                <w:sz w:val="20"/>
                <w:szCs w:val="20"/>
                <w:color w:val="auto"/>
              </w:rPr>
            </w:pPr>
            <w:r>
              <w:rPr>
                <w:rFonts w:ascii="Arial" w:cs="Arial" w:eastAsia="Arial" w:hAnsi="Arial"/>
                <w:sz w:val="18"/>
                <w:szCs w:val="18"/>
                <w:color w:val="auto"/>
                <w:w w:val="92"/>
              </w:rPr>
              <w:t>incorporation or organization)</w:t>
            </w:r>
          </w:p>
        </w:tc>
        <w:tc>
          <w:tcPr>
            <w:tcW w:w="5480" w:type="dxa"/>
            <w:vAlign w:val="bottom"/>
          </w:tcPr>
          <w:p>
            <w:pPr>
              <w:spacing w:after="0"/>
              <w:rPr>
                <w:sz w:val="20"/>
                <w:szCs w:val="20"/>
                <w:color w:val="auto"/>
              </w:rPr>
            </w:pPr>
          </w:p>
        </w:tc>
      </w:tr>
      <w:tr>
        <w:trPr>
          <w:trHeight w:val="414"/>
        </w:trPr>
        <w:tc>
          <w:tcPr>
            <w:tcW w:w="3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1701 Golf Road, Suite 3-1012</w:t>
            </w:r>
          </w:p>
        </w:tc>
        <w:tc>
          <w:tcPr>
            <w:tcW w:w="5480" w:type="dxa"/>
            <w:vAlign w:val="bottom"/>
          </w:tcPr>
          <w:p>
            <w:pPr>
              <w:spacing w:after="0"/>
              <w:rPr>
                <w:sz w:val="24"/>
                <w:szCs w:val="24"/>
                <w:color w:val="auto"/>
              </w:rPr>
            </w:pPr>
          </w:p>
        </w:tc>
      </w:tr>
      <w:tr>
        <w:trPr>
          <w:trHeight w:val="220"/>
        </w:trPr>
        <w:tc>
          <w:tcPr>
            <w:tcW w:w="3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Rolling Meadows, IL</w:t>
            </w:r>
          </w:p>
        </w:tc>
        <w:tc>
          <w:tcPr>
            <w:tcW w:w="5480" w:type="dxa"/>
            <w:vAlign w:val="bottom"/>
          </w:tcPr>
          <w:p>
            <w:pPr>
              <w:jc w:val="right"/>
              <w:ind w:right="983"/>
              <w:spacing w:after="0"/>
              <w:rPr>
                <w:sz w:val="20"/>
                <w:szCs w:val="20"/>
                <w:color w:val="auto"/>
              </w:rPr>
            </w:pPr>
            <w:r>
              <w:rPr>
                <w:rFonts w:ascii="Arial" w:cs="Arial" w:eastAsia="Arial" w:hAnsi="Arial"/>
                <w:sz w:val="18"/>
                <w:szCs w:val="18"/>
                <w:b w:val="1"/>
                <w:bCs w:val="1"/>
                <w:color w:val="auto"/>
              </w:rPr>
              <w:t>60008</w:t>
            </w:r>
          </w:p>
        </w:tc>
      </w:tr>
      <w:tr>
        <w:trPr>
          <w:trHeight w:val="230"/>
        </w:trPr>
        <w:tc>
          <w:tcPr>
            <w:tcW w:w="3060" w:type="dxa"/>
            <w:vAlign w:val="bottom"/>
          </w:tcPr>
          <w:p>
            <w:pPr>
              <w:jc w:val="center"/>
              <w:ind w:right="110"/>
              <w:spacing w:after="0"/>
              <w:rPr>
                <w:sz w:val="20"/>
                <w:szCs w:val="20"/>
                <w:color w:val="auto"/>
              </w:rPr>
            </w:pPr>
            <w:r>
              <w:rPr>
                <w:rFonts w:ascii="Arial" w:cs="Arial" w:eastAsia="Arial" w:hAnsi="Arial"/>
                <w:sz w:val="18"/>
                <w:szCs w:val="18"/>
                <w:color w:val="auto"/>
                <w:w w:val="92"/>
              </w:rPr>
              <w:t>(Address of principal executive offices)</w:t>
            </w:r>
          </w:p>
        </w:tc>
        <w:tc>
          <w:tcPr>
            <w:tcW w:w="5480" w:type="dxa"/>
            <w:vAlign w:val="bottom"/>
          </w:tcPr>
          <w:p>
            <w:pPr>
              <w:jc w:val="center"/>
              <w:ind w:left="2783"/>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290-1891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91440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MYRG</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right="2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29" w:right="239" w:bottom="1440" w:gutter="0" w:footer="0" w:header="0"/>
        </w:sectPr>
      </w:pPr>
    </w:p>
    <w:p>
      <w:pPr>
        <w:spacing w:after="0" w:line="181"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7280" w:space="720"/>
            <w:col w:w="3420"/>
          </w:cols>
          <w:pgMar w:left="240" w:top="729" w:right="239" w:bottom="1440" w:gutter="0" w:footer="0" w:header="0"/>
          <w:type w:val="continuous"/>
        </w:sectPr>
      </w:pPr>
    </w:p>
    <w:p>
      <w:pPr>
        <w:spacing w:after="0" w:line="34"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25, 2019, there were 16,647,724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7"/>
          </w:tcPr>
          <w:p>
            <w:pPr>
              <w:jc w:val="center"/>
              <w:ind w:right="462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100" w:type="dxa"/>
            <w:vAlign w:val="bottom"/>
            <w:gridSpan w:val="10"/>
            <w:vMerge w:val="restart"/>
          </w:tcPr>
          <w:p>
            <w:pPr>
              <w:ind w:left="20"/>
              <w:spacing w:after="0"/>
              <w:rPr>
                <w:sz w:val="20"/>
                <w:szCs w:val="20"/>
                <w:color w:val="auto"/>
              </w:rPr>
            </w:pPr>
            <w:r>
              <w:rPr>
                <w:rFonts w:ascii="Arial" w:cs="Arial" w:eastAsia="Arial" w:hAnsi="Arial"/>
                <w:sz w:val="18"/>
                <w:szCs w:val="18"/>
                <w:b w:val="1"/>
                <w:bCs w:val="1"/>
                <w:color w:val="auto"/>
              </w:rPr>
              <w:t>Part I—Financial Information</w:t>
            </w:r>
          </w:p>
        </w:tc>
        <w:tc>
          <w:tcPr>
            <w:tcW w:w="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100" w:type="dxa"/>
            <w:vAlign w:val="bottom"/>
            <w:gridSpan w:val="10"/>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20" w:type="dxa"/>
            <w:vAlign w:val="bottom"/>
            <w:gridSpan w:val="13"/>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2019 (unaudited) and December 31, 2018</w:t>
              </w:r>
            </w:hyperlink>
          </w:p>
        </w:tc>
        <w:tc>
          <w:tcPr>
            <w:tcW w:w="3200" w:type="dxa"/>
            <w:vAlign w:val="bottom"/>
            <w:gridSpan w:val="4"/>
          </w:tcPr>
          <w:p>
            <w:pPr>
              <w:spacing w:after="0"/>
              <w:rPr>
                <w:sz w:val="16"/>
                <w:szCs w:val="16"/>
                <w:color w:val="auto"/>
              </w:rPr>
            </w:pPr>
          </w:p>
        </w:tc>
        <w:tc>
          <w:tcPr>
            <w:tcW w:w="680" w:type="dxa"/>
            <w:vAlign w:val="bottom"/>
            <w:gridSpan w:val="3"/>
          </w:tcPr>
          <w:p>
            <w:pPr>
              <w:jc w:val="right"/>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Consolidated Statements of Operations and Comprehensive Income for the Three and Nine Months Ended September 30,</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top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2019 and 2018</w:t>
              </w:r>
            </w:hyperlink>
          </w:p>
        </w:tc>
        <w:tc>
          <w:tcPr>
            <w:tcW w:w="8460" w:type="dxa"/>
            <w:vAlign w:val="bottom"/>
            <w:tcBorders>
              <w:top w:val="single" w:sz="8" w:color="0000EE"/>
            </w:tcBorders>
            <w:gridSpan w:val="13"/>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40" w:type="dxa"/>
            <w:vAlign w:val="bottom"/>
            <w:gridSpan w:val="1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Statements of Stockholders’ Equity for the Three and Nine Months Ended September 30, 2019 and 2018</w:t>
              </w:r>
            </w:hyperlink>
          </w:p>
        </w:tc>
        <w:tc>
          <w:tcPr>
            <w:tcW w:w="480" w:type="dxa"/>
            <w:vAlign w:val="bottom"/>
            <w:gridSpan w:val="2"/>
          </w:tcPr>
          <w:p>
            <w:pPr>
              <w:spacing w:after="0"/>
              <w:rPr>
                <w:sz w:val="17"/>
                <w:szCs w:val="17"/>
                <w:color w:val="auto"/>
              </w:rPr>
            </w:pPr>
          </w:p>
        </w:tc>
        <w:tc>
          <w:tcPr>
            <w:tcW w:w="68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4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 for the Nine Months Ended September 30, 2019 and 2018</w:t>
              </w:r>
            </w:hyperlink>
          </w:p>
        </w:tc>
        <w:tc>
          <w:tcPr>
            <w:tcW w:w="480" w:type="dxa"/>
            <w:vAlign w:val="bottom"/>
            <w:gridSpan w:val="2"/>
          </w:tcPr>
          <w:p>
            <w:pPr>
              <w:spacing w:after="0"/>
              <w:rPr>
                <w:sz w:val="17"/>
                <w:szCs w:val="17"/>
                <w:color w:val="auto"/>
              </w:rPr>
            </w:pPr>
          </w:p>
        </w:tc>
        <w:tc>
          <w:tcPr>
            <w:tcW w:w="68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60" w:type="dxa"/>
            <w:vAlign w:val="bottom"/>
            <w:gridSpan w:val="8"/>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Unaudited Consolidated Financial Statements</w:t>
              </w:r>
            </w:hyperlink>
          </w:p>
        </w:tc>
        <w:tc>
          <w:tcPr>
            <w:tcW w:w="3920" w:type="dxa"/>
            <w:vAlign w:val="bottom"/>
            <w:gridSpan w:val="6"/>
          </w:tcPr>
          <w:p>
            <w:pPr>
              <w:spacing w:after="0"/>
              <w:rPr>
                <w:sz w:val="17"/>
                <w:szCs w:val="17"/>
                <w:color w:val="auto"/>
              </w:rPr>
            </w:pPr>
          </w:p>
        </w:tc>
        <w:tc>
          <w:tcPr>
            <w:tcW w:w="1940" w:type="dxa"/>
            <w:vAlign w:val="bottom"/>
            <w:gridSpan w:val="3"/>
          </w:tcPr>
          <w:p>
            <w:pPr>
              <w:spacing w:after="0"/>
              <w:rPr>
                <w:sz w:val="17"/>
                <w:szCs w:val="17"/>
                <w:color w:val="auto"/>
              </w:rPr>
            </w:pPr>
          </w:p>
        </w:tc>
        <w:tc>
          <w:tcPr>
            <w:tcW w:w="68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400" w:type="dxa"/>
            <w:vAlign w:val="bottom"/>
            <w:gridSpan w:val="2"/>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3"/>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400" w:type="dxa"/>
            <w:vAlign w:val="bottom"/>
            <w:gridSpan w:val="2"/>
          </w:tcPr>
          <w:p>
            <w:pPr>
              <w:spacing w:after="0"/>
              <w:rPr>
                <w:sz w:val="17"/>
                <w:szCs w:val="17"/>
                <w:color w:val="auto"/>
              </w:rPr>
            </w:pPr>
          </w:p>
        </w:tc>
        <w:tc>
          <w:tcPr>
            <w:tcW w:w="4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36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196"/>
        </w:trPr>
        <w:tc>
          <w:tcPr>
            <w:tcW w:w="920" w:type="dxa"/>
            <w:vAlign w:val="bottom"/>
            <w:gridSpan w:val="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982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680" w:type="dxa"/>
            <w:vAlign w:val="bottom"/>
            <w:gridSpan w:val="3"/>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480" w:type="dxa"/>
            <w:vAlign w:val="bottom"/>
            <w:gridSpan w:val="11"/>
          </w:tcPr>
          <w:p>
            <w:pPr>
              <w:jc w:val="center"/>
              <w:ind w:right="2580"/>
              <w:spacing w:after="0" w:line="196" w:lineRule="exact"/>
              <w:rPr>
                <w:rFonts w:ascii="Arial" w:cs="Arial" w:eastAsia="Arial" w:hAnsi="Arial"/>
                <w:sz w:val="18"/>
                <w:szCs w:val="18"/>
                <w:b w:val="1"/>
                <w:bCs w:val="1"/>
                <w:color w:val="0000EE"/>
                <w:w w:val="97"/>
              </w:rPr>
            </w:pPr>
            <w:hyperlink w:anchor="page37">
              <w:r>
                <w:rPr>
                  <w:rFonts w:ascii="Arial" w:cs="Arial" w:eastAsia="Arial" w:hAnsi="Arial"/>
                  <w:sz w:val="18"/>
                  <w:szCs w:val="18"/>
                  <w:b w:val="1"/>
                  <w:bCs w:val="1"/>
                  <w:color w:val="0000EE"/>
                  <w:w w:val="97"/>
                </w:rPr>
                <w:t>Part II—Other Information</w:t>
              </w:r>
            </w:hyperlink>
          </w:p>
        </w:tc>
        <w:tc>
          <w:tcPr>
            <w:tcW w:w="5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1.</w:t>
              </w:r>
            </w:hyperlink>
          </w:p>
        </w:tc>
        <w:tc>
          <w:tcPr>
            <w:tcW w:w="400" w:type="dxa"/>
            <w:vAlign w:val="bottom"/>
            <w:gridSpan w:val="2"/>
          </w:tcPr>
          <w:p>
            <w:pPr>
              <w:spacing w:after="0"/>
              <w:rPr>
                <w:sz w:val="17"/>
                <w:szCs w:val="17"/>
                <w:color w:val="auto"/>
              </w:rPr>
            </w:pPr>
          </w:p>
        </w:tc>
        <w:tc>
          <w:tcPr>
            <w:tcW w:w="372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2140" w:type="dxa"/>
            <w:vAlign w:val="bottom"/>
            <w:tcBorders>
              <w:top w:val="single" w:sz="8" w:color="0000EE"/>
            </w:tcBorders>
            <w:gridSpan w:val="4"/>
          </w:tcPr>
          <w:p>
            <w:pPr>
              <w:spacing w:after="0"/>
              <w:rPr>
                <w:sz w:val="17"/>
                <w:szCs w:val="17"/>
                <w:color w:val="auto"/>
              </w:rPr>
            </w:pPr>
          </w:p>
        </w:tc>
        <w:tc>
          <w:tcPr>
            <w:tcW w:w="3960" w:type="dxa"/>
            <w:vAlign w:val="bottom"/>
            <w:gridSpan w:val="6"/>
          </w:tcPr>
          <w:p>
            <w:pPr>
              <w:spacing w:after="0"/>
              <w:rPr>
                <w:sz w:val="17"/>
                <w:szCs w:val="17"/>
                <w:color w:val="auto"/>
              </w:rPr>
            </w:pPr>
          </w:p>
        </w:tc>
        <w:tc>
          <w:tcPr>
            <w:tcW w:w="68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1A.</w:t>
              </w:r>
            </w:hyperlink>
          </w:p>
        </w:tc>
        <w:tc>
          <w:tcPr>
            <w:tcW w:w="982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8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54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400" w:type="dxa"/>
            <w:vAlign w:val="bottom"/>
            <w:gridSpan w:val="2"/>
          </w:tcPr>
          <w:p>
            <w:pPr>
              <w:spacing w:after="0"/>
              <w:rPr>
                <w:sz w:val="17"/>
                <w:szCs w:val="17"/>
                <w:color w:val="auto"/>
              </w:rPr>
            </w:pPr>
          </w:p>
        </w:tc>
        <w:tc>
          <w:tcPr>
            <w:tcW w:w="2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7480" w:type="dxa"/>
            <w:vAlign w:val="bottom"/>
            <w:gridSpan w:val="11"/>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400" w:type="dxa"/>
            <w:vAlign w:val="bottom"/>
            <w:gridSpan w:val="2"/>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Mine Safety Disclosures</w:t>
              </w:r>
            </w:hyperlink>
          </w:p>
        </w:tc>
        <w:tc>
          <w:tcPr>
            <w:tcW w:w="804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5.</w:t>
              </w:r>
            </w:hyperlink>
          </w:p>
        </w:tc>
        <w:tc>
          <w:tcPr>
            <w:tcW w:w="400" w:type="dxa"/>
            <w:vAlign w:val="bottom"/>
            <w:gridSpan w:val="2"/>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68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6.</w:t>
              </w:r>
            </w:hyperlink>
          </w:p>
        </w:tc>
        <w:tc>
          <w:tcPr>
            <w:tcW w:w="400" w:type="dxa"/>
            <w:vAlign w:val="bottom"/>
            <w:gridSpan w:val="2"/>
          </w:tcPr>
          <w:p>
            <w:pPr>
              <w:spacing w:after="0"/>
              <w:rPr>
                <w:sz w:val="17"/>
                <w:szCs w:val="17"/>
                <w:color w:val="auto"/>
              </w:rPr>
            </w:pPr>
          </w:p>
        </w:tc>
        <w:tc>
          <w:tcPr>
            <w:tcW w:w="1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48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60" w:type="dxa"/>
            <w:vAlign w:val="bottom"/>
          </w:tcPr>
          <w:p>
            <w:pPr>
              <w:ind w:left="494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receivable, net of allowances of $4,773 and $1,331,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375,599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288,427</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238,492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160,281</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receivable for insurance claims in excess of deductibles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8,739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10,572</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8,847</w:t>
            </w:r>
          </w:p>
        </w:tc>
      </w:tr>
      <w:tr>
        <w:trPr>
          <w:trHeight w:val="210"/>
        </w:trPr>
        <w:tc>
          <w:tcPr>
            <w:tcW w:w="84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639,415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475,634</w:t>
            </w: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$268,541 and $253,495, respectively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178,432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161,892</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22,968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56,588</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$9,919 and $7,031,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56,393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33,266</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17,173</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Investment in joint ventures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w:t>
            </w:r>
          </w:p>
        </w:tc>
      </w:tr>
      <w:tr>
        <w:trPr>
          <w:trHeight w:val="263"/>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988,013</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748,755</w:t>
            </w:r>
          </w:p>
        </w:tc>
        <w:tc>
          <w:tcPr>
            <w:tcW w:w="100" w:type="dxa"/>
            <w:vAlign w:val="bottom"/>
            <w:tcBorders>
              <w:bottom w:val="single" w:sz="8" w:color="CCEEFF"/>
            </w:tcBorders>
          </w:tcPr>
          <w:p>
            <w:pPr>
              <w:spacing w:after="0"/>
              <w:rPr>
                <w:sz w:val="22"/>
                <w:szCs w:val="22"/>
                <w:color w:val="auto"/>
              </w:rPr>
            </w:pPr>
          </w:p>
        </w:tc>
      </w:tr>
      <w:tr>
        <w:trPr>
          <w:trHeight w:val="197"/>
        </w:trPr>
        <w:tc>
          <w:tcPr>
            <w:tcW w:w="8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60" w:type="dxa"/>
            <w:vAlign w:val="bottom"/>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6,552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206,879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139,480</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77,293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58,534</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accrued self-insurance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19,633</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76,349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61,358</w:t>
            </w:r>
          </w:p>
        </w:tc>
      </w:tr>
      <w:tr>
        <w:trPr>
          <w:trHeight w:val="210"/>
        </w:trPr>
        <w:tc>
          <w:tcPr>
            <w:tcW w:w="8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393,521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17,694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17,398</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86,111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Accrued self-insurance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34,451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34,406</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1,514</w:t>
            </w: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0"/>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637,441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424,291</w:t>
            </w:r>
          </w:p>
        </w:tc>
        <w:tc>
          <w:tcPr>
            <w:tcW w:w="100" w:type="dxa"/>
            <w:vAlign w:val="bottom"/>
            <w:tcBorders>
              <w:bottom w:val="single" w:sz="8" w:color="CCEEFF"/>
            </w:tcBorders>
          </w:tcPr>
          <w:p>
            <w:pPr>
              <w:spacing w:after="0"/>
              <w:rPr>
                <w:sz w:val="18"/>
                <w:szCs w:val="18"/>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stock—$0.01 par value per share; 4,000,000 authorized shares;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none issued and outstanding at September 30, 2019 and December 31, 2018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60" w:type="dxa"/>
            <w:vAlign w:val="bottom"/>
          </w:tcPr>
          <w:p>
            <w:pPr>
              <w:ind w:left="180"/>
              <w:spacing w:after="0" w:line="201" w:lineRule="exact"/>
              <w:rPr>
                <w:sz w:val="20"/>
                <w:szCs w:val="20"/>
                <w:color w:val="auto"/>
              </w:rPr>
            </w:pPr>
            <w:r>
              <w:rPr>
                <w:rFonts w:ascii="Arial" w:cs="Arial" w:eastAsia="Arial" w:hAnsi="Arial"/>
                <w:sz w:val="18"/>
                <w:szCs w:val="18"/>
                <w:color w:val="auto"/>
              </w:rPr>
              <w:t>Common stock—$0.01 par value per share; 100,000,000 authorized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w w:val="94"/>
              </w:rPr>
              <w:t>16,646,992 and 16,564,961 shares issued and outstanding at September 30, 2019 and December 31, 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151,350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148,276</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199,444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174,736</w:t>
            </w:r>
          </w:p>
        </w:tc>
      </w:tr>
      <w:tr>
        <w:trPr>
          <w:trHeight w:val="210"/>
        </w:trPr>
        <w:tc>
          <w:tcPr>
            <w:tcW w:w="8460" w:type="dxa"/>
            <w:vAlign w:val="bottom"/>
          </w:tcPr>
          <w:p>
            <w:pPr>
              <w:ind w:left="340"/>
              <w:spacing w:after="0"/>
              <w:rPr>
                <w:sz w:val="20"/>
                <w:szCs w:val="20"/>
                <w:color w:val="auto"/>
              </w:rPr>
            </w:pPr>
            <w:r>
              <w:rPr>
                <w:rFonts w:ascii="Arial" w:cs="Arial" w:eastAsia="Arial" w:hAnsi="Arial"/>
                <w:sz w:val="18"/>
                <w:szCs w:val="18"/>
                <w:color w:val="auto"/>
              </w:rPr>
              <w:t>Total stockholders' equity attributable to MYR Group Inc.</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350,568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322,984</w:t>
            </w:r>
          </w:p>
        </w:tc>
        <w:tc>
          <w:tcPr>
            <w:tcW w:w="100" w:type="dxa"/>
            <w:vAlign w:val="bottom"/>
          </w:tcPr>
          <w:p>
            <w:pPr>
              <w:spacing w:after="0"/>
              <w:rPr>
                <w:sz w:val="18"/>
                <w:szCs w:val="18"/>
                <w:color w:val="auto"/>
              </w:rPr>
            </w:pP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r>
      <w:tr>
        <w:trPr>
          <w:trHeight w:val="210"/>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350,572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324,464</w:t>
            </w:r>
          </w:p>
        </w:tc>
        <w:tc>
          <w:tcPr>
            <w:tcW w:w="100" w:type="dxa"/>
            <w:vAlign w:val="bottom"/>
            <w:tcBorders>
              <w:bottom w:val="single" w:sz="8" w:color="CCEEFF"/>
            </w:tcBorders>
          </w:tcPr>
          <w:p>
            <w:pPr>
              <w:spacing w:after="0"/>
              <w:rPr>
                <w:sz w:val="18"/>
                <w:szCs w:val="18"/>
                <w:color w:val="auto"/>
              </w:rPr>
            </w:pPr>
          </w:p>
        </w:tc>
      </w:tr>
      <w:tr>
        <w:trPr>
          <w:trHeight w:val="223"/>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988,013</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MYR GROUP INC.</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gridSpan w:val="14"/>
          </w:tcPr>
          <w:p>
            <w:pPr>
              <w:ind w:left="1580"/>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583,214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1,500,084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1,084,824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Contract costs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524,017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354,251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1,354,848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965,155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41,667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31,210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108,598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Gain on sale of property and equipment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(2,548)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operations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(2,125)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(4,498)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Income before provision for income taxes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8,767</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net income (loss) attributable to noncontrolling interest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(1,476)</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MYR Group Inc.</w:t>
            </w: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10,355</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Income per common share attributable to MYR Group Inc.:</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—Basic</w:t>
            </w:r>
          </w:p>
        </w:tc>
        <w:tc>
          <w:tcPr>
            <w:tcW w:w="120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4"/>
          </w:tcPr>
          <w:p>
            <w:pPr>
              <w:spacing w:after="0" w:line="201" w:lineRule="exact"/>
              <w:rPr>
                <w:sz w:val="20"/>
                <w:szCs w:val="20"/>
                <w:color w:val="auto"/>
              </w:rPr>
            </w:pPr>
            <w:r>
              <w:rPr>
                <w:rFonts w:ascii="Arial" w:cs="Arial" w:eastAsia="Arial" w:hAnsi="Arial"/>
                <w:sz w:val="18"/>
                <w:szCs w:val="18"/>
                <w:color w:val="auto"/>
                <w:w w:val="96"/>
              </w:rPr>
              <w:t>Weighted average number of common shares and potential common shares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16,614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16,576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16,714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16,630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16,692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10,461</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7,959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23,439</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net income (loss) attributable to noncontrolling interest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(1,476)</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7"/>
              </w:rPr>
              <w:t>Total comprehensive income attributable to MYR Group Inc.</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38"/>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1"/>
                <w:szCs w:val="11"/>
                <w:color w:val="auto"/>
              </w:rPr>
            </w:pPr>
          </w:p>
        </w:tc>
        <w:tc>
          <w:tcPr>
            <w:tcW w:w="1160" w:type="dxa"/>
            <w:vAlign w:val="bottom"/>
            <w:gridSpan w:val="2"/>
          </w:tcPr>
          <w:p>
            <w:pPr>
              <w:jc w:val="center"/>
              <w:ind w:right="238"/>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4"/>
              </w:rPr>
              <w:t>MYR Group Inc.</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Preferred</w:t>
            </w:r>
          </w:p>
        </w:tc>
        <w:tc>
          <w:tcPr>
            <w:tcW w:w="178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4"/>
                <w:szCs w:val="14"/>
                <w:color w:val="auto"/>
              </w:rPr>
            </w:pPr>
          </w:p>
        </w:tc>
        <w:tc>
          <w:tcPr>
            <w:tcW w:w="1160" w:type="dxa"/>
            <w:vAlign w:val="bottom"/>
            <w:gridSpan w:val="2"/>
          </w:tcPr>
          <w:p>
            <w:pPr>
              <w:jc w:val="center"/>
              <w:ind w:right="238"/>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Stockholders'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78"/>
              <w:spacing w:after="0"/>
              <w:rPr>
                <w:sz w:val="20"/>
                <w:szCs w:val="20"/>
                <w:color w:val="auto"/>
              </w:rPr>
            </w:pPr>
            <w:r>
              <w:rPr>
                <w:rFonts w:ascii="Arial" w:cs="Arial" w:eastAsia="Arial" w:hAnsi="Arial"/>
                <w:sz w:val="13"/>
                <w:szCs w:val="13"/>
                <w:b w:val="1"/>
                <w:bCs w:val="1"/>
                <w:color w:val="auto"/>
                <w:w w:val="86"/>
              </w:rPr>
              <w:t>Noncontrolling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84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2"/>
                <w:szCs w:val="12"/>
                <w:color w:val="auto"/>
              </w:rPr>
            </w:pPr>
          </w:p>
        </w:tc>
        <w:tc>
          <w:tcPr>
            <w:tcW w:w="880" w:type="dxa"/>
            <w:vAlign w:val="bottom"/>
            <w:gridSpan w:val="2"/>
          </w:tcPr>
          <w:p>
            <w:pPr>
              <w:ind w:left="120"/>
              <w:spacing w:after="0" w:line="145" w:lineRule="exact"/>
              <w:rPr>
                <w:sz w:val="20"/>
                <w:szCs w:val="20"/>
                <w:color w:val="auto"/>
              </w:rPr>
            </w:pPr>
            <w:r>
              <w:rPr>
                <w:rFonts w:ascii="Arial" w:cs="Arial" w:eastAsia="Arial" w:hAnsi="Arial"/>
                <w:sz w:val="13"/>
                <w:szCs w:val="13"/>
                <w:b w:val="1"/>
                <w:bCs w:val="1"/>
                <w:color w:val="auto"/>
              </w:rPr>
              <w:t>Stock</w:t>
            </w:r>
          </w:p>
        </w:tc>
        <w:tc>
          <w:tcPr>
            <w:tcW w:w="840" w:type="dxa"/>
            <w:vAlign w:val="bottom"/>
            <w:tcBorders>
              <w:top w:val="single" w:sz="8" w:color="auto"/>
            </w:tcBorders>
            <w:gridSpan w:val="2"/>
          </w:tcPr>
          <w:p>
            <w:pPr>
              <w:jc w:val="right"/>
              <w:ind w:right="320"/>
              <w:spacing w:after="0" w:line="145"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7"/>
              <w:spacing w:after="0" w:line="145"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80"/>
              <w:spacing w:after="0" w:line="145"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2"/>
                <w:szCs w:val="12"/>
                <w:color w:val="auto"/>
              </w:rPr>
            </w:pPr>
          </w:p>
        </w:tc>
        <w:tc>
          <w:tcPr>
            <w:tcW w:w="1160" w:type="dxa"/>
            <w:vAlign w:val="bottom"/>
            <w:gridSpan w:val="2"/>
          </w:tcPr>
          <w:p>
            <w:pPr>
              <w:jc w:val="center"/>
              <w:ind w:right="238"/>
              <w:spacing w:after="0" w:line="145" w:lineRule="exact"/>
              <w:rPr>
                <w:sz w:val="20"/>
                <w:szCs w:val="20"/>
                <w:color w:val="auto"/>
              </w:rPr>
            </w:pPr>
            <w:r>
              <w:rPr>
                <w:rFonts w:ascii="Arial" w:cs="Arial" w:eastAsia="Arial" w:hAnsi="Arial"/>
                <w:sz w:val="13"/>
                <w:szCs w:val="13"/>
                <w:b w:val="1"/>
                <w:bCs w:val="1"/>
                <w:color w:val="auto"/>
                <w:w w:val="85"/>
              </w:rPr>
              <w:t>Income (loss)</w:t>
            </w:r>
          </w:p>
        </w:tc>
        <w:tc>
          <w:tcPr>
            <w:tcW w:w="140" w:type="dxa"/>
            <w:vAlign w:val="bottom"/>
          </w:tcPr>
          <w:p>
            <w:pPr>
              <w:spacing w:after="0"/>
              <w:rPr>
                <w:sz w:val="12"/>
                <w:szCs w:val="12"/>
                <w:color w:val="auto"/>
              </w:rPr>
            </w:pPr>
          </w:p>
        </w:tc>
        <w:tc>
          <w:tcPr>
            <w:tcW w:w="980" w:type="dxa"/>
            <w:vAlign w:val="bottom"/>
            <w:gridSpan w:val="2"/>
          </w:tcPr>
          <w:p>
            <w:pPr>
              <w:jc w:val="right"/>
              <w:ind w:right="420"/>
              <w:spacing w:after="0" w:line="145" w:lineRule="exact"/>
              <w:rPr>
                <w:sz w:val="20"/>
                <w:szCs w:val="20"/>
                <w:color w:val="auto"/>
              </w:rPr>
            </w:pPr>
            <w:r>
              <w:rPr>
                <w:rFonts w:ascii="Arial" w:cs="Arial" w:eastAsia="Arial" w:hAnsi="Arial"/>
                <w:sz w:val="13"/>
                <w:szCs w:val="13"/>
                <w:b w:val="1"/>
                <w:bCs w:val="1"/>
                <w:color w:val="auto"/>
                <w:w w:val="96"/>
              </w:rPr>
              <w:t>Earnings</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78"/>
              <w:spacing w:after="0" w:line="145" w:lineRule="exact"/>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300"/>
              <w:spacing w:after="0" w:line="14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0"/>
              </w:rPr>
              <w:t>Balance at December 31, 2017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500"/>
              <w:spacing w:after="0" w:line="129" w:lineRule="exact"/>
              <w:rPr>
                <w:sz w:val="20"/>
                <w:szCs w:val="20"/>
                <w:color w:val="auto"/>
              </w:rPr>
            </w:pPr>
            <w:r>
              <w:rPr>
                <w:rFonts w:ascii="Arial" w:cs="Arial" w:eastAsia="Arial" w:hAnsi="Arial"/>
                <w:sz w:val="13"/>
                <w:szCs w:val="13"/>
                <w:color w:val="auto"/>
                <w:w w:val="76"/>
              </w:rPr>
              <w:t>—</w:t>
            </w:r>
          </w:p>
        </w:tc>
        <w:tc>
          <w:tcPr>
            <w:tcW w:w="2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16,465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143,934</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(299)</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143,241</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287,039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287,039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88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5,644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5,644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5,644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Adjustment to adopt ASU No.</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2016-09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695</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tcPr>
          <w:p>
            <w:pPr>
              <w:spacing w:after="0" w:line="121" w:lineRule="exact"/>
              <w:rPr>
                <w:sz w:val="20"/>
                <w:szCs w:val="20"/>
                <w:color w:val="auto"/>
              </w:rPr>
            </w:pPr>
            <w:r>
              <w:rPr>
                <w:rFonts w:ascii="Arial" w:cs="Arial" w:eastAsia="Arial" w:hAnsi="Arial"/>
                <w:sz w:val="13"/>
                <w:szCs w:val="13"/>
                <w:color w:val="auto"/>
                <w:w w:val="92"/>
              </w:rPr>
              <w:t>Stock issued under compensation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ind w:left="160"/>
              <w:spacing w:after="0"/>
              <w:rPr>
                <w:sz w:val="20"/>
                <w:szCs w:val="20"/>
                <w:color w:val="auto"/>
              </w:rPr>
            </w:pPr>
            <w:r>
              <w:rPr>
                <w:rFonts w:ascii="Arial" w:cs="Arial" w:eastAsia="Arial" w:hAnsi="Arial"/>
                <w:sz w:val="13"/>
                <w:szCs w:val="13"/>
                <w:color w:val="auto"/>
              </w:rPr>
              <w:t>plans, net</w:t>
            </w:r>
          </w:p>
        </w:tc>
        <w:tc>
          <w:tcPr>
            <w:tcW w:w="80" w:type="dxa"/>
            <w:vAlign w:val="bottom"/>
          </w:tcPr>
          <w:p>
            <w:pPr>
              <w:spacing w:after="0"/>
              <w:rPr>
                <w:sz w:val="12"/>
                <w:szCs w:val="12"/>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580</w:t>
            </w:r>
          </w:p>
        </w:tc>
        <w:tc>
          <w:tcPr>
            <w:tcW w:w="80" w:type="dxa"/>
            <w:vAlign w:val="bottom"/>
          </w:tcPr>
          <w:p>
            <w:pPr>
              <w:spacing w:after="0"/>
              <w:rPr>
                <w:sz w:val="12"/>
                <w:szCs w:val="12"/>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581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581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Shares repurchased</w:t>
            </w:r>
          </w:p>
        </w:tc>
        <w:tc>
          <w:tcPr>
            <w:tcW w:w="80" w:type="dxa"/>
            <w:vAlign w:val="bottom"/>
          </w:tcPr>
          <w:p>
            <w:pPr>
              <w:spacing w:after="0"/>
              <w:rPr>
                <w:sz w:val="11"/>
                <w:szCs w:val="11"/>
                <w:color w:val="auto"/>
              </w:rPr>
            </w:pPr>
          </w:p>
        </w:tc>
        <w:tc>
          <w:tcPr>
            <w:tcW w:w="88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(674)</w:t>
            </w:r>
          </w:p>
        </w:tc>
        <w:tc>
          <w:tcPr>
            <w:tcW w:w="80" w:type="dxa"/>
            <w:vAlign w:val="bottom"/>
          </w:tcPr>
          <w:p>
            <w:pPr>
              <w:spacing w:after="0"/>
              <w:rPr>
                <w:sz w:val="11"/>
                <w:szCs w:val="11"/>
                <w:color w:val="auto"/>
              </w:rPr>
            </w:pPr>
          </w:p>
        </w:tc>
        <w:tc>
          <w:tcPr>
            <w:tcW w:w="11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(260)</w:t>
            </w:r>
          </w:p>
        </w:tc>
        <w:tc>
          <w:tcPr>
            <w:tcW w:w="100" w:type="dxa"/>
            <w:vAlign w:val="bottom"/>
          </w:tcPr>
          <w:p>
            <w:pPr>
              <w:spacing w:after="0"/>
              <w:rPr>
                <w:sz w:val="11"/>
                <w:szCs w:val="11"/>
                <w:color w:val="auto"/>
              </w:rPr>
            </w:pP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Balance at March 31, 2018</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ind w:left="500"/>
              <w:spacing w:after="0" w:line="129" w:lineRule="exact"/>
              <w:rPr>
                <w:sz w:val="20"/>
                <w:szCs w:val="20"/>
                <w:color w:val="auto"/>
              </w:rPr>
            </w:pPr>
            <w:r>
              <w:rPr>
                <w:rFonts w:ascii="Arial" w:cs="Arial" w:eastAsia="Arial" w:hAnsi="Arial"/>
                <w:sz w:val="13"/>
                <w:szCs w:val="13"/>
                <w:color w:val="auto"/>
                <w:w w:val="76"/>
              </w:rPr>
              <w:t>—</w:t>
            </w:r>
          </w:p>
        </w:tc>
        <w:tc>
          <w:tcPr>
            <w:tcW w:w="26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16,492</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144,260</w:t>
            </w: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(316</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149,320</w:t>
            </w:r>
          </w:p>
        </w:tc>
        <w:tc>
          <w:tcPr>
            <w:tcW w:w="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293,428</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293,428</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88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6,835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6,835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6,835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Stock issued under compensation</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plans, net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1,305</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tcPr>
          <w:p>
            <w:pPr>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ind w:left="16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1,058</w:t>
            </w:r>
          </w:p>
        </w:tc>
        <w:tc>
          <w:tcPr>
            <w:tcW w:w="80" w:type="dxa"/>
            <w:vAlign w:val="bottom"/>
          </w:tcPr>
          <w:p>
            <w:pPr>
              <w:spacing w:after="0"/>
              <w:rPr>
                <w:sz w:val="12"/>
                <w:szCs w:val="12"/>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1,058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1,058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Shares repurchased</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rPr>
                <w:sz w:val="20"/>
                <w:szCs w:val="20"/>
                <w:color w:val="auto"/>
              </w:rPr>
            </w:pPr>
            <w:r>
              <w:rPr>
                <w:rFonts w:ascii="Arial" w:cs="Arial" w:eastAsia="Arial" w:hAnsi="Arial"/>
                <w:sz w:val="13"/>
                <w:szCs w:val="13"/>
                <w:color w:val="auto"/>
              </w:rPr>
              <w:t>Other comprehensive income</w:t>
            </w:r>
          </w:p>
        </w:tc>
        <w:tc>
          <w:tcPr>
            <w:tcW w:w="80" w:type="dxa"/>
            <w:vAlign w:val="bottom"/>
          </w:tcPr>
          <w:p>
            <w:pPr>
              <w:spacing w:after="0"/>
              <w:rPr>
                <w:sz w:val="12"/>
                <w:szCs w:val="12"/>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June 30, 2018</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ind w:left="500"/>
              <w:spacing w:after="0" w:line="129" w:lineRule="exact"/>
              <w:rPr>
                <w:sz w:val="20"/>
                <w:szCs w:val="20"/>
                <w:color w:val="auto"/>
              </w:rPr>
            </w:pPr>
            <w:r>
              <w:rPr>
                <w:rFonts w:ascii="Arial" w:cs="Arial" w:eastAsia="Arial" w:hAnsi="Arial"/>
                <w:sz w:val="13"/>
                <w:szCs w:val="13"/>
                <w:color w:val="auto"/>
                <w:w w:val="76"/>
              </w:rPr>
              <w:t>—</w:t>
            </w:r>
          </w:p>
        </w:tc>
        <w:tc>
          <w:tcPr>
            <w:tcW w:w="2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16,565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146,610</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(300</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156,151</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302,626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302,626</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7,957</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7,957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7,959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tcPr>
          <w:p>
            <w:pPr>
              <w:spacing w:after="0" w:line="121" w:lineRule="exact"/>
              <w:rPr>
                <w:sz w:val="20"/>
                <w:szCs w:val="20"/>
                <w:color w:val="auto"/>
              </w:rPr>
            </w:pPr>
            <w:r>
              <w:rPr>
                <w:rFonts w:ascii="Arial" w:cs="Arial" w:eastAsia="Arial" w:hAnsi="Arial"/>
                <w:sz w:val="13"/>
                <w:szCs w:val="13"/>
                <w:color w:val="auto"/>
                <w:w w:val="92"/>
              </w:rPr>
              <w:t>Stock issued under compensation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ind w:left="160"/>
              <w:spacing w:after="0"/>
              <w:rPr>
                <w:sz w:val="20"/>
                <w:szCs w:val="20"/>
                <w:color w:val="auto"/>
              </w:rPr>
            </w:pPr>
            <w:r>
              <w:rPr>
                <w:rFonts w:ascii="Arial" w:cs="Arial" w:eastAsia="Arial" w:hAnsi="Arial"/>
                <w:sz w:val="13"/>
                <w:szCs w:val="13"/>
                <w:color w:val="auto"/>
              </w:rPr>
              <w:t>plans, net</w:t>
            </w:r>
          </w:p>
        </w:tc>
        <w:tc>
          <w:tcPr>
            <w:tcW w:w="80" w:type="dxa"/>
            <w:vAlign w:val="bottom"/>
          </w:tcPr>
          <w:p>
            <w:pPr>
              <w:spacing w:after="0"/>
              <w:rPr>
                <w:sz w:val="12"/>
                <w:szCs w:val="12"/>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Shares repurchased</w:t>
            </w:r>
          </w:p>
        </w:tc>
        <w:tc>
          <w:tcPr>
            <w:tcW w:w="80" w:type="dxa"/>
            <w:vAlign w:val="bottom"/>
          </w:tcPr>
          <w:p>
            <w:pPr>
              <w:spacing w:after="0"/>
              <w:rPr>
                <w:sz w:val="11"/>
                <w:szCs w:val="11"/>
                <w:color w:val="auto"/>
              </w:rPr>
            </w:pPr>
          </w:p>
        </w:tc>
        <w:tc>
          <w:tcPr>
            <w:tcW w:w="88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(69)</w:t>
            </w:r>
          </w:p>
        </w:tc>
        <w:tc>
          <w:tcPr>
            <w:tcW w:w="80" w:type="dxa"/>
            <w:vAlign w:val="bottom"/>
          </w:tcPr>
          <w:p>
            <w:pPr>
              <w:spacing w:after="0"/>
              <w:rPr>
                <w:sz w:val="11"/>
                <w:szCs w:val="11"/>
                <w:color w:val="auto"/>
              </w:rPr>
            </w:pPr>
          </w:p>
        </w:tc>
        <w:tc>
          <w:tcPr>
            <w:tcW w:w="11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Noncontrolling interest acquired</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1,273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1,273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rPr>
                <w:sz w:val="20"/>
                <w:szCs w:val="20"/>
                <w:color w:val="auto"/>
              </w:rPr>
            </w:pPr>
            <w:r>
              <w:rPr>
                <w:rFonts w:ascii="Arial" w:cs="Arial" w:eastAsia="Arial" w:hAnsi="Arial"/>
                <w:sz w:val="13"/>
                <w:szCs w:val="13"/>
                <w:color w:val="auto"/>
              </w:rPr>
              <w:t>Other comprehensive income</w:t>
            </w:r>
          </w:p>
        </w:tc>
        <w:tc>
          <w:tcPr>
            <w:tcW w:w="80" w:type="dxa"/>
            <w:vAlign w:val="bottom"/>
          </w:tcPr>
          <w:p>
            <w:pPr>
              <w:spacing w:after="0"/>
              <w:rPr>
                <w:sz w:val="12"/>
                <w:szCs w:val="12"/>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38"/>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top w:val="single" w:sz="8" w:color="CCEEFF"/>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94"/>
              </w:rPr>
              <w:t>Balance at September 30, 2018</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ind w:left="500"/>
              <w:spacing w:after="0" w:line="143" w:lineRule="exact"/>
              <w:rPr>
                <w:sz w:val="20"/>
                <w:szCs w:val="20"/>
                <w:color w:val="auto"/>
              </w:rPr>
            </w:pPr>
            <w:r>
              <w:rPr>
                <w:rFonts w:ascii="Arial" w:cs="Arial" w:eastAsia="Arial" w:hAnsi="Arial"/>
                <w:sz w:val="13"/>
                <w:szCs w:val="13"/>
                <w:color w:val="auto"/>
                <w:w w:val="76"/>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16,564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165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147,543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(322</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164,085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311,471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1,275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312,746</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6"/>
              </w:rPr>
              <w:t>Balance at December 31, 2018</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16,565</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165</w:t>
            </w:r>
          </w:p>
        </w:tc>
        <w:tc>
          <w:tcPr>
            <w:tcW w:w="22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148,276</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(193)</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174,736</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322,984</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1,480</w:t>
            </w: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324,464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88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7,353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7,353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(733)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6,620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Stock issued under compensation</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plans, net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tcPr>
          <w:p>
            <w:pPr>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ind w:left="16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951</w:t>
            </w:r>
          </w:p>
        </w:tc>
        <w:tc>
          <w:tcPr>
            <w:tcW w:w="80" w:type="dxa"/>
            <w:vAlign w:val="bottom"/>
          </w:tcPr>
          <w:p>
            <w:pPr>
              <w:spacing w:after="0"/>
              <w:rPr>
                <w:sz w:val="12"/>
                <w:szCs w:val="12"/>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951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951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Shares repurchased</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(571)</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Other comprehensive income</w:t>
            </w:r>
          </w:p>
        </w:tc>
        <w:tc>
          <w:tcPr>
            <w:tcW w:w="80" w:type="dxa"/>
            <w:vAlign w:val="bottom"/>
          </w:tcPr>
          <w:p>
            <w:pPr>
              <w:spacing w:after="0"/>
              <w:rPr>
                <w:sz w:val="11"/>
                <w:szCs w:val="11"/>
                <w:color w:val="auto"/>
              </w:rPr>
            </w:pPr>
          </w:p>
        </w:tc>
        <w:tc>
          <w:tcPr>
            <w:tcW w:w="88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(77)</w:t>
            </w: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issued - other</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Balance at March 31, 2019</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ind w:left="500"/>
              <w:spacing w:after="0" w:line="129" w:lineRule="exact"/>
              <w:rPr>
                <w:sz w:val="20"/>
                <w:szCs w:val="20"/>
                <w:color w:val="auto"/>
              </w:rPr>
            </w:pPr>
            <w:r>
              <w:rPr>
                <w:rFonts w:ascii="Arial" w:cs="Arial" w:eastAsia="Arial" w:hAnsi="Arial"/>
                <w:sz w:val="13"/>
                <w:szCs w:val="13"/>
                <w:color w:val="auto"/>
                <w:w w:val="76"/>
              </w:rPr>
              <w:t>—</w:t>
            </w:r>
          </w:p>
        </w:tc>
        <w:tc>
          <w:tcPr>
            <w:tcW w:w="26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16,610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148,938</w:t>
            </w: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(270</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181,882</w:t>
            </w:r>
          </w:p>
        </w:tc>
        <w:tc>
          <w:tcPr>
            <w:tcW w:w="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330,727</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747</w:t>
            </w:r>
          </w:p>
        </w:tc>
        <w:tc>
          <w:tcPr>
            <w:tcW w:w="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331,474</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88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7,207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(849)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6,358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Stock issued under compensation</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plans, net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tcPr>
          <w:p>
            <w:pPr>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ind w:left="16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1,202</w:t>
            </w:r>
          </w:p>
        </w:tc>
        <w:tc>
          <w:tcPr>
            <w:tcW w:w="80" w:type="dxa"/>
            <w:vAlign w:val="bottom"/>
          </w:tcPr>
          <w:p>
            <w:pPr>
              <w:spacing w:after="0"/>
              <w:rPr>
                <w:sz w:val="12"/>
                <w:szCs w:val="12"/>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1,202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1,202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(123)</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rPr>
                <w:sz w:val="20"/>
                <w:szCs w:val="20"/>
                <w:color w:val="auto"/>
              </w:rPr>
            </w:pPr>
            <w:r>
              <w:rPr>
                <w:rFonts w:ascii="Arial" w:cs="Arial" w:eastAsia="Arial" w:hAnsi="Arial"/>
                <w:sz w:val="13"/>
                <w:szCs w:val="13"/>
                <w:color w:val="auto"/>
              </w:rPr>
              <w:t>Stock issued - other</w:t>
            </w:r>
          </w:p>
        </w:tc>
        <w:tc>
          <w:tcPr>
            <w:tcW w:w="80" w:type="dxa"/>
            <w:vAlign w:val="bottom"/>
          </w:tcPr>
          <w:p>
            <w:pPr>
              <w:spacing w:after="0"/>
              <w:rPr>
                <w:sz w:val="12"/>
                <w:szCs w:val="12"/>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2"/>
                <w:szCs w:val="12"/>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June 30, 2019</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ind w:left="500"/>
              <w:spacing w:after="0" w:line="129" w:lineRule="exact"/>
              <w:rPr>
                <w:sz w:val="20"/>
                <w:szCs w:val="20"/>
                <w:color w:val="auto"/>
              </w:rPr>
            </w:pPr>
            <w:r>
              <w:rPr>
                <w:rFonts w:ascii="Arial" w:cs="Arial" w:eastAsia="Arial" w:hAnsi="Arial"/>
                <w:sz w:val="13"/>
                <w:szCs w:val="13"/>
                <w:color w:val="auto"/>
                <w:w w:val="76"/>
              </w:rPr>
              <w:t>—</w:t>
            </w:r>
          </w:p>
        </w:tc>
        <w:tc>
          <w:tcPr>
            <w:tcW w:w="2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16,644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150,177</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(393</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189,089</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339,039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338,937</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10,355</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10,355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106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10,461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tcPr>
          <w:p>
            <w:pPr>
              <w:spacing w:after="0" w:line="121" w:lineRule="exact"/>
              <w:rPr>
                <w:sz w:val="20"/>
                <w:szCs w:val="20"/>
                <w:color w:val="auto"/>
              </w:rPr>
            </w:pPr>
            <w:r>
              <w:rPr>
                <w:rFonts w:ascii="Arial" w:cs="Arial" w:eastAsia="Arial" w:hAnsi="Arial"/>
                <w:sz w:val="13"/>
                <w:szCs w:val="13"/>
                <w:color w:val="auto"/>
                <w:w w:val="92"/>
              </w:rPr>
              <w:t>Stock issued under compensation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ind w:left="160"/>
              <w:spacing w:after="0"/>
              <w:rPr>
                <w:sz w:val="20"/>
                <w:szCs w:val="20"/>
                <w:color w:val="auto"/>
              </w:rPr>
            </w:pPr>
            <w:r>
              <w:rPr>
                <w:rFonts w:ascii="Arial" w:cs="Arial" w:eastAsia="Arial" w:hAnsi="Arial"/>
                <w:sz w:val="13"/>
                <w:szCs w:val="13"/>
                <w:color w:val="auto"/>
              </w:rPr>
              <w:t>plans, net</w:t>
            </w:r>
          </w:p>
        </w:tc>
        <w:tc>
          <w:tcPr>
            <w:tcW w:w="80" w:type="dxa"/>
            <w:vAlign w:val="bottom"/>
          </w:tcPr>
          <w:p>
            <w:pPr>
              <w:spacing w:after="0"/>
              <w:rPr>
                <w:sz w:val="12"/>
                <w:szCs w:val="12"/>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2"/>
                <w:szCs w:val="12"/>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1,108</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Other comprehensive income</w:t>
            </w:r>
          </w:p>
        </w:tc>
        <w:tc>
          <w:tcPr>
            <w:tcW w:w="80" w:type="dxa"/>
            <w:vAlign w:val="bottom"/>
          </w:tcPr>
          <w:p>
            <w:pPr>
              <w:spacing w:after="0"/>
              <w:rPr>
                <w:sz w:val="11"/>
                <w:szCs w:val="11"/>
                <w:color w:val="auto"/>
              </w:rPr>
            </w:pPr>
          </w:p>
        </w:tc>
        <w:tc>
          <w:tcPr>
            <w:tcW w:w="88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issued - other</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4"/>
              </w:rPr>
              <w:t>Balance at September 30,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ind w:left="500"/>
              <w:spacing w:after="0" w:line="143" w:lineRule="exact"/>
              <w:rPr>
                <w:sz w:val="20"/>
                <w:szCs w:val="20"/>
                <w:color w:val="auto"/>
              </w:rPr>
            </w:pPr>
            <w:r>
              <w:rPr>
                <w:rFonts w:ascii="Arial" w:cs="Arial" w:eastAsia="Arial" w:hAnsi="Arial"/>
                <w:sz w:val="13"/>
                <w:szCs w:val="13"/>
                <w:color w:val="auto"/>
                <w:w w:val="76"/>
              </w:rPr>
              <w:t>—</w:t>
            </w:r>
          </w:p>
        </w:tc>
        <w:tc>
          <w:tcPr>
            <w:tcW w:w="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16,647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151,350</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(392</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199,444</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350,568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350,572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460" w:type="dxa"/>
            <w:vAlign w:val="bottom"/>
          </w:tcPr>
          <w:p>
            <w:pPr>
              <w:ind w:left="494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ind w:left="3040"/>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23,439</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20,438</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30,153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28,151</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3,261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2,480</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(2,548)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(2,869)</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net of acquisitions: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(27,327)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29,232</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Contract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(38,910)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(40,179)</w:t>
            </w: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(3,766)</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2,928</w:t>
            </w: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37,874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(13,781)</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8,681</w:t>
            </w: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self insurance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3,668</w:t>
            </w:r>
          </w:p>
        </w:tc>
      </w:tr>
      <w:tr>
        <w:trPr>
          <w:trHeight w:val="230"/>
        </w:trPr>
        <w:tc>
          <w:tcPr>
            <w:tcW w:w="846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21,668</w:t>
            </w:r>
          </w:p>
        </w:tc>
      </w:tr>
      <w:tr>
        <w:trPr>
          <w:trHeight w:val="210"/>
        </w:trPr>
        <w:tc>
          <w:tcPr>
            <w:tcW w:w="84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flows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3,505</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Cash paid for acquired business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(79,720)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(47,082)</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(39,354)</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(39,723)</w:t>
            </w:r>
          </w:p>
        </w:tc>
      </w:tr>
      <w:tr>
        <w:trPr>
          <w:trHeight w:val="210"/>
        </w:trPr>
        <w:tc>
          <w:tcPr>
            <w:tcW w:w="84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(116,176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Net borrowings (repayments) under revolving lines of credit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67,668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(14,580)</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under equipment notes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24,037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24,934</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Payment of principal obligations under equipment notes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(3,307)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principal obligations under finance leases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1,887</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refinancing costs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Repurchase of common 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(1,043)</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9,223</w:t>
            </w:r>
          </w:p>
        </w:tc>
      </w:tr>
      <w:tr>
        <w:trPr>
          <w:trHeight w:val="210"/>
        </w:trPr>
        <w:tc>
          <w:tcPr>
            <w:tcW w:w="84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flows provided by financing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tcPr>
          <w:p>
            <w:pPr>
              <w:spacing w:after="0"/>
              <w:rPr>
                <w:sz w:val="18"/>
                <w:szCs w:val="18"/>
                <w:color w:val="auto"/>
              </w:rPr>
            </w:pPr>
          </w:p>
        </w:tc>
      </w:tr>
      <w:tr>
        <w:trPr>
          <w:trHeight w:val="210"/>
        </w:trPr>
        <w:tc>
          <w:tcPr>
            <w:tcW w:w="8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spacing w:after="0"/>
        <w:rPr>
          <w:sz w:val="20"/>
          <w:szCs w:val="20"/>
          <w:color w:val="auto"/>
        </w:rPr>
      </w:pPr>
      <w:r>
        <w:rPr>
          <w:rFonts w:ascii="Arial" w:cs="Arial" w:eastAsia="Arial" w:hAnsi="Arial"/>
          <w:sz w:val="15"/>
          <w:szCs w:val="15"/>
          <w:color w:val="auto"/>
        </w:rPr>
        <w:t>Net increase (decrease) in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Beginning of period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1,638</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(5,043)</w:t>
            </w:r>
          </w:p>
        </w:tc>
      </w:tr>
      <w:tr>
        <w:trPr>
          <w:trHeight w:val="4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7,507</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5,343</w:t>
            </w:r>
          </w:p>
        </w:tc>
        <w:tc>
          <w:tcPr>
            <w:tcW w:w="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ind w:right="74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MYR Group Inc. (the “Company”) is a holding company of specialty electrical construction service providers and conducts operations through its wholly owned subsidiaries, including: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CSI Electrical Contractors, Inc., a Delaware corporation; MYR Transmission Services Canada, Ltd., a British Columbia corporation; Northern Transmission Services, Ltd., a British Columbia corporation and Western Pacific Enterprises Ltd., a British Columbia corporation.</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local governments and developers. C&amp;I provides a broad range of services, which include the design, installation, maintenance and repair of commercial and industrial wiring, the installation of traffic networks and the installation of bridge, roadway and tunnel lighting.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Certain reclassifications were made to prior year amounts to conform to the current year presentation. The consolidated balance sheet as of December 31, 2018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2018, included in the Company’s Annual Report on Form 10-K, which was filed with the SEC on March 6, 2019 (the “2018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consolidated statements of operations. Foreign currency gains, recorded in other income, net, for the nine months ended September 30, 2019 were $0.1 million. Foreign currency gains, recorded in other income, net, for the nine months ended September 30, 2018 were not significant. Effective foreign currency transaction gains and losses, arising primarily from long-term monetary assets and liabilities, are recorded in the foreign currency translation adjustment line on the consolidated statements of comprehensive income.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most significant estimates are related to estimates of costs to complete contracts, pending change orders and claims, shared savings, insurance reserves, income tax reserves,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nine months ended September 30, 2019 and 2018, the Company recognized revenues of $31.1 million and $8.8 million, respectively, related to significant change orders and/or claims that had been included as contract price adjustments on certain contracts which were in the process of being negotiated in the normal course of business.</w:t>
      </w:r>
    </w:p>
    <w:p>
      <w:pPr>
        <w:spacing w:after="0" w:line="18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cost-to-cost method of accounting requires the Company to make estimates about the expected revenue and gross profit on each of its contracts in process. During the three months ended September 30, 2019, changes in estimates pertaining to certain projects increased consolidated gross margin by</w:t>
      </w:r>
    </w:p>
    <w:p>
      <w:pPr>
        <w:ind w:right="280"/>
        <w:spacing w:after="0" w:line="273" w:lineRule="auto"/>
        <w:rPr>
          <w:sz w:val="20"/>
          <w:szCs w:val="20"/>
          <w:color w:val="auto"/>
        </w:rPr>
      </w:pPr>
      <w:r>
        <w:rPr>
          <w:rFonts w:ascii="Arial" w:cs="Arial" w:eastAsia="Arial" w:hAnsi="Arial"/>
          <w:sz w:val="17"/>
          <w:szCs w:val="17"/>
          <w:color w:val="auto"/>
        </w:rPr>
        <w:t>0.2%, which resulted in increases in operating income of $0.9 million, net income attributable to MYR Group Inc. of $0.8 million and diluted earnings per common share attributable to MYR Group Inc. of $0.05. During the nine months ended September 30, 2019, changes in estimates pertaining to certain projects decreased consolidated gross margin by 0.5%, which resulted in decreases in operating income of $7.8 million, net income attributable to MYR Group Inc. of $3.3 million and diluted earnings per common share attributable to MYR Group Inc. of $0.20.</w:t>
      </w:r>
    </w:p>
    <w:p>
      <w:pPr>
        <w:spacing w:after="0" w:line="177"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During the three months ended September 30, 2018, changes in estimates pertaining to certain projects decreased consolidated gross margin by 0.6%, which resulted in decreases in operating income of $2.1 million, net income attributable to MYR Group Inc. of $1.6 million and diluted earnings per common share attributable to MYR Group Inc of $0.09. During the nine months ended September 30, 2018, changes in estimates pertaining to certain projects decreased consolidated gross margin by 0.4%, which resulted in decreases in operating income of $3.9 million, net income attributable to MYR Group Inc. of $2.8 million and diluted earnings per common share attributable to MYR Group Inc. of $0.17.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56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amendments under this pronouncement changed the way all leases with durations in excess of one year are treated. Under this guidance, lessees are required to recognize virtually all leases on the balance sheet as a right-of-use asset and an associated finance lease liability or operating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finance leases or operating leases. Finance lease liabilities, which contain provisions similar to capitalized leases under the prior accounting standards, are amortized as amortization expense and interest expense in the statement of operations. Operating lease liabilities and right-of-use assets are adjusted to result in a single straight-line lease expense over the life of the lease. On January 1, 2019, the Company adopted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using the modified retrospective method. The modified retrospective basis provides a method for recording existing leases at adoption and in comparative periods that approximates the results of a full retrospective approach using the cumulative-effect approach for recording the transition adjustment as of the effective date. Financial results reported in prior periods are unchanged. See Note 4–Lease Obligations for further information related to the Company’s accounting policy and transition disclosures associated with the adoption of this pronouncement.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simplifies the subsequent measurement of goodwill, through the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firstLine="648"/>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introduced an expected credit loss methodology for the measurement and recognition of credit losses on most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trade receivables and off-balance sheet credit exposures. Under this guidance, an entity is required to consider a broader range of information to estimate expected credit losses, which may result in earlier recognition of losses. This ASU also requires disclosure of information regarding how a company developed its allowance, including changes in the factors that influenced management’s estimate of expected credit losses and the reasons for those changes. The ASU and its related clarifying updates are effective for fiscal years beginning after December 15, 2019, and interim periods within those fiscal years, with early adoption permitted. The adoption of this standard will be through a cumulative-effect adjustment to retained earnings as of the effective date. Based on our historical experience, the Company does not expect that this pronouncement will have a significant impact in its financial statements or on the estimate of the allowance for uncollectable accounts.</w:t>
      </w:r>
    </w:p>
    <w:p>
      <w:pPr>
        <w:spacing w:after="0" w:line="18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modifies the disclosure requirements for Level 1, Level 2 and Level 3 instruments in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The guidance is effective for fiscal years beginning after December 15, 2019, and interim periods within those fiscal years, with early adoption permitted for any eliminated or modified disclosures. The adoption of this standard is not expected to have a material impact on the Company’s consolidated financial statements or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CSI Electrical Contractors, Inc.</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On July 15, 2019, the Company completed the acquisition of substantially all the assets of CSI Electrical Contractors, Inc. (“CSI”), an electrical contracting firm based in California. CSI provides services to a broad array of end markets under the Company’s C&amp;I segment. The total consideration paid was approximately $79.7 million, subject to working capital and net asset adjustments, entirely funded through borrowings under the Company’s credit facility. Total consideration paid may include a portion subject to potential net asset adjustments which are expected to be finalized in early 2020. The Company’s preliminary estimate of these net asset adjustments was approximately $0.6 million as of the July 15, 2019 closing date and as of September 30, 2019, which will increase the total consideration to be paid, and is recorded in other current liabilities on the consolidated balance sheets.</w:t>
      </w:r>
    </w:p>
    <w:p>
      <w:pPr>
        <w:spacing w:after="0" w:line="16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purchase agreement also includes contingent consideration provisions for margin guarantee adjustments based upon contract performance subsequent to the acquisition. The contracts were valued at fair value at the acquisition date, causing no margin guarantee estimate. Changes in contract estimates, such as modified costs to complete or change order recognition, will result in changes to these margin guarantee estimates. Changes in contingent consideration, subsequent to the acquisition, related to the margin guarantee adjustments on contracts of approximately $1.1 million were recorded in other expense for the three and nine months ended September 30, 2019. Future margin guarantee adjustments, if any, are expected to be recognized through 2020. The Company could also be required to make compensation payments contingent on the successful achievement of certain performance targets and continued employment of certain key executives of the CSI. These payments are recognized as compensation expense in the consolidated statements of operations as incurred. For the three and nine months ended September 30, 2019 the Company has not recognized any compensation expense associated with these contingent payments.</w:t>
      </w:r>
    </w:p>
    <w:p>
      <w:pPr>
        <w:spacing w:after="0" w:line="18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results of operations for CSI are included in the Company’s consolidated statement of operations and the C&amp;I segment from the date of acquisition. Costs of approximately $0.3 million related to the acquisition were included in selling, general and administrative expenses in the consolidated statement of operations for the three and nine months ended September 30,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6"/>
          <w:szCs w:val="16"/>
          <w:color w:val="auto"/>
        </w:rPr>
        <w:t>The following table summarizes the preliminary allocation of the opening balance sheet from the date of the CSI acquisition through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(as of acquisition</w:t>
            </w:r>
          </w:p>
        </w:tc>
        <w:tc>
          <w:tcPr>
            <w:tcW w:w="0" w:type="dxa"/>
            <w:vAlign w:val="bottom"/>
          </w:tcPr>
          <w:p>
            <w:pPr>
              <w:spacing w:after="0"/>
              <w:rPr>
                <w:sz w:val="1"/>
                <w:szCs w:val="1"/>
                <w:color w:val="auto"/>
              </w:rPr>
            </w:pPr>
          </w:p>
        </w:tc>
      </w:tr>
      <w:tr>
        <w:trPr>
          <w:trHeight w:val="234"/>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date) July 15,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Consideration paid</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Preliminary estimated net asset adjustments</w:t>
            </w: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consideration, net of net asset adjustments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Contract assets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 term 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operating lease obligations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identifiable assets and liabilities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Company has developed preliminary estimates of fair value of the assets acquired and liabilities assumed for the purposes of allocating the purchase price. The goodwill to be recognized, which represents the excess of the purchase price over the net amount of the fair values assigned to assets acquired and liabilities assumed, is primarily attributable to the value of an assembled workforce and other non-identifiable assets. No synergies were anticipated in the acquisition as CSI will function as an individual district within the Company’s operating structure. Further adjustments are expected to the allocation as third party valuations of identifiable intangible assets, including backlog, customer relationships, trade name and off-market component, are determined, and as net asset adjustments are finalized. Additionally, the Company will perform an analysis of the purchase price allocation and make appropriate adjustments based on the analysis. All of the goodwill and identifiable intangible assets are expected to be tax deductible per applicable Internal Revenue Service regulations.</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unaudited supplemental pro forma results of operations have been provided for illustrative purposes only and do not purport to be indicative of the actual results that would have been achieved by the combined companies for the periods presented or that may be achieved by the combined companies in the future. Future results may vary significantly from the results reflected in the following pro forma financial information because of future events and transactions, as well as other factors: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r>
      <w:tr>
        <w:trPr>
          <w:trHeight w:val="223"/>
        </w:trPr>
        <w:tc>
          <w:tcPr>
            <w:tcW w:w="5480" w:type="dxa"/>
            <w:vAlign w:val="bottom"/>
            <w:gridSpan w:val="2"/>
          </w:tcPr>
          <w:p>
            <w:pPr>
              <w:ind w:left="980"/>
              <w:spacing w:after="0"/>
              <w:rPr>
                <w:sz w:val="20"/>
                <w:szCs w:val="20"/>
                <w:color w:val="auto"/>
              </w:rPr>
            </w:pPr>
            <w:r>
              <w:rPr>
                <w:rFonts w:ascii="Arial" w:cs="Arial" w:eastAsia="Arial" w:hAnsi="Arial"/>
                <w:sz w:val="18"/>
                <w:szCs w:val="18"/>
                <w:b w:val="1"/>
                <w:bCs w:val="1"/>
                <w:color w:val="auto"/>
              </w:rPr>
              <w:t>(in thousands, except per share data)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596,600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474,783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1,277,341</w:t>
            </w: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5,602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26,515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18,940</w:t>
            </w:r>
          </w:p>
        </w:tc>
        <w:tc>
          <w:tcPr>
            <w:tcW w:w="4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MYR Group, Inc.</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18,938</w:t>
            </w:r>
          </w:p>
        </w:tc>
        <w:tc>
          <w:tcPr>
            <w:tcW w:w="4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5"/>
              </w:rPr>
              <w:t>Income per common share attributable to MYR Group Inc.: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—Diluted</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8"/>
                <w:szCs w:val="18"/>
                <w:color w:val="auto"/>
              </w:rPr>
            </w:pPr>
          </w:p>
        </w:tc>
      </w:tr>
      <w:tr>
        <w:trPr>
          <w:trHeight w:val="202"/>
        </w:trPr>
        <w:tc>
          <w:tcPr>
            <w:tcW w:w="98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number of common shares and potential</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r>
      <w:tr>
        <w:trPr>
          <w:trHeight w:val="230"/>
        </w:trPr>
        <w:tc>
          <w:tcPr>
            <w:tcW w:w="98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16,492</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16,423</w:t>
            </w:r>
          </w:p>
        </w:tc>
        <w:tc>
          <w:tcPr>
            <w:tcW w:w="4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16,692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16,580</w:t>
            </w:r>
          </w:p>
        </w:tc>
        <w:tc>
          <w:tcPr>
            <w:tcW w:w="400" w:type="dxa"/>
            <w:vAlign w:val="bottom"/>
          </w:tcPr>
          <w:p>
            <w:pPr>
              <w:spacing w:after="0"/>
              <w:rPr>
                <w:sz w:val="18"/>
                <w:szCs w:val="18"/>
                <w:color w:val="auto"/>
              </w:rPr>
            </w:pPr>
          </w:p>
        </w:tc>
      </w:tr>
      <w:tr>
        <w:trPr>
          <w:trHeight w:val="648"/>
        </w:trPr>
        <w:tc>
          <w:tcPr>
            <w:tcW w:w="9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 w:name="page11"/>
    <w:bookmarkEnd w:id="10"/>
    <w:p>
      <w:pPr>
        <w:ind w:right="280" w:firstLine="648"/>
        <w:spacing w:after="0" w:line="264" w:lineRule="auto"/>
        <w:rPr>
          <w:sz w:val="20"/>
          <w:szCs w:val="20"/>
          <w:color w:val="auto"/>
        </w:rPr>
      </w:pPr>
      <w:r>
        <w:rPr>
          <w:rFonts w:ascii="Arial" w:cs="Arial" w:eastAsia="Arial" w:hAnsi="Arial"/>
          <w:sz w:val="18"/>
          <w:szCs w:val="18"/>
          <w:color w:val="auto"/>
        </w:rPr>
        <w:t>The pro forma combined results of operations for the three and nine months ended September 30, 2019 and 2018 were prepared by adjusting the historical results of the Company to include the historical results of CSI, as if the acquisition occurred on January 1, 2018. These pro forma results were adjusted for the following:</w:t>
      </w:r>
    </w:p>
    <w:p>
      <w:pPr>
        <w:spacing w:after="0" w:line="181"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depreciation associated with the estimated step-up in fair value of the property and equipment acquired;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transaction costs associated with the acquisition;</w:t>
      </w:r>
    </w:p>
    <w:p>
      <w:pPr>
        <w:spacing w:after="0" w:line="9" w:lineRule="exact"/>
        <w:rPr>
          <w:rFonts w:ascii="Arial" w:cs="Arial" w:eastAsia="Arial" w:hAnsi="Arial"/>
          <w:sz w:val="18"/>
          <w:szCs w:val="18"/>
          <w:color w:val="auto"/>
        </w:rPr>
      </w:pPr>
    </w:p>
    <w:p>
      <w:pPr>
        <w:ind w:left="1300" w:right="54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compensation expense related to contingent payments associated with the achievement of certain performance targets and continued employment of certain key executives of CSI;</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estimated amortization related to the acquired intangible assets discussed above;</w:t>
      </w:r>
    </w:p>
    <w:p>
      <w:pPr>
        <w:spacing w:after="0" w:line="9" w:lineRule="exact"/>
        <w:rPr>
          <w:rFonts w:ascii="Arial" w:cs="Arial" w:eastAsia="Arial" w:hAnsi="Arial"/>
          <w:sz w:val="18"/>
          <w:szCs w:val="18"/>
          <w:color w:val="auto"/>
        </w:rPr>
      </w:pPr>
    </w:p>
    <w:p>
      <w:pPr>
        <w:ind w:left="1300" w:right="68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expense recorded by CSI and the additional interest expense related to the incremental borrowings of $79.7 million on the Company’s credit facility as if the borrowing occurred on January 1, 2018; and</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income tax effect of pro forma adjustments at the statutory tax rate.</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Revenues of approximately $65.0 million and net loss before income taxes of approximately $1.7 million, net of CSI margin guarantee adjustments on contracts of $1.1 million and intangible amortization of $1.1 million, were included in the Company’s consolidated results of operations for the three and nine months ended September 30, 2019 related to the acquisition of CSI.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Huen Electric, Inc.</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July 2, 2018, the Company completed the acquisition of substantially all the assets of Huen Electric, Inc., an electrical contracting firm based in Illinois, Huen Electric New Jersey Inc., an electrical contracting firm based in New Jersey, and Huen New York, Inc., an electrical contracting firm based in New York (collectively, the “Huen Companies”). The Huen Companies provide a wide range of commercial and industrial electrical construction capabilities under the Company’s C&amp;I segment in Illinois, New Jersey and New York. The total consideration after net asset adjustments of $10.8 million was approximately $57.9 million, which was funded through borrowings under the Company’s credit facility. The Company has finalized the purchase price accounting relating to the acquisition of the Huen Companies. All goodwill and identifiable intangible assets are expected to be tax deductible per applicable Internal Revenue Service regulations.</w:t>
      </w:r>
    </w:p>
    <w:p>
      <w:pPr>
        <w:spacing w:after="0" w:line="18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purchase agreement also included contingent consideration provisions for margin guarantee adjustments based upon performance subsequent to the acquisition on certain contracts. The contracts were valued at fair value at the acquisition date, causing no margin guarantee estimate or adjustments for fair value. Changes in contract estimates, such as modified costs to complete or change order recognition, have resulted and will continue to result in changes to these margin guarantee estimates. Changes in contingent consideration, subsequent to the acquisition, related to the margin guarantee adjustments on certain contracts were not significant for the three months ended September 30, 2019 and $1.4 million for the nine months ended September 30, 2019. Future margin guarantee adjustments, if any, are expected to be recognized in 2019. The Company could also be required to make compensation payments contingent on the successful achievement of certain performance targets and continued employment of certain key executives of the Huen Companies. These payments are recognized as compensation expense in the consolidated statements of operations as incurred. For the three and nine months ended September 30, 2019, the Company recognized $0.9 million and $1.4 million, respectively, of compensation expense associated with these contingent payments.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The following table summarizes the allocation of the opening balance sheet from the date of the Huen Companies acquisition through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Measurement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acquisition date)</w:t>
            </w: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Period</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5"/>
              </w:rPr>
              <w:t>Final Acquisition</w:t>
            </w:r>
          </w:p>
        </w:tc>
      </w:t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July 2, 2018</w:t>
            </w:r>
          </w:p>
        </w:tc>
        <w:tc>
          <w:tcPr>
            <w:tcW w:w="16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Adjustments</w:t>
            </w:r>
          </w:p>
        </w:tc>
        <w:tc>
          <w:tcPr>
            <w:tcW w:w="22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Allocation</w:t>
            </w: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Consideration paid</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Preliminary estimated net asset adjustments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10,749</w:t>
            </w:r>
          </w:p>
        </w:tc>
        <w:tc>
          <w:tcPr>
            <w:tcW w:w="16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10,834</w:t>
            </w:r>
          </w:p>
        </w:tc>
      </w:tr>
      <w:tr>
        <w:trPr>
          <w:trHeight w:val="210"/>
        </w:trPr>
        <w:tc>
          <w:tcPr>
            <w:tcW w:w="4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consideration, net of net asset adjustments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33,696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10,570</w:t>
            </w:r>
          </w:p>
        </w:tc>
        <w:tc>
          <w:tcPr>
            <w:tcW w:w="1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11,580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 term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3,188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(9,592)</w:t>
            </w:r>
          </w:p>
        </w:tc>
        <w:tc>
          <w:tcPr>
            <w:tcW w:w="1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(1,274)</w:t>
            </w: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(10,866)</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(6,394)</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(5,869)</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(6,570)</w:t>
            </w:r>
          </w:p>
        </w:tc>
        <w:tc>
          <w:tcPr>
            <w:tcW w:w="16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(6,521)</w:t>
            </w:r>
          </w:p>
        </w:tc>
      </w:tr>
      <w:tr>
        <w:trPr>
          <w:trHeight w:val="210"/>
        </w:trPr>
        <w:tc>
          <w:tcPr>
            <w:tcW w:w="4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identifiable assets and liabilities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intangible assets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acquired assets and liabilities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49,585</w:t>
            </w:r>
          </w:p>
        </w:tc>
        <w:tc>
          <w:tcPr>
            <w:tcW w:w="100" w:type="dxa"/>
            <w:vAlign w:val="bottom"/>
            <w:shd w:val="clear" w:color="auto" w:fill="CCEEFF"/>
          </w:tcPr>
          <w:p>
            <w:pPr>
              <w:spacing w:after="0"/>
              <w:rPr>
                <w:sz w:val="18"/>
                <w:szCs w:val="18"/>
                <w:color w:val="auto"/>
              </w:rPr>
            </w:pPr>
          </w:p>
        </w:tc>
      </w:tr>
      <w:tr>
        <w:trPr>
          <w:trHeight w:val="210"/>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acquired noncontrolling interest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24,111</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Contract Assets and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8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collection of contract retainage was not significant as of September 30, 2019 and 2018.</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Contract assets consisted of the following:</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130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150,485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111,153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39,332</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Contract retainages, net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88,007</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49,128</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38,879</w:t>
            </w:r>
          </w:p>
        </w:tc>
      </w:tr>
      <w:tr>
        <w:trPr>
          <w:trHeight w:val="223"/>
        </w:trPr>
        <w:tc>
          <w:tcPr>
            <w:tcW w:w="130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Company’s consolidated balance sheets present contract liabilities which contain deferred revenue and an accrual for contracts in a loss provision.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ind w:left="660"/>
              <w:spacing w:after="0"/>
              <w:rPr>
                <w:sz w:val="20"/>
                <w:szCs w:val="20"/>
                <w:color w:val="auto"/>
              </w:rPr>
            </w:pPr>
            <w:r>
              <w:rPr>
                <w:rFonts w:ascii="Arial" w:cs="Arial" w:eastAsia="Arial" w:hAnsi="Arial"/>
                <w:sz w:val="18"/>
                <w:szCs w:val="18"/>
                <w:color w:val="auto"/>
              </w:rPr>
              <w:t>Contract liabilities consisted of the following:</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27"/>
        </w:trPr>
        <w:tc>
          <w:tcPr>
            <w:tcW w:w="1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4"/>
        </w:trPr>
        <w:tc>
          <w:tcPr>
            <w:tcW w:w="19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2180" w:type="dxa"/>
            <w:vAlign w:val="bottom"/>
          </w:tcPr>
          <w:p>
            <w:pPr>
              <w:spacing w:after="0"/>
              <w:rPr>
                <w:sz w:val="20"/>
                <w:szCs w:val="20"/>
                <w:color w:val="auto"/>
              </w:rPr>
            </w:pPr>
          </w:p>
        </w:tc>
      </w:tr>
      <w:tr>
        <w:trPr>
          <w:trHeight w:val="210"/>
        </w:trPr>
        <w:tc>
          <w:tcPr>
            <w:tcW w:w="196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18,590</w:t>
            </w:r>
          </w:p>
        </w:tc>
        <w:tc>
          <w:tcPr>
            <w:tcW w:w="2180" w:type="dxa"/>
            <w:vAlign w:val="bottom"/>
          </w:tcPr>
          <w:p>
            <w:pPr>
              <w:spacing w:after="0"/>
              <w:rPr>
                <w:sz w:val="18"/>
                <w:szCs w:val="18"/>
                <w:color w:val="auto"/>
              </w:rPr>
            </w:pPr>
          </w:p>
        </w:tc>
      </w:tr>
      <w:tr>
        <w:trPr>
          <w:trHeight w:val="230"/>
        </w:trPr>
        <w:tc>
          <w:tcPr>
            <w:tcW w:w="19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Accrued loss provision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1,652</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2180" w:type="dxa"/>
            <w:vAlign w:val="bottom"/>
          </w:tcPr>
          <w:p>
            <w:pPr>
              <w:spacing w:after="0"/>
              <w:rPr>
                <w:sz w:val="19"/>
                <w:szCs w:val="19"/>
                <w:color w:val="auto"/>
              </w:rPr>
            </w:pPr>
          </w:p>
        </w:tc>
      </w:tr>
      <w:tr>
        <w:trPr>
          <w:trHeight w:val="223"/>
        </w:trPr>
        <w:tc>
          <w:tcPr>
            <w:tcW w:w="196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18,759</w:t>
            </w:r>
          </w:p>
        </w:tc>
        <w:tc>
          <w:tcPr>
            <w:tcW w:w="2180" w:type="dxa"/>
            <w:vAlign w:val="bottom"/>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29"/>
        </w:trPr>
        <w:tc>
          <w:tcPr>
            <w:tcW w:w="19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5"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September 30,</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31,</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238,492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160,281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78,211</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(77,293)</w:t>
            </w: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(58,534)</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(18,759)</w:t>
            </w:r>
          </w:p>
        </w:tc>
      </w:tr>
      <w:tr>
        <w:trPr>
          <w:trHeight w:val="223"/>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 (liabilities)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$11.9 million and $39.4 million for the three and nine months ended September 30, 2019, respectively. The amounts of revenue recognized in the period that were included in the opening contract liability balances were $16.9 million and $22.6 million for the three and nine months ended September 30, 2018, respectively. This revenue consists primarily of work performed on previous billings to customers.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auto"/>
              </w:rPr>
              <w:t>The net asset position for contracts in process consisted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64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640" w:type="dxa"/>
            <w:vAlign w:val="bottom"/>
          </w:tcPr>
          <w:p>
            <w:pPr>
              <w:spacing w:after="0"/>
              <w:rPr>
                <w:sz w:val="18"/>
                <w:szCs w:val="18"/>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Costs and estimated earnings on uncompleted contracts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3,335,968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2,718,713</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Less: billings to date</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3,261,124</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2,664,611</w:t>
            </w:r>
          </w:p>
        </w:tc>
      </w:tr>
      <w:tr>
        <w:trPr>
          <w:trHeight w:val="223"/>
        </w:trPr>
        <w:tc>
          <w:tcPr>
            <w:tcW w:w="640" w:type="dxa"/>
            <w:vAlign w:val="bottom"/>
          </w:tcPr>
          <w:p>
            <w:pPr>
              <w:spacing w:after="0"/>
              <w:rPr>
                <w:sz w:val="19"/>
                <w:szCs w:val="19"/>
                <w:color w:val="auto"/>
              </w:rPr>
            </w:pPr>
          </w:p>
        </w:tc>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net asset position for contracts in process is included within the contract asset and contract liability in the accompanying consolidated balance sheets as follows: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150,485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111,153</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(75,641)</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(57,051)</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Policy</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On January 1, 2019,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using the modified retrospective method. Under this guidance, the net present value of future lease payments are recorded as right-of-use assets and liabilities. In addition, the Company elected the ‘package of practical expedients’ permitted under the transition guidance within the new standard, which among other things, allowed the Company to carry forward the historical lease classification. In addition, the Company elected not to utilize the hindsight practical expedient to determine the lease term for existing leases. The Company elected the short-term lease recognition exemption for all leases that qualify. This means, for those leases that qualify, the Company did not recognize right-of-use assets or lease liabilities, including not recognizing right-of-use assets or lease liabilities for existing short-term leases of those assets in transition. The Company also elected the practical expedient to not separate lease and non-lease components for our real estate and vehicle leases. Adoption of the new standard resulted in the recording of additional operating right-of-use assets and operating lease liabilities of approximately $15.1 million, as of January 1, 2019. The adoption of Topic 842 did not impact the Company’s retained earnings, consolidated net earnings or cash flows.</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eight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Company’s month-to-month leases are cancelable, by the Company or the lessor, at any time and are not included in our right-of-use asset or liability. At September 30, 2019, the Company had several leases with residual value guarantees, due to the acquisition of CSI. Typically, the Company has purchase options on the equipment underlying its long-term leases and many of its short-term rental arrangements.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finance leases, depending on the terms of the lease.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Company leases some vehicles and certain equipment under finance leases. The economic substance of the leases is a financing transaction for acquisition of the vehicles and equipment. Accordingly, the right-of-use assets for these leases are included in the balance sheets in property and equipment, net of accumulated depreciation, with a corresponding amount recorded in current portion of finance lease obligations or finance lease obligations, net of current maturities, as appropriate. The finance lease assets are amortized over the life of the lease or, if shorter, the life of the leased asset, on a straight-line basis and included in depreciation expense. The interest associated with finance lease obligations is included in interest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Right-of-Use Leases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Operating right-of-use leases are included in operating lease right-of-use assets, and current portion of operating lease obligations and operating lease obligations, net of current maturities, as appropriate. Operating lease right-of-use assets and operating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utilizing the borrowing rates associated with the Company’s various debt instruments. The operating lease right-of-use asset also includes any lease payments made and initial direct costs incurred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lease-related assets and liabilities recorded as of September 30, 2019:</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1"/>
                <w:szCs w:val="21"/>
                <w:color w:val="auto"/>
              </w:rPr>
            </w:pPr>
          </w:p>
        </w:tc>
        <w:tc>
          <w:tcPr>
            <w:tcW w:w="4680" w:type="dxa"/>
            <w:vAlign w:val="bottom"/>
            <w:gridSpan w:val="2"/>
          </w:tcPr>
          <w:p>
            <w:pPr>
              <w:ind w:left="380"/>
              <w:spacing w:after="0"/>
              <w:rPr>
                <w:sz w:val="20"/>
                <w:szCs w:val="20"/>
                <w:color w:val="auto"/>
              </w:rPr>
            </w:pPr>
            <w:r>
              <w:rPr>
                <w:rFonts w:ascii="Arial" w:cs="Arial" w:eastAsia="Arial" w:hAnsi="Arial"/>
                <w:sz w:val="18"/>
                <w:szCs w:val="18"/>
                <w:b w:val="1"/>
                <w:bCs w:val="1"/>
                <w:color w:val="auto"/>
              </w:rPr>
              <w:t>Classification on the Consolidated Balance Sheet</w:t>
            </w:r>
          </w:p>
        </w:tc>
        <w:tc>
          <w:tcPr>
            <w:tcW w:w="14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w w:val="97"/>
              </w:rPr>
              <w:t>Operating lease right-of-use assets</w:t>
            </w:r>
          </w:p>
        </w:tc>
        <w:tc>
          <w:tcPr>
            <w:tcW w:w="4880" w:type="dxa"/>
            <w:vAlign w:val="bottom"/>
            <w:gridSpan w:val="3"/>
          </w:tcPr>
          <w:p>
            <w:pPr>
              <w:ind w:left="20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 right-of-use assets</w:t>
            </w:r>
          </w:p>
        </w:tc>
        <w:tc>
          <w:tcPr>
            <w:tcW w:w="4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Property and equipment, net of accumulated depreciation</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right-of-use lease assets</w:t>
            </w:r>
          </w:p>
        </w:tc>
        <w:tc>
          <w:tcPr>
            <w:tcW w:w="200" w:type="dxa"/>
            <w:vAlign w:val="bottom"/>
            <w:tcBorders>
              <w:bottom w:val="single" w:sz="8" w:color="CCEEFF"/>
            </w:tcBorders>
          </w:tcPr>
          <w:p>
            <w:pPr>
              <w:spacing w:after="0"/>
              <w:rPr>
                <w:sz w:val="22"/>
                <w:szCs w:val="22"/>
                <w:color w:val="auto"/>
              </w:rPr>
            </w:pPr>
          </w:p>
        </w:tc>
        <w:tc>
          <w:tcPr>
            <w:tcW w:w="45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24,749</w:t>
            </w:r>
          </w:p>
        </w:tc>
        <w:tc>
          <w:tcPr>
            <w:tcW w:w="10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Operating lease obligations</w:t>
            </w:r>
          </w:p>
        </w:tc>
        <w:tc>
          <w:tcPr>
            <w:tcW w:w="4880" w:type="dxa"/>
            <w:vAlign w:val="bottom"/>
            <w:gridSpan w:val="3"/>
          </w:tcPr>
          <w:p>
            <w:pPr>
              <w:ind w:left="200"/>
              <w:spacing w:after="0"/>
              <w:rPr>
                <w:sz w:val="20"/>
                <w:szCs w:val="20"/>
                <w:color w:val="auto"/>
              </w:rPr>
            </w:pPr>
            <w:r>
              <w:rPr>
                <w:rFonts w:ascii="Arial" w:cs="Arial" w:eastAsia="Arial" w:hAnsi="Arial"/>
                <w:sz w:val="18"/>
                <w:szCs w:val="18"/>
                <w:color w:val="auto"/>
              </w:rPr>
              <w:t>Current portion of operating lease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 obligations</w:t>
            </w:r>
          </w:p>
        </w:tc>
        <w:tc>
          <w:tcPr>
            <w:tcW w:w="4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Current portion of finance lease obligations</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Total current obligations</w:t>
            </w:r>
          </w:p>
        </w:tc>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Operating lease obligations</w:t>
            </w:r>
          </w:p>
        </w:tc>
        <w:tc>
          <w:tcPr>
            <w:tcW w:w="4880" w:type="dxa"/>
            <w:vAlign w:val="bottom"/>
            <w:gridSpan w:val="3"/>
          </w:tcPr>
          <w:p>
            <w:pPr>
              <w:ind w:left="200"/>
              <w:spacing w:after="0"/>
              <w:rPr>
                <w:sz w:val="20"/>
                <w:szCs w:val="20"/>
                <w:color w:val="auto"/>
              </w:rPr>
            </w:pPr>
            <w:r>
              <w:rPr>
                <w:rFonts w:ascii="Arial" w:cs="Arial" w:eastAsia="Arial" w:hAnsi="Arial"/>
                <w:sz w:val="18"/>
                <w:szCs w:val="18"/>
                <w:color w:val="auto"/>
              </w:rPr>
              <w:t>Operating lease obligations, net of current maturities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 obligations</w:t>
            </w:r>
          </w:p>
        </w:tc>
        <w:tc>
          <w:tcPr>
            <w:tcW w:w="4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Finance lease obligations, net of current maturities</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non-current obligations</w:t>
            </w:r>
          </w:p>
        </w:tc>
        <w:tc>
          <w:tcPr>
            <w:tcW w:w="200" w:type="dxa"/>
            <w:vAlign w:val="bottom"/>
            <w:tcBorders>
              <w:bottom w:val="single" w:sz="8" w:color="CCEEFF"/>
            </w:tcBorders>
          </w:tcPr>
          <w:p>
            <w:pPr>
              <w:spacing w:after="0"/>
              <w:rPr>
                <w:sz w:val="18"/>
                <w:szCs w:val="18"/>
                <w:color w:val="auto"/>
              </w:rPr>
            </w:pPr>
          </w:p>
        </w:tc>
        <w:tc>
          <w:tcPr>
            <w:tcW w:w="45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17,717</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lease obligations</w:t>
            </w:r>
          </w:p>
        </w:tc>
        <w:tc>
          <w:tcPr>
            <w:tcW w:w="20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gridSpan w:val="6"/>
            <w:vMerge w:val="restart"/>
          </w:tcPr>
          <w:p>
            <w:pPr>
              <w:spacing w:after="0"/>
              <w:rPr>
                <w:sz w:val="20"/>
                <w:szCs w:val="20"/>
                <w:color w:val="auto"/>
              </w:rPr>
            </w:pPr>
            <w:r>
              <w:rPr>
                <w:rFonts w:ascii="Arial" w:cs="Arial" w:eastAsia="Arial" w:hAnsi="Arial"/>
                <w:sz w:val="18"/>
                <w:szCs w:val="18"/>
                <w:color w:val="auto"/>
              </w:rPr>
              <w:t>The following is a summary of the lease terms and discount rates as of September 30, 2019:</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2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81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 years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4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4.1 years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Weighted-average discount rate - finance leases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100" w:type="dxa"/>
            <w:vAlign w:val="bottom"/>
            <w:gridSpan w:val="5"/>
          </w:tcPr>
          <w:p>
            <w:pPr>
              <w:spacing w:after="0"/>
              <w:rPr>
                <w:sz w:val="20"/>
                <w:szCs w:val="20"/>
                <w:color w:val="auto"/>
              </w:rPr>
            </w:pPr>
            <w:r>
              <w:rPr>
                <w:rFonts w:ascii="Arial" w:cs="Arial" w:eastAsia="Arial" w:hAnsi="Arial"/>
                <w:sz w:val="18"/>
                <w:szCs w:val="18"/>
                <w:color w:val="auto"/>
              </w:rPr>
              <w:t>Weighted-average discount rate - operating leases</w:t>
            </w:r>
          </w:p>
        </w:tc>
        <w:tc>
          <w:tcPr>
            <w:tcW w:w="140" w:type="dxa"/>
            <w:vAlign w:val="bottom"/>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certain information related to the lease costs for finance and operating leases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3"/>
              </w:rPr>
              <w:t>Three months ended</w:t>
            </w:r>
          </w:p>
        </w:tc>
        <w:tc>
          <w:tcPr>
            <w:tcW w:w="80" w:type="dxa"/>
            <w:vAlign w:val="bottom"/>
          </w:tcPr>
          <w:p>
            <w:pPr>
              <w:spacing w:after="0"/>
              <w:rPr>
                <w:sz w:val="19"/>
                <w:szCs w:val="19"/>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Nine months ended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20" w:type="dxa"/>
            <w:vAlign w:val="bottom"/>
            <w:gridSpan w:val="2"/>
          </w:tcPr>
          <w:p>
            <w:pPr>
              <w:ind w:left="980"/>
              <w:spacing w:after="0"/>
              <w:rPr>
                <w:sz w:val="20"/>
                <w:szCs w:val="20"/>
                <w:color w:val="auto"/>
              </w:rPr>
            </w:pPr>
            <w:r>
              <w:rPr>
                <w:rFonts w:ascii="Arial" w:cs="Arial" w:eastAsia="Arial" w:hAnsi="Arial"/>
                <w:sz w:val="18"/>
                <w:szCs w:val="18"/>
                <w:b w:val="1"/>
                <w:bCs w:val="1"/>
                <w:color w:val="auto"/>
              </w:rPr>
              <w:t>(in thousands)</w:t>
            </w: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September 30, 2019</w:t>
            </w:r>
          </w:p>
        </w:tc>
        <w:tc>
          <w:tcPr>
            <w:tcW w:w="8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 2019</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2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Finance lease cost:</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right-of-use assets</w:t>
            </w:r>
          </w:p>
        </w:tc>
        <w:tc>
          <w:tcPr>
            <w:tcW w:w="3200" w:type="dxa"/>
            <w:vAlign w:val="bottom"/>
            <w:gridSpan w:val="3"/>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rPr>
              <w:t>Interest on lease liabilities</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cost</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Short-term lease cost</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Variable lease costs</w:t>
            </w:r>
          </w:p>
        </w:tc>
        <w:tc>
          <w:tcPr>
            <w:tcW w:w="2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Total lease cost</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380" w:type="dxa"/>
            <w:vAlign w:val="bottom"/>
            <w:vMerge w:val="restart"/>
          </w:tcPr>
          <w:p>
            <w:pPr>
              <w:jc w:val="right"/>
              <w:ind w:right="12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4" w:name="page15"/>
    <w:bookmarkEnd w:id="14"/>
    <w:p>
      <w:pPr>
        <w:ind w:right="40" w:firstLine="648"/>
        <w:spacing w:after="0" w:line="277" w:lineRule="auto"/>
        <w:rPr>
          <w:sz w:val="20"/>
          <w:szCs w:val="20"/>
          <w:color w:val="auto"/>
        </w:rPr>
      </w:pPr>
      <w:r>
        <w:rPr>
          <w:rFonts w:ascii="Arial" w:cs="Arial" w:eastAsia="Arial" w:hAnsi="Arial"/>
          <w:sz w:val="18"/>
          <w:szCs w:val="18"/>
          <w:color w:val="auto"/>
        </w:rPr>
        <w:t>The following is a summary of other information and supplemental cash flow information related to finance and operating leases for the nine months ended September 30, 2019:</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0"/>
        </w:trPr>
        <w:tc>
          <w:tcPr>
            <w:tcW w:w="668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680" w:type="dxa"/>
            <w:vAlign w:val="bottom"/>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5,064</w:t>
            </w:r>
          </w:p>
        </w:tc>
      </w:tr>
      <w:tr>
        <w:trPr>
          <w:trHeight w:val="230"/>
        </w:trPr>
        <w:tc>
          <w:tcPr>
            <w:tcW w:w="6680" w:type="dxa"/>
            <w:vAlign w:val="bottom"/>
          </w:tcPr>
          <w:p>
            <w:pPr>
              <w:ind w:left="160"/>
              <w:spacing w:after="0"/>
              <w:rPr>
                <w:sz w:val="20"/>
                <w:szCs w:val="20"/>
                <w:color w:val="auto"/>
              </w:rPr>
            </w:pPr>
            <w:r>
              <w:rPr>
                <w:rFonts w:ascii="Arial" w:cs="Arial" w:eastAsia="Arial" w:hAnsi="Arial"/>
                <w:sz w:val="18"/>
                <w:szCs w:val="18"/>
                <w:color w:val="auto"/>
              </w:rPr>
              <w:t>Right-of-use asset obtained in exchange for new operating lease obligations</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-273685</wp:posOffset>
            </wp:positionV>
            <wp:extent cx="57200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20080" cy="13716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-556895</wp:posOffset>
            </wp:positionV>
            <wp:extent cx="57200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20080" cy="146050"/>
                    </a:xfrm>
                    <a:prstGeom prst="rect">
                      <a:avLst/>
                    </a:prstGeom>
                    <a:noFill/>
                  </pic:spPr>
                </pic:pic>
              </a:graphicData>
            </a:graphic>
          </wp:anchor>
        </w:drawing>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future undiscounted minimum lease payments, as reconciled to the discounted minimum lease obligation indicated on the Company’s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 under financial leases, less interest, and under operating leases, less imputed interest, as of September 30, 2019 were as follows:</w:t>
      </w:r>
    </w:p>
    <w:p>
      <w:pPr>
        <w:spacing w:after="0" w:line="23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Finance</w:t>
            </w: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Lease</w:t>
            </w:r>
          </w:p>
        </w:tc>
        <w:tc>
          <w:tcPr>
            <w:tcW w:w="1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Lease</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Lease</w:t>
            </w:r>
          </w:p>
        </w:tc>
      </w:t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Obligations</w:t>
            </w:r>
          </w:p>
        </w:tc>
        <w:tc>
          <w:tcPr>
            <w:tcW w:w="12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Obligations</w:t>
            </w: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Obligations</w:t>
            </w: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7,407</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8,592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5,051</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5,051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3,296</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3,138</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29,327</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Financing component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(4,349)</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(4,398)</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minimum lease payments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w w:val="96"/>
              </w:rPr>
              <w:t>Less: current portion of finance and operating lease obligations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(6,068)</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(7,212)</w:t>
            </w:r>
          </w:p>
        </w:tc>
      </w:tr>
      <w:tr>
        <w:trPr>
          <w:trHeight w:val="223"/>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finance and operating lease obligations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financing component for finance lease obligations represents the interest component of capital leases that will be recognized as interest expense in future periods. The financing component for operating lease obligations represents the effect of discounting the lease payments to their present value.</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September 30, 2019, the minimum lease payments required under these leases totaled $4.8 million, which is to be paid over the next 4.8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Prior to the adoption of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certain of the Company’s leased vehicles and equipment leases met the characteristics of capital leases. The economic substance of these leases was a financing transaction for acquisition of the vehicles and equipment and, accordingly, the leases were included in the balance sheets in property and equipment, net of accumulated depreciation, with a corresponding amount recorded in current portion of lease obligations or lease obligations, net of current maturities, as appropriate. The capital lease assets were amortized on a straight-line basis over the life of the lease or, if shorter, the life of the leased asset, and were included in depreciation expense in the statements of operations. The interest associated with capital leases was included in interest expense in the statements of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the Company had $2.7 million of capital lease obligations outstanding, $1.1 million of which was classified as a current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$2.6 million of leased assets were capitalized in property and equipment, net of accumulated depreciation.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right="40" w:firstLine="648"/>
        <w:spacing w:after="0" w:line="273" w:lineRule="auto"/>
        <w:rPr>
          <w:sz w:val="20"/>
          <w:szCs w:val="20"/>
          <w:color w:val="auto"/>
        </w:rPr>
      </w:pPr>
      <w:r>
        <w:rPr>
          <w:rFonts w:ascii="Arial" w:cs="Arial" w:eastAsia="Arial" w:hAnsi="Arial"/>
          <w:sz w:val="17"/>
          <w:szCs w:val="17"/>
          <w:color w:val="auto"/>
        </w:rPr>
        <w:t>As of September 30, 2019 and December 31, 2018, the Company determined that the carrying value of cash and cash equivalents approximated fair value based on Level 1 inputs. As of September 30, 2019, the fair values of the Company’s long-term debt and finance lease obligations were based on Level 2 inputs. As of December 31, 2018, the fair values of the Company’s long-term debt and capital lease obligations were based on Level 2 inputs. The Company’s long-term debt was based on variable and fixed interest rates at September 30, 2019 and December 31, 2018,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agreements for equipment notes: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4"/>
              </w:rPr>
              <w:t>Outstanding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Stated Interest</w:t>
            </w:r>
          </w:p>
        </w:tc>
        <w:tc>
          <w:tcPr>
            <w:tcW w:w="13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Payment</w:t>
            </w: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Term</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Balance as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980" w:type="dxa"/>
            <w:vAlign w:val="bottom"/>
            <w:gridSpan w:val="3"/>
          </w:tcPr>
          <w:p>
            <w:pPr>
              <w:spacing w:after="0"/>
              <w:rPr>
                <w:sz w:val="20"/>
                <w:szCs w:val="20"/>
                <w:color w:val="auto"/>
              </w:rPr>
            </w:pPr>
            <w:r>
              <w:rPr>
                <w:rFonts w:ascii="Arial" w:cs="Arial" w:eastAsia="Arial" w:hAnsi="Arial"/>
                <w:sz w:val="14"/>
                <w:szCs w:val="14"/>
                <w:b w:val="1"/>
                <w:bCs w:val="1"/>
                <w:color w:val="auto"/>
                <w:w w:val="97"/>
              </w:rPr>
              <w:t>(dollar amounts in thousands)</w:t>
            </w: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Inception Date</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Rate (per annum)</w:t>
            </w: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Frequency</w:t>
            </w: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Credit Agreement</w:t>
            </w:r>
          </w:p>
        </w:tc>
        <w:tc>
          <w:tcPr>
            <w:tcW w:w="14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Revolving loans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9/13/2019</w:t>
            </w:r>
          </w:p>
        </w:tc>
        <w:tc>
          <w:tcPr>
            <w:tcW w:w="160" w:type="dxa"/>
            <w:vAlign w:val="bottom"/>
          </w:tcPr>
          <w:p>
            <w:pPr>
              <w:spacing w:after="0"/>
              <w:rPr>
                <w:sz w:val="12"/>
                <w:szCs w:val="12"/>
                <w:color w:val="auto"/>
              </w:rPr>
            </w:pPr>
          </w:p>
        </w:tc>
        <w:tc>
          <w:tcPr>
            <w:tcW w:w="14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Variable</w:t>
            </w:r>
          </w:p>
        </w:tc>
        <w:tc>
          <w:tcPr>
            <w:tcW w:w="13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Variable</w:t>
            </w:r>
          </w:p>
        </w:tc>
        <w:tc>
          <w:tcPr>
            <w:tcW w:w="114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5</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125,973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58,306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Equipment Notes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Equipment Note 1</w:t>
            </w: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9/28/2018</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4.16%</w:t>
            </w:r>
          </w:p>
        </w:tc>
        <w:tc>
          <w:tcPr>
            <w:tcW w:w="13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Semi-annual</w:t>
            </w:r>
          </w:p>
        </w:tc>
        <w:tc>
          <w:tcPr>
            <w:tcW w:w="114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10,793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12,655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Equipment Note 2</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9/28/2018</w:t>
            </w:r>
          </w:p>
        </w:tc>
        <w:tc>
          <w:tcPr>
            <w:tcW w:w="160" w:type="dxa"/>
            <w:vAlign w:val="bottom"/>
          </w:tcPr>
          <w:p>
            <w:pPr>
              <w:spacing w:after="0"/>
              <w:rPr>
                <w:sz w:val="12"/>
                <w:szCs w:val="12"/>
                <w:color w:val="auto"/>
              </w:rPr>
            </w:pPr>
          </w:p>
        </w:tc>
        <w:tc>
          <w:tcPr>
            <w:tcW w:w="1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4.23%</w:t>
            </w:r>
          </w:p>
        </w:tc>
        <w:tc>
          <w:tcPr>
            <w:tcW w:w="13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Semi-annual</w:t>
            </w:r>
          </w:p>
        </w:tc>
        <w:tc>
          <w:tcPr>
            <w:tcW w:w="114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11,200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12,279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Equipment Note 3</w:t>
            </w: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w:t>
            </w:r>
          </w:p>
        </w:tc>
        <w:tc>
          <w:tcPr>
            <w:tcW w:w="13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Semi-annual</w:t>
            </w:r>
          </w:p>
        </w:tc>
        <w:tc>
          <w:tcPr>
            <w:tcW w:w="114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2,124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Equipment Note 4</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60" w:type="dxa"/>
            <w:vAlign w:val="bottom"/>
          </w:tcPr>
          <w:p>
            <w:pPr>
              <w:spacing w:after="0"/>
              <w:rPr>
                <w:sz w:val="12"/>
                <w:szCs w:val="12"/>
                <w:color w:val="auto"/>
              </w:rPr>
            </w:pPr>
          </w:p>
        </w:tc>
        <w:tc>
          <w:tcPr>
            <w:tcW w:w="1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4.02%</w:t>
            </w:r>
          </w:p>
        </w:tc>
        <w:tc>
          <w:tcPr>
            <w:tcW w:w="13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Semi-annual</w:t>
            </w:r>
          </w:p>
        </w:tc>
        <w:tc>
          <w:tcPr>
            <w:tcW w:w="114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2,211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Equipment Note 5</w:t>
            </w: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w:t>
            </w:r>
          </w:p>
        </w:tc>
        <w:tc>
          <w:tcPr>
            <w:tcW w:w="13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Semi-annual</w:t>
            </w:r>
          </w:p>
        </w:tc>
        <w:tc>
          <w:tcPr>
            <w:tcW w:w="114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1,851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Equipment Note 6</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6/25/2019</w:t>
            </w:r>
          </w:p>
        </w:tc>
        <w:tc>
          <w:tcPr>
            <w:tcW w:w="160" w:type="dxa"/>
            <w:vAlign w:val="bottom"/>
          </w:tcPr>
          <w:p>
            <w:pPr>
              <w:spacing w:after="0"/>
              <w:rPr>
                <w:sz w:val="12"/>
                <w:szCs w:val="12"/>
                <w:color w:val="auto"/>
              </w:rPr>
            </w:pPr>
          </w:p>
        </w:tc>
        <w:tc>
          <w:tcPr>
            <w:tcW w:w="1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2.89%</w:t>
            </w:r>
          </w:p>
        </w:tc>
        <w:tc>
          <w:tcPr>
            <w:tcW w:w="13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Semi-annual</w:t>
            </w:r>
          </w:p>
        </w:tc>
        <w:tc>
          <w:tcPr>
            <w:tcW w:w="114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15,005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Equipment Note 7</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6/24/2019</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3.09%</w:t>
            </w:r>
          </w:p>
        </w:tc>
        <w:tc>
          <w:tcPr>
            <w:tcW w:w="1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Semi-annual</w:t>
            </w:r>
          </w:p>
        </w:tc>
        <w:tc>
          <w:tcPr>
            <w:tcW w:w="11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9,033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52,217</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31,486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debt</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178,190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89,792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color w:val="auto"/>
              </w:rPr>
              <w:t>Less: current portion of long-term debt</w:t>
            </w:r>
          </w:p>
        </w:tc>
        <w:tc>
          <w:tcPr>
            <w:tcW w:w="1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(6,552</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(3,681</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6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Long-term debt</w:t>
            </w:r>
          </w:p>
        </w:tc>
        <w:tc>
          <w:tcPr>
            <w:tcW w:w="1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171,638</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86,111</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September 13, 2019, the Company entered into a five-year amended and restated credit agreement (the “Credit Agreement”) with a syndicate of banks led by JPMorgan Chase Bank, N.A. and Bank of America, N.A, that provided for a $375 million facility (the “Facility”), which could be used for revolving loans and up to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and other general corporate purposes.</w:t>
      </w:r>
    </w:p>
    <w:p>
      <w:pPr>
        <w:spacing w:after="0" w:line="173"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nine months ended September 30, 2019 was 3.46% per annum.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ind w:right="180" w:firstLine="648"/>
        <w:spacing w:after="0" w:line="257" w:lineRule="auto"/>
        <w:rPr>
          <w:sz w:val="20"/>
          <w:szCs w:val="20"/>
          <w:color w:val="auto"/>
        </w:rPr>
      </w:pPr>
      <w:r>
        <w:rPr>
          <w:rFonts w:ascii="Arial" w:cs="Arial" w:eastAsia="Arial" w:hAnsi="Arial"/>
          <w:sz w:val="18"/>
          <w:szCs w:val="18"/>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September 30, 2019.</w:t>
      </w:r>
    </w:p>
    <w:p>
      <w:pPr>
        <w:spacing w:after="0" w:line="188"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As of September 30, 2019, the Company had letters of credit outstanding under the Facility of approximately $19.7 million, including $18.5 million related to the Company’s payment obligation under its insurance programs and approximately $1.2 million related to contract performance obligations.</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 of December 31, 2018, the Company had letters of credit outstanding under the Facility of approximately $21.2 million, including $17.6 million related to the Company’s payment obligation under its insurance programs and approximately $3.6 million related to contract performance obligations.</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had remaining deferred debt issuance costs totaling $1.5 million as of September 30, 2019, related to the line of credit. As permitted under ASU No. 2015-15, debt issuance costs have been deferred and are presented as an asset within other assets, which is amortized as interest expense over the term of the line of credit. Unamortized deferred debt issuance costs totaling $0.4 million relating to our previous credit agreement will be amortized over the life of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entered into Master Equipment Loan and Security Agreements (the “Master Loan Agreements”) with multiple banks. The Master Loan Agreements may be used for the financing of equipment between the Company and the lending banks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187"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As of September 30, 2019, the Company had seven Equipment Notes outstanding under the Master Loan Agreements that are collateralized by equipment and vehicles owned by the Company. The following table sets forth our remaining principal payments for the Company’s outstanding Equipment Notes as of September 30, 2019:</w:t>
      </w:r>
    </w:p>
    <w:tbl>
      <w:tblPr>
        <w:tblLayout w:type="fixed"/>
        <w:tblInd w:w="2600" w:type="dxa"/>
        <w:tblCellMar>
          <w:top w:w="0" w:type="dxa"/>
          <w:left w:w="0" w:type="dxa"/>
          <w:bottom w:w="0" w:type="dxa"/>
          <w:right w:w="0" w:type="dxa"/>
        </w:tblCellMar>
      </w:tblPr>
      <w:tr>
        <w:trPr>
          <w:trHeight w:val="198"/>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6"/>
              </w:rPr>
              <w:t>Future</w:t>
            </w:r>
          </w:p>
        </w:tc>
      </w:tr>
      <w:tr>
        <w:trPr>
          <w:trHeight w:val="230"/>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Equipment Notes</w:t>
            </w:r>
          </w:p>
        </w:tc>
      </w:t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Principal Payments</w:t>
            </w: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6,608</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7,107</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5,964</w:t>
            </w:r>
          </w:p>
        </w:tc>
        <w:tc>
          <w:tcPr>
            <w:tcW w:w="60" w:type="dxa"/>
            <w:vAlign w:val="bottom"/>
          </w:tcPr>
          <w:p>
            <w:pPr>
              <w:spacing w:after="0"/>
              <w:rPr>
                <w:sz w:val="18"/>
                <w:szCs w:val="18"/>
                <w:color w:val="auto"/>
              </w:rPr>
            </w:pPr>
          </w:p>
        </w:tc>
      </w:tr>
      <w:tr>
        <w:trPr>
          <w:trHeight w:val="23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60" w:type="dxa"/>
            <w:vAlign w:val="bottom"/>
            <w:shd w:val="clear" w:color="auto" w:fill="CCEEFF"/>
          </w:tcPr>
          <w:p>
            <w:pPr>
              <w:spacing w:after="0"/>
              <w:rPr>
                <w:sz w:val="19"/>
                <w:szCs w:val="19"/>
                <w:color w:val="auto"/>
              </w:rPr>
            </w:pPr>
          </w:p>
        </w:tc>
      </w:tr>
      <w:tr>
        <w:trPr>
          <w:trHeight w:val="210"/>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future principal payments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equipment notes</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Long-term principal obligations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include a guaranteed not-to-exceed maximum price.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ind w:right="20" w:firstLine="648"/>
        <w:spacing w:after="0" w:line="270"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11–Segment Information.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the Company’s revenue by contract type for the three months ended September 30, 2019 and 2018 were as follows:</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11"/>
          </w:tcPr>
          <w:p>
            <w:pPr>
              <w:jc w:val="center"/>
              <w:ind w:right="360"/>
              <w:spacing w:after="0"/>
              <w:rPr>
                <w:sz w:val="20"/>
                <w:szCs w:val="20"/>
                <w:color w:val="auto"/>
              </w:rPr>
            </w:pPr>
            <w:r>
              <w:rPr>
                <w:rFonts w:ascii="Arial" w:cs="Arial" w:eastAsia="Arial" w:hAnsi="Arial"/>
                <w:sz w:val="18"/>
                <w:szCs w:val="18"/>
                <w:b w:val="1"/>
                <w:bCs w:val="1"/>
                <w:color w:val="auto"/>
                <w:w w:val="90"/>
              </w:rPr>
              <w:t>Three months ended September 30, 2019</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T&amp;D</w:t>
            </w: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rPr>
              <w:t>C&amp;I</w:t>
            </w:r>
          </w:p>
        </w:tc>
        <w:tc>
          <w:tcPr>
            <w:tcW w:w="6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r>
      <w:tr>
        <w:trPr>
          <w:trHeight w:val="223"/>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Percent</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Percent</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Percent</w:t>
            </w:r>
          </w:p>
        </w:tc>
        <w:tc>
          <w:tcPr>
            <w:tcW w:w="160" w:type="dxa"/>
            <w:vAlign w:val="bottom"/>
            <w:tcBorders>
              <w:bottom w:val="single" w:sz="8" w:color="CCEEFF"/>
            </w:tcBorders>
          </w:tcPr>
          <w:p>
            <w:pPr>
              <w:spacing w:after="0"/>
              <w:rPr>
                <w:sz w:val="19"/>
                <w:szCs w:val="19"/>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157,357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220,872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378,229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Unit price</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49,392</w:t>
            </w:r>
          </w:p>
        </w:tc>
        <w:tc>
          <w:tcPr>
            <w:tcW w:w="20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19,518</w:t>
            </w:r>
          </w:p>
        </w:tc>
        <w:tc>
          <w:tcPr>
            <w:tcW w:w="10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68,910</w:t>
            </w: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T&amp;E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84,299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117,167</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20.1</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3,892</w:t>
            </w:r>
          </w:p>
        </w:tc>
        <w:tc>
          <w:tcPr>
            <w:tcW w:w="200" w:type="dxa"/>
            <w:vAlign w:val="bottom"/>
          </w:tcPr>
          <w:p>
            <w:pPr>
              <w:spacing w:after="0"/>
              <w:rPr>
                <w:sz w:val="19"/>
                <w:szCs w:val="19"/>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15,016</w:t>
            </w:r>
          </w:p>
        </w:tc>
        <w:tc>
          <w:tcPr>
            <w:tcW w:w="100" w:type="dxa"/>
            <w:vAlign w:val="bottom"/>
          </w:tcPr>
          <w:p>
            <w:pPr>
              <w:spacing w:after="0"/>
              <w:rPr>
                <w:sz w:val="19"/>
                <w:szCs w:val="19"/>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18,908</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r>
      <w:tr>
        <w:trPr>
          <w:trHeight w:val="223"/>
        </w:trPr>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294,940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288,274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583,214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11"/>
          </w:tcPr>
          <w:p>
            <w:pPr>
              <w:jc w:val="center"/>
              <w:ind w:right="380"/>
              <w:spacing w:after="0"/>
              <w:rPr>
                <w:sz w:val="20"/>
                <w:szCs w:val="20"/>
                <w:color w:val="auto"/>
              </w:rPr>
            </w:pPr>
            <w:r>
              <w:rPr>
                <w:rFonts w:ascii="Arial" w:cs="Arial" w:eastAsia="Arial" w:hAnsi="Arial"/>
                <w:sz w:val="18"/>
                <w:szCs w:val="18"/>
                <w:b w:val="1"/>
                <w:bCs w:val="1"/>
                <w:color w:val="auto"/>
                <w:w w:val="89"/>
              </w:rPr>
              <w:t>Three months ended September 30, 2018</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T&amp;D</w:t>
            </w:r>
          </w:p>
        </w:tc>
        <w:tc>
          <w:tcPr>
            <w:tcW w:w="5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rPr>
              <w:t>C&amp;I</w:t>
            </w:r>
          </w:p>
        </w:tc>
        <w:tc>
          <w:tcPr>
            <w:tcW w:w="6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r>
      <w:tr>
        <w:trPr>
          <w:trHeight w:val="223"/>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Percent</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Percent</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Percent</w:t>
            </w:r>
          </w:p>
        </w:tc>
        <w:tc>
          <w:tcPr>
            <w:tcW w:w="160" w:type="dxa"/>
            <w:vAlign w:val="bottom"/>
            <w:tcBorders>
              <w:bottom w:val="single" w:sz="8" w:color="CCEEFF"/>
            </w:tcBorders>
          </w:tcPr>
          <w:p>
            <w:pPr>
              <w:spacing w:after="0"/>
              <w:rPr>
                <w:sz w:val="19"/>
                <w:szCs w:val="19"/>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132,439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214,497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Unit price</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42,751</w:t>
            </w:r>
          </w:p>
        </w:tc>
        <w:tc>
          <w:tcPr>
            <w:tcW w:w="220" w:type="dxa"/>
            <w:vAlign w:val="bottom"/>
          </w:tcPr>
          <w:p>
            <w:pPr>
              <w:spacing w:after="0"/>
              <w:rPr>
                <w:sz w:val="18"/>
                <w:szCs w:val="18"/>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14,256</w:t>
            </w:r>
          </w:p>
        </w:tc>
        <w:tc>
          <w:tcPr>
            <w:tcW w:w="10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57,007</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14.3</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T&amp;E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76,520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85,951</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21.5</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21,202</w:t>
            </w:r>
          </w:p>
        </w:tc>
        <w:tc>
          <w:tcPr>
            <w:tcW w:w="220" w:type="dxa"/>
            <w:vAlign w:val="bottom"/>
          </w:tcPr>
          <w:p>
            <w:pPr>
              <w:spacing w:after="0"/>
              <w:rPr>
                <w:sz w:val="19"/>
                <w:szCs w:val="19"/>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20,880</w:t>
            </w:r>
          </w:p>
        </w:tc>
        <w:tc>
          <w:tcPr>
            <w:tcW w:w="100" w:type="dxa"/>
            <w:vAlign w:val="bottom"/>
          </w:tcPr>
          <w:p>
            <w:pPr>
              <w:spacing w:after="0"/>
              <w:rPr>
                <w:sz w:val="19"/>
                <w:szCs w:val="19"/>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42,082</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10.5</w:t>
            </w:r>
          </w:p>
        </w:tc>
      </w:tr>
      <w:tr>
        <w:trPr>
          <w:trHeight w:val="223"/>
        </w:trPr>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222,531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177,006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399,537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the Company’s revenue by contract type for the nine months ended September 30, 2019 and 2018 were as follows:</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2"/>
          </w:tcPr>
          <w:p>
            <w:pPr>
              <w:jc w:val="center"/>
              <w:ind w:right="500"/>
              <w:spacing w:after="0"/>
              <w:rPr>
                <w:sz w:val="20"/>
                <w:szCs w:val="20"/>
                <w:color w:val="auto"/>
              </w:rPr>
            </w:pPr>
            <w:r>
              <w:rPr>
                <w:rFonts w:ascii="Arial" w:cs="Arial" w:eastAsia="Arial" w:hAnsi="Arial"/>
                <w:sz w:val="18"/>
                <w:szCs w:val="18"/>
                <w:b w:val="1"/>
                <w:bCs w:val="1"/>
                <w:color w:val="auto"/>
                <w:w w:val="90"/>
              </w:rPr>
              <w:t>Nine months ended September 30, 2019</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T&amp;D</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rPr>
              <w:t>C&amp;I</w:t>
            </w:r>
          </w:p>
        </w:tc>
        <w:tc>
          <w:tcPr>
            <w:tcW w:w="6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88"/>
              </w:rPr>
              <w:t>Total</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Percent</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Percent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Percent</w:t>
            </w:r>
          </w:p>
        </w:tc>
        <w:tc>
          <w:tcPr>
            <w:tcW w:w="160" w:type="dxa"/>
            <w:vAlign w:val="bottom"/>
            <w:tcBorders>
              <w:bottom w:val="single" w:sz="8" w:color="CCEEFF"/>
            </w:tcBorders>
          </w:tcPr>
          <w:p>
            <w:pPr>
              <w:spacing w:after="0"/>
              <w:rPr>
                <w:sz w:val="19"/>
                <w:szCs w:val="19"/>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410,253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Unit price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152,748</w:t>
            </w:r>
          </w:p>
        </w:tc>
        <w:tc>
          <w:tcPr>
            <w:tcW w:w="240" w:type="dxa"/>
            <w:vAlign w:val="bottom"/>
          </w:tcPr>
          <w:p>
            <w:pPr>
              <w:spacing w:after="0"/>
              <w:rPr>
                <w:sz w:val="18"/>
                <w:szCs w:val="18"/>
                <w:color w:val="auto"/>
              </w:rPr>
            </w:pPr>
          </w:p>
        </w:tc>
        <w:tc>
          <w:tcPr>
            <w:tcW w:w="780" w:type="dxa"/>
            <w:vAlign w:val="bottom"/>
            <w:gridSpan w:val="2"/>
          </w:tcPr>
          <w:p>
            <w:pPr>
              <w:jc w:val="right"/>
              <w:ind w:right="15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42,361</w:t>
            </w:r>
          </w:p>
        </w:tc>
        <w:tc>
          <w:tcPr>
            <w:tcW w:w="10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195,109</w:t>
            </w:r>
          </w:p>
        </w:tc>
        <w:tc>
          <w:tcPr>
            <w:tcW w:w="1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13.0</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237,448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320,040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22,949</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82,033</w:t>
            </w:r>
          </w:p>
        </w:tc>
        <w:tc>
          <w:tcPr>
            <w:tcW w:w="100" w:type="dxa"/>
            <w:vAlign w:val="bottom"/>
          </w:tcPr>
          <w:p>
            <w:pPr>
              <w:spacing w:after="0"/>
              <w:rPr>
                <w:sz w:val="19"/>
                <w:szCs w:val="19"/>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104,982</w:t>
            </w:r>
          </w:p>
        </w:tc>
        <w:tc>
          <w:tcPr>
            <w:tcW w:w="100" w:type="dxa"/>
            <w:vAlign w:val="bottom"/>
          </w:tcPr>
          <w:p>
            <w:pPr>
              <w:spacing w:after="0"/>
              <w:rPr>
                <w:sz w:val="19"/>
                <w:szCs w:val="19"/>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7.0</w:t>
            </w:r>
          </w:p>
        </w:tc>
      </w:tr>
      <w:tr>
        <w:trPr>
          <w:trHeight w:val="223"/>
        </w:trPr>
        <w:tc>
          <w:tcPr>
            <w:tcW w:w="2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823,398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676,686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1,500,084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2"/>
          </w:tcPr>
          <w:p>
            <w:pPr>
              <w:jc w:val="center"/>
              <w:ind w:right="500"/>
              <w:spacing w:after="0"/>
              <w:rPr>
                <w:sz w:val="20"/>
                <w:szCs w:val="20"/>
                <w:color w:val="auto"/>
              </w:rPr>
            </w:pPr>
            <w:r>
              <w:rPr>
                <w:rFonts w:ascii="Arial" w:cs="Arial" w:eastAsia="Arial" w:hAnsi="Arial"/>
                <w:sz w:val="18"/>
                <w:szCs w:val="18"/>
                <w:b w:val="1"/>
                <w:bCs w:val="1"/>
                <w:color w:val="auto"/>
                <w:w w:val="89"/>
              </w:rPr>
              <w:t>Nine months ended September 30, 2018</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T&amp;D</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rPr>
              <w:t>C&amp;I</w:t>
            </w:r>
          </w:p>
        </w:tc>
        <w:tc>
          <w:tcPr>
            <w:tcW w:w="6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88"/>
              </w:rPr>
              <w:t>Total</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Percent</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Percent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Percent</w:t>
            </w:r>
          </w:p>
        </w:tc>
        <w:tc>
          <w:tcPr>
            <w:tcW w:w="160" w:type="dxa"/>
            <w:vAlign w:val="bottom"/>
            <w:tcBorders>
              <w:bottom w:val="single" w:sz="8" w:color="CCEEFF"/>
            </w:tcBorders>
          </w:tcPr>
          <w:p>
            <w:pPr>
              <w:spacing w:after="0"/>
              <w:rPr>
                <w:sz w:val="19"/>
                <w:szCs w:val="19"/>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238,723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312,033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Unit price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130,058</w:t>
            </w:r>
          </w:p>
        </w:tc>
        <w:tc>
          <w:tcPr>
            <w:tcW w:w="240" w:type="dxa"/>
            <w:vAlign w:val="bottom"/>
          </w:tcPr>
          <w:p>
            <w:pPr>
              <w:spacing w:after="0"/>
              <w:rPr>
                <w:sz w:val="18"/>
                <w:szCs w:val="18"/>
                <w:color w:val="auto"/>
              </w:rPr>
            </w:pPr>
          </w:p>
        </w:tc>
        <w:tc>
          <w:tcPr>
            <w:tcW w:w="780" w:type="dxa"/>
            <w:vAlign w:val="bottom"/>
            <w:gridSpan w:val="2"/>
          </w:tcPr>
          <w:p>
            <w:pPr>
              <w:jc w:val="right"/>
              <w:ind w:right="15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39,314</w:t>
            </w:r>
          </w:p>
        </w:tc>
        <w:tc>
          <w:tcPr>
            <w:tcW w:w="10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169,372</w:t>
            </w:r>
          </w:p>
        </w:tc>
        <w:tc>
          <w:tcPr>
            <w:tcW w:w="1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15.6</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224,938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252,768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42,123</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69,805</w:t>
            </w:r>
          </w:p>
        </w:tc>
        <w:tc>
          <w:tcPr>
            <w:tcW w:w="100" w:type="dxa"/>
            <w:vAlign w:val="bottom"/>
          </w:tcPr>
          <w:p>
            <w:pPr>
              <w:spacing w:after="0"/>
              <w:rPr>
                <w:sz w:val="19"/>
                <w:szCs w:val="19"/>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111,928</w:t>
            </w:r>
          </w:p>
        </w:tc>
        <w:tc>
          <w:tcPr>
            <w:tcW w:w="100" w:type="dxa"/>
            <w:vAlign w:val="bottom"/>
          </w:tcPr>
          <w:p>
            <w:pPr>
              <w:spacing w:after="0"/>
              <w:rPr>
                <w:sz w:val="19"/>
                <w:szCs w:val="19"/>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10.3</w:t>
            </w:r>
          </w:p>
        </w:tc>
      </w:tr>
      <w:tr>
        <w:trPr>
          <w:trHeight w:val="223"/>
        </w:trPr>
        <w:tc>
          <w:tcPr>
            <w:tcW w:w="2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635,842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448,982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1,084,824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market type for the three months ended September 30, 2019 and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8"/>
          </w:tcPr>
          <w:p>
            <w:pPr>
              <w:spacing w:after="0"/>
              <w:rPr>
                <w:sz w:val="20"/>
                <w:szCs w:val="20"/>
                <w:color w:val="auto"/>
              </w:rPr>
            </w:pPr>
            <w:r>
              <w:rPr>
                <w:rFonts w:ascii="Arial" w:cs="Arial" w:eastAsia="Arial" w:hAnsi="Arial"/>
                <w:sz w:val="18"/>
                <w:szCs w:val="18"/>
                <w:b w:val="1"/>
                <w:bCs w:val="1"/>
                <w:color w:val="auto"/>
                <w:w w:val="94"/>
              </w:rPr>
              <w:t>Three months ended September 30, 2019</w:t>
            </w:r>
          </w:p>
        </w:tc>
        <w:tc>
          <w:tcPr>
            <w:tcW w:w="3260" w:type="dxa"/>
            <w:vAlign w:val="bottom"/>
            <w:gridSpan w:val="7"/>
          </w:tcPr>
          <w:p>
            <w:pPr>
              <w:ind w:left="40"/>
              <w:spacing w:after="0"/>
              <w:rPr>
                <w:sz w:val="20"/>
                <w:szCs w:val="20"/>
                <w:color w:val="auto"/>
              </w:rPr>
            </w:pPr>
            <w:r>
              <w:rPr>
                <w:rFonts w:ascii="Arial" w:cs="Arial" w:eastAsia="Arial" w:hAnsi="Arial"/>
                <w:sz w:val="18"/>
                <w:szCs w:val="18"/>
                <w:b w:val="1"/>
                <w:bCs w:val="1"/>
                <w:color w:val="auto"/>
                <w:w w:val="91"/>
              </w:rPr>
              <w:t>Three months ended September 30, 2018</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Percent</w:t>
            </w:r>
          </w:p>
        </w:tc>
        <w:tc>
          <w:tcPr>
            <w:tcW w:w="26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Borders>
              <w:bottom w:val="single" w:sz="8" w:color="CCEEFF"/>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Distribution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98,857</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rPr>
              <w:t>T&amp;D</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100,912</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25.3</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rPr>
              <w:t>T&amp;D</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construction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288,274</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C&amp;I</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177,006</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44.3</w:t>
            </w: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C&amp;I</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583,214</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399,537</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jc w:val="right"/>
              <w:ind w:right="690"/>
              <w:spacing w:after="0"/>
              <w:rPr>
                <w:sz w:val="20"/>
                <w:szCs w:val="20"/>
                <w:color w:val="auto"/>
              </w:rPr>
            </w:pPr>
            <w:r>
              <w:rPr>
                <w:rFonts w:ascii="Arial" w:cs="Arial" w:eastAsia="Arial" w:hAnsi="Arial"/>
                <w:sz w:val="18"/>
                <w:szCs w:val="18"/>
                <w:color w:val="auto"/>
                <w:w w:val="79"/>
              </w:rPr>
              <w:t>16</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157"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 components of the Company’s revenue by market type for the nine months ended September 30, 2019 and 2018 were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3280" w:type="dxa"/>
            <w:vAlign w:val="bottom"/>
            <w:gridSpan w:val="8"/>
          </w:tcPr>
          <w:p>
            <w:pPr>
              <w:ind w:left="120"/>
              <w:spacing w:after="0"/>
              <w:rPr>
                <w:sz w:val="20"/>
                <w:szCs w:val="20"/>
                <w:color w:val="auto"/>
              </w:rPr>
            </w:pPr>
            <w:r>
              <w:rPr>
                <w:rFonts w:ascii="Arial" w:cs="Arial" w:eastAsia="Arial" w:hAnsi="Arial"/>
                <w:sz w:val="18"/>
                <w:szCs w:val="18"/>
                <w:b w:val="1"/>
                <w:bCs w:val="1"/>
                <w:color w:val="auto"/>
                <w:w w:val="92"/>
              </w:rPr>
              <w:t>Nine months ended September 30, 2019</w:t>
            </w:r>
          </w:p>
        </w:tc>
        <w:tc>
          <w:tcPr>
            <w:tcW w:w="60" w:type="dxa"/>
            <w:vAlign w:val="bottom"/>
          </w:tcPr>
          <w:p>
            <w:pPr>
              <w:spacing w:after="0"/>
              <w:rPr>
                <w:sz w:val="20"/>
                <w:szCs w:val="20"/>
                <w:color w:val="auto"/>
              </w:rPr>
            </w:pPr>
          </w:p>
        </w:tc>
        <w:tc>
          <w:tcPr>
            <w:tcW w:w="3140" w:type="dxa"/>
            <w:vAlign w:val="bottom"/>
            <w:gridSpan w:val="8"/>
          </w:tcPr>
          <w:p>
            <w:pPr>
              <w:ind w:left="20"/>
              <w:spacing w:after="0"/>
              <w:rPr>
                <w:sz w:val="20"/>
                <w:szCs w:val="20"/>
                <w:color w:val="auto"/>
              </w:rPr>
            </w:pPr>
            <w:r>
              <w:rPr>
                <w:rFonts w:ascii="Arial" w:cs="Arial" w:eastAsia="Arial" w:hAnsi="Arial"/>
                <w:sz w:val="18"/>
                <w:szCs w:val="18"/>
                <w:b w:val="1"/>
                <w:bCs w:val="1"/>
                <w:color w:val="auto"/>
                <w:w w:val="91"/>
              </w:rPr>
              <w:t>Nine months ended September 30, 2018</w:t>
            </w:r>
          </w:p>
        </w:tc>
      </w:tr>
      <w:tr>
        <w:trPr>
          <w:trHeight w:val="223"/>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Percent</w:t>
            </w:r>
          </w:p>
        </w:tc>
        <w:tc>
          <w:tcPr>
            <w:tcW w:w="26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Percent</w:t>
            </w:r>
          </w:p>
        </w:tc>
        <w:tc>
          <w:tcPr>
            <w:tcW w:w="260" w:type="dxa"/>
            <w:vAlign w:val="bottom"/>
            <w:tcBorders>
              <w:top w:val="single" w:sz="8" w:color="auto"/>
              <w:bottom w:val="single" w:sz="8" w:color="CCEEFF"/>
            </w:tcBorders>
            <w:gridSpan w:val="2"/>
          </w:tcPr>
          <w:p>
            <w:pPr>
              <w:spacing w:after="0"/>
              <w:rPr>
                <w:sz w:val="19"/>
                <w:szCs w:val="19"/>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Borders>
              <w:bottom w:val="single" w:sz="8" w:color="CCEEFF"/>
            </w:tcBorders>
          </w:tcPr>
          <w:p>
            <w:pPr>
              <w:spacing w:after="0"/>
              <w:rPr>
                <w:sz w:val="19"/>
                <w:szCs w:val="19"/>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Transmission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553,314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377,780</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80" w:type="dxa"/>
            <w:vAlign w:val="bottom"/>
            <w:shd w:val="clear" w:color="auto" w:fill="CCEEFF"/>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Distribution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270,084</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18.0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rPr>
              <w:t>T&amp;D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258,062</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23.8</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rPr>
              <w:t>T&amp;D</w:t>
            </w:r>
          </w:p>
        </w:tc>
      </w:tr>
      <w:tr>
        <w:trPr>
          <w:trHeight w:val="23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Electrical construction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676,686</w:t>
            </w: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45.1</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C&amp;I</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448,982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C&amp;I</w:t>
            </w:r>
          </w:p>
        </w:tc>
      </w:tr>
      <w:tr>
        <w:trPr>
          <w:trHeight w:val="223"/>
        </w:trPr>
        <w:tc>
          <w:tcPr>
            <w:tcW w:w="2200" w:type="dxa"/>
            <w:vAlign w:val="bottom"/>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1,500,084</w:t>
            </w: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1,084,824</w:t>
            </w: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As of September 30, 2019, the Company had $1.27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following table summarizes the amount of remaining performance obligations as of September 30, 2019 that the Company expects to be realized and the amount of the remaining performance obligations that the Company reasonably estimates will not be recognized within the next twelve months.</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20" w:type="dxa"/>
            <w:vAlign w:val="bottom"/>
            <w:gridSpan w:val="6"/>
          </w:tcPr>
          <w:p>
            <w:pPr>
              <w:spacing w:after="0"/>
              <w:rPr>
                <w:sz w:val="20"/>
                <w:szCs w:val="20"/>
                <w:color w:val="auto"/>
              </w:rPr>
            </w:pPr>
            <w:r>
              <w:rPr>
                <w:rFonts w:ascii="Arial" w:cs="Arial" w:eastAsia="Arial" w:hAnsi="Arial"/>
                <w:sz w:val="18"/>
                <w:szCs w:val="18"/>
                <w:b w:val="1"/>
                <w:bCs w:val="1"/>
                <w:color w:val="auto"/>
                <w:w w:val="91"/>
              </w:rPr>
              <w:t>Remaining Performance Obligations at September 30, 2019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Total at</w:t>
            </w: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3"/>
              </w:rPr>
              <w:t>Amount estimated to not be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25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recognized within 12 months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210"/>
        </w:trPr>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368,865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jc w:val="center"/>
              <w:spacing w:after="0"/>
              <w:rPr>
                <w:sz w:val="20"/>
                <w:szCs w:val="20"/>
                <w:color w:val="auto"/>
              </w:rPr>
            </w:pPr>
            <w:r>
              <w:rPr>
                <w:rFonts w:ascii="Arial" w:cs="Arial" w:eastAsia="Arial" w:hAnsi="Arial"/>
                <w:sz w:val="18"/>
                <w:szCs w:val="18"/>
                <w:color w:val="auto"/>
              </w:rPr>
              <w:t>C&amp;I</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899,859</w:t>
            </w:r>
          </w:p>
        </w:tc>
        <w:tc>
          <w:tcPr>
            <w:tcW w:w="140" w:type="dxa"/>
            <w:vAlign w:val="bottom"/>
          </w:tcPr>
          <w:p>
            <w:pPr>
              <w:spacing w:after="0"/>
              <w:rPr>
                <w:sz w:val="19"/>
                <w:szCs w:val="19"/>
                <w:color w:val="auto"/>
              </w:rPr>
            </w:pP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208,699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644,547</w:t>
            </w:r>
          </w:p>
        </w:tc>
        <w:tc>
          <w:tcPr>
            <w:tcW w:w="0" w:type="dxa"/>
            <w:vAlign w:val="bottom"/>
          </w:tcPr>
          <w:p>
            <w:pPr>
              <w:spacing w:after="0"/>
              <w:rPr>
                <w:sz w:val="1"/>
                <w:szCs w:val="1"/>
                <w:color w:val="auto"/>
              </w:rPr>
            </w:pPr>
          </w:p>
        </w:tc>
      </w:tr>
      <w:tr>
        <w:trPr>
          <w:trHeight w:val="223"/>
        </w:trPr>
        <w:tc>
          <w:tcPr>
            <w:tcW w:w="14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1,268,724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U.S. federal statutory tax rate was 21% for the three and nine months ended September 30, 2019 and 2018. The Company’s effective tax rate for the three and nine months ended September 30, 2019 was 26.4% and 27.2%, respectively, of pretax income compared to the effective tax rate for the three and nine months ended September 30, 2018 of 26.6% and 28.0%, respectively.</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and nine months ended September 30, 2019 was primarily due to state income taxes offset by the impact of the Company’s noncontrolling interest.</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months ended September 30, 2018, was primarily due to state income taxes and, for the nine months ended September 30, 2018, the difference was primarily due to state income taxes and the inability to utilize losses experienced in certain Canadian operations.</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$0.2 million and $0.4 million as of September 30, 2019 and December 31, 2018, respectively, which were included in other liabilities in the accompanying consolidated balance sheets.</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nine months ended September 30, 2019 and 2018.</w:t>
      </w:r>
    </w:p>
    <w:p>
      <w:pPr>
        <w:spacing w:after="0" w:line="181"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Company is subject to taxation in various jurisdictions. The Company’s 2017 and 2018 tax returns are subject to examination by U.S. federal authorities. The Company’s tax returns are subject to examination by various state authorities for the years 2015 through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September 30, 2019, the Company had approximately $4.6 million in outstanding purchase orders for certain construction equipment, with cash payments scheduled to occur over the next three months.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carries insurance policies, which are subject to certain deductibles,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18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September 30, 2019, an aggregate of approximately $867.1 million in original face amount of bonds issued by the Company’s sureties were outstanding. The Company estimated the remaining cost to complete these bonded projects was approximately $378.7 million as of September 30, 2019.</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maintains two equity compensation plans under which stock-based compensation has been granted: the 2017 Long-Term Incentive Plan, (the “LTIP”) and the 2007 Long-Term Incentive Plan (the “2007 Plan”). Upon the adoption of the LTIP, awards were no longer granted under the 2007 Plan. The LTIP provides for grants of (a) incentive stock options qualified as such under U.S. federal income tax laws, (b) stock options that do not qualify as incentive stock options, (c) stock appreciation rights, (d) restricted stock awards, (e) restricted stock units, (f) performance share awards, (g) phantom stock units, (h) stock bonuses, (i) dividend equivalents, and (j) any combination of such grants.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0" w:name="page21"/>
    <w:bookmarkEnd w:id="20"/>
    <w:p>
      <w:pPr>
        <w:ind w:right="60" w:firstLine="648"/>
        <w:spacing w:after="0" w:line="302" w:lineRule="auto"/>
        <w:rPr>
          <w:sz w:val="20"/>
          <w:szCs w:val="20"/>
          <w:color w:val="auto"/>
        </w:rPr>
      </w:pPr>
      <w:r>
        <w:rPr>
          <w:rFonts w:ascii="Arial" w:cs="Arial" w:eastAsia="Arial" w:hAnsi="Arial"/>
          <w:sz w:val="16"/>
          <w:szCs w:val="16"/>
          <w:color w:val="auto"/>
        </w:rPr>
        <w:t>The company grants time-vested stock awards in the form of restricted stock awards, restricted stock units or equity-settled phantom stock. During the nine months ended September 30, 2019, the Company granted 85,640 shares of time-vested stock awards under the LTIP, which vest ratably over three years for employee awards and one year for director awards, at a weighted average grant date fair value of $34.22. Additionally, 99,655 shares of time-vested stock awards vested during the nine months ended September 30, 2019, at a weighted average grant date fair value of $30.51.</w:t>
      </w:r>
    </w:p>
    <w:p>
      <w:pPr>
        <w:spacing w:after="0" w:line="15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the nine months ended September 30, 2019, the Company granted 72,932 performance share awards under the LTIP at target, which cliff vest on December 31, 2021, at a weighted average grant date fair value of $39.26. The number of shares ultimately earned under a performance award may vary from zero to 200% of the target shares awarded,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 or on a market-based metric, such as the Company’s stock performance compared to a peer group. Performance awards cliff vest upon attainment of the stated performance targets and minimum service requirements and are paid in shares of the Company’s common stock.</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nine months ended September 30, 2019, plan participants exercised options to purchase 13,788 shares of the Company’s common stock with a weighted average exercise price of $23.57.</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recognizes stock-based compensation expense related to restricted stock awards, phantom stock awards and restricted stock units based on the grant date fair value, which was the closing price of the Company’s stock on the date of grant. The fair value is expensed over the service period, which is generally three years.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 Organization, Business and Significant Accounting Policies to the 2018 Annual Report.</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renewable energy projects,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ind w:left="660"/>
        <w:spacing w:after="0"/>
        <w:rPr>
          <w:sz w:val="20"/>
          <w:szCs w:val="20"/>
          <w:color w:val="auto"/>
        </w:rPr>
      </w:pPr>
      <w:r>
        <w:rPr>
          <w:rFonts w:ascii="Arial" w:cs="Arial" w:eastAsia="Arial" w:hAnsi="Arial"/>
          <w:sz w:val="17"/>
          <w:szCs w:val="17"/>
          <w:color w:val="auto"/>
        </w:rPr>
        <w:t>The information in the following table is derived from the segment’s internal financial reports used for corporate management purposes:</w:t>
      </w:r>
    </w:p>
    <w:p>
      <w:pPr>
        <w:spacing w:after="0" w:line="233"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revenues: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60"/>
              <w:spacing w:after="0"/>
              <w:rPr>
                <w:sz w:val="20"/>
                <w:szCs w:val="20"/>
                <w:color w:val="auto"/>
              </w:rPr>
            </w:pPr>
            <w:r>
              <w:rPr>
                <w:rFonts w:ascii="Arial" w:cs="Arial" w:eastAsia="Arial" w:hAnsi="Arial"/>
                <w:sz w:val="18"/>
                <w:szCs w:val="18"/>
                <w:color w:val="auto"/>
              </w:rPr>
              <w:t>T&amp;D</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294,940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222,531</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823,398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635,842</w:t>
            </w:r>
          </w:p>
        </w:tc>
      </w:tr>
      <w:tr>
        <w:trPr>
          <w:trHeight w:val="230"/>
        </w:trPr>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C&amp;I</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288,274</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177,006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676,686</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448,982</w:t>
            </w:r>
          </w:p>
        </w:tc>
      </w:tr>
      <w:tr>
        <w:trPr>
          <w:trHeight w:val="263"/>
        </w:trPr>
        <w:tc>
          <w:tcPr>
            <w:tcW w:w="40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583,214</w:t>
            </w:r>
          </w:p>
        </w:tc>
        <w:tc>
          <w:tcPr>
            <w:tcW w:w="1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399,537</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1,500,084</w:t>
            </w:r>
          </w:p>
        </w:tc>
        <w:tc>
          <w:tcPr>
            <w:tcW w:w="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1,084,824</w:t>
            </w:r>
          </w:p>
        </w:tc>
        <w:tc>
          <w:tcPr>
            <w:tcW w:w="80" w:type="dxa"/>
            <w:vAlign w:val="bottom"/>
            <w:tcBorders>
              <w:bottom w:val="single" w:sz="8" w:color="CCEEFF"/>
            </w:tcBorders>
          </w:tcPr>
          <w:p>
            <w:pPr>
              <w:spacing w:after="0"/>
              <w:rPr>
                <w:sz w:val="22"/>
                <w:szCs w:val="22"/>
                <w:color w:val="auto"/>
              </w:rPr>
            </w:pPr>
          </w:p>
        </w:tc>
      </w:tr>
      <w:tr>
        <w:trPr>
          <w:trHeight w:val="197"/>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080" w:type="dxa"/>
            <w:vAlign w:val="bottom"/>
          </w:tcPr>
          <w:p>
            <w:pPr>
              <w:ind w:left="160"/>
              <w:spacing w:after="0"/>
              <w:rPr>
                <w:sz w:val="20"/>
                <w:szCs w:val="20"/>
                <w:color w:val="auto"/>
              </w:rPr>
            </w:pPr>
            <w:r>
              <w:rPr>
                <w:rFonts w:ascii="Arial" w:cs="Arial" w:eastAsia="Arial" w:hAnsi="Arial"/>
                <w:sz w:val="18"/>
                <w:szCs w:val="18"/>
                <w:color w:val="auto"/>
              </w:rPr>
              <w:t>T&amp;D</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17,726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13,935</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48,706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38,494</w:t>
            </w:r>
          </w:p>
        </w:tc>
      </w:tr>
      <w:tr>
        <w:trPr>
          <w:trHeight w:val="216"/>
        </w:trPr>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C&amp;I</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20,365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25,198</w:t>
            </w:r>
          </w:p>
        </w:tc>
      </w:tr>
      <w:tr>
        <w:trPr>
          <w:trHeight w:val="230"/>
        </w:trPr>
        <w:tc>
          <w:tcPr>
            <w:tcW w:w="4080" w:type="dxa"/>
            <w:vAlign w:val="bottom"/>
          </w:tcPr>
          <w:p>
            <w:pPr>
              <w:ind w:left="160"/>
              <w:spacing w:after="0"/>
              <w:rPr>
                <w:sz w:val="20"/>
                <w:szCs w:val="20"/>
                <w:color w:val="auto"/>
              </w:rPr>
            </w:pPr>
            <w:r>
              <w:rPr>
                <w:rFonts w:ascii="Arial" w:cs="Arial" w:eastAsia="Arial" w:hAnsi="Arial"/>
                <w:sz w:val="18"/>
                <w:szCs w:val="18"/>
                <w:color w:val="auto"/>
              </w:rPr>
              <w:t>GeneralCorporate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(11,259)</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(32,773)</w:t>
            </w: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(30,791)</w:t>
            </w:r>
          </w:p>
        </w:tc>
      </w:tr>
      <w:tr>
        <w:trPr>
          <w:trHeight w:val="223"/>
        </w:trPr>
        <w:tc>
          <w:tcPr>
            <w:tcW w:w="40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For the three and nine months ended September 30, 2019, contract revenues attributable to the Company’s Canadian operations were $22.3 million and $55.8 million, respectively, predominantly in the C&amp;I segment. For the three and nine months ended September 30, 2018, contract revenues attributable to the Company’s Canadian operations were $12.8 million and $42.0 million, respectively, predominantly in the C&amp;I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July 2, 2018, through the acquisition of certain assets of the Huen Companies, the Company became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 in the Company’s consolidated balance sheets, consolidated statements of stockholders’ equity, and their portions, if material, of net income (loss) and other comprehensive income shown as net income or other comprehensive income attributable to noncontrolling interest in the Company’s consolidated statements of operations and other comprehensive income. Additionally, the joint venture associated with the Company’s noncontrolling interest is a partnership, and consequently, the tax effect of only the Company’s share of the joint venture income is recognized by the Company.</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acquired joint venture made no distributions to its partners, and the Company made no capital contributions to the joint venture, during the three and nine months ended September 30, 2019. Additionally, there have been no changes in ownership during the three and nine months ended September 30, 2019. The project associated with this joint venture is expected to be completed in 2019. During the three months ended September 30, 2019, net gain attributable to the noncontrolling interest was $0.1 million and during the nine months ended September 30, 2019, net loss attributable to the noncontrolling interest was $1.5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computes earnings per share attributable to MYR Group Inc. using the treasury stock method. Under the treasury stock method, basic earnings per share attributable to MYR Group Inc.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right="340" w:firstLine="648"/>
        <w:spacing w:after="0" w:line="277" w:lineRule="auto"/>
        <w:rPr>
          <w:sz w:val="20"/>
          <w:szCs w:val="20"/>
          <w:color w:val="auto"/>
        </w:rPr>
      </w:pPr>
      <w:r>
        <w:rPr>
          <w:rFonts w:ascii="Arial" w:cs="Arial" w:eastAsia="Arial" w:hAnsi="Arial"/>
          <w:sz w:val="18"/>
          <w:szCs w:val="18"/>
          <w:color w:val="auto"/>
        </w:rPr>
        <w:t>Net income attributable to MYR Group Inc. and the weighted average number of common shares used to compute basic and diluted earnings per share were as follows: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Net income attributable to MYR Group Inc.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10,355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7,957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24,915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20,436</w:t>
            </w:r>
          </w:p>
        </w:tc>
      </w:tr>
      <w:tr>
        <w:trPr>
          <w:trHeight w:val="216"/>
        </w:trPr>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16,614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16,423</w:t>
            </w:r>
          </w:p>
        </w:tc>
      </w:tr>
      <w:tr>
        <w:trPr>
          <w:trHeight w:val="230"/>
        </w:trPr>
        <w:tc>
          <w:tcPr>
            <w:tcW w:w="4280" w:type="dxa"/>
            <w:vAlign w:val="bottom"/>
            <w:gridSpan w:val="2"/>
          </w:tcPr>
          <w:p>
            <w:pPr>
              <w:ind w:left="140"/>
              <w:spacing w:after="0"/>
              <w:rPr>
                <w:sz w:val="20"/>
                <w:szCs w:val="20"/>
                <w:color w:val="auto"/>
              </w:rPr>
            </w:pPr>
            <w:r>
              <w:rPr>
                <w:rFonts w:ascii="Arial" w:cs="Arial" w:eastAsia="Arial" w:hAnsi="Arial"/>
                <w:sz w:val="18"/>
                <w:szCs w:val="18"/>
                <w:color w:val="auto"/>
              </w:rPr>
              <w:t>Weighted average dilutive securities</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r>
      <w:tr>
        <w:trPr>
          <w:trHeight w:val="223"/>
        </w:trPr>
        <w:tc>
          <w:tcPr>
            <w:tcW w:w="42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3"/>
              </w:rPr>
              <w:t>Weighted average common shares outstanding, diluted</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Income per common share attributable to MYR Group</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2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r>
      <w:tr>
        <w:trPr>
          <w:trHeight w:val="216"/>
        </w:trPr>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three and nine months ended September 30, 2019 and 2018,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unexercised stock options, unvested time-vested stock awards and unvested performance awards that were excluded from the calculation of dilutive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4"/>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2200" w:type="dxa"/>
            <w:vAlign w:val="bottom"/>
            <w:gridSpan w:val="4"/>
          </w:tcPr>
          <w:p>
            <w:pPr>
              <w:ind w:left="320"/>
              <w:spacing w:after="0"/>
              <w:rPr>
                <w:sz w:val="20"/>
                <w:szCs w:val="20"/>
                <w:color w:val="auto"/>
              </w:rPr>
            </w:pPr>
            <w:r>
              <w:rPr>
                <w:rFonts w:ascii="Arial" w:cs="Arial" w:eastAsia="Arial" w:hAnsi="Arial"/>
                <w:sz w:val="18"/>
                <w:szCs w:val="18"/>
                <w:b w:val="1"/>
                <w:bCs w:val="1"/>
                <w:color w:val="auto"/>
              </w:rPr>
              <w:t>Nine months ended</w:t>
            </w:r>
          </w:p>
        </w:tc>
        <w:tc>
          <w:tcPr>
            <w:tcW w:w="1440" w:type="dxa"/>
            <w:vAlign w:val="bottom"/>
          </w:tcPr>
          <w:p>
            <w:pPr>
              <w:spacing w:after="0"/>
              <w:rPr>
                <w:sz w:val="19"/>
                <w:szCs w:val="19"/>
                <w:color w:val="auto"/>
              </w:rPr>
            </w:pPr>
          </w:p>
        </w:tc>
      </w:tr>
      <w:tr>
        <w:trPr>
          <w:trHeight w:val="234"/>
        </w:trPr>
        <w:tc>
          <w:tcPr>
            <w:tcW w:w="9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4"/>
          </w:tcPr>
          <w:p>
            <w:pPr>
              <w:ind w:left="540"/>
              <w:spacing w:after="0"/>
              <w:rPr>
                <w:sz w:val="20"/>
                <w:szCs w:val="20"/>
                <w:color w:val="auto"/>
              </w:rPr>
            </w:pPr>
            <w:r>
              <w:rPr>
                <w:rFonts w:ascii="Arial" w:cs="Arial" w:eastAsia="Arial" w:hAnsi="Arial"/>
                <w:sz w:val="18"/>
                <w:szCs w:val="18"/>
                <w:b w:val="1"/>
                <w:bCs w:val="1"/>
                <w:color w:val="auto"/>
              </w:rPr>
              <w:t>September 30,</w:t>
            </w:r>
          </w:p>
        </w:tc>
        <w:tc>
          <w:tcPr>
            <w:tcW w:w="2200" w:type="dxa"/>
            <w:vAlign w:val="bottom"/>
            <w:gridSpan w:val="4"/>
          </w:tcPr>
          <w:p>
            <w:pPr>
              <w:ind w:left="52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spacing w:after="0"/>
              <w:rPr>
                <w:sz w:val="20"/>
                <w:szCs w:val="20"/>
                <w:color w:val="auto"/>
              </w:rPr>
            </w:pPr>
          </w:p>
        </w:tc>
      </w:tr>
      <w:tr>
        <w:trPr>
          <w:trHeight w:val="223"/>
        </w:trPr>
        <w:tc>
          <w:tcPr>
            <w:tcW w:w="5420" w:type="dxa"/>
            <w:vAlign w:val="bottom"/>
            <w:gridSpan w:val="3"/>
          </w:tcPr>
          <w:p>
            <w:pPr>
              <w:ind w:left="98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100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Time-vested stock awards</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Performance awards</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30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73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1440" w:type="dxa"/>
            <w:vAlign w:val="bottom"/>
          </w:tcPr>
          <w:p>
            <w:pPr>
              <w:spacing w:after="0"/>
              <w:rPr>
                <w:sz w:val="20"/>
                <w:szCs w:val="20"/>
                <w:color w:val="auto"/>
              </w:rPr>
            </w:pPr>
          </w:p>
        </w:tc>
      </w:tr>
      <w:tr>
        <w:trPr>
          <w:trHeight w:val="634"/>
        </w:trPr>
        <w:tc>
          <w:tcPr>
            <w:tcW w:w="9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2018 (the “2018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2018 Annual Report. We assume no obligation to update any of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operated in the transmission and distribution industry since 1891. We are one of the largest contractors servicing the T&amp;D sector of the electric utility industry in the United States and provide T&amp;D services in western Canada. Our T&amp;D customers include many of the leading companies in the industry. We have operated in the commercial and industrial industry since 1912. We are one of the largest electrical contractors servicing the C&amp;I industry in the United States and in western Canada. Our C&amp;I customers include facility owners and general contractors.</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we have a number of competitive advantages in both of our segments, including our project management team,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had consolidated revenues for the nine months ended September 30, 2019 of $1.5 billion, of which 54.9% was attributable to our T&amp;D customers and 45.1% was attributable to our C&amp;I customers. Our consolidated revenues for the nine months ended September 30, 2018 were $1.08 billion. For the nine</w:t>
      </w:r>
    </w:p>
    <w:p>
      <w:pPr>
        <w:ind w:right="520"/>
        <w:spacing w:after="0" w:line="205" w:lineRule="auto"/>
        <w:rPr>
          <w:sz w:val="20"/>
          <w:szCs w:val="20"/>
          <w:color w:val="auto"/>
        </w:rPr>
      </w:pPr>
      <w:r>
        <w:rPr>
          <w:rFonts w:ascii="Arial" w:cs="Arial" w:eastAsia="Arial" w:hAnsi="Arial"/>
          <w:sz w:val="18"/>
          <w:szCs w:val="18"/>
          <w:color w:val="auto"/>
        </w:rPr>
        <w:t>months ended September 30, 2019, our net income attributable to MYR Group Inc. and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were $24.9 million and $69.7 million, respectively, compared to $20.4 million and $60.0 million, respectively, for the nine months ended September 30, 2018.</w:t>
      </w:r>
    </w:p>
    <w:p>
      <w:pPr>
        <w:spacing w:after="0" w:line="20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believe there is an ongoing need for utilities to sustain investment in their transmission systems to improve reliability, reduce congestion and connect to new sources of renewable generation. Consequently, we believe we will continue to see significant bidding activity on large transmission projects over the next two years. The timing of multi-year transmission project awards and substantial construction activity is difficult to predict due to regulatory requirements and the permitting needed to commence construction. Significant construction on any large, multi-year projects awarded in 2019 will not likely occur before 2020. Bidding and construction activity for small to medium-size transmission projects and upgrades remains strong, and we expect this trend to continue, primarily due to reliability and economic drivers.</w:t>
      </w:r>
    </w:p>
    <w:p>
      <w:pPr>
        <w:spacing w:after="0" w:line="19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Because of reduced spending by United States utilities on their distribution systems for several years, we believe there is a need for sustained investment by utilities on their distribution systems to properly maintain or meet reliability requirements. We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in 2020, and we believe these opportunities will continue to be bid in a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4" w:lineRule="exact"/>
        <w:rPr>
          <w:sz w:val="20"/>
          <w:szCs w:val="20"/>
          <w:color w:val="auto"/>
        </w:rPr>
      </w:pPr>
    </w:p>
    <w:p>
      <w:pPr>
        <w:ind w:left="5620" w:right="2700" w:hanging="5612"/>
        <w:spacing w:after="0" w:line="778"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is a non-GAAP measure. Refer to “Non-GAAP Measure—EBITDA” for a discussion of this measure.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right="100" w:firstLine="648"/>
        <w:spacing w:after="0" w:line="272" w:lineRule="auto"/>
        <w:rPr>
          <w:sz w:val="20"/>
          <w:szCs w:val="20"/>
          <w:color w:val="auto"/>
        </w:rPr>
      </w:pPr>
      <w:r>
        <w:rPr>
          <w:rFonts w:ascii="Arial" w:cs="Arial" w:eastAsia="Arial" w:hAnsi="Arial"/>
          <w:sz w:val="17"/>
          <w:szCs w:val="17"/>
          <w:color w:val="auto"/>
        </w:rPr>
        <w:t>We expect to see continued improvement in bidding opportunities in our C&amp;I segment during the remainder of 2019. FMI’s 2019 United States Construction Outlook forecasts an increase in spending levels over 2018. According to FMI, the primary growth sectors in 2019 are expected to include office, educational, public safety, transportation, conservation and development, and manufacturing, all with positive forecasted growth rates. In addition to these growth sectors, we believe that recent state legislation requiring the increased production of energy from renewable sources will increase activity in solar plant and other renewable forms of energy. We believe much of this potential will continue to be driven by advancements in technology, such as artificial intelligence, self-driving vehicles, and robotics. We also believe these technological advancements will continue to offer new opportunities in many of the markets we serve including data centers, manufacturing plants, and higher education.</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Additionally, the United States has experienced a decade of privately funded economic expansion which has challenged the capacity of public water and transportation infrastructure forcing states and municipalities to seek creative means to fund needed expansion. We believe the need for expanding public infrastructure will offer opportunity in our C&amp;I segment for several years.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strive to maintain our status as a preferred provider to our T&amp;D and C&amp;I customers. We continue to implement strategies that further expand our capabilities and allow opportunities to provide prudent capital returns. On July 15, 2019, we completed the acquisition of substantially all the assets of CSI Electrical Contractors, Inc. (“CSI”), which expanded our C&amp;I operations in California. The total consideration paid was approximately $79.7 million, subject to working capital and net asset adjustments, entirely funded through borrowings under our credit facility. On July 2, 2018, we completed the acquisition of substantially all the assets of the Huen Companies, which expanded our C&amp;I operations in Illinois, New York and New Jersey. We continue to invest in developing key management and craft personnel in both our T&amp;D and C&amp;I markets and in procuring the specialty equipment and tooling needed to win and execute projects of all sizes and complexity. We ended the third quarter of 2019 with $229.3 million available under our credit facility. We believe that our financial position and operational strengths will enable us to manage the current challenges and uncertainties in the markets we serve and give us the flexibility to successfully execute our strategies.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6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7–Revenue Recognition in the accompanying notes to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backlog was $1.37 billion at September 30, 2019, compared to $1.16 billion at June 30, 2019 and $1.10 billion at September 30, 2018.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backlog at September 30, 2019 increased 17.8% from June 30, 2019. Backlog in the T&amp;D segment decreased $18.6 million and C&amp;I backlog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$225.0 million compared to June 30, 2019. Our backlog as of September 30, 2019 included our proportionate share of joint venture backlog totaling $21.9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compared to $23.3 million at June 30, 2019.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ind w:right="16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5"/>
              </w:rPr>
              <w:t>Backlog at September 30, 2019</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Amount estimated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 not be</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recognized</w:t>
            </w:r>
          </w:p>
        </w:tc>
        <w:tc>
          <w:tcPr>
            <w:tcW w:w="1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Total backlog at</w:t>
            </w:r>
          </w:p>
        </w:tc>
        <w:tc>
          <w:tcPr>
            <w:tcW w:w="0" w:type="dxa"/>
            <w:vAlign w:val="bottom"/>
          </w:tcPr>
          <w:p>
            <w:pPr>
              <w:spacing w:after="0"/>
              <w:rPr>
                <w:sz w:val="1"/>
                <w:szCs w:val="1"/>
                <w:color w:val="auto"/>
              </w:rPr>
            </w:pPr>
          </w:p>
        </w:tc>
      </w:tr>
      <w:tr>
        <w:trPr>
          <w:trHeight w:val="234"/>
        </w:trPr>
        <w:tc>
          <w:tcPr>
            <w:tcW w:w="35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within 12 months</w:t>
            </w:r>
          </w:p>
        </w:tc>
        <w:tc>
          <w:tcPr>
            <w:tcW w:w="16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jc w:val="center"/>
              <w:ind w:right="80"/>
              <w:spacing w:after="0"/>
              <w:rPr>
                <w:sz w:val="20"/>
                <w:szCs w:val="20"/>
                <w:color w:val="auto"/>
              </w:rPr>
            </w:pPr>
            <w:r>
              <w:rPr>
                <w:rFonts w:ascii="Arial" w:cs="Arial" w:eastAsia="Arial" w:hAnsi="Arial"/>
                <w:sz w:val="18"/>
                <w:szCs w:val="18"/>
                <w:color w:val="auto"/>
              </w:rPr>
              <w:t>C&amp;I</w:t>
            </w:r>
          </w:p>
        </w:tc>
        <w:tc>
          <w:tcPr>
            <w:tcW w:w="2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902,345</w:t>
            </w:r>
          </w:p>
        </w:tc>
        <w:tc>
          <w:tcPr>
            <w:tcW w:w="1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208,699</w:t>
            </w: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651,715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Total</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1,366,176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September 30, 2019, we had approximately $867.1 million in original face amount of surety bonds outstanding. Our estimated remaining cost to complete these bonded projects was approximately $378.7 million as of September 30, 2019.</w:t>
      </w:r>
    </w:p>
    <w:p>
      <w:pPr>
        <w:spacing w:after="0" w:line="17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selected consolidated statements of operations data and such data as a percentage of revenues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Three months ended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6"/>
          </w:tcPr>
          <w:p>
            <w:pPr>
              <w:jc w:val="center"/>
              <w:ind w:right="520"/>
              <w:spacing w:after="0"/>
              <w:rPr>
                <w:sz w:val="20"/>
                <w:szCs w:val="20"/>
                <w:color w:val="auto"/>
              </w:rPr>
            </w:pPr>
            <w:r>
              <w:rPr>
                <w:rFonts w:ascii="Arial" w:cs="Arial" w:eastAsia="Arial" w:hAnsi="Arial"/>
                <w:sz w:val="13"/>
                <w:szCs w:val="13"/>
                <w:b w:val="1"/>
                <w:bCs w:val="1"/>
                <w:color w:val="auto"/>
                <w:w w:val="86"/>
              </w:rPr>
              <w:t>Nine months ended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3"/>
                <w:szCs w:val="13"/>
                <w:b w:val="1"/>
                <w:bCs w:val="1"/>
                <w:color w:val="auto"/>
                <w:w w:val="85"/>
              </w:rPr>
              <w:t>September 30,</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80" w:type="dxa"/>
            <w:vAlign w:val="bottom"/>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240" w:type="dxa"/>
            <w:vAlign w:val="bottom"/>
            <w:vMerge w:val="restart"/>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120"/>
              <w:spacing w:after="0" w:line="143" w:lineRule="exact"/>
              <w:rPr>
                <w:sz w:val="20"/>
                <w:szCs w:val="20"/>
                <w:color w:val="auto"/>
              </w:rPr>
            </w:pPr>
            <w:r>
              <w:rPr>
                <w:rFonts w:ascii="Arial" w:cs="Arial" w:eastAsia="Arial" w:hAnsi="Arial"/>
                <w:sz w:val="13"/>
                <w:szCs w:val="13"/>
                <w:b w:val="1"/>
                <w:bCs w:val="1"/>
                <w:color w:val="auto"/>
              </w:rPr>
              <w:t>2019</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2018</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120"/>
              <w:spacing w:after="0" w:line="143" w:lineRule="exact"/>
              <w:rPr>
                <w:sz w:val="20"/>
                <w:szCs w:val="20"/>
                <w:color w:val="auto"/>
              </w:rPr>
            </w:pPr>
            <w:r>
              <w:rPr>
                <w:rFonts w:ascii="Arial" w:cs="Arial" w:eastAsia="Arial" w:hAnsi="Arial"/>
                <w:sz w:val="13"/>
                <w:szCs w:val="13"/>
                <w:b w:val="1"/>
                <w:bCs w:val="1"/>
                <w:color w:val="auto"/>
              </w:rPr>
              <w:t>2019</w:t>
            </w: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120"/>
              <w:spacing w:after="0" w:line="143" w:lineRule="exact"/>
              <w:rPr>
                <w:sz w:val="20"/>
                <w:szCs w:val="20"/>
                <w:color w:val="auto"/>
              </w:rPr>
            </w:pPr>
            <w:r>
              <w:rPr>
                <w:rFonts w:ascii="Arial" w:cs="Arial" w:eastAsia="Arial" w:hAnsi="Arial"/>
                <w:sz w:val="13"/>
                <w:szCs w:val="13"/>
                <w:b w:val="1"/>
                <w:bCs w:val="1"/>
                <w:color w:val="auto"/>
              </w:rPr>
              <w:t>2018</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7"/>
              <w:spacing w:after="0" w:line="143" w:lineRule="exact"/>
              <w:rPr>
                <w:sz w:val="20"/>
                <w:szCs w:val="20"/>
                <w:color w:val="auto"/>
              </w:rPr>
            </w:pPr>
            <w:r>
              <w:rPr>
                <w:rFonts w:ascii="Arial" w:cs="Arial" w:eastAsia="Arial" w:hAnsi="Arial"/>
                <w:sz w:val="13"/>
                <w:szCs w:val="13"/>
                <w:b w:val="1"/>
                <w:bCs w:val="1"/>
                <w:color w:val="auto"/>
              </w:rPr>
              <w:t>Percent</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7"/>
              <w:spacing w:after="0" w:line="143" w:lineRule="exact"/>
              <w:rPr>
                <w:sz w:val="20"/>
                <w:szCs w:val="20"/>
                <w:color w:val="auto"/>
              </w:rPr>
            </w:pPr>
            <w:r>
              <w:rPr>
                <w:rFonts w:ascii="Arial" w:cs="Arial" w:eastAsia="Arial" w:hAnsi="Arial"/>
                <w:sz w:val="13"/>
                <w:szCs w:val="13"/>
                <w:b w:val="1"/>
                <w:bCs w:val="1"/>
                <w:color w:val="auto"/>
                <w:w w:val="85"/>
              </w:rPr>
              <w:t>Amount</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78"/>
              <w:spacing w:after="0" w:line="143" w:lineRule="exact"/>
              <w:rPr>
                <w:sz w:val="20"/>
                <w:szCs w:val="20"/>
                <w:color w:val="auto"/>
              </w:rPr>
            </w:pPr>
            <w:r>
              <w:rPr>
                <w:rFonts w:ascii="Arial" w:cs="Arial" w:eastAsia="Arial" w:hAnsi="Arial"/>
                <w:sz w:val="13"/>
                <w:szCs w:val="13"/>
                <w:b w:val="1"/>
                <w:bCs w:val="1"/>
                <w:color w:val="auto"/>
              </w:rPr>
              <w:t>Percent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7"/>
              <w:spacing w:after="0" w:line="143" w:lineRule="exact"/>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7"/>
              <w:spacing w:after="0" w:line="143" w:lineRule="exact"/>
              <w:rPr>
                <w:sz w:val="20"/>
                <w:szCs w:val="20"/>
                <w:color w:val="auto"/>
              </w:rPr>
            </w:pPr>
            <w:r>
              <w:rPr>
                <w:rFonts w:ascii="Arial" w:cs="Arial" w:eastAsia="Arial" w:hAnsi="Arial"/>
                <w:sz w:val="13"/>
                <w:szCs w:val="13"/>
                <w:b w:val="1"/>
                <w:bCs w:val="1"/>
                <w:color w:val="auto"/>
              </w:rPr>
              <w:t>Percent</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b w:val="1"/>
                <w:bCs w:val="1"/>
                <w:color w:val="auto"/>
              </w:rPr>
              <w:t>Amount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8"/>
              <w:spacing w:after="0" w:line="143" w:lineRule="exact"/>
              <w:rPr>
                <w:sz w:val="20"/>
                <w:szCs w:val="20"/>
                <w:color w:val="auto"/>
              </w:rPr>
            </w:pPr>
            <w:r>
              <w:rPr>
                <w:rFonts w:ascii="Arial" w:cs="Arial" w:eastAsia="Arial" w:hAnsi="Arial"/>
                <w:sz w:val="13"/>
                <w:szCs w:val="13"/>
                <w:b w:val="1"/>
                <w:bCs w:val="1"/>
                <w:color w:val="auto"/>
              </w:rPr>
              <w:t>Percent</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Contract revenues</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583,214</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100.0%</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399,537</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100.0%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1,500,084</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1,084,824</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20"/>
                <w:szCs w:val="20"/>
                <w:color w:val="auto"/>
              </w:rPr>
            </w:pPr>
            <w:r>
              <w:rPr>
                <w:rFonts w:ascii="Arial" w:cs="Arial" w:eastAsia="Arial" w:hAnsi="Arial"/>
                <w:sz w:val="13"/>
                <w:szCs w:val="13"/>
                <w:color w:val="auto"/>
              </w:rPr>
              <w:t>Contract costs</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524,017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89.8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354,251</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88.7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1,354,848</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90.3</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965,155</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89.0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20" w:type="dxa"/>
            <w:vAlign w:val="bottom"/>
            <w:tcBorders>
              <w:top w:val="single" w:sz="8" w:color="CCEEFF"/>
            </w:tcBorders>
            <w:gridSpan w:val="2"/>
            <w:shd w:val="clear" w:color="auto" w:fill="CCEEFF"/>
          </w:tcPr>
          <w:p>
            <w:pPr>
              <w:ind w:left="340"/>
              <w:spacing w:after="0" w:line="129" w:lineRule="exact"/>
              <w:rPr>
                <w:sz w:val="20"/>
                <w:szCs w:val="20"/>
                <w:color w:val="auto"/>
              </w:rPr>
            </w:pPr>
            <w:r>
              <w:rPr>
                <w:rFonts w:ascii="Arial" w:cs="Arial" w:eastAsia="Arial" w:hAnsi="Arial"/>
                <w:sz w:val="13"/>
                <w:szCs w:val="13"/>
                <w:color w:val="auto"/>
              </w:rPr>
              <w:t>Gross profit</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59,197</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45,286</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11.3</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145,236</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119,669</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20" w:type="dxa"/>
            <w:vAlign w:val="bottom"/>
            <w:gridSpan w:val="2"/>
          </w:tcPr>
          <w:p>
            <w:pPr>
              <w:spacing w:after="0" w:line="121" w:lineRule="exact"/>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80"/>
              <w:spacing w:after="0"/>
              <w:rPr>
                <w:sz w:val="20"/>
                <w:szCs w:val="20"/>
                <w:color w:val="auto"/>
              </w:rPr>
            </w:pPr>
            <w:r>
              <w:rPr>
                <w:rFonts w:ascii="Arial" w:cs="Arial" w:eastAsia="Arial" w:hAnsi="Arial"/>
                <w:sz w:val="13"/>
                <w:szCs w:val="13"/>
                <w:color w:val="auto"/>
              </w:rPr>
              <w:t>expenses</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41,667</w:t>
            </w:r>
          </w:p>
        </w:tc>
        <w:tc>
          <w:tcPr>
            <w:tcW w:w="14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7.1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31,210</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7.8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108,598</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7.2</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88,658</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Amortization of intangible assets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1,419</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743</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0.2</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2,888</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0.2</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979</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20"/>
                <w:szCs w:val="20"/>
                <w:color w:val="auto"/>
              </w:rPr>
            </w:pPr>
            <w:r>
              <w:rPr>
                <w:rFonts w:ascii="Arial" w:cs="Arial" w:eastAsia="Arial" w:hAnsi="Arial"/>
                <w:sz w:val="13"/>
                <w:szCs w:val="13"/>
                <w:color w:val="auto"/>
              </w:rPr>
              <w:t>Gain on sale of property and equipment</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(1,151)</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(0.2)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(804)</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(0.2)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(2,548)</w:t>
            </w:r>
          </w:p>
        </w:tc>
        <w:tc>
          <w:tcPr>
            <w:tcW w:w="1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(2,869)</w:t>
            </w:r>
          </w:p>
        </w:tc>
        <w:tc>
          <w:tcPr>
            <w:tcW w:w="140" w:type="dxa"/>
            <w:vAlign w:val="bottom"/>
          </w:tcPr>
          <w:p>
            <w:pPr>
              <w:spacing w:after="0"/>
              <w:rPr>
                <w:sz w:val="12"/>
                <w:szCs w:val="12"/>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29"/>
        </w:trPr>
        <w:tc>
          <w:tcPr>
            <w:tcW w:w="2420" w:type="dxa"/>
            <w:vAlign w:val="bottom"/>
            <w:tcBorders>
              <w:top w:val="single" w:sz="8" w:color="CCEEFF"/>
            </w:tcBorders>
            <w:gridSpan w:val="2"/>
            <w:shd w:val="clear" w:color="auto" w:fill="CCEEFF"/>
          </w:tcPr>
          <w:p>
            <w:pPr>
              <w:ind w:left="340"/>
              <w:spacing w:after="0" w:line="129" w:lineRule="exact"/>
              <w:rPr>
                <w:sz w:val="20"/>
                <w:szCs w:val="20"/>
                <w:color w:val="auto"/>
              </w:rPr>
            </w:pPr>
            <w:r>
              <w:rPr>
                <w:rFonts w:ascii="Arial" w:cs="Arial" w:eastAsia="Arial" w:hAnsi="Arial"/>
                <w:sz w:val="13"/>
                <w:szCs w:val="13"/>
                <w:color w:val="auto"/>
              </w:rPr>
              <w:t>Income from operations</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17,262</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14,137</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36,298</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32,901</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Other income (expense)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Interest income</w:t>
            </w:r>
          </w:p>
        </w:tc>
        <w:tc>
          <w:tcPr>
            <w:tcW w:w="140" w:type="dxa"/>
            <w:vAlign w:val="bottom"/>
            <w:shd w:val="clear" w:color="auto" w:fill="CCEEFF"/>
          </w:tcPr>
          <w:p>
            <w:pPr>
              <w:spacing w:after="0"/>
              <w:rPr>
                <w:sz w:val="11"/>
                <w:szCs w:val="11"/>
                <w:color w:val="auto"/>
              </w:rPr>
            </w:pPr>
          </w:p>
        </w:tc>
        <w:tc>
          <w:tcPr>
            <w:tcW w:w="116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2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(2,125)</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(1,014)</w:t>
            </w: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(4,498)</w:t>
            </w:r>
          </w:p>
        </w:tc>
        <w:tc>
          <w:tcPr>
            <w:tcW w:w="14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(0.3)</w:t>
            </w:r>
          </w:p>
        </w:tc>
        <w:tc>
          <w:tcPr>
            <w:tcW w:w="16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(2,518)</w:t>
            </w:r>
          </w:p>
        </w:tc>
        <w:tc>
          <w:tcPr>
            <w:tcW w:w="140" w:type="dxa"/>
            <w:vAlign w:val="bottom"/>
          </w:tcPr>
          <w:p>
            <w:pPr>
              <w:spacing w:after="0"/>
              <w:rPr>
                <w:sz w:val="11"/>
                <w:szCs w:val="11"/>
                <w:color w:val="auto"/>
              </w:rPr>
            </w:pP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Other income (expense), net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(922)</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(2,292)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(2,018)</w:t>
            </w: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01"/>
        </w:trPr>
        <w:tc>
          <w:tcPr>
            <w:tcW w:w="2420" w:type="dxa"/>
            <w:vAlign w:val="bottom"/>
            <w:gridSpan w:val="2"/>
          </w:tcPr>
          <w:p>
            <w:pPr>
              <w:ind w:left="340"/>
              <w:spacing w:after="0" w:line="101" w:lineRule="exact"/>
              <w:rPr>
                <w:sz w:val="20"/>
                <w:szCs w:val="20"/>
                <w:color w:val="auto"/>
              </w:rPr>
            </w:pPr>
            <w:r>
              <w:rPr>
                <w:rFonts w:ascii="Arial" w:cs="Arial" w:eastAsia="Arial" w:hAnsi="Arial"/>
                <w:sz w:val="11"/>
                <w:szCs w:val="11"/>
                <w:color w:val="auto"/>
              </w:rPr>
              <w:t>Income before provision for income</w:t>
            </w: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500"/>
              <w:spacing w:after="0"/>
              <w:rPr>
                <w:sz w:val="20"/>
                <w:szCs w:val="20"/>
                <w:color w:val="auto"/>
              </w:rPr>
            </w:pPr>
            <w:r>
              <w:rPr>
                <w:rFonts w:ascii="Arial" w:cs="Arial" w:eastAsia="Arial" w:hAnsi="Arial"/>
                <w:sz w:val="13"/>
                <w:szCs w:val="13"/>
                <w:color w:val="auto"/>
              </w:rPr>
              <w:t>taxes</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14,215</w:t>
            </w:r>
          </w:p>
        </w:tc>
        <w:tc>
          <w:tcPr>
            <w:tcW w:w="14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10,844</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32,206</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28,378</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0.6</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2,885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8,767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7,940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20" w:type="dxa"/>
            <w:vAlign w:val="bottom"/>
            <w:gridSpan w:val="2"/>
          </w:tcPr>
          <w:p>
            <w:pPr>
              <w:spacing w:after="0" w:line="129" w:lineRule="exact"/>
              <w:rPr>
                <w:sz w:val="20"/>
                <w:szCs w:val="20"/>
                <w:color w:val="auto"/>
              </w:rPr>
            </w:pPr>
            <w:r>
              <w:rPr>
                <w:rFonts w:ascii="Arial" w:cs="Arial" w:eastAsia="Arial" w:hAnsi="Arial"/>
                <w:sz w:val="13"/>
                <w:szCs w:val="13"/>
                <w:color w:val="auto"/>
              </w:rPr>
              <w:t>Net income</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10,461</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7,959</w:t>
            </w:r>
          </w:p>
        </w:tc>
        <w:tc>
          <w:tcPr>
            <w:tcW w:w="22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23,439</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20,438</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Less: net income (loss) attributable to</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noncontrolling interest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(1,476)</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2420" w:type="dxa"/>
            <w:vAlign w:val="bottom"/>
            <w:gridSpan w:val="2"/>
          </w:tcPr>
          <w:p>
            <w:pPr>
              <w:spacing w:after="0" w:line="101" w:lineRule="exact"/>
              <w:rPr>
                <w:sz w:val="20"/>
                <w:szCs w:val="20"/>
                <w:color w:val="auto"/>
              </w:rPr>
            </w:pPr>
            <w:r>
              <w:rPr>
                <w:rFonts w:ascii="Arial" w:cs="Arial" w:eastAsia="Arial" w:hAnsi="Arial"/>
                <w:sz w:val="11"/>
                <w:szCs w:val="11"/>
                <w:color w:val="auto"/>
              </w:rPr>
              <w:t>Net income attributable to MYR Group</w:t>
            </w: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420" w:type="dxa"/>
            <w:vAlign w:val="bottom"/>
            <w:gridSpan w:val="2"/>
          </w:tcPr>
          <w:p>
            <w:pPr>
              <w:ind w:left="180"/>
              <w:spacing w:after="0"/>
              <w:rPr>
                <w:sz w:val="20"/>
                <w:szCs w:val="20"/>
                <w:color w:val="auto"/>
              </w:rPr>
            </w:pPr>
            <w:r>
              <w:rPr>
                <w:rFonts w:ascii="Arial" w:cs="Arial" w:eastAsia="Arial" w:hAnsi="Arial"/>
                <w:sz w:val="13"/>
                <w:szCs w:val="13"/>
                <w:color w:val="auto"/>
              </w:rPr>
              <w:t>Inc.</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10,355</w:t>
            </w:r>
          </w:p>
        </w:tc>
        <w:tc>
          <w:tcPr>
            <w:tcW w:w="140" w:type="dxa"/>
            <w:vAlign w:val="bottom"/>
          </w:tcPr>
          <w:p>
            <w:pPr>
              <w:spacing w:after="0"/>
              <w:rPr>
                <w:sz w:val="15"/>
                <w:szCs w:val="15"/>
                <w:color w:val="auto"/>
              </w:rPr>
            </w:pPr>
          </w:p>
        </w:tc>
        <w:tc>
          <w:tcPr>
            <w:tcW w:w="980" w:type="dxa"/>
            <w:vAlign w:val="bottom"/>
            <w:gridSpan w:val="2"/>
          </w:tcPr>
          <w:p>
            <w:pPr>
              <w:jc w:val="right"/>
              <w:ind w:right="80"/>
              <w:spacing w:after="0" w:line="176" w:lineRule="exact"/>
              <w:rPr>
                <w:sz w:val="20"/>
                <w:szCs w:val="20"/>
                <w:color w:val="auto"/>
              </w:rPr>
            </w:pPr>
            <w:r>
              <w:rPr>
                <w:rFonts w:ascii="Arial" w:cs="Arial" w:eastAsia="Arial" w:hAnsi="Arial"/>
                <w:sz w:val="11"/>
                <w:szCs w:val="11"/>
                <w:color w:val="auto"/>
              </w:rPr>
              <w:t>1.8</w:t>
            </w:r>
            <w:r>
              <w:rPr>
                <w:rFonts w:ascii="Arial" w:cs="Arial" w:eastAsia="Arial" w:hAnsi="Arial"/>
                <w:sz w:val="20"/>
                <w:szCs w:val="20"/>
                <w:color w:val="auto"/>
                <w:vertAlign w:val="superscript"/>
              </w:rPr>
              <w:t>%</w:t>
            </w:r>
          </w:p>
        </w:tc>
        <w:tc>
          <w:tcPr>
            <w:tcW w:w="30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7,957</w:t>
            </w:r>
          </w:p>
        </w:tc>
        <w:tc>
          <w:tcPr>
            <w:tcW w:w="1060" w:type="dxa"/>
            <w:vAlign w:val="bottom"/>
            <w:gridSpan w:val="2"/>
          </w:tcPr>
          <w:p>
            <w:pPr>
              <w:jc w:val="right"/>
              <w:ind w:right="40"/>
              <w:spacing w:after="0" w:line="176" w:lineRule="exact"/>
              <w:rPr>
                <w:sz w:val="20"/>
                <w:szCs w:val="20"/>
                <w:color w:val="auto"/>
              </w:rPr>
            </w:pPr>
            <w:r>
              <w:rPr>
                <w:rFonts w:ascii="Arial" w:cs="Arial" w:eastAsia="Arial" w:hAnsi="Arial"/>
                <w:sz w:val="11"/>
                <w:szCs w:val="11"/>
                <w:color w:val="auto"/>
              </w:rPr>
              <w:t>2.0</w:t>
            </w:r>
            <w:r>
              <w:rPr>
                <w:rFonts w:ascii="Arial" w:cs="Arial" w:eastAsia="Arial" w:hAnsi="Arial"/>
                <w:sz w:val="20"/>
                <w:szCs w:val="20"/>
                <w:color w:val="auto"/>
                <w:vertAlign w:val="superscript"/>
              </w:rPr>
              <w:t>%</w:t>
            </w:r>
          </w:p>
        </w:tc>
        <w:tc>
          <w:tcPr>
            <w:tcW w:w="2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24,915</w:t>
            </w:r>
          </w:p>
        </w:tc>
        <w:tc>
          <w:tcPr>
            <w:tcW w:w="1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1"/>
                <w:szCs w:val="11"/>
                <w:color w:val="auto"/>
              </w:rPr>
              <w:t>1.7</w:t>
            </w:r>
            <w:r>
              <w:rPr>
                <w:rFonts w:ascii="Arial" w:cs="Arial" w:eastAsia="Arial" w:hAnsi="Arial"/>
                <w:sz w:val="20"/>
                <w:szCs w:val="20"/>
                <w:color w:val="auto"/>
                <w:vertAlign w:val="superscript"/>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20,436</w:t>
            </w:r>
          </w:p>
        </w:tc>
        <w:tc>
          <w:tcPr>
            <w:tcW w:w="140" w:type="dxa"/>
            <w:vAlign w:val="bottom"/>
          </w:tcPr>
          <w:p>
            <w:pPr>
              <w:spacing w:after="0"/>
              <w:rPr>
                <w:sz w:val="15"/>
                <w:szCs w:val="15"/>
                <w:color w:val="auto"/>
              </w:rPr>
            </w:pPr>
          </w:p>
        </w:tc>
        <w:tc>
          <w:tcPr>
            <w:tcW w:w="880" w:type="dxa"/>
            <w:vAlign w:val="bottom"/>
            <w:gridSpan w:val="3"/>
          </w:tcPr>
          <w:p>
            <w:pPr>
              <w:jc w:val="right"/>
              <w:spacing w:after="0" w:line="176" w:lineRule="exact"/>
              <w:rPr>
                <w:sz w:val="20"/>
                <w:szCs w:val="20"/>
                <w:color w:val="auto"/>
              </w:rPr>
            </w:pPr>
            <w:r>
              <w:rPr>
                <w:rFonts w:ascii="Arial" w:cs="Arial" w:eastAsia="Arial" w:hAnsi="Arial"/>
                <w:sz w:val="11"/>
                <w:szCs w:val="11"/>
                <w:color w:val="auto"/>
              </w:rPr>
              <w:t>1.9</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2019 Compared to Three Months Ended September 30, 2018</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were $583.2 million for the three months ended September 30, 2019 compared to $399.5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The increase of $183.7 million, or 46.0%, was primarily due to higher volume across both segments and incremental revenues from the CSI acquisition, which was acquired in the third quarter of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10.2% for the three months ended September 30, 2019 compared to 11.3% for the three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2018. The decrease in gross margin was primarily due to projects that we continue to carry at lower than historical margins, for which we are pursuing additional compensation. Additionally, gross margin included changes of estimates on certain contracts associated with recent acquisitions which are subject to margin guarantees and represent potential contingent consideration for which an offset was recognized in other expense. These changes in estimates during the three months ended September 30, 2019 and 2018 were $1.1 million and $2.3 million, respectively. The decrease in gross margin was partially offset by certain projects with changes in estimates due to better-than-anticipated productivity. Changes in estimates of gross profit on certain projects resulted in a gross margin increase of 0.2% and decrease of 0.6% for the three months ended September 30, 2019 and 2018, respectively. The three months ended September 30, 2018 was also positively impacted by a high volume of small changes in estimates of gross profit, which did not recur in 2019.</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$59.2 million for the three months ended September 30, 2019 compared to $45.3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The increase of $13.9 million, or 30.7% was due to higher revenues, partially offset by lower margins.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was $41.7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2019 compared to $31.2 million for the three months ended September 30, 2018. The period-over-period increase of $10.5 million was primarily due to the acquisition of CSI along with higher employee-related expenses to support operations. As a percentage of revenues, SG&amp;A was 7.1% for the three months ended September 30, 2019 and 7.8% for the three months ended September 30, 2018.</w:t>
      </w:r>
    </w:p>
    <w:p>
      <w:pPr>
        <w:spacing w:after="0" w:line="17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three months ended September 30, 2019 were $1.2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$0.8 million for the three months ended September 30, 2018.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$2.1 million for the three months ended September 30, 2019 compared to $1.0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2018. This increase was primarily attributable to increased borrowing related to the acquisition of CSI and an increase in our working capital needs to support higher volume during the three months ended September 30, 2019 as compared to the three months ended September 30, 2018.</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Other expense. </w:t>
      </w:r>
      <w:r>
        <w:rPr>
          <w:rFonts w:ascii="Arial" w:cs="Arial" w:eastAsia="Arial" w:hAnsi="Arial"/>
          <w:sz w:val="18"/>
          <w:szCs w:val="18"/>
          <w:color w:val="auto"/>
        </w:rPr>
        <w:t>Other expense was $0.9 million for the three months ended September 30, 2019, primarily attributable to a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margin guarantees on certain contracts associated with the acquisition of CSI recognized in the three months ended September 30, 2019. Other expense was $2.3 million for the three months ended September 30, 2018, primarily attributable to contingent consideration related to margin guarantees on certain contracts associated with the acquisition of the Huen Companies.</w:t>
      </w:r>
    </w:p>
    <w:p>
      <w:pPr>
        <w:spacing w:after="0" w:line="187"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$3.8 million for the three months ended September 30, 2019, with an effective tax rate of 26.4%,</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expense of $2.9 million for the three months ended September 30, 2018, with an effective tax rate of 26.6%.</w:t>
      </w:r>
    </w:p>
    <w:p>
      <w:pPr>
        <w:spacing w:after="0" w:line="14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 xml:space="preserve">Net income attributable to MYR Group Inc. </w:t>
      </w:r>
      <w:r>
        <w:rPr>
          <w:rFonts w:ascii="Arial" w:cs="Arial" w:eastAsia="Arial" w:hAnsi="Arial"/>
          <w:sz w:val="16"/>
          <w:szCs w:val="16"/>
          <w:color w:val="auto"/>
        </w:rPr>
        <w:t>Net income attributable to MYR Group Inc. was $10.4 million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compared to $8.0 million for the three months ended September 30, 2018. The increase was primarily due to the reasons stated earlier.</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8"/>
                <w:szCs w:val="18"/>
                <w:b w:val="1"/>
                <w:bCs w:val="1"/>
                <w:color w:val="auto"/>
                <w:w w:val="89"/>
              </w:rPr>
              <w:t>Three months ended September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9"/>
              </w:rPr>
              <w:t>Amount</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Percent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Percent</w:t>
            </w:r>
          </w:p>
        </w:tc>
        <w:tc>
          <w:tcPr>
            <w:tcW w:w="160" w:type="dxa"/>
            <w:vAlign w:val="bottom"/>
            <w:gridSpan w:val="2"/>
          </w:tcPr>
          <w:p>
            <w:pPr>
              <w:spacing w:after="0"/>
              <w:rPr>
                <w:sz w:val="19"/>
                <w:szCs w:val="19"/>
                <w:color w:val="auto"/>
              </w:rPr>
            </w:pP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Contract revenues: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294,940</w:t>
            </w:r>
          </w:p>
        </w:tc>
        <w:tc>
          <w:tcPr>
            <w:tcW w:w="18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50.6%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222,531</w:t>
            </w: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288,274</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177,006</w:t>
            </w: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44.3</w:t>
            </w:r>
          </w:p>
        </w:tc>
      </w:tr>
      <w:tr>
        <w:trPr>
          <w:trHeight w:val="263"/>
        </w:trPr>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583,214</w:t>
            </w:r>
          </w:p>
        </w:tc>
        <w:tc>
          <w:tcPr>
            <w:tcW w:w="1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399,537</w:t>
            </w:r>
          </w:p>
        </w:tc>
        <w:tc>
          <w:tcPr>
            <w:tcW w:w="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r>
      <w:tr>
        <w:trPr>
          <w:trHeight w:val="197"/>
        </w:trPr>
        <w:tc>
          <w:tcPr>
            <w:tcW w:w="3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 (loss):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17,726</w:t>
            </w:r>
          </w:p>
        </w:tc>
        <w:tc>
          <w:tcPr>
            <w:tcW w:w="18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13,935</w:t>
            </w: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10,795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10,227</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(11,259)</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(10,025)</w:t>
            </w: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17,262</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14,137</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Revenues for our T&amp;D segment for the three months ended September 30, 2019 were $294.9 million compared to $222.5 million for the three months ended September 30, 2018, an increase of $72.4 million, or 32.5%. The increase in revenue was primarily due to an increase in revenue on small- to medium-sized transmission projects.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Revenues from transmission projects represented 66.5% and 54.7% of T&amp;D segment revenue for the three months ended September 30, 2019 and 2018, respectively. Additionally, for the three months ended September 30, 2019, measured by revenue in our T&amp;D segment, we provided 53.4% of our T&amp;D services under fixed-price contracts, as compared to 36.9% for the three months ended September 30, 2018.</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Operating income for our T&amp;D segment for the three months ended September 30, 2019 was $17.7 million, an increase of $3.8 million, or 27.2%, from the three months ended September 30, 2018. The increase in T&amp;D operating income from the prior year was primarily due to higher revenue on transmission projects. As a percentage of revenues, operating income for our T&amp;D segment was 6.0% for the three months ended September 30, 2019 compared to 6.3% for the three months ended September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Revenues for our C&amp;I segment for the three months ended September 30, 2019 were $288.3 million compared to $177.0 million for the three months ended September 30, 2018, an increase of $111.3 million, or 62.9%, primarily due to increases in volume across all project sizes and incremental revenues from the CSI acquisition. Measured by revenue in our C&amp;I segment, we provided 76.6% of our services under fixed-price contracts for the three months ended September 30, 2019, compared to 74.8% for the three months ended September 30, 2018.</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Operating income for our C&amp;I segment for the three months ended September 30, 2019 was $10.8 million, an increase of $0.6 million over the three months ended September 30, 2018. The period-over-period increase in operating income was due to higher revenues primarily offset by projects that we continue to carry at lower than historical margins for which we are pursuing additional compensation. The decrease in operating income was also due to $1.1 million of amortization related to certain intangibles acquired with CSI. As a percentage of revenues, operating income for our C&amp;I segment was 3.7% for the three months ended September 30, 2019 compared to 5.8% for the three months ended September 30,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2019 Compared to Nine Months Ended September 30, 2018</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were $1.50 billion for the nine months ended September 30, 2019 compared to $1.08 billion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The increase of $415.3 million, or 38.3%, was primarily due to increases in volume across both segments and incremental revenues from the acquisitions of the Huen Companies and CSI, which were acquired in the third quarter of 2018 and 2019, respectively.</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was 9.7% for the nine months ended September 30, 2019 compared to 11.0%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The decrease in gross margin was primarily due to inclement weather on certain projects and material delays associated with a substantially completed joint venture project in which we own the majority controlling interest, which were partially offset by net loss attributable to noncontrolling interest. The joint venture project is subject to margin guarantees, for which an offset is recognized in other income. Gross margin was also negatively impacted by certain projects with changes in estimates relating to a higher level of costs on items bid at lower margins, inclement weather conditions and labor inefficiencies for which we are in ongoing negotiations to receive reimbursement. These margin decreases were partially offset by better than anticipated productivity on a project and a favorable claim settlement. Changes in estimates of gross profit on certain projects resulted in a gross margin decrease of 0.5% and 0.4% for the nine months ended September 30, 2019 and 2018,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$145.2 million for the nine months ended September 30, 2019 compared to $119.7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the increase of $25.5 million, or 21.4% was due to higher revenues, partially offset by lower margins.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was $108.6 million for the nine months ended September 30, 2019 compared to $88.7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2018. The period-over-period increase of $19.9 million was primarily due to the acquisitions of the Huen Companies and CSI along with higher employee-related expenses to support operations. As a percentage of revenues, SG&amp;A was 7.2% for the nine months ended September 30, 2019 and 8.2% for the nine months ended September 30, 2018.</w:t>
      </w:r>
    </w:p>
    <w:p>
      <w:pPr>
        <w:spacing w:after="0" w:line="18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nine months ended September 30, 2019 were $2.5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$2.9 million for the nine months ended September 30, 2018.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$4.5 million for the nine months ended September 30, 2019 compared to $2.5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This increase was primarily attributable to increased borrowing related to the acquisition of the Huen Companies and CSI, an increase in our working capital needs to support higher volume and an increase in our weighted average interest rate during the nine months ended September 30, 2019 as compared to the nine months ended September 30, 2018.</w:t>
      </w:r>
    </w:p>
    <w:p>
      <w:pPr>
        <w:spacing w:after="0" w:line="187"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was $0.4 million for the nine months ended September 30, 2019, primarily attributable to a reduction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contingent consideration related to margin guarantees on certain contracts associated with the acquisition of the Huen Companies partially offset by margin guarantees on certain contracts associated with the acquisition of CSI. Other expense was $2.0 million for the nine months ended September 30, 2018, primarily attributable to contingent consideration related to margin guarantees on certain contracts associated with the acquisition of the Huen Companies.</w:t>
      </w:r>
    </w:p>
    <w:p>
      <w:pPr>
        <w:spacing w:after="0" w:line="154"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$8.8 million for the nine months ended September 30, 2019, with an effective tax rate of 27.2%,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expense of $7.9 million for the nine months ended September 30, 2018, with an effective tax rate of 28.0%. The decrease in the tax rate in the nine months ended September 30, 2019 was primarily due to state income taxes offset by the impact of our noncontrolling interest.</w:t>
      </w:r>
    </w:p>
    <w:p>
      <w:pPr>
        <w:spacing w:after="0" w:line="14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 xml:space="preserve">Net income attributable to MYR Group Inc. </w:t>
      </w:r>
      <w:r>
        <w:rPr>
          <w:rFonts w:ascii="Arial" w:cs="Arial" w:eastAsia="Arial" w:hAnsi="Arial"/>
          <w:sz w:val="16"/>
          <w:szCs w:val="16"/>
          <w:color w:val="auto"/>
        </w:rPr>
        <w:t>Net income attributable to MYR Group Inc. was $24.9 million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compared to $20.4 million for the nine months ended September 30, 2018. The increase was primarily due to the reasons stated earlier.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8"/>
                <w:szCs w:val="18"/>
                <w:b w:val="1"/>
                <w:bCs w:val="1"/>
                <w:color w:val="auto"/>
                <w:w w:val="90"/>
              </w:rPr>
              <w:t>Nine months ended September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9"/>
              </w:rPr>
              <w:t>Amount</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Percent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Percent</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Contract revenues: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823,398</w:t>
            </w:r>
          </w:p>
        </w:tc>
        <w:tc>
          <w:tcPr>
            <w:tcW w:w="18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54.9%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635,842</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676,686</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448,982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41.4</w:t>
            </w:r>
          </w:p>
        </w:tc>
        <w:tc>
          <w:tcPr>
            <w:tcW w:w="1440" w:type="dxa"/>
            <w:vAlign w:val="bottom"/>
          </w:tcPr>
          <w:p>
            <w:pPr>
              <w:spacing w:after="0"/>
              <w:rPr>
                <w:sz w:val="19"/>
                <w:szCs w:val="19"/>
                <w:color w:val="auto"/>
              </w:rPr>
            </w:pPr>
          </w:p>
        </w:tc>
      </w:tr>
      <w:tr>
        <w:trPr>
          <w:trHeight w:val="263"/>
        </w:trPr>
        <w:tc>
          <w:tcPr>
            <w:tcW w:w="1440" w:type="dxa"/>
            <w:vAlign w:val="bottom"/>
          </w:tcPr>
          <w:p>
            <w:pPr>
              <w:spacing w:after="0"/>
              <w:rPr>
                <w:sz w:val="22"/>
                <w:szCs w:val="22"/>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1,500,084</w:t>
            </w:r>
          </w:p>
        </w:tc>
        <w:tc>
          <w:tcPr>
            <w:tcW w:w="1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1,084,824</w:t>
            </w:r>
          </w:p>
        </w:tc>
        <w:tc>
          <w:tcPr>
            <w:tcW w:w="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440" w:type="dxa"/>
            <w:vAlign w:val="bottom"/>
          </w:tcPr>
          <w:p>
            <w:pPr>
              <w:spacing w:after="0"/>
              <w:rPr>
                <w:sz w:val="22"/>
                <w:szCs w:val="22"/>
                <w:color w:val="auto"/>
              </w:rPr>
            </w:pPr>
          </w:p>
        </w:tc>
      </w:tr>
      <w:tr>
        <w:trPr>
          <w:trHeight w:val="197"/>
        </w:trPr>
        <w:tc>
          <w:tcPr>
            <w:tcW w:w="1440" w:type="dxa"/>
            <w:vAlign w:val="bottom"/>
          </w:tcPr>
          <w:p>
            <w:pPr>
              <w:spacing w:after="0"/>
              <w:rPr>
                <w:sz w:val="17"/>
                <w:szCs w:val="17"/>
                <w:color w:val="auto"/>
              </w:rPr>
            </w:pPr>
          </w:p>
        </w:tc>
        <w:tc>
          <w:tcPr>
            <w:tcW w:w="3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 (loss):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48,706</w:t>
            </w:r>
          </w:p>
        </w:tc>
        <w:tc>
          <w:tcPr>
            <w:tcW w:w="18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38,494</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20,365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25,198</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(32,773)</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(30,791)</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36,298</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32,901</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4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29"/>
        </w:trPr>
        <w:tc>
          <w:tcPr>
            <w:tcW w:w="14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Revenues for our T&amp;D segment for the nine months ended September 30, 2019 were $823.4 million compared to $635.8 million for the nine months ended September 30, 2018, an increase of $187.6 million, or 29.5%. The increase in revenue was primarily due to an increase in revenue on small- to medium-sized transmission projects.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Revenues from transmission projects represented 67.2% and 59.4% of T&amp;D segment revenue for the nine months ended September 30, 2019 and 2018, respectively. Additionally, for the nine months ended September 30, 2019, measured by revenue in our T&amp;D segment, we provided 49.8% of our T&amp;D services under fixed-price contracts, as compared to 37.5% for the nine months ended September 30, 2018.</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Operating income for our T&amp;D segment for the nine months ended September 30, 2019 was $48.7 million, an increase of $10.2 million, or 26.5%, from the nine months ended September 30, 2018. The increase in T&amp;D operating income from the prior year was primarily due to higher revenue on transmission projects. This improvement from the prior year was partially offset by lower margins and changes in estimates of gross profit on certain projects. These estimate changes were primarily due to inclement weather on certain projects and an increase in non-reimbursable cost on a project. These impacts were partially offset by better than anticipated productivity on certain projects and a favorable claim settlement. As a percentage of revenues, operating income for our T&amp;D segment was 5.9% for the nine months ended September 30, 2019 compared to 6.1% for the nine months ended September 30,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Revenues for our C&amp;I segment for the nine months ended September 30, 2019 were $676.7 million compared to $449.0 million for the nine months ended September 30, 2018, an increase of $227.7 million, or 50.7%, primarily due to increases in volume across all project sizes and incremental revenues from the acquisitions of the Huen Companies and CSI. Measured by revenue in our C&amp;I segment, we provided 69.4% of our services under fixed-price contracts for the nine months ended September 30, 2019, compared to 69.5% for the nine months ended September 30, 2018.</w:t>
      </w:r>
    </w:p>
    <w:p>
      <w:pPr>
        <w:spacing w:after="0" w:line="154"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Operating income for our C&amp;I segment for the nine months ended September 30, 2019 was $20.4 million, a decrease of $4.8 million over the nine months ended September 30, 2018. The period-over-period decrease in operating income was primarily due to changes in estimates of gross profit on certain projects. These estimate changes were primarily due to unanticipated overtime and material delays associated with a substantially completed joint venture project in which we own the majority controlling interest, which were partially offset by net loss attributable to noncontrolling interest. The joint venture project is subject to margin guarantees, for which an offset is recognized in other income. Operating income was also negatively impacted by projects with changes in estimates relating to a higher level of costs on items bid at lower margins, inclement weather conditions, and labor inefficiencies for which we are in ongoing negotiations to receive reimbursement. The decrease in operating income was also due to amortization related to certain intangibles acquired with the Huen Companies and with CSI, an increase in bad debt expense associated with a customer bankruptcy and a favorable claim settlement in the prior year. These impacts were partially offset by higher revenues. As a percentage of revenues, operating income for our C&amp;I segment was 3.0% for the nine months ended September 30, 2019 compared to 5.6% for the nine months ended September 30,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define EBITDA, a performance measure used by management, as net income attributable to MYR Group Inc. plus net income from noncontrolling interest, interest expense net of interest income, provision for income taxes and depreciation and amortization. EBITDA, a non-GAAP financial measure, does not purport to be an alternative to net income attributable to MYR Group Inc.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ind w:firstLine="648"/>
        <w:spacing w:after="0" w:line="287" w:lineRule="auto"/>
        <w:rPr>
          <w:sz w:val="20"/>
          <w:szCs w:val="20"/>
          <w:color w:val="auto"/>
        </w:rPr>
      </w:pPr>
      <w:r>
        <w:rPr>
          <w:rFonts w:ascii="Arial" w:cs="Arial" w:eastAsia="Arial" w:hAnsi="Arial"/>
          <w:sz w:val="16"/>
          <w:szCs w:val="16"/>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EBITDA:</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1940" w:type="dxa"/>
            <w:vAlign w:val="bottom"/>
            <w:gridSpan w:val="7"/>
          </w:tcPr>
          <w:p>
            <w:pPr>
              <w:ind w:left="1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940" w:type="dxa"/>
            <w:vAlign w:val="bottom"/>
            <w:gridSpan w:val="7"/>
          </w:tcPr>
          <w:p>
            <w:pPr>
              <w:ind w:left="3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attributable to MYR Group Inc.</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Net loss attributable to noncontrolling interests</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10"/>
        </w:trPr>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Add: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3,754</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2,885</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8,767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7,940</w:t>
            </w:r>
          </w:p>
        </w:tc>
        <w:tc>
          <w:tcPr>
            <w:tcW w:w="60" w:type="dxa"/>
            <w:vAlign w:val="bottom"/>
          </w:tcPr>
          <w:p>
            <w:pPr>
              <w:spacing w:after="0"/>
              <w:rPr>
                <w:sz w:val="18"/>
                <w:szCs w:val="18"/>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&amp; amortization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11,858</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10,304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33,041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29,130</w:t>
            </w:r>
          </w:p>
        </w:tc>
        <w:tc>
          <w:tcPr>
            <w:tcW w:w="60" w:type="dxa"/>
            <w:vAlign w:val="bottom"/>
            <w:shd w:val="clear" w:color="auto" w:fill="CCEEFF"/>
          </w:tcPr>
          <w:p>
            <w:pPr>
              <w:spacing w:after="0"/>
              <w:rPr>
                <w:sz w:val="19"/>
                <w:szCs w:val="19"/>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28,198</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22,149</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69,745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60,013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19"/>
                <w:szCs w:val="19"/>
                <w:color w:val="auto"/>
              </w:rPr>
            </w:pPr>
          </w:p>
        </w:tc>
        <w:tc>
          <w:tcPr>
            <w:tcW w:w="19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Nine months ended</w:t>
            </w:r>
          </w:p>
        </w:tc>
        <w:tc>
          <w:tcPr>
            <w:tcW w:w="144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cash flows provided by operating activities</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24,346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13,403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31,745</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58,669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Add/(subtract):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5,420</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26,418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(8,451)</w:t>
            </w: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4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to net cash</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flows provided by operating activities</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(10,864)</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(34,724)</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(29,780)</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Depreciation &amp; amortization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11,858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10,304</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33,041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29,130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2,125</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4,498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2,505</w:t>
            </w: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29"/>
        </w:trPr>
        <w:tc>
          <w:tcPr>
            <w:tcW w:w="14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9"/>
              </w:rPr>
              <w:t>29</w:t>
            </w: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As of September 30, 2019, we had working capital of $245.9 million. We define working capital as current assets less current liabilities. During the nine months ended September 30, 2019, operating activities of our business provided net cash of $31.7 million, compared to $58.7 million of cash provided for the nine months ended September 30, 2018. Cash flow from operations is primarily influenced by demand for our services, operating margins, timing of contract performance and the type of services we provide to our customers. The $27.0 million year-over-year decline in cash provided by operating activities was primarily due to unfavorable net changes in operating assets and liabilities of $34.9 million, partially offset by an increase in depreciation and amortization of $3.9 million, an increase in net income of $3.0 million and an $0.8 million increase in stock compensation expense. The unfavorable change in operating assets and liabilities was primarily due to the net unfavorable year-over-year increases in various working capital accounts that relate primarily to construction activities (accounts receivable, contract assets, accounts payable and contract liabilities) of $12.7 million and an unfavorable change of $19.8 million in other liabilities. The decrease in cash provided by other liabilities was primarily due to the payment of net asset adjustments related to the acquisition of the Huen Companies, the timing of tax payments and higher bonus and profit-sharing accruals in 2018. The decline in cash provided by working capital accounts, primarily related to construction activities, was due to increased working capital requirements needed to support our increased revenue and the impact of significant change orders and/or claims on certain contracts.</w:t>
      </w:r>
    </w:p>
    <w:p>
      <w:pPr>
        <w:spacing w:after="0" w:line="18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the nine months ended September 30, 2019, we used net cash in investing activities of $116.2 million, consisting of $79.7 million to acquire CSI and $39.4 million for capital expenditures, partially offset by $2.9 million of proceeds from the sale of equipment.</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the nine months ended September 30, 2019, financing activities provided net cash of $86.0 million, consisting primarily of $67.7 million of borrowing under our revolving line of credit, $24.0 million of new equipment notes under our master equipment loan agreements, which were partially offset by, $3.3 million of repayments of principal obligations under equipment notes, $1.1 million of debt refinancing costs, $0.9 million of repayments of finance lease obligations and share repurchases of $0.8 million, all of which represented shares surrendered to satisfy tax obligations under our stock compensation programs during the nine months ended September 30, 2019.</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anticipate that our borrowing availability of $229.3 million at September 30, 2019 under our revolving line of credit and future cash flow from operations will provide sufficient cash to enable us to meet our future operating needs, debt service requirements, capital expenditures, and acquisition and joint venture opportunities. Although we believe that we have adequate cash and borrowing capacity to meet our liquidity needs, any large projects or acquisitions may require additional capital.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spacing w:after="0" w:line="18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w:t>
      </w:r>
    </w:p>
    <w:p>
      <w:pPr>
        <w:spacing w:after="0" w:line="2"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0.50% to 0.875% for performance letters of credit, based on our consolidated Leverage Ratio. We are subject to a commitment fee of 0.15% to 0.25%, based on our consolidated Leverage Ratio, on any unused portion of the Facility. The Credit Agreement restricts certain types of payments when our consolidated Leverage Ratio exceeds 2.50 or our consolidated Liquidity (as defined in the Credit Agreement) is less than $50 million.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right="140" w:firstLine="648"/>
        <w:spacing w:after="0" w:line="302" w:lineRule="auto"/>
        <w:rPr>
          <w:sz w:val="20"/>
          <w:szCs w:val="20"/>
          <w:color w:val="auto"/>
        </w:rPr>
      </w:pPr>
      <w:r>
        <w:rPr>
          <w:rFonts w:ascii="Arial" w:cs="Arial" w:eastAsia="Arial" w:hAnsi="Arial"/>
          <w:sz w:val="16"/>
          <w:szCs w:val="16"/>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September 30, 2019.</w:t>
      </w:r>
    </w:p>
    <w:p>
      <w:pPr>
        <w:spacing w:after="0" w:line="15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As of September 30, 2019, we had $126.0 million of debt outstanding under the Facility and letters of credit outstanding of approximately $19.7 million. As of December 31, 2018, we had $58.3 million of debt outstanding under the Facility and letters of credit outstanding of approximately $21.2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September 30, 2019, we had executed seven Equipment Notes that are collateralized by equipment and vehicles owned by us. The outstanding balance of these Equipment Notes was $52.2 million as of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letter of credit obligations and surety guarantees related to performance bonds, could be entered into in the normal course of business. We have not engaged in any off-balance sheet financing arrangements through special purpose entities.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off-balance sheet transactions, please refer to Note 9–Commitments and Contingencies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September 30, 2019 and 2018, none of our customers individually exceeded 10.0% of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Presentation—Recently Issued Accounting Pronouncements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2018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firstLine="648"/>
        <w:spacing w:after="0" w:line="286" w:lineRule="auto"/>
        <w:rPr>
          <w:sz w:val="20"/>
          <w:szCs w:val="20"/>
          <w:color w:val="auto"/>
        </w:rPr>
      </w:pPr>
      <w:r>
        <w:rPr>
          <w:rFonts w:ascii="Arial" w:cs="Arial" w:eastAsia="Arial" w:hAnsi="Arial"/>
          <w:sz w:val="16"/>
          <w:szCs w:val="16"/>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“may,” “objective,” “outlook,” “plan,” “project,” “likely,” “unlikely,” “possible,” “potential,” “should”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2018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225"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225" w:lineRule="exact"/>
        <w:rPr>
          <w:rFonts w:ascii="Arial" w:cs="Arial" w:eastAsia="Arial" w:hAnsi="Arial"/>
          <w:sz w:val="18"/>
          <w:szCs w:val="18"/>
          <w:color w:val="auto"/>
        </w:rPr>
      </w:pPr>
    </w:p>
    <w:p>
      <w:pPr>
        <w:ind w:left="700" w:right="380" w:hanging="341"/>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industry is highly competitive. Increased competition can place downward pressure on contract prices and profit margins and may limit the number of projects that we are awarded.</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225" w:lineRule="exact"/>
        <w:rPr>
          <w:rFonts w:ascii="Arial" w:cs="Arial" w:eastAsia="Arial" w:hAnsi="Arial"/>
          <w:sz w:val="18"/>
          <w:szCs w:val="18"/>
          <w:color w:val="auto"/>
        </w:rPr>
      </w:pPr>
    </w:p>
    <w:p>
      <w:pPr>
        <w:ind w:left="700" w:right="20" w:hanging="341"/>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economic and market conditions, as well as regulatory and environmental requirements, may adversely impact our customers’ future spending and, as a result, our operations and growth.</w:t>
      </w:r>
    </w:p>
    <w:p>
      <w:pPr>
        <w:spacing w:after="0" w:line="170"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70"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revenues may be exposed to potential risk if a project is terminated or canceled, if our customers encounter financial difficulties or if we encounter disputes with our customers.</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labor intensive and we may be unable to attract and retain qualified employees.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timing of new contracts and termination of existing contracts may result in unpredictable fluctuations in our cash flows and financial results.</w:t>
      </w:r>
    </w:p>
    <w:p>
      <w:pPr>
        <w:spacing w:after="0" w:line="248" w:lineRule="exact"/>
        <w:rPr>
          <w:rFonts w:ascii="Arial" w:cs="Arial" w:eastAsia="Arial" w:hAnsi="Arial"/>
          <w:sz w:val="16"/>
          <w:szCs w:val="16"/>
          <w:color w:val="auto"/>
        </w:rPr>
      </w:pPr>
    </w:p>
    <w:p>
      <w:pPr>
        <w:ind w:left="700" w:hanging="341"/>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ordinary course of our business, we may become subject to lawsuits or indemnity claims, which could materially and adversely affect our business and results of operations.</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growth could outpace the capability of our internal resources and limit our ability to support growth.</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suppliers, subcontractors and equipment manufacturers could expose us to the risk of loss in our operations.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successfully execute our acquisition strategy may have an adverse impact on our growth strategy.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of percentage-of-completion accounting could result in a reduction or reversal of previously recognized profits.</w:t>
      </w:r>
    </w:p>
    <w:p>
      <w:pPr>
        <w:spacing w:after="0" w:line="225"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insurance coverage will not fully indemnify us against certain claims or losses. Further, our insurance has limits and exclusions and not all losses or claims are insured.</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actual costs may be greater than expected in performing our fixed-price and unit-price contracts.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 key customer could have an adverse effect on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34" w:name="page35"/>
    <w:bookmarkEnd w:id="34"/>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7"/>
          <w:szCs w:val="17"/>
          <w:color w:val="auto"/>
        </w:rPr>
      </w:pPr>
      <w:r>
        <w:rPr>
          <w:rFonts w:ascii="Arial" w:cs="Arial" w:eastAsia="Arial" w:hAnsi="Arial"/>
          <w:sz w:val="17"/>
          <w:szCs w:val="17"/>
          <w:color w:val="auto"/>
        </w:rPr>
        <w:t>Unavailability or cancellation of third party insurance coverages would increase our overall risk exposure and could disrupt our operations.</w:t>
      </w:r>
    </w:p>
    <w:p>
      <w:pPr>
        <w:spacing w:after="0" w:line="236" w:lineRule="exact"/>
        <w:rPr>
          <w:rFonts w:ascii="Arial" w:cs="Arial" w:eastAsia="Arial" w:hAnsi="Arial"/>
          <w:sz w:val="17"/>
          <w:szCs w:val="17"/>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extend trade credit to customers for purchases of our services, and may have difficulty collecting receivables from them.</w:t>
      </w:r>
    </w:p>
    <w:p>
      <w:pPr>
        <w:spacing w:after="0" w:line="225" w:lineRule="exact"/>
        <w:rPr>
          <w:rFonts w:ascii="Arial" w:cs="Arial" w:eastAsia="Arial" w:hAnsi="Arial"/>
          <w:sz w:val="18"/>
          <w:szCs w:val="18"/>
          <w:color w:val="auto"/>
        </w:rPr>
      </w:pPr>
    </w:p>
    <w:p>
      <w:pPr>
        <w:ind w:left="341" w:hanging="341"/>
        <w:spacing w:after="0" w:line="277" w:lineRule="auto"/>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the necessary bonds, letters of credit, bank guarantees or other financial assurances.</w:t>
      </w:r>
    </w:p>
    <w:p>
      <w:pPr>
        <w:spacing w:after="0" w:line="170"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hire or retain key personnel could disrupt our business.</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business may be affected by seasonal and other variations, including severe weather conditions and the nature of our work environment.</w:t>
      </w:r>
    </w:p>
    <w:p>
      <w:pPr>
        <w:spacing w:after="0" w:line="236" w:lineRule="exact"/>
        <w:rPr>
          <w:rFonts w:ascii="Arial" w:cs="Arial" w:eastAsia="Arial" w:hAnsi="Arial"/>
          <w:sz w:val="17"/>
          <w:szCs w:val="17"/>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execute or integrate acquisitions or joint ventures successfully.</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w:t>
      </w:r>
    </w:p>
    <w:p>
      <w:pPr>
        <w:spacing w:after="0" w:line="225" w:lineRule="exact"/>
        <w:rPr>
          <w:rFonts w:ascii="Arial" w:cs="Arial" w:eastAsia="Arial" w:hAnsi="Arial"/>
          <w:sz w:val="18"/>
          <w:szCs w:val="18"/>
          <w:color w:val="auto"/>
        </w:rPr>
      </w:pPr>
    </w:p>
    <w:p>
      <w:pPr>
        <w:ind w:left="341" w:hanging="341"/>
        <w:spacing w:after="0" w:line="277" w:lineRule="auto"/>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obtain permitting, right-of-way access and other tactical considerations prior to the commencement of work could delay the commencement of work on projects or cause modifications of work plans, potentially resulting in lower margins.</w:t>
      </w:r>
    </w:p>
    <w:p>
      <w:pPr>
        <w:spacing w:after="0" w:line="170"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results of operations could be adversely affected as a result of asset impairments.</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have access in the future to sufficient funding to finance desired growth and operations.</w:t>
      </w:r>
    </w:p>
    <w:p>
      <w:pPr>
        <w:spacing w:after="0" w:line="225" w:lineRule="exact"/>
        <w:rPr>
          <w:rFonts w:ascii="Arial" w:cs="Arial" w:eastAsia="Arial" w:hAnsi="Arial"/>
          <w:sz w:val="18"/>
          <w:szCs w:val="18"/>
          <w:color w:val="auto"/>
        </w:rPr>
      </w:pPr>
    </w:p>
    <w:p>
      <w:pPr>
        <w:ind w:left="341" w:hanging="341"/>
        <w:spacing w:after="0" w:line="277" w:lineRule="auto"/>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our business partners, may be subject to failures, interruptions or breaches of information technology systems, which could affect our operations or our competitive position, expose sensitive information, or damage our reputation.</w:t>
      </w:r>
    </w:p>
    <w:p>
      <w:pPr>
        <w:spacing w:after="0" w:line="170" w:lineRule="exact"/>
        <w:rPr>
          <w:rFonts w:ascii="Arial" w:cs="Arial" w:eastAsia="Arial" w:hAnsi="Arial"/>
          <w:sz w:val="18"/>
          <w:szCs w:val="18"/>
          <w:color w:val="auto"/>
        </w:rPr>
      </w:pPr>
    </w:p>
    <w:p>
      <w:pPr>
        <w:ind w:left="341" w:hanging="341"/>
        <w:spacing w:after="0" w:line="277" w:lineRule="auto"/>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has experienced significant price and volume fluctuations and future sales of our common stock could lead to dilution of our issued and outstanding common stock.</w:t>
      </w:r>
    </w:p>
    <w:p>
      <w:pPr>
        <w:spacing w:after="0" w:line="170"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operations are subject to a number of operational risks which may result in unexpected costs or liabilities.</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interpretation of tax laws could impact the determination of our income tax liabilities for a tax year.</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operating in the Canadian market could restrict our ability to expand and harm our business and prospects.</w:t>
      </w:r>
    </w:p>
    <w:p>
      <w:pPr>
        <w:spacing w:after="0" w:line="225" w:lineRule="exact"/>
        <w:rPr>
          <w:rFonts w:ascii="Arial" w:cs="Arial" w:eastAsia="Arial" w:hAnsi="Arial"/>
          <w:sz w:val="18"/>
          <w:szCs w:val="18"/>
          <w:color w:val="auto"/>
        </w:rPr>
      </w:pPr>
    </w:p>
    <w:p>
      <w:pPr>
        <w:ind w:left="341" w:hanging="341"/>
        <w:spacing w:after="0" w:line="277" w:lineRule="auto"/>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the laws applicable to our Canadian activities, including the U.S. Foreign Corrupt Practices Act and similar anti-bribery laws, could have an adverse effect on us.</w:t>
      </w:r>
    </w:p>
    <w:p>
      <w:pPr>
        <w:spacing w:after="0" w:line="170"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nature of our business exposes us to potential liability for warranty claims and faulty engineering, which may reduce our profitability.</w:t>
      </w:r>
    </w:p>
    <w:p>
      <w:pPr>
        <w:spacing w:after="0" w:line="236" w:lineRule="exact"/>
        <w:rPr>
          <w:rFonts w:ascii="Arial" w:cs="Arial" w:eastAsia="Arial" w:hAnsi="Arial"/>
          <w:sz w:val="17"/>
          <w:szCs w:val="17"/>
          <w:color w:val="auto"/>
        </w:rPr>
      </w:pPr>
    </w:p>
    <w:p>
      <w:pPr>
        <w:jc w:val="both"/>
        <w:ind w:left="341" w:hanging="341"/>
        <w:spacing w:after="0" w:line="264" w:lineRule="auto"/>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81"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variable rate indebtedness subjects us to interest rate risk, which could cause our debt service obligations to increase significantly.</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provisions in our organizational documents and Delaware law could delay or prevent a change in control of our company.</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risks associated with climate change.</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1"/>
          </w:cols>
          <w:pgMar w:left="599"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2019, we were not party to any derivative instruments. We did not use any material derivative financial instruments during the nine months ended September 30, 2019 and 2018, including instruments for trading, hedging or speculating on changes in interest rates or commodity prices of materials used in our business.</w:t>
      </w:r>
    </w:p>
    <w:p>
      <w:pPr>
        <w:spacing w:after="0" w:line="18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As of September 30, 2019, we had $126.0 million of debt outstanding under the Facility. Borrowings under the Facility are based upon an interest rate that will vary depending upon the prime rate, federal funds rate and Adjusted LIBOR. If the prime rate, federal funds rate or Adjusted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September 30, 2019, which is subject to variable rates, permanently increased by 1%, the increase in interest expense on all revolving debt would decrease future income before provision for income taxes and cash flows by approximately $1.3 million annually. If market rates of interest on all our revolving debt, which is subject to variable rates as of September 30, 2019, permanently decreased by 1%, the decrease in interest expense on all debt would increase future income before provision for income taxes and cash flows by the same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our Equipment Notes are at fixed rates established on the date the respective Equipment Note was executed.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September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For the year ended December 31, 2018, management’s assessment of our internal control over financial reporting excluded the internal control over financial reporting of Huen Electric, Inc., which was acquired on July 2, 2018. Pursuant to the SEC’s general guidance that a recently acquired business may be omitted from the scope of an assessment in the year of the acquisition, the scope of our assessment does not include Huen Electric, Inc. Our assessment of the effectiveness of internal control over financial reporting as of December 31, 2019 will include Huen Electric, Inc. As of September 30, 2019, Huen Electric, Inc. represented a total of approximately 6.8% and 7.9% of total assets and net assets, respectively, and 6.7% and 11.8% of contract revenues and income before income taxes, respectively, for the period then ended.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ind w:right="-1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discussion regarding legal proceedings, please refer to Note 9–Commitments and Contingencies—Litigation and Other Legal Matters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the date of this filing, there have been no material changes to the risk factors previously discussed in Item 1A. “Risk Factors” of our 2018 Annual Report. An investment in our common stock involves various risks. When considering an investment in our Company, you should carefully consider all of the risk factors described in our 2018 Annual Report. These risks and uncertainties are not the only ones facing us and there may be additional matters that are not known to us or that we currently consider immaterial. These risks and uncertainties could adversely affect our business, financial condition or future results and, thus, the value of our common stock and any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Issuances of Common Stock. </w:t>
      </w:r>
      <w:r>
        <w:rPr>
          <w:rFonts w:ascii="Arial" w:cs="Arial" w:eastAsia="Arial" w:hAnsi="Arial"/>
          <w:sz w:val="17"/>
          <w:szCs w:val="17"/>
          <w:color w:val="auto"/>
        </w:rPr>
        <w:t>On July 25, 2019, 650 unregistered shares of our common stock, valued in the aggregate at $23,953 were issued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the Company who elected to receive a portion of their director retainer fee in stock in lieu of cash. The shares were issued pursuant to the exemption from registration provided by Section 4(a)(2) of the Securities Act of 1933 for an issuance not involving a public offering.</w:t>
      </w:r>
    </w:p>
    <w:p>
      <w:pPr>
        <w:spacing w:after="0" w:line="16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Purchases of Common Stock. </w:t>
      </w:r>
      <w:r>
        <w:rPr>
          <w:rFonts w:ascii="Arial" w:cs="Arial" w:eastAsia="Arial" w:hAnsi="Arial"/>
          <w:sz w:val="18"/>
          <w:szCs w:val="18"/>
          <w:color w:val="auto"/>
        </w:rPr>
        <w:t>The Company did not repurchase any shares of its common stock during the period from July 1, 2019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3360" w:type="dxa"/>
            <w:vAlign w:val="bottom"/>
          </w:tcPr>
          <w:p>
            <w:pPr>
              <w:spacing w:after="0"/>
              <w:rPr>
                <w:sz w:val="20"/>
                <w:szCs w:val="20"/>
                <w:color w:val="auto"/>
              </w:rPr>
            </w:pPr>
          </w:p>
        </w:tc>
        <w:tc>
          <w:tcPr>
            <w:tcW w:w="6680" w:type="dxa"/>
            <w:vAlign w:val="bottom"/>
            <w:gridSpan w:val="8"/>
          </w:tcPr>
          <w:p>
            <w:pPr>
              <w:ind w:left="12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line="170"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40" w:type="dxa"/>
            <w:vAlign w:val="bottom"/>
            <w:tcBorders>
              <w:top w:val="single" w:sz="8" w:color="auto"/>
            </w:tcBorders>
            <w:gridSpan w:val="9"/>
          </w:tcPr>
          <w:p>
            <w:pPr>
              <w:spacing w:after="0" w:line="170" w:lineRule="exact"/>
              <w:rPr>
                <w:rFonts w:ascii="Arial" w:cs="Arial" w:eastAsia="Arial" w:hAnsi="Arial"/>
                <w:sz w:val="18"/>
                <w:szCs w:val="18"/>
                <w:color w:val="0000EE"/>
              </w:rPr>
            </w:pPr>
            <w:hyperlink w:anchor="page40">
              <w:r>
                <w:rPr>
                  <w:rFonts w:ascii="Arial" w:cs="Arial" w:eastAsia="Arial" w:hAnsi="Arial"/>
                  <w:sz w:val="18"/>
                  <w:szCs w:val="18"/>
                  <w:color w:val="0000EE"/>
                </w:rPr>
                <w:t>Second Amended and Restated Credit Agreement, dated September 13, 2019†</w:t>
              </w:r>
            </w:hyperlink>
          </w:p>
        </w:tc>
      </w:tr>
      <w:tr>
        <w:trPr>
          <w:trHeight w:val="20"/>
        </w:trPr>
        <w:tc>
          <w:tcPr>
            <w:tcW w:w="84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840" w:type="dxa"/>
            <w:vAlign w:val="bottom"/>
            <w:gridSpan w:val="2"/>
          </w:tcPr>
          <w:p>
            <w:pPr>
              <w:spacing w:after="0"/>
              <w:rPr>
                <w:sz w:val="17"/>
                <w:szCs w:val="17"/>
                <w:color w:val="auto"/>
              </w:rPr>
            </w:pPr>
          </w:p>
        </w:tc>
        <w:tc>
          <w:tcPr>
            <w:tcW w:w="320" w:type="dxa"/>
            <w:vAlign w:val="bottom"/>
          </w:tcPr>
          <w:p>
            <w:pPr>
              <w:jc w:val="right"/>
              <w:spacing w:after="0" w:line="196" w:lineRule="exact"/>
              <w:rPr>
                <w:rFonts w:ascii="Arial" w:cs="Arial" w:eastAsia="Arial" w:hAnsi="Arial"/>
                <w:sz w:val="18"/>
                <w:szCs w:val="18"/>
                <w:color w:val="0000EE"/>
                <w:w w:val="85"/>
              </w:rPr>
            </w:pPr>
            <w:hyperlink r:id="rId4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w w:val="95"/>
              </w:rPr>
            </w:pPr>
            <w:hyperlink r:id="rId49">
              <w:r>
                <w:rPr>
                  <w:rFonts w:ascii="Arial" w:cs="Arial" w:eastAsia="Arial" w:hAnsi="Arial"/>
                  <w:sz w:val="18"/>
                  <w:szCs w:val="18"/>
                  <w:color w:val="0000EE"/>
                  <w:w w:val="95"/>
                </w:rPr>
                <w:t>Asset Purchase Agreement, dated as of July 15, 2019, by and among MYR Group, Inc., certain subsidiaries of MYR Group, Inc., as</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purchasers, and CSI Electrical Contractors, Inc. incorporated by reference to Exhibit 10.3 of the Company’s Form 10-Q (File No. 001-</w:t>
              </w:r>
            </w:hyperlink>
          </w:p>
        </w:tc>
        <w:tc>
          <w:tcPr>
            <w:tcW w:w="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08325)</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July 31, 2019**</w:t>
              </w:r>
            </w:hyperlink>
          </w:p>
        </w:tc>
      </w:tr>
      <w:tr>
        <w:trPr>
          <w:trHeight w:val="20"/>
        </w:trPr>
        <w:tc>
          <w:tcPr>
            <w:tcW w:w="11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r>
      <w:tr>
        <w:trPr>
          <w:trHeight w:val="196"/>
        </w:trPr>
        <w:tc>
          <w:tcPr>
            <w:tcW w:w="8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rFonts w:ascii="Arial" w:cs="Arial" w:eastAsia="Arial" w:hAnsi="Arial"/>
                <w:sz w:val="18"/>
                <w:szCs w:val="18"/>
                <w:color w:val="0000EE"/>
                <w:w w:val="85"/>
              </w:rPr>
            </w:pPr>
            <w:hyperlink w:anchor="page17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20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Certification of Chief Executive Officer pursuant to SEC Rule 13a-14(a)/15d-14(a)†</w:t>
              </w:r>
            </w:hyperlink>
          </w:p>
        </w:tc>
      </w:tr>
      <w:tr>
        <w:trPr>
          <w:trHeight w:val="196"/>
        </w:trPr>
        <w:tc>
          <w:tcPr>
            <w:tcW w:w="840" w:type="dxa"/>
            <w:vAlign w:val="bottom"/>
            <w:gridSpan w:val="2"/>
          </w:tcPr>
          <w:p>
            <w:pPr>
              <w:spacing w:after="0"/>
              <w:rPr>
                <w:sz w:val="17"/>
                <w:szCs w:val="17"/>
                <w:color w:val="auto"/>
              </w:rPr>
            </w:pPr>
          </w:p>
        </w:tc>
        <w:tc>
          <w:tcPr>
            <w:tcW w:w="340" w:type="dxa"/>
            <w:vAlign w:val="bottom"/>
            <w:tcBorders>
              <w:top w:val="single" w:sz="8" w:color="0000EE"/>
              <w:bottom w:val="single" w:sz="8" w:color="0000EE"/>
            </w:tcBorders>
            <w:gridSpan w:val="2"/>
          </w:tcPr>
          <w:p>
            <w:pPr>
              <w:jc w:val="right"/>
              <w:ind w:right="20"/>
              <w:spacing w:after="0" w:line="196" w:lineRule="exact"/>
              <w:rPr>
                <w:rFonts w:ascii="Arial" w:cs="Arial" w:eastAsia="Arial" w:hAnsi="Arial"/>
                <w:sz w:val="18"/>
                <w:szCs w:val="18"/>
                <w:color w:val="0000EE"/>
                <w:w w:val="85"/>
              </w:rPr>
            </w:pPr>
            <w:hyperlink w:anchor="page18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20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Certification of Chief Financial Officer pursuant to SEC Rule 13a-14(a)/15d-14(a)†</w:t>
              </w:r>
            </w:hyperlink>
          </w:p>
        </w:tc>
        <w:tc>
          <w:tcPr>
            <w:tcW w:w="40" w:type="dxa"/>
            <w:vAlign w:val="bottom"/>
            <w:tcBorders>
              <w:top w:val="single" w:sz="8" w:color="0000EE"/>
            </w:tcBorders>
          </w:tcPr>
          <w:p>
            <w:pPr>
              <w:spacing w:after="0"/>
              <w:rPr>
                <w:sz w:val="17"/>
                <w:szCs w:val="17"/>
                <w:color w:val="auto"/>
              </w:rPr>
            </w:pPr>
          </w:p>
        </w:tc>
        <w:tc>
          <w:tcPr>
            <w:tcW w:w="3960" w:type="dxa"/>
            <w:vAlign w:val="bottom"/>
            <w:gridSpan w:val="3"/>
          </w:tcPr>
          <w:p>
            <w:pPr>
              <w:spacing w:after="0"/>
              <w:rPr>
                <w:sz w:val="17"/>
                <w:szCs w:val="17"/>
                <w:color w:val="auto"/>
              </w:rPr>
            </w:pPr>
          </w:p>
        </w:tc>
      </w:tr>
      <w:tr>
        <w:trPr>
          <w:trHeight w:val="196"/>
        </w:trPr>
        <w:tc>
          <w:tcPr>
            <w:tcW w:w="840" w:type="dxa"/>
            <w:vAlign w:val="bottom"/>
            <w:gridSpan w:val="2"/>
          </w:tcPr>
          <w:p>
            <w:pPr>
              <w:spacing w:after="0"/>
              <w:rPr>
                <w:sz w:val="17"/>
                <w:szCs w:val="17"/>
                <w:color w:val="auto"/>
              </w:rPr>
            </w:pPr>
          </w:p>
        </w:tc>
        <w:tc>
          <w:tcPr>
            <w:tcW w:w="340" w:type="dxa"/>
            <w:vAlign w:val="bottom"/>
            <w:tcBorders>
              <w:bottom w:val="single" w:sz="8" w:color="0000EE"/>
            </w:tcBorders>
            <w:gridSpan w:val="2"/>
          </w:tcPr>
          <w:p>
            <w:pPr>
              <w:jc w:val="right"/>
              <w:ind w:right="20"/>
              <w:spacing w:after="0" w:line="196" w:lineRule="exact"/>
              <w:rPr>
                <w:rFonts w:ascii="Arial" w:cs="Arial" w:eastAsia="Arial" w:hAnsi="Arial"/>
                <w:sz w:val="18"/>
                <w:szCs w:val="18"/>
                <w:color w:val="0000EE"/>
                <w:w w:val="85"/>
              </w:rPr>
            </w:pPr>
            <w:hyperlink w:anchor="page181">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200" w:type="dxa"/>
            <w:vAlign w:val="bottom"/>
          </w:tcPr>
          <w:p>
            <w:pPr>
              <w:spacing w:after="0"/>
              <w:rPr>
                <w:sz w:val="17"/>
                <w:szCs w:val="17"/>
                <w:color w:val="auto"/>
              </w:rPr>
            </w:pPr>
          </w:p>
        </w:tc>
        <w:tc>
          <w:tcPr>
            <w:tcW w:w="50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Certification of Chief Executive Officer pursuant to 18 U.S.C. §1350†</w:t>
              </w:r>
            </w:hyperlink>
          </w:p>
        </w:tc>
        <w:tc>
          <w:tcPr>
            <w:tcW w:w="4960" w:type="dxa"/>
            <w:vAlign w:val="bottom"/>
            <w:gridSpan w:val="6"/>
          </w:tcPr>
          <w:p>
            <w:pPr>
              <w:spacing w:after="0"/>
              <w:rPr>
                <w:sz w:val="17"/>
                <w:szCs w:val="17"/>
                <w:color w:val="auto"/>
              </w:rPr>
            </w:pPr>
          </w:p>
        </w:tc>
      </w:tr>
      <w:tr>
        <w:trPr>
          <w:trHeight w:val="196"/>
        </w:trPr>
        <w:tc>
          <w:tcPr>
            <w:tcW w:w="8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rFonts w:ascii="Arial" w:cs="Arial" w:eastAsia="Arial" w:hAnsi="Arial"/>
                <w:sz w:val="18"/>
                <w:szCs w:val="18"/>
                <w:color w:val="0000EE"/>
                <w:w w:val="85"/>
              </w:rPr>
            </w:pPr>
            <w:hyperlink w:anchor="page18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20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Certification of Chief Financial Officer pursuant to 18 U.S.C. §1350†</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101.INS</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101.SCH</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101.CAL</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101.DEF</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101.LAB</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20" w:type="dxa"/>
            <w:vAlign w:val="bottom"/>
          </w:tcPr>
          <w:p>
            <w:pPr>
              <w:spacing w:after="0"/>
              <w:rPr>
                <w:sz w:val="20"/>
                <w:szCs w:val="20"/>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101.PRE</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Electronically filed</w:t>
      </w:r>
    </w:p>
    <w:p>
      <w:pPr>
        <w:spacing w:after="0" w:line="9" w:lineRule="exact"/>
        <w:rPr>
          <w:sz w:val="20"/>
          <w:szCs w:val="20"/>
          <w:color w:val="auto"/>
        </w:rPr>
      </w:pPr>
    </w:p>
    <w:p>
      <w:pPr>
        <w:ind w:left="660" w:right="260" w:hanging="652"/>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promulgated by the SEC. The Company agrees to furnish a supplemental copy of any omitted schedule or exhibit to the SEC upon request.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MYR GROUP INC.</w:t>
            </w:r>
          </w:p>
        </w:tc>
      </w:tr>
      <w:tr>
        <w:trPr>
          <w:trHeight w:val="230"/>
        </w:trPr>
        <w:tc>
          <w:tcPr>
            <w:tcW w:w="3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October 30, 2019</w:t>
            </w:r>
          </w:p>
        </w:tc>
        <w:tc>
          <w:tcPr>
            <w:tcW w:w="22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R. JOHNSON</w:t>
            </w:r>
          </w:p>
        </w:tc>
      </w:tr>
      <w:tr>
        <w:trPr>
          <w:trHeight w:val="195"/>
        </w:trPr>
        <w:tc>
          <w:tcPr>
            <w:tcW w:w="3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Betty R. Johnson</w:t>
            </w:r>
          </w:p>
        </w:tc>
      </w:tr>
      <w:tr>
        <w:trPr>
          <w:trHeight w:val="230"/>
        </w:trPr>
        <w:tc>
          <w:tcPr>
            <w:tcW w:w="3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648"/>
        </w:trPr>
        <w:tc>
          <w:tcPr>
            <w:tcW w:w="34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2"/>
          </w:tcPr>
          <w:p>
            <w:pPr>
              <w:jc w:val="right"/>
              <w:ind w:right="553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90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2012950</wp:posOffset>
            </wp:positionH>
            <wp:positionV relativeFrom="paragraph">
              <wp:posOffset>448310</wp:posOffset>
            </wp:positionV>
            <wp:extent cx="1680845" cy="368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68084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SECOND AMENDED AND RESTATED CREDIT AGREEMENT</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dated as of</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September 13, 2019</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MYR GROUP INC.</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The Lenders Party Hereto</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BANK OF MONTREAL and WELLS FARGO BANK, NATIONAL ASSOCIATION</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Co-Documentation Agents</w:t>
      </w: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___________________________</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288925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306070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743585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TABLE OF CONTENTS</w:t>
            </w: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40" w:type="dxa"/>
            <w:vAlign w:val="bottom"/>
            <w:gridSpan w:val="18"/>
            <w:vMerge w:val="restart"/>
          </w:tcPr>
          <w:p>
            <w:pPr>
              <w:spacing w:after="0"/>
              <w:rPr>
                <w:sz w:val="20"/>
                <w:szCs w:val="20"/>
                <w:color w:val="auto"/>
              </w:rPr>
            </w:pPr>
            <w:r>
              <w:rPr>
                <w:rFonts w:ascii="Arial" w:cs="Arial" w:eastAsia="Arial" w:hAnsi="Arial"/>
                <w:sz w:val="18"/>
                <w:szCs w:val="18"/>
                <w:color w:val="auto"/>
              </w:rPr>
              <w:t>ARTICLE I</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8840" w:type="dxa"/>
            <w:vAlign w:val="bottom"/>
            <w:gridSpan w:val="18"/>
            <w:vMerge w:val="continue"/>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40" w:type="dxa"/>
            <w:vAlign w:val="bottom"/>
            <w:gridSpan w:val="18"/>
          </w:tcPr>
          <w:p>
            <w:pPr>
              <w:spacing w:after="0"/>
              <w:rPr>
                <w:sz w:val="20"/>
                <w:szCs w:val="20"/>
                <w:color w:val="auto"/>
              </w:rPr>
            </w:pPr>
            <w:r>
              <w:rPr>
                <w:rFonts w:ascii="Arial" w:cs="Arial" w:eastAsia="Arial" w:hAnsi="Arial"/>
                <w:sz w:val="18"/>
                <w:szCs w:val="18"/>
                <w:color w:val="auto"/>
              </w:rPr>
              <w:t>Definitions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1.01. Defined Terms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1.02. Classification of Loans and Borrowings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1.03. Terms Generally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1.04. Accounting Terms; GAAP; Pro Forma Calculations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1.05. Status of Obligations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1.06. Amendment and Restatement of Existing Credit Agreement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1.07. Interest Rates; LIBOR Notification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1.08. Letter of Credit Amounts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1.09. Divisions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0"/>
                <w:szCs w:val="20"/>
                <w:color w:val="auto"/>
              </w:rPr>
            </w:pPr>
            <w:r>
              <w:rPr>
                <w:rFonts w:ascii="Arial" w:cs="Arial" w:eastAsia="Arial" w:hAnsi="Arial"/>
                <w:sz w:val="18"/>
                <w:szCs w:val="18"/>
                <w:color w:val="auto"/>
              </w:rPr>
              <w:t>ARTICLE II</w:t>
            </w:r>
          </w:p>
        </w:tc>
        <w:tc>
          <w:tcPr>
            <w:tcW w:w="680" w:type="dxa"/>
            <w:vAlign w:val="bottom"/>
            <w:tcBorders>
              <w:top w:val="single" w:sz="8" w:color="auto"/>
            </w:tcBorders>
          </w:tcPr>
          <w:p>
            <w:pPr>
              <w:spacing w:after="0"/>
              <w:rPr>
                <w:sz w:val="24"/>
                <w:szCs w:val="24"/>
                <w:color w:val="auto"/>
              </w:rPr>
            </w:pPr>
          </w:p>
        </w:tc>
        <w:tc>
          <w:tcPr>
            <w:tcW w:w="6700" w:type="dxa"/>
            <w:vAlign w:val="bottom"/>
            <w:gridSpan w:val="16"/>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40" w:type="dxa"/>
            <w:vAlign w:val="bottom"/>
            <w:gridSpan w:val="18"/>
          </w:tcPr>
          <w:p>
            <w:pPr>
              <w:spacing w:after="0"/>
              <w:rPr>
                <w:sz w:val="20"/>
                <w:szCs w:val="20"/>
                <w:color w:val="auto"/>
              </w:rPr>
            </w:pPr>
            <w:r>
              <w:rPr>
                <w:rFonts w:ascii="Arial" w:cs="Arial" w:eastAsia="Arial" w:hAnsi="Arial"/>
                <w:sz w:val="18"/>
                <w:szCs w:val="18"/>
                <w:color w:val="auto"/>
              </w:rPr>
              <w:t>The Credits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2.01. Commitments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2.02. Loans and Borrowings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2.03. Requests for Revolving Borrowings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2.04. Expansion Options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2.05. Determination of Dollar Amounts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2.06. Letters of Credit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2.07. Funding of Borrowings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2.08. Interest Elections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2.09. Termination and Reduction of Commitments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2840" w:type="dxa"/>
            <w:vAlign w:val="bottom"/>
            <w:gridSpan w:val="13"/>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18"/>
          </w:tcPr>
          <w:p>
            <w:pPr>
              <w:ind w:left="180"/>
              <w:spacing w:after="0"/>
              <w:rPr>
                <w:sz w:val="20"/>
                <w:szCs w:val="20"/>
                <w:color w:val="auto"/>
              </w:rPr>
            </w:pPr>
            <w:r>
              <w:rPr>
                <w:rFonts w:ascii="Arial" w:cs="Arial" w:eastAsia="Arial" w:hAnsi="Arial"/>
                <w:sz w:val="18"/>
                <w:szCs w:val="18"/>
                <w:color w:val="auto"/>
              </w:rPr>
              <w:t>SECTION 2.10. Repayment of Loans; Evidence of Debt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2.11. Prepayment of Loans</w:t>
            </w:r>
          </w:p>
        </w:tc>
        <w:tc>
          <w:tcPr>
            <w:tcW w:w="5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2.12. Fees</w:t>
            </w:r>
          </w:p>
        </w:tc>
        <w:tc>
          <w:tcPr>
            <w:tcW w:w="5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2.13. Interest</w:t>
            </w:r>
          </w:p>
        </w:tc>
        <w:tc>
          <w:tcPr>
            <w:tcW w:w="5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2.14. Alternate Rate of Interest</w:t>
            </w:r>
          </w:p>
        </w:tc>
        <w:tc>
          <w:tcPr>
            <w:tcW w:w="5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2.15. Increased Costs</w:t>
            </w:r>
          </w:p>
        </w:tc>
        <w:tc>
          <w:tcPr>
            <w:tcW w:w="5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2.16. Break Funding Payments</w:t>
            </w:r>
          </w:p>
        </w:tc>
        <w:tc>
          <w:tcPr>
            <w:tcW w:w="5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2.17. Taxes</w:t>
            </w:r>
          </w:p>
        </w:tc>
        <w:tc>
          <w:tcPr>
            <w:tcW w:w="5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w w:val="92"/>
              </w:rPr>
              <w:t>SECTION 2.18. Payments Generally; Allocation of Proceeds; Sharing of Set-offs</w:t>
            </w:r>
          </w:p>
        </w:tc>
        <w:tc>
          <w:tcPr>
            <w:tcW w:w="5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2.19. Mitigation Obligations; Replacement of Lenders</w:t>
            </w:r>
          </w:p>
        </w:tc>
        <w:tc>
          <w:tcPr>
            <w:tcW w:w="5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2.20. Defaulting Lenders</w:t>
            </w:r>
          </w:p>
        </w:tc>
        <w:tc>
          <w:tcPr>
            <w:tcW w:w="5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2.21. Judgment Currency</w:t>
            </w:r>
          </w:p>
        </w:tc>
        <w:tc>
          <w:tcPr>
            <w:tcW w:w="5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53"/>
        </w:trPr>
        <w:tc>
          <w:tcPr>
            <w:tcW w:w="1480" w:type="dxa"/>
            <w:vAlign w:val="bottom"/>
          </w:tcPr>
          <w:p>
            <w:pPr>
              <w:spacing w:after="0"/>
              <w:rPr>
                <w:sz w:val="20"/>
                <w:szCs w:val="20"/>
                <w:color w:val="auto"/>
              </w:rPr>
            </w:pPr>
            <w:r>
              <w:rPr>
                <w:rFonts w:ascii="Arial" w:cs="Arial" w:eastAsia="Arial" w:hAnsi="Arial"/>
                <w:sz w:val="18"/>
                <w:szCs w:val="18"/>
                <w:color w:val="auto"/>
              </w:rPr>
              <w:t>ARTICLE III</w:t>
            </w:r>
          </w:p>
        </w:tc>
        <w:tc>
          <w:tcPr>
            <w:tcW w:w="1380" w:type="dxa"/>
            <w:vAlign w:val="bottom"/>
            <w:tcBorders>
              <w:top w:val="single" w:sz="8" w:color="auto"/>
            </w:tcBorders>
            <w:gridSpan w:val="8"/>
          </w:tcPr>
          <w:p>
            <w:pPr>
              <w:spacing w:after="0"/>
              <w:rPr>
                <w:sz w:val="24"/>
                <w:szCs w:val="24"/>
                <w:color w:val="auto"/>
              </w:rPr>
            </w:pPr>
          </w:p>
        </w:tc>
        <w:tc>
          <w:tcPr>
            <w:tcW w:w="3240" w:type="dxa"/>
            <w:vAlign w:val="bottom"/>
            <w:gridSpan w:val="11"/>
          </w:tcPr>
          <w:p>
            <w:pPr>
              <w:spacing w:after="0"/>
              <w:rPr>
                <w:sz w:val="24"/>
                <w:szCs w:val="24"/>
                <w:color w:val="auto"/>
              </w:rPr>
            </w:pPr>
          </w:p>
        </w:tc>
        <w:tc>
          <w:tcPr>
            <w:tcW w:w="5320" w:type="dxa"/>
            <w:vAlign w:val="bottom"/>
          </w:tcPr>
          <w:p>
            <w:pPr>
              <w:spacing w:after="0"/>
              <w:rPr>
                <w:sz w:val="24"/>
                <w:szCs w:val="24"/>
                <w:color w:val="auto"/>
              </w:rPr>
            </w:pPr>
          </w:p>
        </w:tc>
      </w:tr>
      <w:tr>
        <w:trPr>
          <w:trHeight w:val="432"/>
        </w:trPr>
        <w:tc>
          <w:tcPr>
            <w:tcW w:w="6100" w:type="dxa"/>
            <w:vAlign w:val="bottom"/>
            <w:gridSpan w:val="20"/>
          </w:tcPr>
          <w:p>
            <w:pPr>
              <w:spacing w:after="0"/>
              <w:rPr>
                <w:sz w:val="20"/>
                <w:szCs w:val="20"/>
                <w:color w:val="auto"/>
              </w:rPr>
            </w:pPr>
            <w:r>
              <w:rPr>
                <w:rFonts w:ascii="Arial" w:cs="Arial" w:eastAsia="Arial" w:hAnsi="Arial"/>
                <w:sz w:val="18"/>
                <w:szCs w:val="18"/>
                <w:color w:val="auto"/>
              </w:rPr>
              <w:t>Representations and Warranties</w:t>
            </w:r>
          </w:p>
        </w:tc>
        <w:tc>
          <w:tcPr>
            <w:tcW w:w="5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9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3.01. Organization; Powers</w:t>
            </w:r>
          </w:p>
        </w:tc>
        <w:tc>
          <w:tcPr>
            <w:tcW w:w="5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3.02. Authorization; Enforceability</w:t>
            </w:r>
          </w:p>
        </w:tc>
        <w:tc>
          <w:tcPr>
            <w:tcW w:w="5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gridSpan w:val="7"/>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3.03. Governmental Approvals; No Conflicts</w:t>
            </w:r>
          </w:p>
        </w:tc>
        <w:tc>
          <w:tcPr>
            <w:tcW w:w="5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gridSpan w:val="7"/>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3.04. Financial Condition; No Material Adverse Change</w:t>
            </w:r>
          </w:p>
        </w:tc>
        <w:tc>
          <w:tcPr>
            <w:tcW w:w="5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gridSpan w:val="7"/>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3.05. Properties</w:t>
            </w:r>
          </w:p>
        </w:tc>
        <w:tc>
          <w:tcPr>
            <w:tcW w:w="5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3.06. Litigation and Environmental Matters</w:t>
            </w:r>
          </w:p>
        </w:tc>
        <w:tc>
          <w:tcPr>
            <w:tcW w:w="5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gridSpan w:val="7"/>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3.07. Compliance with Laws and Agreements</w:t>
            </w:r>
          </w:p>
        </w:tc>
        <w:tc>
          <w:tcPr>
            <w:tcW w:w="5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gridSpan w:val="7"/>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3.08. Investment Company Status</w:t>
            </w:r>
          </w:p>
        </w:tc>
        <w:tc>
          <w:tcPr>
            <w:tcW w:w="5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gridSpan w:val="7"/>
            <w:shd w:val="clear" w:color="auto" w:fill="000000"/>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3.09. Taxes</w:t>
            </w:r>
          </w:p>
        </w:tc>
        <w:tc>
          <w:tcPr>
            <w:tcW w:w="5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1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3.10. ERISA</w:t>
            </w:r>
          </w:p>
        </w:tc>
        <w:tc>
          <w:tcPr>
            <w:tcW w:w="5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1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3.11. Disclosure</w:t>
            </w:r>
          </w:p>
        </w:tc>
        <w:tc>
          <w:tcPr>
            <w:tcW w:w="5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900" w:type="dxa"/>
            <w:vAlign w:val="bottom"/>
            <w:gridSpan w:val="1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3.12. Solvency</w:t>
            </w:r>
          </w:p>
        </w:tc>
        <w:tc>
          <w:tcPr>
            <w:tcW w:w="5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3980" w:type="dxa"/>
            <w:vAlign w:val="bottom"/>
            <w:gridSpan w:val="15"/>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6100" w:type="dxa"/>
            <w:vAlign w:val="bottom"/>
            <w:gridSpan w:val="20"/>
          </w:tcPr>
          <w:p>
            <w:pPr>
              <w:ind w:left="180"/>
              <w:spacing w:after="0"/>
              <w:rPr>
                <w:sz w:val="20"/>
                <w:szCs w:val="20"/>
                <w:color w:val="auto"/>
              </w:rPr>
            </w:pPr>
            <w:r>
              <w:rPr>
                <w:rFonts w:ascii="Arial" w:cs="Arial" w:eastAsia="Arial" w:hAnsi="Arial"/>
                <w:sz w:val="18"/>
                <w:szCs w:val="18"/>
                <w:color w:val="auto"/>
              </w:rPr>
              <w:t>SECTION 3.13. Insurance</w:t>
            </w:r>
          </w:p>
        </w:tc>
        <w:tc>
          <w:tcPr>
            <w:tcW w:w="5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3.14. Capitalization and Subsidiaries</w:t>
            </w:r>
          </w:p>
        </w:tc>
        <w:tc>
          <w:tcPr>
            <w:tcW w:w="4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3.15. Security Interest in Collateral</w:t>
            </w:r>
          </w:p>
        </w:tc>
        <w:tc>
          <w:tcPr>
            <w:tcW w:w="4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3.16. Labor Disputes</w:t>
            </w:r>
          </w:p>
        </w:tc>
        <w:tc>
          <w:tcPr>
            <w:tcW w:w="4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3.17. No Default</w:t>
            </w:r>
          </w:p>
        </w:tc>
        <w:tc>
          <w:tcPr>
            <w:tcW w:w="4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3.18. Anti-Corruption Laws and Sanctions</w:t>
            </w:r>
          </w:p>
        </w:tc>
        <w:tc>
          <w:tcPr>
            <w:tcW w:w="4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3.19. EEA Financial Institutions</w:t>
            </w:r>
          </w:p>
        </w:tc>
        <w:tc>
          <w:tcPr>
            <w:tcW w:w="4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3.20. Plan Assets; Prohibited Transactions</w:t>
            </w:r>
          </w:p>
        </w:tc>
        <w:tc>
          <w:tcPr>
            <w:tcW w:w="4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3.21. Covered Entity</w:t>
            </w:r>
          </w:p>
        </w:tc>
        <w:tc>
          <w:tcPr>
            <w:tcW w:w="4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53"/>
        </w:trPr>
        <w:tc>
          <w:tcPr>
            <w:tcW w:w="1440" w:type="dxa"/>
            <w:vAlign w:val="bottom"/>
          </w:tcPr>
          <w:p>
            <w:pPr>
              <w:spacing w:after="0"/>
              <w:rPr>
                <w:sz w:val="20"/>
                <w:szCs w:val="20"/>
                <w:color w:val="auto"/>
              </w:rPr>
            </w:pPr>
            <w:r>
              <w:rPr>
                <w:rFonts w:ascii="Arial" w:cs="Arial" w:eastAsia="Arial" w:hAnsi="Arial"/>
                <w:sz w:val="18"/>
                <w:szCs w:val="18"/>
                <w:color w:val="auto"/>
              </w:rPr>
              <w:t>ARTICLE IV</w:t>
            </w:r>
          </w:p>
        </w:tc>
        <w:tc>
          <w:tcPr>
            <w:tcW w:w="1120" w:type="dxa"/>
            <w:vAlign w:val="bottom"/>
            <w:tcBorders>
              <w:top w:val="single" w:sz="8" w:color="auto"/>
            </w:tcBorders>
            <w:gridSpan w:val="4"/>
          </w:tcPr>
          <w:p>
            <w:pPr>
              <w:spacing w:after="0"/>
              <w:rPr>
                <w:sz w:val="24"/>
                <w:szCs w:val="24"/>
                <w:color w:val="auto"/>
              </w:rPr>
            </w:pPr>
          </w:p>
        </w:tc>
        <w:tc>
          <w:tcPr>
            <w:tcW w:w="4260" w:type="dxa"/>
            <w:vAlign w:val="bottom"/>
            <w:gridSpan w:val="12"/>
          </w:tcPr>
          <w:p>
            <w:pPr>
              <w:spacing w:after="0"/>
              <w:rPr>
                <w:sz w:val="24"/>
                <w:szCs w:val="24"/>
                <w:color w:val="auto"/>
              </w:rPr>
            </w:pPr>
          </w:p>
        </w:tc>
        <w:tc>
          <w:tcPr>
            <w:tcW w:w="4600" w:type="dxa"/>
            <w:vAlign w:val="bottom"/>
          </w:tcPr>
          <w:p>
            <w:pPr>
              <w:spacing w:after="0"/>
              <w:rPr>
                <w:sz w:val="24"/>
                <w:szCs w:val="24"/>
                <w:color w:val="auto"/>
              </w:rPr>
            </w:pPr>
          </w:p>
        </w:tc>
      </w:tr>
      <w:tr>
        <w:trPr>
          <w:trHeight w:val="432"/>
        </w:trPr>
        <w:tc>
          <w:tcPr>
            <w:tcW w:w="6820" w:type="dxa"/>
            <w:vAlign w:val="bottom"/>
            <w:gridSpan w:val="17"/>
          </w:tcPr>
          <w:p>
            <w:pPr>
              <w:spacing w:after="0"/>
              <w:rPr>
                <w:sz w:val="20"/>
                <w:szCs w:val="20"/>
                <w:color w:val="auto"/>
              </w:rPr>
            </w:pPr>
            <w:r>
              <w:rPr>
                <w:rFonts w:ascii="Arial" w:cs="Arial" w:eastAsia="Arial" w:hAnsi="Arial"/>
                <w:sz w:val="18"/>
                <w:szCs w:val="18"/>
                <w:color w:val="auto"/>
              </w:rPr>
              <w:t>Conditions</w:t>
            </w:r>
          </w:p>
        </w:tc>
        <w:tc>
          <w:tcPr>
            <w:tcW w:w="4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9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4.01. Effective Date</w:t>
            </w:r>
          </w:p>
        </w:tc>
        <w:tc>
          <w:tcPr>
            <w:tcW w:w="4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4.02. Each Credit Event</w:t>
            </w:r>
          </w:p>
        </w:tc>
        <w:tc>
          <w:tcPr>
            <w:tcW w:w="4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53"/>
        </w:trPr>
        <w:tc>
          <w:tcPr>
            <w:tcW w:w="1440" w:type="dxa"/>
            <w:vAlign w:val="bottom"/>
          </w:tcPr>
          <w:p>
            <w:pPr>
              <w:spacing w:after="0"/>
              <w:rPr>
                <w:sz w:val="20"/>
                <w:szCs w:val="20"/>
                <w:color w:val="auto"/>
              </w:rPr>
            </w:pPr>
            <w:r>
              <w:rPr>
                <w:rFonts w:ascii="Arial" w:cs="Arial" w:eastAsia="Arial" w:hAnsi="Arial"/>
                <w:sz w:val="18"/>
                <w:szCs w:val="18"/>
                <w:color w:val="auto"/>
              </w:rPr>
              <w:t>ARTICLE V</w:t>
            </w:r>
          </w:p>
        </w:tc>
        <w:tc>
          <w:tcPr>
            <w:tcW w:w="1320" w:type="dxa"/>
            <w:vAlign w:val="bottom"/>
            <w:tcBorders>
              <w:top w:val="single" w:sz="8" w:color="auto"/>
            </w:tcBorders>
            <w:gridSpan w:val="6"/>
          </w:tcPr>
          <w:p>
            <w:pPr>
              <w:spacing w:after="0"/>
              <w:rPr>
                <w:sz w:val="24"/>
                <w:szCs w:val="24"/>
                <w:color w:val="auto"/>
              </w:rPr>
            </w:pPr>
          </w:p>
        </w:tc>
        <w:tc>
          <w:tcPr>
            <w:tcW w:w="4060" w:type="dxa"/>
            <w:vAlign w:val="bottom"/>
            <w:gridSpan w:val="10"/>
          </w:tcPr>
          <w:p>
            <w:pPr>
              <w:spacing w:after="0"/>
              <w:rPr>
                <w:sz w:val="24"/>
                <w:szCs w:val="24"/>
                <w:color w:val="auto"/>
              </w:rPr>
            </w:pPr>
          </w:p>
        </w:tc>
        <w:tc>
          <w:tcPr>
            <w:tcW w:w="4600" w:type="dxa"/>
            <w:vAlign w:val="bottom"/>
          </w:tcPr>
          <w:p>
            <w:pPr>
              <w:spacing w:after="0"/>
              <w:rPr>
                <w:sz w:val="24"/>
                <w:szCs w:val="24"/>
                <w:color w:val="auto"/>
              </w:rPr>
            </w:pPr>
          </w:p>
        </w:tc>
      </w:tr>
      <w:tr>
        <w:trPr>
          <w:trHeight w:val="432"/>
        </w:trPr>
        <w:tc>
          <w:tcPr>
            <w:tcW w:w="6820" w:type="dxa"/>
            <w:vAlign w:val="bottom"/>
            <w:gridSpan w:val="17"/>
          </w:tcPr>
          <w:p>
            <w:pPr>
              <w:spacing w:after="0"/>
              <w:rPr>
                <w:sz w:val="20"/>
                <w:szCs w:val="20"/>
                <w:color w:val="auto"/>
              </w:rPr>
            </w:pPr>
            <w:r>
              <w:rPr>
                <w:rFonts w:ascii="Arial" w:cs="Arial" w:eastAsia="Arial" w:hAnsi="Arial"/>
                <w:sz w:val="18"/>
                <w:szCs w:val="18"/>
                <w:color w:val="auto"/>
              </w:rPr>
              <w:t>Affirmative Covenants</w:t>
            </w:r>
          </w:p>
        </w:tc>
        <w:tc>
          <w:tcPr>
            <w:tcW w:w="4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9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5.01. Financial Statements and Other Information</w:t>
            </w:r>
          </w:p>
        </w:tc>
        <w:tc>
          <w:tcPr>
            <w:tcW w:w="4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5.02. Notices of Material Events</w:t>
            </w:r>
          </w:p>
        </w:tc>
        <w:tc>
          <w:tcPr>
            <w:tcW w:w="4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5.03. Existence; Conduct of Business</w:t>
            </w:r>
          </w:p>
        </w:tc>
        <w:tc>
          <w:tcPr>
            <w:tcW w:w="4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5.04. Payment of Obligations</w:t>
            </w:r>
          </w:p>
        </w:tc>
        <w:tc>
          <w:tcPr>
            <w:tcW w:w="4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5.05. Maintenance of Properties</w:t>
            </w:r>
          </w:p>
        </w:tc>
        <w:tc>
          <w:tcPr>
            <w:tcW w:w="4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5.06. Books and Records; Inspection Rights</w:t>
            </w:r>
          </w:p>
        </w:tc>
        <w:tc>
          <w:tcPr>
            <w:tcW w:w="46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5.07. Compliance with Laws</w:t>
            </w:r>
          </w:p>
        </w:tc>
        <w:tc>
          <w:tcPr>
            <w:tcW w:w="46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5.08. Use of Proceeds</w:t>
            </w:r>
          </w:p>
        </w:tc>
        <w:tc>
          <w:tcPr>
            <w:tcW w:w="46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5.09. Insurance</w:t>
            </w:r>
          </w:p>
        </w:tc>
        <w:tc>
          <w:tcPr>
            <w:tcW w:w="46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rPr>
              <w:t>SECTION 5.10. Casualty and Condemnation</w:t>
            </w:r>
          </w:p>
        </w:tc>
        <w:tc>
          <w:tcPr>
            <w:tcW w:w="4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440" w:type="dxa"/>
            <w:vAlign w:val="bottom"/>
          </w:tcPr>
          <w:p>
            <w:pPr>
              <w:spacing w:after="0" w:line="20" w:lineRule="exact"/>
              <w:rPr>
                <w:sz w:val="1"/>
                <w:szCs w:val="1"/>
                <w:color w:val="auto"/>
              </w:rPr>
            </w:pPr>
          </w:p>
        </w:tc>
        <w:tc>
          <w:tcPr>
            <w:tcW w:w="2040" w:type="dxa"/>
            <w:vAlign w:val="bottom"/>
            <w:gridSpan w:val="9"/>
            <w:shd w:val="clear" w:color="auto" w:fill="000000"/>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2"/>
        </w:trPr>
        <w:tc>
          <w:tcPr>
            <w:tcW w:w="6820" w:type="dxa"/>
            <w:vAlign w:val="bottom"/>
            <w:gridSpan w:val="17"/>
          </w:tcPr>
          <w:p>
            <w:pPr>
              <w:ind w:left="180"/>
              <w:spacing w:after="0"/>
              <w:rPr>
                <w:sz w:val="20"/>
                <w:szCs w:val="20"/>
                <w:color w:val="auto"/>
              </w:rPr>
            </w:pPr>
            <w:r>
              <w:rPr>
                <w:rFonts w:ascii="Arial" w:cs="Arial" w:eastAsia="Arial" w:hAnsi="Arial"/>
                <w:sz w:val="18"/>
                <w:szCs w:val="18"/>
                <w:color w:val="auto"/>
                <w:w w:val="91"/>
              </w:rPr>
              <w:t>SECTION 5.11. Subsidiary Guarantors; Pledges; Additional Collateral; Further Assurances</w:t>
            </w:r>
          </w:p>
        </w:tc>
        <w:tc>
          <w:tcPr>
            <w:tcW w:w="4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10400" w:type="dxa"/>
            <w:vAlign w:val="bottom"/>
            <w:gridSpan w:val="18"/>
          </w:tcPr>
          <w:p>
            <w:pPr>
              <w:spacing w:after="0"/>
              <w:rPr>
                <w:sz w:val="20"/>
                <w:szCs w:val="20"/>
                <w:color w:val="auto"/>
              </w:rPr>
            </w:pPr>
            <w:r>
              <w:rPr>
                <w:rFonts w:ascii="Arial" w:cs="Arial" w:eastAsia="Arial" w:hAnsi="Arial"/>
                <w:sz w:val="18"/>
                <w:szCs w:val="18"/>
                <w:color w:val="auto"/>
              </w:rPr>
              <w:t>ARTICLE VI</w:t>
            </w:r>
          </w:p>
        </w:tc>
        <w:tc>
          <w:tcPr>
            <w:tcW w:w="1020" w:type="dxa"/>
            <w:vAlign w:val="bottom"/>
          </w:tcPr>
          <w:p>
            <w:pPr>
              <w:spacing w:after="0"/>
              <w:rPr>
                <w:sz w:val="20"/>
                <w:szCs w:val="20"/>
                <w:color w:val="auto"/>
              </w:rPr>
            </w:pPr>
          </w:p>
        </w:tc>
      </w:tr>
      <w:tr>
        <w:trPr>
          <w:trHeight w:val="432"/>
        </w:trPr>
        <w:tc>
          <w:tcPr>
            <w:tcW w:w="10400" w:type="dxa"/>
            <w:vAlign w:val="bottom"/>
            <w:gridSpan w:val="18"/>
          </w:tcPr>
          <w:p>
            <w:pPr>
              <w:spacing w:after="0"/>
              <w:rPr>
                <w:sz w:val="20"/>
                <w:szCs w:val="20"/>
                <w:color w:val="auto"/>
              </w:rPr>
            </w:pPr>
            <w:r>
              <w:rPr>
                <w:rFonts w:ascii="Arial" w:cs="Arial" w:eastAsia="Arial" w:hAnsi="Arial"/>
                <w:sz w:val="18"/>
                <w:szCs w:val="18"/>
                <w:color w:val="auto"/>
              </w:rPr>
              <w:t>Negative Covenants</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9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6.01. Indebtedness</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6.02. Liens</w:t>
            </w: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6.03. Fundamental Changes</w:t>
            </w: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6.04. Investments, Loans, Advances, Guarantees and Acquisitions</w:t>
            </w: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6.05. Asset Sales</w:t>
            </w: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6.06. Sale and Leaseback Transactions</w:t>
            </w: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6.07. Restricted Payments; Certain Payments of Indebtedness</w:t>
            </w: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6.08. Transactions with Affiliates</w:t>
            </w: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6.09. Restrictive Agreements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w w:val="99"/>
              </w:rPr>
              <w:t>SECTION 6.10. Unaffiliated Subordinated Indebtedness and Amendments to Unaffiliated Subordinated Indebtedness Documents</w:t>
            </w: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500" w:type="dxa"/>
            <w:vAlign w:val="bottom"/>
            <w:gridSpan w:val="3"/>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3"/>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6.11. [Reserved]</w:t>
            </w: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9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6.12. Financial Covenants</w:t>
            </w: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53"/>
        </w:trPr>
        <w:tc>
          <w:tcPr>
            <w:tcW w:w="1460" w:type="dxa"/>
            <w:vAlign w:val="bottom"/>
          </w:tcPr>
          <w:p>
            <w:pPr>
              <w:spacing w:after="0"/>
              <w:rPr>
                <w:sz w:val="20"/>
                <w:szCs w:val="20"/>
                <w:color w:val="auto"/>
              </w:rPr>
            </w:pPr>
            <w:r>
              <w:rPr>
                <w:rFonts w:ascii="Arial" w:cs="Arial" w:eastAsia="Arial" w:hAnsi="Arial"/>
                <w:sz w:val="18"/>
                <w:szCs w:val="18"/>
                <w:color w:val="auto"/>
              </w:rPr>
              <w:t>ARTICLE VII</w:t>
            </w:r>
          </w:p>
        </w:tc>
        <w:tc>
          <w:tcPr>
            <w:tcW w:w="1460" w:type="dxa"/>
            <w:vAlign w:val="bottom"/>
            <w:tcBorders>
              <w:top w:val="single" w:sz="8" w:color="auto"/>
            </w:tcBorders>
            <w:gridSpan w:val="6"/>
          </w:tcPr>
          <w:p>
            <w:pPr>
              <w:spacing w:after="0"/>
              <w:rPr>
                <w:sz w:val="24"/>
                <w:szCs w:val="24"/>
                <w:color w:val="auto"/>
              </w:rPr>
            </w:pPr>
          </w:p>
        </w:tc>
        <w:tc>
          <w:tcPr>
            <w:tcW w:w="7480" w:type="dxa"/>
            <w:vAlign w:val="bottom"/>
            <w:gridSpan w:val="11"/>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0400" w:type="dxa"/>
            <w:vAlign w:val="bottom"/>
            <w:gridSpan w:val="18"/>
          </w:tcPr>
          <w:p>
            <w:pPr>
              <w:spacing w:after="0"/>
              <w:rPr>
                <w:sz w:val="20"/>
                <w:szCs w:val="20"/>
                <w:color w:val="auto"/>
              </w:rPr>
            </w:pPr>
            <w:r>
              <w:rPr>
                <w:rFonts w:ascii="Arial" w:cs="Arial" w:eastAsia="Arial" w:hAnsi="Arial"/>
                <w:sz w:val="18"/>
                <w:szCs w:val="18"/>
                <w:color w:val="auto"/>
              </w:rPr>
              <w:t>Events of Default</w:t>
            </w: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9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7.01. Events of Default</w:t>
            </w: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7.02. Remedies Upon an Event of Default</w:t>
            </w: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53"/>
        </w:trPr>
        <w:tc>
          <w:tcPr>
            <w:tcW w:w="1460" w:type="dxa"/>
            <w:vAlign w:val="bottom"/>
          </w:tcPr>
          <w:p>
            <w:pPr>
              <w:spacing w:after="0"/>
              <w:rPr>
                <w:sz w:val="20"/>
                <w:szCs w:val="20"/>
                <w:color w:val="auto"/>
              </w:rPr>
            </w:pPr>
            <w:r>
              <w:rPr>
                <w:rFonts w:ascii="Arial" w:cs="Arial" w:eastAsia="Arial" w:hAnsi="Arial"/>
                <w:sz w:val="18"/>
                <w:szCs w:val="18"/>
                <w:color w:val="auto"/>
              </w:rPr>
              <w:t>ARTICLE VIII</w:t>
            </w:r>
          </w:p>
        </w:tc>
        <w:tc>
          <w:tcPr>
            <w:tcW w:w="2600" w:type="dxa"/>
            <w:vAlign w:val="bottom"/>
            <w:tcBorders>
              <w:top w:val="single" w:sz="8" w:color="auto"/>
            </w:tcBorders>
            <w:gridSpan w:val="13"/>
          </w:tcPr>
          <w:p>
            <w:pPr>
              <w:spacing w:after="0"/>
              <w:rPr>
                <w:sz w:val="24"/>
                <w:szCs w:val="24"/>
                <w:color w:val="auto"/>
              </w:rPr>
            </w:pPr>
          </w:p>
        </w:tc>
        <w:tc>
          <w:tcPr>
            <w:tcW w:w="6340" w:type="dxa"/>
            <w:vAlign w:val="bottom"/>
            <w:gridSpan w:val="4"/>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0400" w:type="dxa"/>
            <w:vAlign w:val="bottom"/>
            <w:gridSpan w:val="18"/>
          </w:tcPr>
          <w:p>
            <w:pPr>
              <w:spacing w:after="0"/>
              <w:rPr>
                <w:sz w:val="20"/>
                <w:szCs w:val="20"/>
                <w:color w:val="auto"/>
              </w:rPr>
            </w:pPr>
            <w:r>
              <w:rPr>
                <w:rFonts w:ascii="Arial" w:cs="Arial" w:eastAsia="Arial" w:hAnsi="Arial"/>
                <w:sz w:val="18"/>
                <w:szCs w:val="18"/>
                <w:color w:val="auto"/>
              </w:rPr>
              <w:t>The Administrative Agent</w:t>
            </w: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9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8.01. The Administrative Agent.</w:t>
            </w: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8.02. Certain ERISA Matters</w:t>
            </w: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8.03. Posting of Communications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940" w:type="dxa"/>
            <w:vAlign w:val="bottom"/>
            <w:gridSpan w:val="7"/>
            <w:shd w:val="clear" w:color="auto" w:fill="000000"/>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18"/>
          </w:tcPr>
          <w:p>
            <w:pPr>
              <w:ind w:left="180"/>
              <w:spacing w:after="0"/>
              <w:rPr>
                <w:sz w:val="20"/>
                <w:szCs w:val="20"/>
                <w:color w:val="auto"/>
              </w:rPr>
            </w:pPr>
            <w:r>
              <w:rPr>
                <w:rFonts w:ascii="Arial" w:cs="Arial" w:eastAsia="Arial" w:hAnsi="Arial"/>
                <w:sz w:val="18"/>
                <w:szCs w:val="18"/>
                <w:color w:val="auto"/>
              </w:rPr>
              <w:t>SECTION 8.04. Credit Bidding.</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8860" w:type="dxa"/>
            <w:vAlign w:val="bottom"/>
            <w:gridSpan w:val="22"/>
          </w:tcPr>
          <w:p>
            <w:pPr>
              <w:spacing w:after="0"/>
              <w:rPr>
                <w:sz w:val="20"/>
                <w:szCs w:val="20"/>
                <w:color w:val="auto"/>
              </w:rPr>
            </w:pPr>
            <w:r>
              <w:rPr>
                <w:rFonts w:ascii="Arial" w:cs="Arial" w:eastAsia="Arial" w:hAnsi="Arial"/>
                <w:sz w:val="18"/>
                <w:szCs w:val="18"/>
                <w:color w:val="auto"/>
              </w:rPr>
              <w:t>ARTICLE IX</w:t>
            </w:r>
          </w:p>
        </w:tc>
        <w:tc>
          <w:tcPr>
            <w:tcW w:w="2560" w:type="dxa"/>
            <w:vAlign w:val="bottom"/>
          </w:tcPr>
          <w:p>
            <w:pPr>
              <w:spacing w:after="0"/>
              <w:rPr>
                <w:sz w:val="20"/>
                <w:szCs w:val="20"/>
                <w:color w:val="auto"/>
              </w:rPr>
            </w:pPr>
          </w:p>
        </w:tc>
      </w:tr>
      <w:tr>
        <w:trPr>
          <w:trHeight w:val="432"/>
        </w:trPr>
        <w:tc>
          <w:tcPr>
            <w:tcW w:w="8860" w:type="dxa"/>
            <w:vAlign w:val="bottom"/>
            <w:gridSpan w:val="22"/>
          </w:tcPr>
          <w:p>
            <w:pPr>
              <w:spacing w:after="0"/>
              <w:rPr>
                <w:sz w:val="20"/>
                <w:szCs w:val="20"/>
                <w:color w:val="auto"/>
              </w:rPr>
            </w:pPr>
            <w:r>
              <w:rPr>
                <w:rFonts w:ascii="Arial" w:cs="Arial" w:eastAsia="Arial" w:hAnsi="Arial"/>
                <w:sz w:val="18"/>
                <w:szCs w:val="18"/>
                <w:color w:val="auto"/>
              </w:rPr>
              <w:t>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9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9.01. Notices</w:t>
            </w:r>
          </w:p>
        </w:tc>
        <w:tc>
          <w:tcPr>
            <w:tcW w:w="2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9.02. Waivers; Amendments</w:t>
            </w:r>
          </w:p>
        </w:tc>
        <w:tc>
          <w:tcPr>
            <w:tcW w:w="25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9.03. Expenses; Indemnity; Damage Waiver</w:t>
            </w:r>
          </w:p>
        </w:tc>
        <w:tc>
          <w:tcPr>
            <w:tcW w:w="2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9.04. Successors and Assigns</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9.05. Survival</w:t>
            </w:r>
          </w:p>
        </w:tc>
        <w:tc>
          <w:tcPr>
            <w:tcW w:w="2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2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9.07. 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9.08. Right of Setoff</w:t>
            </w:r>
          </w:p>
        </w:tc>
        <w:tc>
          <w:tcPr>
            <w:tcW w:w="2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9.09. Governing Law; Jurisdiction; Consent to Service of Process</w:t>
            </w:r>
          </w:p>
        </w:tc>
        <w:tc>
          <w:tcPr>
            <w:tcW w:w="2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9.10. WAIVER OF JURY TRIAL</w:t>
            </w:r>
          </w:p>
        </w:tc>
        <w:tc>
          <w:tcPr>
            <w:tcW w:w="2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9.11. Headings</w:t>
            </w:r>
          </w:p>
        </w:tc>
        <w:tc>
          <w:tcPr>
            <w:tcW w:w="2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44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9.12. Confidentiality</w:t>
            </w:r>
          </w:p>
        </w:tc>
        <w:tc>
          <w:tcPr>
            <w:tcW w:w="2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480" w:type="dxa"/>
            <w:vAlign w:val="bottom"/>
            <w:tcBorders>
              <w:right w:val="single" w:sz="8" w:color="auto"/>
            </w:tcBorders>
            <w:gridSpan w:val="2"/>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9.13. Several Obligations; Nonreliance; Violation of Law</w:t>
            </w:r>
          </w:p>
        </w:tc>
        <w:tc>
          <w:tcPr>
            <w:tcW w:w="2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1480" w:type="dxa"/>
            <w:vAlign w:val="bottom"/>
            <w:tcBorders>
              <w:right w:val="single" w:sz="8" w:color="auto"/>
            </w:tcBorders>
            <w:gridSpan w:val="2"/>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9.14. USA PATRIOT Act</w:t>
            </w:r>
          </w:p>
        </w:tc>
        <w:tc>
          <w:tcPr>
            <w:tcW w:w="2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1480" w:type="dxa"/>
            <w:vAlign w:val="bottom"/>
            <w:tcBorders>
              <w:right w:val="single" w:sz="8" w:color="auto"/>
            </w:tcBorders>
            <w:gridSpan w:val="2"/>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9.15. Disclosure</w:t>
            </w:r>
          </w:p>
        </w:tc>
        <w:tc>
          <w:tcPr>
            <w:tcW w:w="2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1480" w:type="dxa"/>
            <w:vAlign w:val="bottom"/>
            <w:tcBorders>
              <w:right w:val="single" w:sz="8" w:color="auto"/>
            </w:tcBorders>
            <w:gridSpan w:val="2"/>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9.16. Appointment for Perfection</w:t>
            </w:r>
          </w:p>
        </w:tc>
        <w:tc>
          <w:tcPr>
            <w:tcW w:w="2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1480" w:type="dxa"/>
            <w:vAlign w:val="bottom"/>
            <w:tcBorders>
              <w:right w:val="single" w:sz="8" w:color="auto"/>
            </w:tcBorders>
            <w:gridSpan w:val="2"/>
          </w:tcPr>
          <w:p>
            <w:pPr>
              <w:spacing w:after="0" w:line="20" w:lineRule="exact"/>
              <w:rPr>
                <w:sz w:val="1"/>
                <w:szCs w:val="1"/>
                <w:color w:val="auto"/>
              </w:rPr>
            </w:pPr>
          </w:p>
        </w:tc>
        <w:tc>
          <w:tcPr>
            <w:tcW w:w="1680" w:type="dxa"/>
            <w:vAlign w:val="bottom"/>
            <w:gridSpan w:val="10"/>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9.17. Releases of Subsidiary Guarantors</w:t>
            </w:r>
          </w:p>
        </w:tc>
        <w:tc>
          <w:tcPr>
            <w:tcW w:w="2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1480" w:type="dxa"/>
            <w:vAlign w:val="bottom"/>
            <w:tcBorders>
              <w:right w:val="single" w:sz="8" w:color="auto"/>
            </w:tcBorders>
            <w:gridSpan w:val="2"/>
          </w:tcPr>
          <w:p>
            <w:pPr>
              <w:spacing w:after="0" w:line="20" w:lineRule="exact"/>
              <w:rPr>
                <w:sz w:val="1"/>
                <w:szCs w:val="1"/>
                <w:color w:val="auto"/>
              </w:rPr>
            </w:pPr>
          </w:p>
        </w:tc>
        <w:tc>
          <w:tcPr>
            <w:tcW w:w="1680" w:type="dxa"/>
            <w:vAlign w:val="bottom"/>
            <w:gridSpan w:val="10"/>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9.18. Interest Rate Limitation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1480" w:type="dxa"/>
            <w:vAlign w:val="bottom"/>
            <w:tcBorders>
              <w:right w:val="single" w:sz="8" w:color="auto"/>
            </w:tcBorders>
            <w:gridSpan w:val="2"/>
          </w:tcPr>
          <w:p>
            <w:pPr>
              <w:spacing w:after="0" w:line="20" w:lineRule="exact"/>
              <w:rPr>
                <w:sz w:val="1"/>
                <w:szCs w:val="1"/>
                <w:color w:val="auto"/>
              </w:rPr>
            </w:pPr>
          </w:p>
        </w:tc>
        <w:tc>
          <w:tcPr>
            <w:tcW w:w="1680" w:type="dxa"/>
            <w:vAlign w:val="bottom"/>
            <w:gridSpan w:val="10"/>
            <w:shd w:val="clear" w:color="auto" w:fill="000000"/>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9.19. No Advisory or Fiduciary Responsibility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1480" w:type="dxa"/>
            <w:vAlign w:val="bottom"/>
            <w:tcBorders>
              <w:right w:val="single" w:sz="8" w:color="auto"/>
            </w:tcBorders>
            <w:gridSpan w:val="2"/>
          </w:tcPr>
          <w:p>
            <w:pPr>
              <w:spacing w:after="0" w:line="20" w:lineRule="exact"/>
              <w:rPr>
                <w:sz w:val="1"/>
                <w:szCs w:val="1"/>
                <w:color w:val="auto"/>
              </w:rPr>
            </w:pPr>
          </w:p>
        </w:tc>
        <w:tc>
          <w:tcPr>
            <w:tcW w:w="2920" w:type="dxa"/>
            <w:vAlign w:val="bottom"/>
            <w:gridSpan w:val="14"/>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9.20. Acknowledgment and Consent to Bail-In of EEA Financial Institutions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480" w:type="dxa"/>
            <w:vAlign w:val="bottom"/>
            <w:tcBorders>
              <w:right w:val="single" w:sz="8" w:color="auto"/>
            </w:tcBorders>
            <w:gridSpan w:val="2"/>
          </w:tcPr>
          <w:p>
            <w:pPr>
              <w:spacing w:after="0" w:line="20" w:lineRule="exact"/>
              <w:rPr>
                <w:sz w:val="1"/>
                <w:szCs w:val="1"/>
                <w:color w:val="auto"/>
              </w:rPr>
            </w:pPr>
          </w:p>
        </w:tc>
        <w:tc>
          <w:tcPr>
            <w:tcW w:w="3720" w:type="dxa"/>
            <w:vAlign w:val="bottom"/>
            <w:gridSpan w:val="16"/>
            <w:shd w:val="clear" w:color="auto" w:fill="000000"/>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8860" w:type="dxa"/>
            <w:vAlign w:val="bottom"/>
            <w:gridSpan w:val="22"/>
          </w:tcPr>
          <w:p>
            <w:pPr>
              <w:ind w:left="180"/>
              <w:spacing w:after="0"/>
              <w:rPr>
                <w:sz w:val="20"/>
                <w:szCs w:val="20"/>
                <w:color w:val="auto"/>
              </w:rPr>
            </w:pPr>
            <w:r>
              <w:rPr>
                <w:rFonts w:ascii="Arial" w:cs="Arial" w:eastAsia="Arial" w:hAnsi="Arial"/>
                <w:sz w:val="18"/>
                <w:szCs w:val="18"/>
                <w:color w:val="auto"/>
              </w:rPr>
              <w:t>SECTION 9.21. Acknowledgement Regarding Any Supported QFCs</w:t>
            </w:r>
          </w:p>
        </w:tc>
        <w:tc>
          <w:tcPr>
            <w:tcW w:w="2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53"/>
        </w:trPr>
        <w:tc>
          <w:tcPr>
            <w:tcW w:w="1480" w:type="dxa"/>
            <w:vAlign w:val="bottom"/>
            <w:gridSpan w:val="2"/>
          </w:tcPr>
          <w:p>
            <w:pPr>
              <w:spacing w:after="0"/>
              <w:rPr>
                <w:sz w:val="20"/>
                <w:szCs w:val="20"/>
                <w:color w:val="auto"/>
              </w:rPr>
            </w:pPr>
            <w:r>
              <w:rPr>
                <w:rFonts w:ascii="Arial" w:cs="Arial" w:eastAsia="Arial" w:hAnsi="Arial"/>
                <w:sz w:val="18"/>
                <w:szCs w:val="18"/>
                <w:color w:val="auto"/>
              </w:rPr>
              <w:t>ARTICLE X</w:t>
            </w:r>
          </w:p>
        </w:tc>
        <w:tc>
          <w:tcPr>
            <w:tcW w:w="3720" w:type="dxa"/>
            <w:vAlign w:val="bottom"/>
            <w:tcBorders>
              <w:top w:val="single" w:sz="8" w:color="auto"/>
            </w:tcBorders>
            <w:gridSpan w:val="16"/>
          </w:tcPr>
          <w:p>
            <w:pPr>
              <w:spacing w:after="0"/>
              <w:rPr>
                <w:sz w:val="24"/>
                <w:szCs w:val="24"/>
                <w:color w:val="auto"/>
              </w:rPr>
            </w:pPr>
          </w:p>
        </w:tc>
        <w:tc>
          <w:tcPr>
            <w:tcW w:w="3660" w:type="dxa"/>
            <w:vAlign w:val="bottom"/>
            <w:gridSpan w:val="4"/>
          </w:tcPr>
          <w:p>
            <w:pPr>
              <w:spacing w:after="0"/>
              <w:rPr>
                <w:sz w:val="24"/>
                <w:szCs w:val="24"/>
                <w:color w:val="auto"/>
              </w:rPr>
            </w:pPr>
          </w:p>
        </w:tc>
        <w:tc>
          <w:tcPr>
            <w:tcW w:w="2560" w:type="dxa"/>
            <w:vAlign w:val="bottom"/>
          </w:tcPr>
          <w:p>
            <w:pPr>
              <w:spacing w:after="0"/>
              <w:rPr>
                <w:sz w:val="24"/>
                <w:szCs w:val="24"/>
                <w:color w:val="auto"/>
              </w:rPr>
            </w:pPr>
          </w:p>
        </w:tc>
      </w:tr>
      <w:tr>
        <w:trPr>
          <w:trHeight w:val="432"/>
        </w:trPr>
        <w:tc>
          <w:tcPr>
            <w:tcW w:w="8860" w:type="dxa"/>
            <w:vAlign w:val="bottom"/>
            <w:gridSpan w:val="22"/>
          </w:tcPr>
          <w:p>
            <w:pPr>
              <w:spacing w:after="0"/>
              <w:rPr>
                <w:sz w:val="20"/>
                <w:szCs w:val="20"/>
                <w:color w:val="auto"/>
              </w:rPr>
            </w:pPr>
            <w:r>
              <w:rPr>
                <w:rFonts w:ascii="Arial" w:cs="Arial" w:eastAsia="Arial" w:hAnsi="Arial"/>
                <w:sz w:val="18"/>
                <w:szCs w:val="18"/>
                <w:color w:val="auto"/>
              </w:rPr>
              <w:t>Borrower Guarantee</w:t>
            </w:r>
          </w:p>
        </w:tc>
        <w:tc>
          <w:tcPr>
            <w:tcW w:w="25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Commitment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Commitment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Departing Lender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1.01 -- Affiliated Subordinated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3.06 -- Disclosed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3.14 -- Capitalization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3.15 -- Financing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6.01 -- 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6.02 -- 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6.04 -- Existing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Assignment and Assumption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 List of Closing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C-1 -- Form of Increasing Lender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C-2 -- Form of Augmenting Lender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Form of Compliance Certificate</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6" w:name="page47"/>
    <w:bookmarkEnd w:id="46"/>
    <w:p>
      <w:pPr>
        <w:jc w:val="both"/>
        <w:ind w:firstLine="648"/>
        <w:spacing w:after="0" w:line="259" w:lineRule="auto"/>
        <w:rPr>
          <w:sz w:val="20"/>
          <w:szCs w:val="20"/>
          <w:color w:val="auto"/>
        </w:rPr>
      </w:pPr>
      <w:r>
        <w:rPr>
          <w:rFonts w:ascii="Arial" w:cs="Arial" w:eastAsia="Arial" w:hAnsi="Arial"/>
          <w:sz w:val="18"/>
          <w:szCs w:val="18"/>
          <w:color w:val="auto"/>
        </w:rPr>
        <w:t>SECOND AMENDED AND RESTATED CREDIT AGREEMENT dated as of September 13, 2019 (as it may be amended or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MYR GROUP INC., the Lenders party hereto, BANK OF MONTREAL and WELLS FARGO BANK, NATIONAL ASSOCIATION, as Co-Documentation Agents, BANK OF AMERICA, N.A., as Syndication Agent and JPMORGAN CHASE BANK, N.A., as Administrative Agent.</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Borrower, the lenders party thereto and JPMorgan Chase Bank, N.A., as administrative agent thereunder, are currently party to the Amended and Restated Credit Agreement, dated as of June 30, 2016 (as amended,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the Borrower, the Lenders and the Administrative Agent have entered into this Agreement in order to (i) 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 outstanding thereunder, which shall be payable in accordance with the terms hereof; and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it is also the intent of the Borrower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spacing w:after="0" w:line="18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NOW, THEREFORE, in consideration of the premises and of the mutual covenants herein contained,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 As used in this Agreement, the following terms have the meanings specified below:</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means, with respect to any Eurocurrency Borrowing for any Interest Period, an interest rate per annum (rounded upwards, if necessary, to the next 1/16 of 1%) equal to (a) the LIBO Rate for such Interest Period multiplied by (b) the Statutory Reserve Rate.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 its capacity as administrative agent for the Lenders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Subordinated Debt</w:t>
      </w:r>
      <w:r>
        <w:rPr>
          <w:rFonts w:ascii="Arial" w:cs="Arial" w:eastAsia="Arial" w:hAnsi="Arial"/>
          <w:sz w:val="18"/>
          <w:szCs w:val="18"/>
          <w:color w:val="auto"/>
        </w:rPr>
        <w:t xml:space="preserve">” means any unsecured Indebtedness of the Borrower or any Subsidiary provided by an Affiliate (other than the Borrower or any of its Subsidiaries), the terms and conditions of which are set forth, and payment of which is subordinated to the payment of the Secured Obligations, in each case as provided in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w:t>
      </w:r>
      <w:r>
        <w:rPr>
          <w:rFonts w:ascii="Arial" w:cs="Arial" w:eastAsia="Arial" w:hAnsi="Arial"/>
          <w:sz w:val="18"/>
          <w:szCs w:val="18"/>
          <w:color w:val="auto"/>
        </w:rPr>
        <w:t>” means the aggregate of the Commitments of all of the Lenders, as reduced or increased from time to time pursuant to the terms and conditions hereof. As of the Effective Date, the Aggregate Commitment is $375,000,000.</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xml:space="preserve">” means (i) Dollars, (ii) euro, (iii) Canadian Dollars and (iv) any other currency (x) that is a lawful currency (other than Dollars) that is readily available and freely transferable and convertible into Dollars, (y) for which a LIBO Screen Rate is available in the Administrative Agent’s determination and (z) that is agreed to by the Administrative Agent, the Issuing Banks and each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each of euro and Canadian Dollars shall be Agreed Currencies so long as such currency, as applicable, is a lawful currency that is readily available and freely transferable and convertible into Dollars.</w:t>
      </w:r>
    </w:p>
    <w:p>
      <w:pPr>
        <w:spacing w:after="0" w:line="18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(i) if the applicable Loan or Borrowing is denominated in Dollars, the greatest of (a) the Prime Rate in effect on such day, (b) the NYFRB Rate in effect on such day plus ½ of 1% and (c) the Adjusted LIBO Rate for a one month Interest Period in Dollars on such day (or if such day is not a Business Day, the immediately preceding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day and (ii) if the applicable Loan or Borrowing is denominated in Canadian Dollars, the Canadian Prime Rate. Any change in the Alternate Base Rate due to a change in the Prime Rate, the Canadian Prime Rate, the NYFRB Rate or the Adjusted LIBO Rate shall be effective from and including the effective date of such change in the Prime Rate, the Canadian Prime Rate, the NYFRB Rate or the Adjusted LIBO Rate, respectively. If the Alternate Base Rate is being used as an alternate rate of interest for any Eurocurrency Borrowing denominated in any LIBO Quoted Currency pursuant to Section 2.14 hereof, then the Alternate Base Rate shall be the greater of clauses (i)(a) and (i)(b) above and shall be determined without reference to clause (i)(c) above. For the avoidance of doubt, if the Alternate Base Rate as so determined would be less than 1.00%, such rate shall be deemed to be 1.00% for purposes of this Agreement.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Rate</w:t>
      </w:r>
      <w:r>
        <w:rPr>
          <w:rFonts w:ascii="Arial" w:cs="Arial" w:eastAsia="Arial" w:hAnsi="Arial"/>
          <w:sz w:val="18"/>
          <w:szCs w:val="18"/>
          <w:color w:val="auto"/>
        </w:rPr>
        <w:t>” has the meaning assigned to such term in Section 2.14(a).</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any of its Subsidiaries from time to time concerning or relating to bribery or corruption.</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Aggregate Commitment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Section 2.20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Pledge Percentage</w:t>
      </w:r>
      <w:r>
        <w:rPr>
          <w:rFonts w:ascii="Arial" w:cs="Arial" w:eastAsia="Arial" w:hAnsi="Arial"/>
          <w:sz w:val="18"/>
          <w:szCs w:val="18"/>
          <w:color w:val="auto"/>
        </w:rPr>
        <w:t>” means 100%, but 65% in the case of a pledge of Equity Interests of a Foreign Subsidiary to the extent a 100% pledge would cause a Deemed Dividend Problem or Financial Assistance Problem.</w:t>
      </w:r>
    </w:p>
    <w:p>
      <w:pPr>
        <w:spacing w:after="0" w:line="17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xml:space="preserve">” means, for any day, with respect to any ABR Loan or Eurocurrency Loan, or with respect to the commitment fees payable hereunder, or with respect to the participation fees payable hereunder on non-performance Letters of Credit and performance Letters of Credit, as the case may be, the applicable rate per annum set forth below under the caption “ABR Spread”, “Eurocurrency Spread”, “Commitment Fee Rate”, “Non-Performance Letters of Credit” or “Performance Letters of Credit”, as the case may be, based upon the Borrower’s Leverage Ratio as of the most recent determination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the delivery to the Administrative Agent, pursuant to Section 5.01, of the Borrower’s consolidated financial information for the Borrower’s first fiscal quarter ending after the Effective Date, the “Applicable Rate” shall be the applicable rate per annum set forth below in Category 1, and adjustments to the Applicable Rate then in effect shall thereafter be effected in accordance with the paragraph below:</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B3B3B3"/>
            </w:tcBorders>
            <w:shd w:val="clear" w:color="auto" w:fill="B3B3B3"/>
          </w:tcPr>
          <w:p>
            <w:pPr>
              <w:spacing w:after="0"/>
              <w:rPr>
                <w:sz w:val="16"/>
                <w:szCs w:val="16"/>
                <w:color w:val="auto"/>
              </w:rPr>
            </w:pPr>
          </w:p>
        </w:tc>
        <w:tc>
          <w:tcPr>
            <w:tcW w:w="860" w:type="dxa"/>
            <w:vAlign w:val="bottom"/>
            <w:tcBorders>
              <w:top w:val="single" w:sz="8" w:color="auto"/>
            </w:tcBorders>
            <w:gridSpan w:val="2"/>
            <w:shd w:val="clear" w:color="auto" w:fill="B3B3B3"/>
          </w:tcPr>
          <w:p>
            <w:pPr>
              <w:jc w:val="center"/>
              <w:spacing w:after="0" w:line="189" w:lineRule="exact"/>
              <w:rPr>
                <w:sz w:val="20"/>
                <w:szCs w:val="20"/>
                <w:color w:val="auto"/>
              </w:rPr>
            </w:pPr>
            <w:r>
              <w:rPr>
                <w:rFonts w:ascii="Arial" w:cs="Arial" w:eastAsia="Arial" w:hAnsi="Arial"/>
                <w:sz w:val="18"/>
                <w:szCs w:val="18"/>
                <w:color w:val="auto"/>
                <w:w w:val="70"/>
              </w:rPr>
              <w:t>Leverage Ratio</w:t>
            </w:r>
          </w:p>
        </w:tc>
        <w:tc>
          <w:tcPr>
            <w:tcW w:w="900" w:type="dxa"/>
            <w:vAlign w:val="bottom"/>
            <w:tcBorders>
              <w:top w:val="single" w:sz="8" w:color="auto"/>
              <w:right w:val="single" w:sz="8" w:color="auto"/>
            </w:tcBorders>
            <w:shd w:val="clear" w:color="auto" w:fill="B3B3B3"/>
          </w:tcPr>
          <w:p>
            <w:pPr>
              <w:spacing w:after="0"/>
              <w:rPr>
                <w:sz w:val="16"/>
                <w:szCs w:val="16"/>
                <w:color w:val="auto"/>
              </w:rPr>
            </w:pPr>
          </w:p>
        </w:tc>
        <w:tc>
          <w:tcPr>
            <w:tcW w:w="340" w:type="dxa"/>
            <w:vAlign w:val="bottom"/>
            <w:tcBorders>
              <w:top w:val="single" w:sz="8" w:color="auto"/>
            </w:tcBorders>
            <w:shd w:val="clear" w:color="auto" w:fill="B3B3B3"/>
          </w:tcPr>
          <w:p>
            <w:pPr>
              <w:spacing w:after="0"/>
              <w:rPr>
                <w:sz w:val="16"/>
                <w:szCs w:val="16"/>
                <w:color w:val="auto"/>
              </w:rPr>
            </w:pPr>
          </w:p>
        </w:tc>
        <w:tc>
          <w:tcPr>
            <w:tcW w:w="1360" w:type="dxa"/>
            <w:vAlign w:val="bottom"/>
            <w:tcBorders>
              <w:top w:val="single" w:sz="8" w:color="auto"/>
              <w:right w:val="single" w:sz="8" w:color="auto"/>
            </w:tcBorders>
            <w:gridSpan w:val="4"/>
            <w:shd w:val="clear" w:color="auto" w:fill="B3B3B3"/>
          </w:tcPr>
          <w:p>
            <w:pPr>
              <w:jc w:val="center"/>
              <w:ind w:right="380"/>
              <w:spacing w:after="0" w:line="189" w:lineRule="exact"/>
              <w:rPr>
                <w:sz w:val="20"/>
                <w:szCs w:val="20"/>
                <w:color w:val="auto"/>
              </w:rPr>
            </w:pPr>
            <w:r>
              <w:rPr>
                <w:rFonts w:ascii="Arial" w:cs="Arial" w:eastAsia="Arial" w:hAnsi="Arial"/>
                <w:sz w:val="18"/>
                <w:szCs w:val="18"/>
                <w:color w:val="auto"/>
                <w:w w:val="91"/>
              </w:rPr>
              <w:t>Eurocurrency</w:t>
            </w:r>
          </w:p>
        </w:tc>
        <w:tc>
          <w:tcPr>
            <w:tcW w:w="600" w:type="dxa"/>
            <w:vAlign w:val="bottom"/>
            <w:tcBorders>
              <w:top w:val="single" w:sz="8" w:color="auto"/>
              <w:right w:val="single" w:sz="8" w:color="B3B3B3"/>
            </w:tcBorders>
            <w:shd w:val="clear" w:color="auto" w:fill="B3B3B3"/>
          </w:tcPr>
          <w:p>
            <w:pPr>
              <w:spacing w:after="0"/>
              <w:rPr>
                <w:sz w:val="16"/>
                <w:szCs w:val="16"/>
                <w:color w:val="auto"/>
              </w:rPr>
            </w:pPr>
          </w:p>
        </w:tc>
        <w:tc>
          <w:tcPr>
            <w:tcW w:w="1000" w:type="dxa"/>
            <w:vAlign w:val="bottom"/>
            <w:tcBorders>
              <w:top w:val="single" w:sz="8" w:color="auto"/>
              <w:right w:val="single" w:sz="8" w:color="auto"/>
            </w:tcBorders>
            <w:gridSpan w:val="2"/>
            <w:shd w:val="clear" w:color="auto" w:fill="B3B3B3"/>
          </w:tcPr>
          <w:p>
            <w:pPr>
              <w:jc w:val="center"/>
              <w:ind w:right="620"/>
              <w:spacing w:after="0" w:line="189" w:lineRule="exact"/>
              <w:rPr>
                <w:sz w:val="20"/>
                <w:szCs w:val="20"/>
                <w:color w:val="auto"/>
              </w:rPr>
            </w:pPr>
            <w:r>
              <w:rPr>
                <w:rFonts w:ascii="Arial" w:cs="Arial" w:eastAsia="Arial" w:hAnsi="Arial"/>
                <w:sz w:val="18"/>
                <w:szCs w:val="18"/>
                <w:color w:val="auto"/>
              </w:rPr>
              <w:t>ABR</w:t>
            </w:r>
          </w:p>
        </w:tc>
        <w:tc>
          <w:tcPr>
            <w:tcW w:w="1820" w:type="dxa"/>
            <w:vAlign w:val="bottom"/>
            <w:tcBorders>
              <w:top w:val="single" w:sz="8" w:color="auto"/>
              <w:right w:val="single" w:sz="8" w:color="auto"/>
            </w:tcBorders>
            <w:gridSpan w:val="5"/>
            <w:shd w:val="clear" w:color="auto" w:fill="B3B3B3"/>
          </w:tcPr>
          <w:p>
            <w:pPr>
              <w:jc w:val="center"/>
              <w:ind w:right="20"/>
              <w:spacing w:after="0" w:line="189" w:lineRule="exact"/>
              <w:rPr>
                <w:sz w:val="20"/>
                <w:szCs w:val="20"/>
                <w:color w:val="auto"/>
              </w:rPr>
            </w:pPr>
            <w:r>
              <w:rPr>
                <w:rFonts w:ascii="Arial" w:cs="Arial" w:eastAsia="Arial" w:hAnsi="Arial"/>
                <w:sz w:val="18"/>
                <w:szCs w:val="18"/>
                <w:color w:val="auto"/>
                <w:w w:val="94"/>
              </w:rPr>
              <w:t>Commitment</w:t>
            </w:r>
          </w:p>
        </w:tc>
        <w:tc>
          <w:tcPr>
            <w:tcW w:w="360" w:type="dxa"/>
            <w:vAlign w:val="bottom"/>
            <w:tcBorders>
              <w:top w:val="single" w:sz="8" w:color="auto"/>
            </w:tcBorders>
            <w:shd w:val="clear" w:color="auto" w:fill="B3B3B3"/>
          </w:tcPr>
          <w:p>
            <w:pPr>
              <w:spacing w:after="0"/>
              <w:rPr>
                <w:sz w:val="16"/>
                <w:szCs w:val="16"/>
                <w:color w:val="auto"/>
              </w:rPr>
            </w:pPr>
          </w:p>
        </w:tc>
        <w:tc>
          <w:tcPr>
            <w:tcW w:w="140" w:type="dxa"/>
            <w:vAlign w:val="bottom"/>
            <w:tcBorders>
              <w:top w:val="single" w:sz="8" w:color="auto"/>
            </w:tcBorders>
            <w:shd w:val="clear" w:color="auto" w:fill="B3B3B3"/>
          </w:tcPr>
          <w:p>
            <w:pPr>
              <w:spacing w:after="0"/>
              <w:rPr>
                <w:sz w:val="16"/>
                <w:szCs w:val="16"/>
                <w:color w:val="auto"/>
              </w:rPr>
            </w:pPr>
          </w:p>
        </w:tc>
        <w:tc>
          <w:tcPr>
            <w:tcW w:w="160" w:type="dxa"/>
            <w:vAlign w:val="bottom"/>
            <w:tcBorders>
              <w:top w:val="single" w:sz="8" w:color="auto"/>
              <w:right w:val="single" w:sz="8" w:color="B3B3B3"/>
            </w:tcBorders>
            <w:shd w:val="clear" w:color="auto" w:fill="B3B3B3"/>
          </w:tcPr>
          <w:p>
            <w:pPr>
              <w:spacing w:after="0"/>
              <w:rPr>
                <w:sz w:val="16"/>
                <w:szCs w:val="16"/>
                <w:color w:val="auto"/>
              </w:rPr>
            </w:pPr>
          </w:p>
        </w:tc>
        <w:tc>
          <w:tcPr>
            <w:tcW w:w="1040" w:type="dxa"/>
            <w:vAlign w:val="bottom"/>
            <w:tcBorders>
              <w:top w:val="single" w:sz="8" w:color="auto"/>
              <w:right w:val="single" w:sz="8" w:color="auto"/>
            </w:tcBorders>
            <w:gridSpan w:val="4"/>
            <w:shd w:val="clear" w:color="auto" w:fill="B3B3B3"/>
          </w:tcPr>
          <w:p>
            <w:pPr>
              <w:jc w:val="center"/>
              <w:ind w:right="680"/>
              <w:spacing w:after="0" w:line="189" w:lineRule="exact"/>
              <w:rPr>
                <w:sz w:val="20"/>
                <w:szCs w:val="20"/>
                <w:color w:val="auto"/>
              </w:rPr>
            </w:pPr>
            <w:r>
              <w:rPr>
                <w:rFonts w:ascii="Arial" w:cs="Arial" w:eastAsia="Arial" w:hAnsi="Arial"/>
                <w:sz w:val="18"/>
                <w:szCs w:val="18"/>
                <w:color w:val="auto"/>
                <w:w w:val="92"/>
              </w:rPr>
              <w:t>Non-</w:t>
            </w:r>
          </w:p>
        </w:tc>
        <w:tc>
          <w:tcPr>
            <w:tcW w:w="380" w:type="dxa"/>
            <w:vAlign w:val="bottom"/>
            <w:tcBorders>
              <w:top w:val="single" w:sz="8" w:color="auto"/>
            </w:tcBorders>
            <w:shd w:val="clear" w:color="auto" w:fill="B3B3B3"/>
          </w:tcPr>
          <w:p>
            <w:pPr>
              <w:spacing w:after="0"/>
              <w:rPr>
                <w:sz w:val="16"/>
                <w:szCs w:val="16"/>
                <w:color w:val="auto"/>
              </w:rPr>
            </w:pPr>
          </w:p>
        </w:tc>
        <w:tc>
          <w:tcPr>
            <w:tcW w:w="1320" w:type="dxa"/>
            <w:vAlign w:val="bottom"/>
            <w:tcBorders>
              <w:top w:val="single" w:sz="8" w:color="auto"/>
              <w:right w:val="single" w:sz="8" w:color="auto"/>
            </w:tcBorders>
            <w:gridSpan w:val="6"/>
            <w:shd w:val="clear" w:color="auto" w:fill="B3B3B3"/>
          </w:tcPr>
          <w:p>
            <w:pPr>
              <w:jc w:val="center"/>
              <w:ind w:right="400"/>
              <w:spacing w:after="0" w:line="189" w:lineRule="exact"/>
              <w:rPr>
                <w:sz w:val="20"/>
                <w:szCs w:val="20"/>
                <w:color w:val="auto"/>
              </w:rPr>
            </w:pPr>
            <w:r>
              <w:rPr>
                <w:rFonts w:ascii="Arial" w:cs="Arial" w:eastAsia="Arial" w:hAnsi="Arial"/>
                <w:sz w:val="18"/>
                <w:szCs w:val="18"/>
                <w:color w:val="auto"/>
                <w:w w:val="89"/>
              </w:rPr>
              <w:t>Performance</w:t>
            </w:r>
          </w:p>
        </w:tc>
      </w:tr>
      <w:tr>
        <w:trPr>
          <w:trHeight w:val="20"/>
        </w:trPr>
        <w:tc>
          <w:tcPr>
            <w:tcW w:w="1140" w:type="dxa"/>
            <w:vAlign w:val="bottom"/>
            <w:tcBorders>
              <w:left w:val="single" w:sz="8" w:color="auto"/>
              <w:right w:val="single" w:sz="8" w:color="auto"/>
            </w:tcBorders>
            <w:shd w:val="clear" w:color="auto" w:fill="B3B3B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B3B3B3"/>
          </w:tcPr>
          <w:p>
            <w:pPr>
              <w:spacing w:after="0" w:line="20" w:lineRule="exact"/>
              <w:rPr>
                <w:sz w:val="1"/>
                <w:szCs w:val="1"/>
                <w:color w:val="auto"/>
              </w:rPr>
            </w:pPr>
          </w:p>
        </w:tc>
        <w:tc>
          <w:tcPr>
            <w:tcW w:w="340" w:type="dxa"/>
            <w:vAlign w:val="bottom"/>
            <w:shd w:val="clear" w:color="auto" w:fill="B3B3B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B3B3B3"/>
          </w:tcPr>
          <w:p>
            <w:pPr>
              <w:spacing w:after="0" w:line="20" w:lineRule="exact"/>
              <w:rPr>
                <w:sz w:val="1"/>
                <w:szCs w:val="1"/>
                <w:color w:val="auto"/>
              </w:rPr>
            </w:pPr>
          </w:p>
        </w:tc>
        <w:tc>
          <w:tcPr>
            <w:tcW w:w="600" w:type="dxa"/>
            <w:vAlign w:val="bottom"/>
            <w:tcBorders>
              <w:right w:val="single" w:sz="8" w:color="B3B3B3"/>
            </w:tcBorders>
            <w:shd w:val="clear" w:color="auto" w:fill="B3B3B3"/>
          </w:tcPr>
          <w:p>
            <w:pPr>
              <w:spacing w:after="0" w:line="20" w:lineRule="exact"/>
              <w:rPr>
                <w:sz w:val="1"/>
                <w:szCs w:val="1"/>
                <w:color w:val="auto"/>
              </w:rPr>
            </w:pPr>
          </w:p>
        </w:tc>
        <w:tc>
          <w:tcPr>
            <w:tcW w:w="440" w:type="dxa"/>
            <w:vAlign w:val="bottom"/>
            <w:tcBorders>
              <w:right w:val="single" w:sz="8" w:color="B3B3B3"/>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B3B3B3"/>
          </w:tcPr>
          <w:p>
            <w:pPr>
              <w:spacing w:after="0" w:line="20" w:lineRule="exact"/>
              <w:rPr>
                <w:sz w:val="1"/>
                <w:szCs w:val="1"/>
                <w:color w:val="auto"/>
              </w:rPr>
            </w:pPr>
          </w:p>
        </w:tc>
        <w:tc>
          <w:tcPr>
            <w:tcW w:w="420" w:type="dxa"/>
            <w:vAlign w:val="bottom"/>
            <w:shd w:val="clear" w:color="auto" w:fill="B3B3B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B3B3B3"/>
          </w:tcPr>
          <w:p>
            <w:pPr>
              <w:spacing w:after="0" w:line="20" w:lineRule="exact"/>
              <w:rPr>
                <w:sz w:val="1"/>
                <w:szCs w:val="1"/>
                <w:color w:val="auto"/>
              </w:rPr>
            </w:pPr>
          </w:p>
        </w:tc>
        <w:tc>
          <w:tcPr>
            <w:tcW w:w="360" w:type="dxa"/>
            <w:vAlign w:val="bottom"/>
            <w:shd w:val="clear" w:color="auto" w:fill="B3B3B3"/>
          </w:tcPr>
          <w:p>
            <w:pPr>
              <w:spacing w:after="0" w:line="20" w:lineRule="exact"/>
              <w:rPr>
                <w:sz w:val="1"/>
                <w:szCs w:val="1"/>
                <w:color w:val="auto"/>
              </w:rPr>
            </w:pPr>
          </w:p>
        </w:tc>
        <w:tc>
          <w:tcPr>
            <w:tcW w:w="140" w:type="dxa"/>
            <w:vAlign w:val="bottom"/>
            <w:shd w:val="clear" w:color="auto" w:fill="B3B3B3"/>
          </w:tcPr>
          <w:p>
            <w:pPr>
              <w:spacing w:after="0" w:line="20" w:lineRule="exact"/>
              <w:rPr>
                <w:sz w:val="1"/>
                <w:szCs w:val="1"/>
                <w:color w:val="auto"/>
              </w:rPr>
            </w:pPr>
          </w:p>
        </w:tc>
        <w:tc>
          <w:tcPr>
            <w:tcW w:w="160" w:type="dxa"/>
            <w:vAlign w:val="bottom"/>
            <w:tcBorders>
              <w:right w:val="single" w:sz="8" w:color="B3B3B3"/>
            </w:tcBorders>
            <w:shd w:val="clear" w:color="auto" w:fill="B3B3B3"/>
          </w:tcPr>
          <w:p>
            <w:pPr>
              <w:spacing w:after="0" w:line="20" w:lineRule="exact"/>
              <w:rPr>
                <w:sz w:val="1"/>
                <w:szCs w:val="1"/>
                <w:color w:val="auto"/>
              </w:rPr>
            </w:pPr>
          </w:p>
        </w:tc>
        <w:tc>
          <w:tcPr>
            <w:tcW w:w="400" w:type="dxa"/>
            <w:vAlign w:val="bottom"/>
            <w:tcBorders>
              <w:right w:val="single" w:sz="8" w:color="B3B3B3"/>
            </w:tcBorders>
            <w:shd w:val="clear" w:color="auto" w:fill="000000"/>
          </w:tcPr>
          <w:p>
            <w:pPr>
              <w:spacing w:after="0" w:line="20" w:lineRule="exact"/>
              <w:rPr>
                <w:sz w:val="1"/>
                <w:szCs w:val="1"/>
                <w:color w:val="auto"/>
              </w:rPr>
            </w:pPr>
          </w:p>
        </w:tc>
        <w:tc>
          <w:tcPr>
            <w:tcW w:w="120" w:type="dxa"/>
            <w:vAlign w:val="bottom"/>
            <w:shd w:val="clear" w:color="auto" w:fill="B3B3B3"/>
          </w:tcPr>
          <w:p>
            <w:pPr>
              <w:spacing w:after="0" w:line="20" w:lineRule="exact"/>
              <w:rPr>
                <w:sz w:val="1"/>
                <w:szCs w:val="1"/>
                <w:color w:val="auto"/>
              </w:rPr>
            </w:pPr>
          </w:p>
        </w:tc>
        <w:tc>
          <w:tcPr>
            <w:tcW w:w="140" w:type="dxa"/>
            <w:vAlign w:val="bottom"/>
            <w:shd w:val="clear" w:color="auto" w:fill="B3B3B3"/>
          </w:tcPr>
          <w:p>
            <w:pPr>
              <w:spacing w:after="0" w:line="20" w:lineRule="exact"/>
              <w:rPr>
                <w:sz w:val="1"/>
                <w:szCs w:val="1"/>
                <w:color w:val="auto"/>
              </w:rPr>
            </w:pPr>
          </w:p>
        </w:tc>
        <w:tc>
          <w:tcPr>
            <w:tcW w:w="380" w:type="dxa"/>
            <w:vAlign w:val="bottom"/>
            <w:tcBorders>
              <w:right w:val="single" w:sz="8" w:color="auto"/>
            </w:tcBorders>
            <w:shd w:val="clear" w:color="auto" w:fill="B3B3B3"/>
          </w:tcPr>
          <w:p>
            <w:pPr>
              <w:spacing w:after="0" w:line="20" w:lineRule="exact"/>
              <w:rPr>
                <w:sz w:val="1"/>
                <w:szCs w:val="1"/>
                <w:color w:val="auto"/>
              </w:rPr>
            </w:pPr>
          </w:p>
        </w:tc>
        <w:tc>
          <w:tcPr>
            <w:tcW w:w="380" w:type="dxa"/>
            <w:vAlign w:val="bottom"/>
            <w:shd w:val="clear" w:color="auto" w:fill="B3B3B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B3B3B3"/>
          </w:tcPr>
          <w:p>
            <w:pPr>
              <w:spacing w:after="0" w:line="20" w:lineRule="exact"/>
              <w:rPr>
                <w:sz w:val="1"/>
                <w:szCs w:val="1"/>
                <w:color w:val="auto"/>
              </w:rPr>
            </w:pPr>
          </w:p>
        </w:tc>
      </w:tr>
      <w:tr>
        <w:trPr>
          <w:trHeight w:val="196"/>
        </w:trPr>
        <w:tc>
          <w:tcPr>
            <w:tcW w:w="1140" w:type="dxa"/>
            <w:vAlign w:val="bottom"/>
            <w:tcBorders>
              <w:left w:val="single" w:sz="8" w:color="auto"/>
              <w:right w:val="single" w:sz="8" w:color="B3B3B3"/>
            </w:tcBorders>
            <w:shd w:val="clear" w:color="auto" w:fill="B3B3B3"/>
          </w:tcPr>
          <w:p>
            <w:pPr>
              <w:spacing w:after="0"/>
              <w:rPr>
                <w:sz w:val="17"/>
                <w:szCs w:val="17"/>
                <w:color w:val="auto"/>
              </w:rPr>
            </w:pPr>
          </w:p>
        </w:tc>
        <w:tc>
          <w:tcPr>
            <w:tcW w:w="700" w:type="dxa"/>
            <w:vAlign w:val="bottom"/>
            <w:shd w:val="clear" w:color="auto" w:fill="B3B3B3"/>
          </w:tcPr>
          <w:p>
            <w:pPr>
              <w:spacing w:after="0"/>
              <w:rPr>
                <w:sz w:val="17"/>
                <w:szCs w:val="17"/>
                <w:color w:val="auto"/>
              </w:rPr>
            </w:pPr>
          </w:p>
        </w:tc>
        <w:tc>
          <w:tcPr>
            <w:tcW w:w="160" w:type="dxa"/>
            <w:vAlign w:val="bottom"/>
            <w:shd w:val="clear" w:color="auto" w:fill="B3B3B3"/>
          </w:tcPr>
          <w:p>
            <w:pPr>
              <w:spacing w:after="0"/>
              <w:rPr>
                <w:sz w:val="17"/>
                <w:szCs w:val="17"/>
                <w:color w:val="auto"/>
              </w:rPr>
            </w:pPr>
          </w:p>
        </w:tc>
        <w:tc>
          <w:tcPr>
            <w:tcW w:w="900" w:type="dxa"/>
            <w:vAlign w:val="bottom"/>
            <w:tcBorders>
              <w:right w:val="single" w:sz="8" w:color="auto"/>
            </w:tcBorders>
            <w:shd w:val="clear" w:color="auto" w:fill="B3B3B3"/>
          </w:tcPr>
          <w:p>
            <w:pPr>
              <w:spacing w:after="0"/>
              <w:rPr>
                <w:sz w:val="17"/>
                <w:szCs w:val="17"/>
                <w:color w:val="auto"/>
              </w:rPr>
            </w:pPr>
          </w:p>
        </w:tc>
        <w:tc>
          <w:tcPr>
            <w:tcW w:w="340" w:type="dxa"/>
            <w:vAlign w:val="bottom"/>
            <w:shd w:val="clear" w:color="auto" w:fill="B3B3B3"/>
          </w:tcPr>
          <w:p>
            <w:pPr>
              <w:spacing w:after="0"/>
              <w:rPr>
                <w:sz w:val="17"/>
                <w:szCs w:val="17"/>
                <w:color w:val="auto"/>
              </w:rPr>
            </w:pPr>
          </w:p>
        </w:tc>
        <w:tc>
          <w:tcPr>
            <w:tcW w:w="240" w:type="dxa"/>
            <w:vAlign w:val="bottom"/>
            <w:shd w:val="clear" w:color="auto" w:fill="B3B3B3"/>
          </w:tcPr>
          <w:p>
            <w:pPr>
              <w:spacing w:after="0"/>
              <w:rPr>
                <w:sz w:val="17"/>
                <w:szCs w:val="17"/>
                <w:color w:val="auto"/>
              </w:rPr>
            </w:pPr>
          </w:p>
        </w:tc>
        <w:tc>
          <w:tcPr>
            <w:tcW w:w="500" w:type="dxa"/>
            <w:vAlign w:val="bottom"/>
            <w:shd w:val="clear" w:color="auto" w:fill="B3B3B3"/>
          </w:tcPr>
          <w:p>
            <w:pPr>
              <w:spacing w:after="0"/>
              <w:rPr>
                <w:sz w:val="17"/>
                <w:szCs w:val="17"/>
                <w:color w:val="auto"/>
              </w:rPr>
            </w:pPr>
          </w:p>
        </w:tc>
        <w:tc>
          <w:tcPr>
            <w:tcW w:w="240" w:type="dxa"/>
            <w:vAlign w:val="bottom"/>
            <w:shd w:val="clear" w:color="auto" w:fill="B3B3B3"/>
          </w:tcPr>
          <w:p>
            <w:pPr>
              <w:spacing w:after="0"/>
              <w:rPr>
                <w:sz w:val="17"/>
                <w:szCs w:val="17"/>
                <w:color w:val="auto"/>
              </w:rPr>
            </w:pPr>
          </w:p>
        </w:tc>
        <w:tc>
          <w:tcPr>
            <w:tcW w:w="380" w:type="dxa"/>
            <w:vAlign w:val="bottom"/>
            <w:tcBorders>
              <w:right w:val="single" w:sz="8" w:color="auto"/>
            </w:tcBorders>
            <w:shd w:val="clear" w:color="auto" w:fill="B3B3B3"/>
          </w:tcPr>
          <w:p>
            <w:pPr>
              <w:spacing w:after="0"/>
              <w:rPr>
                <w:sz w:val="17"/>
                <w:szCs w:val="17"/>
                <w:color w:val="auto"/>
              </w:rPr>
            </w:pPr>
          </w:p>
        </w:tc>
        <w:tc>
          <w:tcPr>
            <w:tcW w:w="600" w:type="dxa"/>
            <w:vAlign w:val="bottom"/>
            <w:tcBorders>
              <w:right w:val="single" w:sz="8" w:color="B3B3B3"/>
            </w:tcBorders>
            <w:shd w:val="clear" w:color="auto" w:fill="B3B3B3"/>
          </w:tcPr>
          <w:p>
            <w:pPr>
              <w:spacing w:after="0"/>
              <w:rPr>
                <w:sz w:val="17"/>
                <w:szCs w:val="17"/>
                <w:color w:val="auto"/>
              </w:rPr>
            </w:pPr>
          </w:p>
        </w:tc>
        <w:tc>
          <w:tcPr>
            <w:tcW w:w="440" w:type="dxa"/>
            <w:vAlign w:val="bottom"/>
            <w:tcBorders>
              <w:right w:val="single" w:sz="8" w:color="B3B3B3"/>
            </w:tcBorders>
            <w:shd w:val="clear" w:color="auto" w:fill="B3B3B3"/>
          </w:tcPr>
          <w:p>
            <w:pPr>
              <w:spacing w:after="0"/>
              <w:rPr>
                <w:sz w:val="17"/>
                <w:szCs w:val="17"/>
                <w:color w:val="auto"/>
              </w:rPr>
            </w:pPr>
          </w:p>
        </w:tc>
        <w:tc>
          <w:tcPr>
            <w:tcW w:w="560" w:type="dxa"/>
            <w:vAlign w:val="bottom"/>
            <w:tcBorders>
              <w:right w:val="single" w:sz="8" w:color="auto"/>
            </w:tcBorders>
            <w:shd w:val="clear" w:color="auto" w:fill="B3B3B3"/>
          </w:tcPr>
          <w:p>
            <w:pPr>
              <w:spacing w:after="0"/>
              <w:rPr>
                <w:sz w:val="17"/>
                <w:szCs w:val="17"/>
                <w:color w:val="auto"/>
              </w:rPr>
            </w:pPr>
          </w:p>
        </w:tc>
        <w:tc>
          <w:tcPr>
            <w:tcW w:w="420" w:type="dxa"/>
            <w:vAlign w:val="bottom"/>
            <w:shd w:val="clear" w:color="auto" w:fill="B3B3B3"/>
          </w:tcPr>
          <w:p>
            <w:pPr>
              <w:spacing w:after="0"/>
              <w:rPr>
                <w:sz w:val="17"/>
                <w:szCs w:val="17"/>
                <w:color w:val="auto"/>
              </w:rPr>
            </w:pPr>
          </w:p>
        </w:tc>
        <w:tc>
          <w:tcPr>
            <w:tcW w:w="160" w:type="dxa"/>
            <w:vAlign w:val="bottom"/>
            <w:shd w:val="clear" w:color="auto" w:fill="B3B3B3"/>
          </w:tcPr>
          <w:p>
            <w:pPr>
              <w:spacing w:after="0"/>
              <w:rPr>
                <w:sz w:val="17"/>
                <w:szCs w:val="17"/>
                <w:color w:val="auto"/>
              </w:rPr>
            </w:pPr>
          </w:p>
        </w:tc>
        <w:tc>
          <w:tcPr>
            <w:tcW w:w="640" w:type="dxa"/>
            <w:vAlign w:val="bottom"/>
            <w:shd w:val="clear" w:color="auto" w:fill="B3B3B3"/>
          </w:tcPr>
          <w:p>
            <w:pPr>
              <w:jc w:val="center"/>
              <w:spacing w:after="0" w:line="196" w:lineRule="exact"/>
              <w:rPr>
                <w:sz w:val="20"/>
                <w:szCs w:val="20"/>
                <w:color w:val="auto"/>
              </w:rPr>
            </w:pPr>
            <w:r>
              <w:rPr>
                <w:rFonts w:ascii="Arial" w:cs="Arial" w:eastAsia="Arial" w:hAnsi="Arial"/>
                <w:sz w:val="18"/>
                <w:szCs w:val="18"/>
                <w:color w:val="auto"/>
                <w:w w:val="86"/>
              </w:rPr>
              <w:t>Fee Rate</w:t>
            </w:r>
          </w:p>
        </w:tc>
        <w:tc>
          <w:tcPr>
            <w:tcW w:w="160" w:type="dxa"/>
            <w:vAlign w:val="bottom"/>
            <w:shd w:val="clear" w:color="auto" w:fill="B3B3B3"/>
          </w:tcPr>
          <w:p>
            <w:pPr>
              <w:spacing w:after="0"/>
              <w:rPr>
                <w:sz w:val="17"/>
                <w:szCs w:val="17"/>
                <w:color w:val="auto"/>
              </w:rPr>
            </w:pPr>
          </w:p>
        </w:tc>
        <w:tc>
          <w:tcPr>
            <w:tcW w:w="440" w:type="dxa"/>
            <w:vAlign w:val="bottom"/>
            <w:tcBorders>
              <w:right w:val="single" w:sz="8" w:color="auto"/>
            </w:tcBorders>
            <w:shd w:val="clear" w:color="auto" w:fill="B3B3B3"/>
          </w:tcPr>
          <w:p>
            <w:pPr>
              <w:spacing w:after="0"/>
              <w:rPr>
                <w:sz w:val="17"/>
                <w:szCs w:val="17"/>
                <w:color w:val="auto"/>
              </w:rPr>
            </w:pPr>
          </w:p>
        </w:tc>
        <w:tc>
          <w:tcPr>
            <w:tcW w:w="360" w:type="dxa"/>
            <w:vAlign w:val="bottom"/>
            <w:shd w:val="clear" w:color="auto" w:fill="B3B3B3"/>
          </w:tcPr>
          <w:p>
            <w:pPr>
              <w:spacing w:after="0"/>
              <w:rPr>
                <w:sz w:val="17"/>
                <w:szCs w:val="17"/>
                <w:color w:val="auto"/>
              </w:rPr>
            </w:pPr>
          </w:p>
        </w:tc>
        <w:tc>
          <w:tcPr>
            <w:tcW w:w="960" w:type="dxa"/>
            <w:vAlign w:val="bottom"/>
            <w:gridSpan w:val="5"/>
            <w:shd w:val="clear" w:color="auto" w:fill="B3B3B3"/>
          </w:tcPr>
          <w:p>
            <w:pPr>
              <w:spacing w:after="0" w:line="196" w:lineRule="exact"/>
              <w:rPr>
                <w:sz w:val="20"/>
                <w:szCs w:val="20"/>
                <w:color w:val="auto"/>
              </w:rPr>
            </w:pPr>
            <w:r>
              <w:rPr>
                <w:rFonts w:ascii="Arial" w:cs="Arial" w:eastAsia="Arial" w:hAnsi="Arial"/>
                <w:sz w:val="18"/>
                <w:szCs w:val="18"/>
                <w:color w:val="auto"/>
                <w:w w:val="91"/>
              </w:rPr>
              <w:t>Performance</w:t>
            </w:r>
          </w:p>
        </w:tc>
        <w:tc>
          <w:tcPr>
            <w:tcW w:w="380" w:type="dxa"/>
            <w:vAlign w:val="bottom"/>
            <w:tcBorders>
              <w:right w:val="single" w:sz="8" w:color="auto"/>
            </w:tcBorders>
            <w:shd w:val="clear" w:color="auto" w:fill="B3B3B3"/>
          </w:tcPr>
          <w:p>
            <w:pPr>
              <w:spacing w:after="0"/>
              <w:rPr>
                <w:sz w:val="17"/>
                <w:szCs w:val="17"/>
                <w:color w:val="auto"/>
              </w:rPr>
            </w:pPr>
          </w:p>
        </w:tc>
        <w:tc>
          <w:tcPr>
            <w:tcW w:w="380" w:type="dxa"/>
            <w:vAlign w:val="bottom"/>
            <w:shd w:val="clear" w:color="auto" w:fill="B3B3B3"/>
          </w:tcPr>
          <w:p>
            <w:pPr>
              <w:spacing w:after="0"/>
              <w:rPr>
                <w:sz w:val="17"/>
                <w:szCs w:val="17"/>
                <w:color w:val="auto"/>
              </w:rPr>
            </w:pPr>
          </w:p>
        </w:tc>
        <w:tc>
          <w:tcPr>
            <w:tcW w:w="1320" w:type="dxa"/>
            <w:vAlign w:val="bottom"/>
            <w:tcBorders>
              <w:right w:val="single" w:sz="8" w:color="auto"/>
            </w:tcBorders>
            <w:gridSpan w:val="6"/>
            <w:shd w:val="clear" w:color="auto" w:fill="B3B3B3"/>
          </w:tcPr>
          <w:p>
            <w:pPr>
              <w:jc w:val="center"/>
              <w:ind w:right="440"/>
              <w:spacing w:after="0" w:line="196" w:lineRule="exact"/>
              <w:rPr>
                <w:sz w:val="20"/>
                <w:szCs w:val="20"/>
                <w:color w:val="auto"/>
              </w:rPr>
            </w:pPr>
            <w:r>
              <w:rPr>
                <w:rFonts w:ascii="Arial" w:cs="Arial" w:eastAsia="Arial" w:hAnsi="Arial"/>
                <w:sz w:val="18"/>
                <w:szCs w:val="18"/>
                <w:color w:val="auto"/>
                <w:w w:val="90"/>
              </w:rPr>
              <w:t>Letters of</w:t>
            </w:r>
          </w:p>
        </w:tc>
      </w:tr>
      <w:tr>
        <w:trPr>
          <w:trHeight w:val="196"/>
        </w:trPr>
        <w:tc>
          <w:tcPr>
            <w:tcW w:w="1140" w:type="dxa"/>
            <w:vAlign w:val="bottom"/>
            <w:tcBorders>
              <w:top w:val="single" w:sz="8" w:color="B3B3B3"/>
              <w:left w:val="single" w:sz="8" w:color="auto"/>
              <w:right w:val="single" w:sz="8" w:color="B3B3B3"/>
            </w:tcBorders>
            <w:shd w:val="clear" w:color="auto" w:fill="B3B3B3"/>
          </w:tcPr>
          <w:p>
            <w:pPr>
              <w:spacing w:after="0"/>
              <w:rPr>
                <w:sz w:val="17"/>
                <w:szCs w:val="17"/>
                <w:color w:val="auto"/>
              </w:rPr>
            </w:pPr>
          </w:p>
        </w:tc>
        <w:tc>
          <w:tcPr>
            <w:tcW w:w="700" w:type="dxa"/>
            <w:vAlign w:val="bottom"/>
            <w:tcBorders>
              <w:top w:val="single" w:sz="8" w:color="B3B3B3"/>
            </w:tcBorders>
            <w:shd w:val="clear" w:color="auto" w:fill="B3B3B3"/>
          </w:tcPr>
          <w:p>
            <w:pPr>
              <w:spacing w:after="0"/>
              <w:rPr>
                <w:sz w:val="17"/>
                <w:szCs w:val="17"/>
                <w:color w:val="auto"/>
              </w:rPr>
            </w:pPr>
          </w:p>
        </w:tc>
        <w:tc>
          <w:tcPr>
            <w:tcW w:w="160" w:type="dxa"/>
            <w:vAlign w:val="bottom"/>
            <w:tcBorders>
              <w:top w:val="single" w:sz="8" w:color="B3B3B3"/>
            </w:tcBorders>
            <w:shd w:val="clear" w:color="auto" w:fill="B3B3B3"/>
          </w:tcPr>
          <w:p>
            <w:pPr>
              <w:spacing w:after="0"/>
              <w:rPr>
                <w:sz w:val="17"/>
                <w:szCs w:val="17"/>
                <w:color w:val="auto"/>
              </w:rPr>
            </w:pPr>
          </w:p>
        </w:tc>
        <w:tc>
          <w:tcPr>
            <w:tcW w:w="900" w:type="dxa"/>
            <w:vAlign w:val="bottom"/>
            <w:tcBorders>
              <w:top w:val="single" w:sz="8" w:color="B3B3B3"/>
              <w:right w:val="single" w:sz="8" w:color="auto"/>
            </w:tcBorders>
            <w:shd w:val="clear" w:color="auto" w:fill="B3B3B3"/>
          </w:tcPr>
          <w:p>
            <w:pPr>
              <w:spacing w:after="0"/>
              <w:rPr>
                <w:sz w:val="17"/>
                <w:szCs w:val="17"/>
                <w:color w:val="auto"/>
              </w:rPr>
            </w:pPr>
          </w:p>
        </w:tc>
        <w:tc>
          <w:tcPr>
            <w:tcW w:w="340" w:type="dxa"/>
            <w:vAlign w:val="bottom"/>
            <w:tcBorders>
              <w:top w:val="single" w:sz="8" w:color="B3B3B3"/>
            </w:tcBorders>
            <w:shd w:val="clear" w:color="auto" w:fill="B3B3B3"/>
          </w:tcPr>
          <w:p>
            <w:pPr>
              <w:spacing w:after="0"/>
              <w:rPr>
                <w:sz w:val="17"/>
                <w:szCs w:val="17"/>
                <w:color w:val="auto"/>
              </w:rPr>
            </w:pPr>
          </w:p>
        </w:tc>
        <w:tc>
          <w:tcPr>
            <w:tcW w:w="240" w:type="dxa"/>
            <w:vAlign w:val="bottom"/>
            <w:tcBorders>
              <w:top w:val="single" w:sz="8" w:color="B3B3B3"/>
            </w:tcBorders>
            <w:shd w:val="clear" w:color="auto" w:fill="B3B3B3"/>
          </w:tcPr>
          <w:p>
            <w:pPr>
              <w:spacing w:after="0"/>
              <w:rPr>
                <w:sz w:val="17"/>
                <w:szCs w:val="17"/>
                <w:color w:val="auto"/>
              </w:rPr>
            </w:pPr>
          </w:p>
        </w:tc>
        <w:tc>
          <w:tcPr>
            <w:tcW w:w="1120" w:type="dxa"/>
            <w:vAlign w:val="bottom"/>
            <w:tcBorders>
              <w:top w:val="single" w:sz="8" w:color="B3B3B3"/>
              <w:right w:val="single" w:sz="8" w:color="auto"/>
            </w:tcBorders>
            <w:gridSpan w:val="3"/>
            <w:shd w:val="clear" w:color="auto" w:fill="B3B3B3"/>
          </w:tcPr>
          <w:p>
            <w:pPr>
              <w:jc w:val="center"/>
              <w:ind w:right="620"/>
              <w:spacing w:after="0" w:line="196" w:lineRule="exact"/>
              <w:rPr>
                <w:sz w:val="20"/>
                <w:szCs w:val="20"/>
                <w:color w:val="auto"/>
              </w:rPr>
            </w:pPr>
            <w:r>
              <w:rPr>
                <w:rFonts w:ascii="Arial" w:cs="Arial" w:eastAsia="Arial" w:hAnsi="Arial"/>
                <w:sz w:val="18"/>
                <w:szCs w:val="18"/>
                <w:color w:val="auto"/>
                <w:w w:val="86"/>
              </w:rPr>
              <w:t>Spread</w:t>
            </w:r>
          </w:p>
        </w:tc>
        <w:tc>
          <w:tcPr>
            <w:tcW w:w="1600" w:type="dxa"/>
            <w:vAlign w:val="bottom"/>
            <w:tcBorders>
              <w:top w:val="single" w:sz="8" w:color="B3B3B3"/>
              <w:right w:val="single" w:sz="8" w:color="auto"/>
            </w:tcBorders>
            <w:gridSpan w:val="3"/>
            <w:shd w:val="clear" w:color="auto" w:fill="B3B3B3"/>
          </w:tcPr>
          <w:p>
            <w:pPr>
              <w:jc w:val="center"/>
              <w:ind w:right="20"/>
              <w:spacing w:after="0" w:line="196" w:lineRule="exact"/>
              <w:rPr>
                <w:sz w:val="20"/>
                <w:szCs w:val="20"/>
                <w:color w:val="auto"/>
              </w:rPr>
            </w:pPr>
            <w:r>
              <w:rPr>
                <w:rFonts w:ascii="Arial" w:cs="Arial" w:eastAsia="Arial" w:hAnsi="Arial"/>
                <w:sz w:val="18"/>
                <w:szCs w:val="18"/>
                <w:color w:val="auto"/>
                <w:w w:val="86"/>
              </w:rPr>
              <w:t>Spread</w:t>
            </w:r>
          </w:p>
        </w:tc>
        <w:tc>
          <w:tcPr>
            <w:tcW w:w="420" w:type="dxa"/>
            <w:vAlign w:val="bottom"/>
            <w:tcBorders>
              <w:top w:val="single" w:sz="8" w:color="B3B3B3"/>
            </w:tcBorders>
            <w:shd w:val="clear" w:color="auto" w:fill="B3B3B3"/>
          </w:tcPr>
          <w:p>
            <w:pPr>
              <w:spacing w:after="0"/>
              <w:rPr>
                <w:sz w:val="17"/>
                <w:szCs w:val="17"/>
                <w:color w:val="auto"/>
              </w:rPr>
            </w:pPr>
          </w:p>
        </w:tc>
        <w:tc>
          <w:tcPr>
            <w:tcW w:w="160" w:type="dxa"/>
            <w:vAlign w:val="bottom"/>
            <w:tcBorders>
              <w:top w:val="single" w:sz="8" w:color="B3B3B3"/>
            </w:tcBorders>
            <w:shd w:val="clear" w:color="auto" w:fill="B3B3B3"/>
          </w:tcPr>
          <w:p>
            <w:pPr>
              <w:spacing w:after="0"/>
              <w:rPr>
                <w:sz w:val="17"/>
                <w:szCs w:val="17"/>
                <w:color w:val="auto"/>
              </w:rPr>
            </w:pPr>
          </w:p>
        </w:tc>
        <w:tc>
          <w:tcPr>
            <w:tcW w:w="640" w:type="dxa"/>
            <w:vAlign w:val="bottom"/>
            <w:tcBorders>
              <w:top w:val="single" w:sz="8" w:color="auto"/>
            </w:tcBorders>
            <w:shd w:val="clear" w:color="auto" w:fill="B3B3B3"/>
          </w:tcPr>
          <w:p>
            <w:pPr>
              <w:spacing w:after="0"/>
              <w:rPr>
                <w:sz w:val="17"/>
                <w:szCs w:val="17"/>
                <w:color w:val="auto"/>
              </w:rPr>
            </w:pPr>
          </w:p>
        </w:tc>
        <w:tc>
          <w:tcPr>
            <w:tcW w:w="160" w:type="dxa"/>
            <w:vAlign w:val="bottom"/>
            <w:tcBorders>
              <w:top w:val="single" w:sz="8" w:color="B3B3B3"/>
            </w:tcBorders>
            <w:shd w:val="clear" w:color="auto" w:fill="B3B3B3"/>
          </w:tcPr>
          <w:p>
            <w:pPr>
              <w:spacing w:after="0"/>
              <w:rPr>
                <w:sz w:val="17"/>
                <w:szCs w:val="17"/>
                <w:color w:val="auto"/>
              </w:rPr>
            </w:pPr>
          </w:p>
        </w:tc>
        <w:tc>
          <w:tcPr>
            <w:tcW w:w="440" w:type="dxa"/>
            <w:vAlign w:val="bottom"/>
            <w:tcBorders>
              <w:top w:val="single" w:sz="8" w:color="B3B3B3"/>
              <w:right w:val="single" w:sz="8" w:color="auto"/>
            </w:tcBorders>
            <w:shd w:val="clear" w:color="auto" w:fill="B3B3B3"/>
          </w:tcPr>
          <w:p>
            <w:pPr>
              <w:spacing w:after="0"/>
              <w:rPr>
                <w:sz w:val="17"/>
                <w:szCs w:val="17"/>
                <w:color w:val="auto"/>
              </w:rPr>
            </w:pPr>
          </w:p>
        </w:tc>
        <w:tc>
          <w:tcPr>
            <w:tcW w:w="360" w:type="dxa"/>
            <w:vAlign w:val="bottom"/>
            <w:tcBorders>
              <w:top w:val="single" w:sz="8" w:color="B3B3B3"/>
            </w:tcBorders>
            <w:shd w:val="clear" w:color="auto" w:fill="B3B3B3"/>
          </w:tcPr>
          <w:p>
            <w:pPr>
              <w:spacing w:after="0"/>
              <w:rPr>
                <w:sz w:val="17"/>
                <w:szCs w:val="17"/>
                <w:color w:val="auto"/>
              </w:rPr>
            </w:pPr>
          </w:p>
        </w:tc>
        <w:tc>
          <w:tcPr>
            <w:tcW w:w="140" w:type="dxa"/>
            <w:vAlign w:val="bottom"/>
            <w:tcBorders>
              <w:top w:val="single" w:sz="8" w:color="auto"/>
            </w:tcBorders>
            <w:shd w:val="clear" w:color="auto" w:fill="B3B3B3"/>
          </w:tcPr>
          <w:p>
            <w:pPr>
              <w:spacing w:after="0"/>
              <w:rPr>
                <w:sz w:val="17"/>
                <w:szCs w:val="17"/>
                <w:color w:val="auto"/>
              </w:rPr>
            </w:pPr>
          </w:p>
        </w:tc>
        <w:tc>
          <w:tcPr>
            <w:tcW w:w="820" w:type="dxa"/>
            <w:vAlign w:val="bottom"/>
            <w:tcBorders>
              <w:top w:val="single" w:sz="8" w:color="auto"/>
            </w:tcBorders>
            <w:gridSpan w:val="4"/>
            <w:shd w:val="clear" w:color="auto" w:fill="B3B3B3"/>
          </w:tcPr>
          <w:p>
            <w:pPr>
              <w:jc w:val="center"/>
              <w:ind w:right="140"/>
              <w:spacing w:after="0" w:line="196" w:lineRule="exact"/>
              <w:rPr>
                <w:sz w:val="20"/>
                <w:szCs w:val="20"/>
                <w:color w:val="auto"/>
              </w:rPr>
            </w:pPr>
            <w:r>
              <w:rPr>
                <w:rFonts w:ascii="Arial" w:cs="Arial" w:eastAsia="Arial" w:hAnsi="Arial"/>
                <w:sz w:val="18"/>
                <w:szCs w:val="18"/>
                <w:color w:val="auto"/>
                <w:w w:val="90"/>
              </w:rPr>
              <w:t>Letters of</w:t>
            </w:r>
          </w:p>
        </w:tc>
        <w:tc>
          <w:tcPr>
            <w:tcW w:w="380" w:type="dxa"/>
            <w:vAlign w:val="bottom"/>
            <w:tcBorders>
              <w:top w:val="single" w:sz="8" w:color="B3B3B3"/>
              <w:right w:val="single" w:sz="8" w:color="auto"/>
            </w:tcBorders>
            <w:shd w:val="clear" w:color="auto" w:fill="B3B3B3"/>
          </w:tcPr>
          <w:p>
            <w:pPr>
              <w:spacing w:after="0"/>
              <w:rPr>
                <w:sz w:val="17"/>
                <w:szCs w:val="17"/>
                <w:color w:val="auto"/>
              </w:rPr>
            </w:pPr>
          </w:p>
        </w:tc>
        <w:tc>
          <w:tcPr>
            <w:tcW w:w="380" w:type="dxa"/>
            <w:vAlign w:val="bottom"/>
            <w:tcBorders>
              <w:top w:val="single" w:sz="8" w:color="B3B3B3"/>
            </w:tcBorders>
            <w:shd w:val="clear" w:color="auto" w:fill="B3B3B3"/>
          </w:tcPr>
          <w:p>
            <w:pPr>
              <w:spacing w:after="0"/>
              <w:rPr>
                <w:sz w:val="17"/>
                <w:szCs w:val="17"/>
                <w:color w:val="auto"/>
              </w:rPr>
            </w:pPr>
          </w:p>
        </w:tc>
        <w:tc>
          <w:tcPr>
            <w:tcW w:w="100" w:type="dxa"/>
            <w:vAlign w:val="bottom"/>
            <w:tcBorders>
              <w:top w:val="single" w:sz="8" w:color="B3B3B3"/>
            </w:tcBorders>
            <w:shd w:val="clear" w:color="auto" w:fill="B3B3B3"/>
          </w:tcPr>
          <w:p>
            <w:pPr>
              <w:spacing w:after="0"/>
              <w:rPr>
                <w:sz w:val="17"/>
                <w:szCs w:val="17"/>
                <w:color w:val="auto"/>
              </w:rPr>
            </w:pPr>
          </w:p>
        </w:tc>
        <w:tc>
          <w:tcPr>
            <w:tcW w:w="740" w:type="dxa"/>
            <w:vAlign w:val="bottom"/>
            <w:tcBorders>
              <w:top w:val="single" w:sz="8" w:color="auto"/>
            </w:tcBorders>
            <w:gridSpan w:val="3"/>
            <w:shd w:val="clear" w:color="auto" w:fill="B3B3B3"/>
          </w:tcPr>
          <w:p>
            <w:pPr>
              <w:jc w:val="center"/>
              <w:ind w:right="20"/>
              <w:spacing w:after="0" w:line="196" w:lineRule="exact"/>
              <w:rPr>
                <w:sz w:val="20"/>
                <w:szCs w:val="20"/>
                <w:color w:val="auto"/>
              </w:rPr>
            </w:pPr>
            <w:r>
              <w:rPr>
                <w:rFonts w:ascii="Arial" w:cs="Arial" w:eastAsia="Arial" w:hAnsi="Arial"/>
                <w:sz w:val="18"/>
                <w:szCs w:val="18"/>
                <w:color w:val="auto"/>
                <w:w w:val="91"/>
              </w:rPr>
              <w:t>Credit</w:t>
            </w:r>
          </w:p>
        </w:tc>
        <w:tc>
          <w:tcPr>
            <w:tcW w:w="480" w:type="dxa"/>
            <w:vAlign w:val="bottom"/>
            <w:tcBorders>
              <w:top w:val="single" w:sz="8" w:color="B3B3B3"/>
              <w:right w:val="single" w:sz="8" w:color="auto"/>
            </w:tcBorders>
            <w:gridSpan w:val="2"/>
            <w:shd w:val="clear" w:color="auto" w:fill="B3B3B3"/>
          </w:tcPr>
          <w:p>
            <w:pPr>
              <w:spacing w:after="0"/>
              <w:rPr>
                <w:sz w:val="17"/>
                <w:szCs w:val="17"/>
                <w:color w:val="auto"/>
              </w:rPr>
            </w:pPr>
          </w:p>
        </w:tc>
      </w:tr>
      <w:tr>
        <w:trPr>
          <w:trHeight w:val="196"/>
        </w:trPr>
        <w:tc>
          <w:tcPr>
            <w:tcW w:w="1140" w:type="dxa"/>
            <w:vAlign w:val="bottom"/>
            <w:tcBorders>
              <w:top w:val="single" w:sz="8" w:color="B3B3B3"/>
              <w:left w:val="single" w:sz="8" w:color="auto"/>
              <w:right w:val="single" w:sz="8" w:color="B3B3B3"/>
            </w:tcBorders>
            <w:shd w:val="clear" w:color="auto" w:fill="B3B3B3"/>
          </w:tcPr>
          <w:p>
            <w:pPr>
              <w:spacing w:after="0"/>
              <w:rPr>
                <w:sz w:val="17"/>
                <w:szCs w:val="17"/>
                <w:color w:val="auto"/>
              </w:rPr>
            </w:pPr>
          </w:p>
        </w:tc>
        <w:tc>
          <w:tcPr>
            <w:tcW w:w="700" w:type="dxa"/>
            <w:vAlign w:val="bottom"/>
            <w:tcBorders>
              <w:top w:val="single" w:sz="8" w:color="B3B3B3"/>
            </w:tcBorders>
            <w:shd w:val="clear" w:color="auto" w:fill="B3B3B3"/>
          </w:tcPr>
          <w:p>
            <w:pPr>
              <w:spacing w:after="0"/>
              <w:rPr>
                <w:sz w:val="17"/>
                <w:szCs w:val="17"/>
                <w:color w:val="auto"/>
              </w:rPr>
            </w:pPr>
          </w:p>
        </w:tc>
        <w:tc>
          <w:tcPr>
            <w:tcW w:w="160" w:type="dxa"/>
            <w:vAlign w:val="bottom"/>
            <w:tcBorders>
              <w:top w:val="single" w:sz="8" w:color="B3B3B3"/>
            </w:tcBorders>
            <w:shd w:val="clear" w:color="auto" w:fill="B3B3B3"/>
          </w:tcPr>
          <w:p>
            <w:pPr>
              <w:spacing w:after="0"/>
              <w:rPr>
                <w:sz w:val="17"/>
                <w:szCs w:val="17"/>
                <w:color w:val="auto"/>
              </w:rPr>
            </w:pPr>
          </w:p>
        </w:tc>
        <w:tc>
          <w:tcPr>
            <w:tcW w:w="900" w:type="dxa"/>
            <w:vAlign w:val="bottom"/>
            <w:tcBorders>
              <w:top w:val="single" w:sz="8" w:color="B3B3B3"/>
              <w:right w:val="single" w:sz="8" w:color="auto"/>
            </w:tcBorders>
            <w:shd w:val="clear" w:color="auto" w:fill="B3B3B3"/>
          </w:tcPr>
          <w:p>
            <w:pPr>
              <w:spacing w:after="0"/>
              <w:rPr>
                <w:sz w:val="17"/>
                <w:szCs w:val="17"/>
                <w:color w:val="auto"/>
              </w:rPr>
            </w:pPr>
          </w:p>
        </w:tc>
        <w:tc>
          <w:tcPr>
            <w:tcW w:w="340" w:type="dxa"/>
            <w:vAlign w:val="bottom"/>
            <w:tcBorders>
              <w:top w:val="single" w:sz="8" w:color="B3B3B3"/>
            </w:tcBorders>
            <w:shd w:val="clear" w:color="auto" w:fill="B3B3B3"/>
          </w:tcPr>
          <w:p>
            <w:pPr>
              <w:spacing w:after="0"/>
              <w:rPr>
                <w:sz w:val="17"/>
                <w:szCs w:val="17"/>
                <w:color w:val="auto"/>
              </w:rPr>
            </w:pPr>
          </w:p>
        </w:tc>
        <w:tc>
          <w:tcPr>
            <w:tcW w:w="240" w:type="dxa"/>
            <w:vAlign w:val="bottom"/>
            <w:tcBorders>
              <w:top w:val="single" w:sz="8" w:color="B3B3B3"/>
            </w:tcBorders>
            <w:shd w:val="clear" w:color="auto" w:fill="B3B3B3"/>
          </w:tcPr>
          <w:p>
            <w:pPr>
              <w:spacing w:after="0"/>
              <w:rPr>
                <w:sz w:val="17"/>
                <w:szCs w:val="17"/>
                <w:color w:val="auto"/>
              </w:rPr>
            </w:pPr>
          </w:p>
        </w:tc>
        <w:tc>
          <w:tcPr>
            <w:tcW w:w="500" w:type="dxa"/>
            <w:vAlign w:val="bottom"/>
            <w:tcBorders>
              <w:top w:val="single" w:sz="8" w:color="auto"/>
            </w:tcBorders>
            <w:shd w:val="clear" w:color="auto" w:fill="B3B3B3"/>
          </w:tcPr>
          <w:p>
            <w:pPr>
              <w:spacing w:after="0"/>
              <w:rPr>
                <w:sz w:val="17"/>
                <w:szCs w:val="17"/>
                <w:color w:val="auto"/>
              </w:rPr>
            </w:pPr>
          </w:p>
        </w:tc>
        <w:tc>
          <w:tcPr>
            <w:tcW w:w="240" w:type="dxa"/>
            <w:vAlign w:val="bottom"/>
            <w:tcBorders>
              <w:top w:val="single" w:sz="8" w:color="B3B3B3"/>
            </w:tcBorders>
            <w:shd w:val="clear" w:color="auto" w:fill="B3B3B3"/>
          </w:tcPr>
          <w:p>
            <w:pPr>
              <w:spacing w:after="0"/>
              <w:rPr>
                <w:sz w:val="17"/>
                <w:szCs w:val="17"/>
                <w:color w:val="auto"/>
              </w:rPr>
            </w:pPr>
          </w:p>
        </w:tc>
        <w:tc>
          <w:tcPr>
            <w:tcW w:w="380" w:type="dxa"/>
            <w:vAlign w:val="bottom"/>
            <w:tcBorders>
              <w:top w:val="single" w:sz="8" w:color="B3B3B3"/>
              <w:right w:val="single" w:sz="8" w:color="auto"/>
            </w:tcBorders>
            <w:shd w:val="clear" w:color="auto" w:fill="B3B3B3"/>
          </w:tcPr>
          <w:p>
            <w:pPr>
              <w:spacing w:after="0"/>
              <w:rPr>
                <w:sz w:val="17"/>
                <w:szCs w:val="17"/>
                <w:color w:val="auto"/>
              </w:rPr>
            </w:pPr>
          </w:p>
        </w:tc>
        <w:tc>
          <w:tcPr>
            <w:tcW w:w="600" w:type="dxa"/>
            <w:vAlign w:val="bottom"/>
            <w:tcBorders>
              <w:top w:val="single" w:sz="8" w:color="B3B3B3"/>
              <w:right w:val="single" w:sz="8" w:color="B3B3B3"/>
            </w:tcBorders>
            <w:shd w:val="clear" w:color="auto" w:fill="B3B3B3"/>
          </w:tcPr>
          <w:p>
            <w:pPr>
              <w:spacing w:after="0"/>
              <w:rPr>
                <w:sz w:val="17"/>
                <w:szCs w:val="17"/>
                <w:color w:val="auto"/>
              </w:rPr>
            </w:pPr>
          </w:p>
        </w:tc>
        <w:tc>
          <w:tcPr>
            <w:tcW w:w="440" w:type="dxa"/>
            <w:vAlign w:val="bottom"/>
            <w:tcBorders>
              <w:top w:val="single" w:sz="8" w:color="auto"/>
              <w:right w:val="single" w:sz="8" w:color="B3B3B3"/>
            </w:tcBorders>
            <w:shd w:val="clear" w:color="auto" w:fill="B3B3B3"/>
          </w:tcPr>
          <w:p>
            <w:pPr>
              <w:spacing w:after="0"/>
              <w:rPr>
                <w:sz w:val="17"/>
                <w:szCs w:val="17"/>
                <w:color w:val="auto"/>
              </w:rPr>
            </w:pPr>
          </w:p>
        </w:tc>
        <w:tc>
          <w:tcPr>
            <w:tcW w:w="560" w:type="dxa"/>
            <w:vAlign w:val="bottom"/>
            <w:tcBorders>
              <w:top w:val="single" w:sz="8" w:color="B3B3B3"/>
              <w:right w:val="single" w:sz="8" w:color="auto"/>
            </w:tcBorders>
            <w:shd w:val="clear" w:color="auto" w:fill="B3B3B3"/>
          </w:tcPr>
          <w:p>
            <w:pPr>
              <w:spacing w:after="0"/>
              <w:rPr>
                <w:sz w:val="17"/>
                <w:szCs w:val="17"/>
                <w:color w:val="auto"/>
              </w:rPr>
            </w:pPr>
          </w:p>
        </w:tc>
        <w:tc>
          <w:tcPr>
            <w:tcW w:w="420" w:type="dxa"/>
            <w:vAlign w:val="bottom"/>
            <w:tcBorders>
              <w:top w:val="single" w:sz="8" w:color="B3B3B3"/>
            </w:tcBorders>
            <w:shd w:val="clear" w:color="auto" w:fill="B3B3B3"/>
          </w:tcPr>
          <w:p>
            <w:pPr>
              <w:spacing w:after="0"/>
              <w:rPr>
                <w:sz w:val="17"/>
                <w:szCs w:val="17"/>
                <w:color w:val="auto"/>
              </w:rPr>
            </w:pPr>
          </w:p>
        </w:tc>
        <w:tc>
          <w:tcPr>
            <w:tcW w:w="160" w:type="dxa"/>
            <w:vAlign w:val="bottom"/>
            <w:tcBorders>
              <w:top w:val="single" w:sz="8" w:color="B3B3B3"/>
            </w:tcBorders>
            <w:shd w:val="clear" w:color="auto" w:fill="B3B3B3"/>
          </w:tcPr>
          <w:p>
            <w:pPr>
              <w:spacing w:after="0"/>
              <w:rPr>
                <w:sz w:val="17"/>
                <w:szCs w:val="17"/>
                <w:color w:val="auto"/>
              </w:rPr>
            </w:pPr>
          </w:p>
        </w:tc>
        <w:tc>
          <w:tcPr>
            <w:tcW w:w="640" w:type="dxa"/>
            <w:vAlign w:val="bottom"/>
            <w:tcBorders>
              <w:top w:val="single" w:sz="8" w:color="B3B3B3"/>
            </w:tcBorders>
            <w:shd w:val="clear" w:color="auto" w:fill="B3B3B3"/>
          </w:tcPr>
          <w:p>
            <w:pPr>
              <w:spacing w:after="0"/>
              <w:rPr>
                <w:sz w:val="17"/>
                <w:szCs w:val="17"/>
                <w:color w:val="auto"/>
              </w:rPr>
            </w:pPr>
          </w:p>
        </w:tc>
        <w:tc>
          <w:tcPr>
            <w:tcW w:w="160" w:type="dxa"/>
            <w:vAlign w:val="bottom"/>
            <w:tcBorders>
              <w:top w:val="single" w:sz="8" w:color="B3B3B3"/>
            </w:tcBorders>
            <w:shd w:val="clear" w:color="auto" w:fill="B3B3B3"/>
          </w:tcPr>
          <w:p>
            <w:pPr>
              <w:spacing w:after="0"/>
              <w:rPr>
                <w:sz w:val="17"/>
                <w:szCs w:val="17"/>
                <w:color w:val="auto"/>
              </w:rPr>
            </w:pPr>
          </w:p>
        </w:tc>
        <w:tc>
          <w:tcPr>
            <w:tcW w:w="440" w:type="dxa"/>
            <w:vAlign w:val="bottom"/>
            <w:tcBorders>
              <w:top w:val="single" w:sz="8" w:color="B3B3B3"/>
              <w:right w:val="single" w:sz="8" w:color="auto"/>
            </w:tcBorders>
            <w:shd w:val="clear" w:color="auto" w:fill="B3B3B3"/>
          </w:tcPr>
          <w:p>
            <w:pPr>
              <w:spacing w:after="0"/>
              <w:rPr>
                <w:sz w:val="17"/>
                <w:szCs w:val="17"/>
                <w:color w:val="auto"/>
              </w:rPr>
            </w:pPr>
          </w:p>
        </w:tc>
        <w:tc>
          <w:tcPr>
            <w:tcW w:w="360" w:type="dxa"/>
            <w:vAlign w:val="bottom"/>
            <w:tcBorders>
              <w:top w:val="single" w:sz="8" w:color="B3B3B3"/>
            </w:tcBorders>
            <w:shd w:val="clear" w:color="auto" w:fill="B3B3B3"/>
          </w:tcPr>
          <w:p>
            <w:pPr>
              <w:spacing w:after="0"/>
              <w:rPr>
                <w:sz w:val="17"/>
                <w:szCs w:val="17"/>
                <w:color w:val="auto"/>
              </w:rPr>
            </w:pPr>
          </w:p>
        </w:tc>
        <w:tc>
          <w:tcPr>
            <w:tcW w:w="140" w:type="dxa"/>
            <w:vAlign w:val="bottom"/>
            <w:tcBorders>
              <w:top w:val="single" w:sz="8" w:color="B3B3B3"/>
            </w:tcBorders>
            <w:shd w:val="clear" w:color="auto" w:fill="B3B3B3"/>
          </w:tcPr>
          <w:p>
            <w:pPr>
              <w:spacing w:after="0"/>
              <w:rPr>
                <w:sz w:val="17"/>
                <w:szCs w:val="17"/>
                <w:color w:val="auto"/>
              </w:rPr>
            </w:pPr>
          </w:p>
        </w:tc>
        <w:tc>
          <w:tcPr>
            <w:tcW w:w="160" w:type="dxa"/>
            <w:vAlign w:val="bottom"/>
            <w:tcBorders>
              <w:top w:val="single" w:sz="8" w:color="auto"/>
              <w:right w:val="single" w:sz="8" w:color="B3B3B3"/>
            </w:tcBorders>
            <w:shd w:val="clear" w:color="auto" w:fill="B3B3B3"/>
          </w:tcPr>
          <w:p>
            <w:pPr>
              <w:spacing w:after="0"/>
              <w:rPr>
                <w:sz w:val="17"/>
                <w:szCs w:val="17"/>
                <w:color w:val="auto"/>
              </w:rPr>
            </w:pPr>
          </w:p>
        </w:tc>
        <w:tc>
          <w:tcPr>
            <w:tcW w:w="520" w:type="dxa"/>
            <w:vAlign w:val="bottom"/>
            <w:tcBorders>
              <w:top w:val="single" w:sz="8" w:color="auto"/>
            </w:tcBorders>
            <w:gridSpan w:val="2"/>
            <w:shd w:val="clear" w:color="auto" w:fill="B3B3B3"/>
          </w:tcPr>
          <w:p>
            <w:pPr>
              <w:jc w:val="center"/>
              <w:ind w:right="120"/>
              <w:spacing w:after="0" w:line="196" w:lineRule="exact"/>
              <w:rPr>
                <w:sz w:val="20"/>
                <w:szCs w:val="20"/>
                <w:color w:val="auto"/>
              </w:rPr>
            </w:pPr>
            <w:r>
              <w:rPr>
                <w:rFonts w:ascii="Arial" w:cs="Arial" w:eastAsia="Arial" w:hAnsi="Arial"/>
                <w:sz w:val="18"/>
                <w:szCs w:val="18"/>
                <w:color w:val="auto"/>
                <w:w w:val="83"/>
              </w:rPr>
              <w:t>Credit</w:t>
            </w:r>
          </w:p>
        </w:tc>
        <w:tc>
          <w:tcPr>
            <w:tcW w:w="520" w:type="dxa"/>
            <w:vAlign w:val="bottom"/>
            <w:tcBorders>
              <w:top w:val="single" w:sz="8" w:color="B3B3B3"/>
              <w:right w:val="single" w:sz="8" w:color="auto"/>
            </w:tcBorders>
            <w:gridSpan w:val="2"/>
            <w:shd w:val="clear" w:color="auto" w:fill="B3B3B3"/>
          </w:tcPr>
          <w:p>
            <w:pPr>
              <w:spacing w:after="0"/>
              <w:rPr>
                <w:sz w:val="17"/>
                <w:szCs w:val="17"/>
                <w:color w:val="auto"/>
              </w:rPr>
            </w:pPr>
          </w:p>
        </w:tc>
        <w:tc>
          <w:tcPr>
            <w:tcW w:w="380" w:type="dxa"/>
            <w:vAlign w:val="bottom"/>
            <w:tcBorders>
              <w:top w:val="single" w:sz="8" w:color="B3B3B3"/>
            </w:tcBorders>
            <w:shd w:val="clear" w:color="auto" w:fill="B3B3B3"/>
          </w:tcPr>
          <w:p>
            <w:pPr>
              <w:spacing w:after="0"/>
              <w:rPr>
                <w:sz w:val="17"/>
                <w:szCs w:val="17"/>
                <w:color w:val="auto"/>
              </w:rPr>
            </w:pPr>
          </w:p>
        </w:tc>
        <w:tc>
          <w:tcPr>
            <w:tcW w:w="100" w:type="dxa"/>
            <w:vAlign w:val="bottom"/>
            <w:tcBorders>
              <w:top w:val="single" w:sz="8" w:color="B3B3B3"/>
            </w:tcBorders>
            <w:shd w:val="clear" w:color="auto" w:fill="B3B3B3"/>
          </w:tcPr>
          <w:p>
            <w:pPr>
              <w:spacing w:after="0"/>
              <w:rPr>
                <w:sz w:val="17"/>
                <w:szCs w:val="17"/>
                <w:color w:val="auto"/>
              </w:rPr>
            </w:pPr>
          </w:p>
        </w:tc>
        <w:tc>
          <w:tcPr>
            <w:tcW w:w="140" w:type="dxa"/>
            <w:vAlign w:val="bottom"/>
            <w:tcBorders>
              <w:top w:val="single" w:sz="8" w:color="B3B3B3"/>
            </w:tcBorders>
            <w:shd w:val="clear" w:color="auto" w:fill="B3B3B3"/>
          </w:tcPr>
          <w:p>
            <w:pPr>
              <w:spacing w:after="0"/>
              <w:rPr>
                <w:sz w:val="17"/>
                <w:szCs w:val="17"/>
                <w:color w:val="auto"/>
              </w:rPr>
            </w:pPr>
          </w:p>
        </w:tc>
        <w:tc>
          <w:tcPr>
            <w:tcW w:w="440" w:type="dxa"/>
            <w:vAlign w:val="bottom"/>
            <w:tcBorders>
              <w:top w:val="single" w:sz="8" w:color="auto"/>
            </w:tcBorders>
            <w:shd w:val="clear" w:color="auto" w:fill="B3B3B3"/>
          </w:tcPr>
          <w:p>
            <w:pPr>
              <w:spacing w:after="0"/>
              <w:rPr>
                <w:sz w:val="17"/>
                <w:szCs w:val="17"/>
                <w:color w:val="auto"/>
              </w:rPr>
            </w:pPr>
          </w:p>
        </w:tc>
        <w:tc>
          <w:tcPr>
            <w:tcW w:w="160" w:type="dxa"/>
            <w:vAlign w:val="bottom"/>
            <w:tcBorders>
              <w:top w:val="single" w:sz="8" w:color="B3B3B3"/>
            </w:tcBorders>
            <w:shd w:val="clear" w:color="auto" w:fill="B3B3B3"/>
          </w:tcPr>
          <w:p>
            <w:pPr>
              <w:spacing w:after="0"/>
              <w:rPr>
                <w:sz w:val="17"/>
                <w:szCs w:val="17"/>
                <w:color w:val="auto"/>
              </w:rPr>
            </w:pPr>
          </w:p>
        </w:tc>
        <w:tc>
          <w:tcPr>
            <w:tcW w:w="80" w:type="dxa"/>
            <w:vAlign w:val="bottom"/>
            <w:tcBorders>
              <w:top w:val="single" w:sz="8" w:color="B3B3B3"/>
            </w:tcBorders>
            <w:shd w:val="clear" w:color="auto" w:fill="B3B3B3"/>
          </w:tcPr>
          <w:p>
            <w:pPr>
              <w:spacing w:after="0"/>
              <w:rPr>
                <w:sz w:val="17"/>
                <w:szCs w:val="17"/>
                <w:color w:val="auto"/>
              </w:rPr>
            </w:pPr>
          </w:p>
        </w:tc>
        <w:tc>
          <w:tcPr>
            <w:tcW w:w="400" w:type="dxa"/>
            <w:vAlign w:val="bottom"/>
            <w:tcBorders>
              <w:top w:val="single" w:sz="8" w:color="B3B3B3"/>
              <w:right w:val="single" w:sz="8" w:color="auto"/>
            </w:tcBorders>
            <w:shd w:val="clear" w:color="auto" w:fill="B3B3B3"/>
          </w:tcPr>
          <w:p>
            <w:pPr>
              <w:spacing w:after="0"/>
              <w:rPr>
                <w:sz w:val="17"/>
                <w:szCs w:val="17"/>
                <w:color w:val="auto"/>
              </w:rPr>
            </w:pPr>
          </w:p>
        </w:tc>
      </w:tr>
      <w:tr>
        <w:trPr>
          <w:trHeight w:val="237"/>
        </w:trPr>
        <w:tc>
          <w:tcPr>
            <w:tcW w:w="1140" w:type="dxa"/>
            <w:vAlign w:val="bottom"/>
            <w:tcBorders>
              <w:top w:val="single" w:sz="8" w:color="B3B3B3"/>
              <w:left w:val="single" w:sz="8" w:color="auto"/>
              <w:bottom w:val="single" w:sz="8" w:color="auto"/>
              <w:right w:val="single" w:sz="8" w:color="B3B3B3"/>
            </w:tcBorders>
            <w:shd w:val="clear" w:color="auto" w:fill="B3B3B3"/>
          </w:tcPr>
          <w:p>
            <w:pPr>
              <w:spacing w:after="0"/>
              <w:rPr>
                <w:sz w:val="20"/>
                <w:szCs w:val="20"/>
                <w:color w:val="auto"/>
              </w:rPr>
            </w:pPr>
          </w:p>
        </w:tc>
        <w:tc>
          <w:tcPr>
            <w:tcW w:w="700" w:type="dxa"/>
            <w:vAlign w:val="bottom"/>
            <w:tcBorders>
              <w:top w:val="single" w:sz="8" w:color="B3B3B3"/>
              <w:bottom w:val="single" w:sz="8" w:color="auto"/>
            </w:tcBorders>
            <w:shd w:val="clear" w:color="auto" w:fill="B3B3B3"/>
          </w:tcPr>
          <w:p>
            <w:pPr>
              <w:spacing w:after="0"/>
              <w:rPr>
                <w:sz w:val="20"/>
                <w:szCs w:val="20"/>
                <w:color w:val="auto"/>
              </w:rPr>
            </w:pPr>
          </w:p>
        </w:tc>
        <w:tc>
          <w:tcPr>
            <w:tcW w:w="160" w:type="dxa"/>
            <w:vAlign w:val="bottom"/>
            <w:tcBorders>
              <w:top w:val="single" w:sz="8" w:color="B3B3B3"/>
              <w:bottom w:val="single" w:sz="8" w:color="auto"/>
            </w:tcBorders>
            <w:shd w:val="clear" w:color="auto" w:fill="B3B3B3"/>
          </w:tcPr>
          <w:p>
            <w:pPr>
              <w:spacing w:after="0"/>
              <w:rPr>
                <w:sz w:val="20"/>
                <w:szCs w:val="20"/>
                <w:color w:val="auto"/>
              </w:rPr>
            </w:pPr>
          </w:p>
        </w:tc>
        <w:tc>
          <w:tcPr>
            <w:tcW w:w="900" w:type="dxa"/>
            <w:vAlign w:val="bottom"/>
            <w:tcBorders>
              <w:top w:val="single" w:sz="8" w:color="B3B3B3"/>
              <w:bottom w:val="single" w:sz="8" w:color="auto"/>
              <w:right w:val="single" w:sz="8" w:color="auto"/>
            </w:tcBorders>
            <w:shd w:val="clear" w:color="auto" w:fill="B3B3B3"/>
          </w:tcPr>
          <w:p>
            <w:pPr>
              <w:spacing w:after="0"/>
              <w:rPr>
                <w:sz w:val="20"/>
                <w:szCs w:val="20"/>
                <w:color w:val="auto"/>
              </w:rPr>
            </w:pPr>
          </w:p>
        </w:tc>
        <w:tc>
          <w:tcPr>
            <w:tcW w:w="340" w:type="dxa"/>
            <w:vAlign w:val="bottom"/>
            <w:tcBorders>
              <w:top w:val="single" w:sz="8" w:color="B3B3B3"/>
              <w:bottom w:val="single" w:sz="8" w:color="auto"/>
            </w:tcBorders>
            <w:shd w:val="clear" w:color="auto" w:fill="B3B3B3"/>
          </w:tcPr>
          <w:p>
            <w:pPr>
              <w:spacing w:after="0"/>
              <w:rPr>
                <w:sz w:val="20"/>
                <w:szCs w:val="20"/>
                <w:color w:val="auto"/>
              </w:rPr>
            </w:pPr>
          </w:p>
        </w:tc>
        <w:tc>
          <w:tcPr>
            <w:tcW w:w="240" w:type="dxa"/>
            <w:vAlign w:val="bottom"/>
            <w:tcBorders>
              <w:top w:val="single" w:sz="8" w:color="B3B3B3"/>
              <w:bottom w:val="single" w:sz="8" w:color="auto"/>
            </w:tcBorders>
            <w:shd w:val="clear" w:color="auto" w:fill="B3B3B3"/>
          </w:tcPr>
          <w:p>
            <w:pPr>
              <w:spacing w:after="0"/>
              <w:rPr>
                <w:sz w:val="20"/>
                <w:szCs w:val="20"/>
                <w:color w:val="auto"/>
              </w:rPr>
            </w:pPr>
          </w:p>
        </w:tc>
        <w:tc>
          <w:tcPr>
            <w:tcW w:w="500" w:type="dxa"/>
            <w:vAlign w:val="bottom"/>
            <w:tcBorders>
              <w:top w:val="single" w:sz="8" w:color="B3B3B3"/>
              <w:bottom w:val="single" w:sz="8" w:color="auto"/>
            </w:tcBorders>
            <w:shd w:val="clear" w:color="auto" w:fill="B3B3B3"/>
          </w:tcPr>
          <w:p>
            <w:pPr>
              <w:spacing w:after="0"/>
              <w:rPr>
                <w:sz w:val="20"/>
                <w:szCs w:val="20"/>
                <w:color w:val="auto"/>
              </w:rPr>
            </w:pPr>
          </w:p>
        </w:tc>
        <w:tc>
          <w:tcPr>
            <w:tcW w:w="240" w:type="dxa"/>
            <w:vAlign w:val="bottom"/>
            <w:tcBorders>
              <w:top w:val="single" w:sz="8" w:color="B3B3B3"/>
              <w:bottom w:val="single" w:sz="8" w:color="auto"/>
            </w:tcBorders>
            <w:shd w:val="clear" w:color="auto" w:fill="B3B3B3"/>
          </w:tcPr>
          <w:p>
            <w:pPr>
              <w:spacing w:after="0"/>
              <w:rPr>
                <w:sz w:val="20"/>
                <w:szCs w:val="20"/>
                <w:color w:val="auto"/>
              </w:rPr>
            </w:pPr>
          </w:p>
        </w:tc>
        <w:tc>
          <w:tcPr>
            <w:tcW w:w="380" w:type="dxa"/>
            <w:vAlign w:val="bottom"/>
            <w:tcBorders>
              <w:top w:val="single" w:sz="8" w:color="B3B3B3"/>
              <w:bottom w:val="single" w:sz="8" w:color="auto"/>
              <w:right w:val="single" w:sz="8" w:color="auto"/>
            </w:tcBorders>
            <w:shd w:val="clear" w:color="auto" w:fill="B3B3B3"/>
          </w:tcPr>
          <w:p>
            <w:pPr>
              <w:spacing w:after="0"/>
              <w:rPr>
                <w:sz w:val="20"/>
                <w:szCs w:val="20"/>
                <w:color w:val="auto"/>
              </w:rPr>
            </w:pPr>
          </w:p>
        </w:tc>
        <w:tc>
          <w:tcPr>
            <w:tcW w:w="600" w:type="dxa"/>
            <w:vAlign w:val="bottom"/>
            <w:tcBorders>
              <w:top w:val="single" w:sz="8" w:color="B3B3B3"/>
              <w:bottom w:val="single" w:sz="8" w:color="auto"/>
              <w:right w:val="single" w:sz="8" w:color="B3B3B3"/>
            </w:tcBorders>
            <w:shd w:val="clear" w:color="auto" w:fill="B3B3B3"/>
          </w:tcPr>
          <w:p>
            <w:pPr>
              <w:spacing w:after="0"/>
              <w:rPr>
                <w:sz w:val="20"/>
                <w:szCs w:val="20"/>
                <w:color w:val="auto"/>
              </w:rPr>
            </w:pPr>
          </w:p>
        </w:tc>
        <w:tc>
          <w:tcPr>
            <w:tcW w:w="440" w:type="dxa"/>
            <w:vAlign w:val="bottom"/>
            <w:tcBorders>
              <w:top w:val="single" w:sz="8" w:color="B3B3B3"/>
              <w:bottom w:val="single" w:sz="8" w:color="auto"/>
              <w:right w:val="single" w:sz="8" w:color="B3B3B3"/>
            </w:tcBorders>
            <w:shd w:val="clear" w:color="auto" w:fill="B3B3B3"/>
          </w:tcPr>
          <w:p>
            <w:pPr>
              <w:spacing w:after="0"/>
              <w:rPr>
                <w:sz w:val="20"/>
                <w:szCs w:val="20"/>
                <w:color w:val="auto"/>
              </w:rPr>
            </w:pPr>
          </w:p>
        </w:tc>
        <w:tc>
          <w:tcPr>
            <w:tcW w:w="560" w:type="dxa"/>
            <w:vAlign w:val="bottom"/>
            <w:tcBorders>
              <w:top w:val="single" w:sz="8" w:color="B3B3B3"/>
              <w:bottom w:val="single" w:sz="8" w:color="auto"/>
              <w:right w:val="single" w:sz="8" w:color="auto"/>
            </w:tcBorders>
            <w:shd w:val="clear" w:color="auto" w:fill="B3B3B3"/>
          </w:tcPr>
          <w:p>
            <w:pPr>
              <w:spacing w:after="0"/>
              <w:rPr>
                <w:sz w:val="20"/>
                <w:szCs w:val="20"/>
                <w:color w:val="auto"/>
              </w:rPr>
            </w:pPr>
          </w:p>
        </w:tc>
        <w:tc>
          <w:tcPr>
            <w:tcW w:w="420" w:type="dxa"/>
            <w:vAlign w:val="bottom"/>
            <w:tcBorders>
              <w:top w:val="single" w:sz="8" w:color="B3B3B3"/>
              <w:bottom w:val="single" w:sz="8" w:color="auto"/>
            </w:tcBorders>
            <w:shd w:val="clear" w:color="auto" w:fill="B3B3B3"/>
          </w:tcPr>
          <w:p>
            <w:pPr>
              <w:spacing w:after="0"/>
              <w:rPr>
                <w:sz w:val="20"/>
                <w:szCs w:val="20"/>
                <w:color w:val="auto"/>
              </w:rPr>
            </w:pPr>
          </w:p>
        </w:tc>
        <w:tc>
          <w:tcPr>
            <w:tcW w:w="160" w:type="dxa"/>
            <w:vAlign w:val="bottom"/>
            <w:tcBorders>
              <w:top w:val="single" w:sz="8" w:color="B3B3B3"/>
              <w:bottom w:val="single" w:sz="8" w:color="auto"/>
            </w:tcBorders>
            <w:shd w:val="clear" w:color="auto" w:fill="B3B3B3"/>
          </w:tcPr>
          <w:p>
            <w:pPr>
              <w:spacing w:after="0"/>
              <w:rPr>
                <w:sz w:val="20"/>
                <w:szCs w:val="20"/>
                <w:color w:val="auto"/>
              </w:rPr>
            </w:pPr>
          </w:p>
        </w:tc>
        <w:tc>
          <w:tcPr>
            <w:tcW w:w="640" w:type="dxa"/>
            <w:vAlign w:val="bottom"/>
            <w:tcBorders>
              <w:top w:val="single" w:sz="8" w:color="B3B3B3"/>
              <w:bottom w:val="single" w:sz="8" w:color="auto"/>
            </w:tcBorders>
            <w:shd w:val="clear" w:color="auto" w:fill="B3B3B3"/>
          </w:tcPr>
          <w:p>
            <w:pPr>
              <w:spacing w:after="0"/>
              <w:rPr>
                <w:sz w:val="20"/>
                <w:szCs w:val="20"/>
                <w:color w:val="auto"/>
              </w:rPr>
            </w:pPr>
          </w:p>
        </w:tc>
        <w:tc>
          <w:tcPr>
            <w:tcW w:w="160" w:type="dxa"/>
            <w:vAlign w:val="bottom"/>
            <w:tcBorders>
              <w:top w:val="single" w:sz="8" w:color="B3B3B3"/>
              <w:bottom w:val="single" w:sz="8" w:color="auto"/>
            </w:tcBorders>
            <w:shd w:val="clear" w:color="auto" w:fill="B3B3B3"/>
          </w:tcPr>
          <w:p>
            <w:pPr>
              <w:spacing w:after="0"/>
              <w:rPr>
                <w:sz w:val="20"/>
                <w:szCs w:val="20"/>
                <w:color w:val="auto"/>
              </w:rPr>
            </w:pPr>
          </w:p>
        </w:tc>
        <w:tc>
          <w:tcPr>
            <w:tcW w:w="440" w:type="dxa"/>
            <w:vAlign w:val="bottom"/>
            <w:tcBorders>
              <w:top w:val="single" w:sz="8" w:color="B3B3B3"/>
              <w:bottom w:val="single" w:sz="8" w:color="auto"/>
              <w:right w:val="single" w:sz="8" w:color="auto"/>
            </w:tcBorders>
            <w:shd w:val="clear" w:color="auto" w:fill="B3B3B3"/>
          </w:tcPr>
          <w:p>
            <w:pPr>
              <w:spacing w:after="0"/>
              <w:rPr>
                <w:sz w:val="20"/>
                <w:szCs w:val="20"/>
                <w:color w:val="auto"/>
              </w:rPr>
            </w:pPr>
          </w:p>
        </w:tc>
        <w:tc>
          <w:tcPr>
            <w:tcW w:w="360" w:type="dxa"/>
            <w:vAlign w:val="bottom"/>
            <w:tcBorders>
              <w:top w:val="single" w:sz="8" w:color="B3B3B3"/>
              <w:bottom w:val="single" w:sz="8" w:color="auto"/>
            </w:tcBorders>
            <w:shd w:val="clear" w:color="auto" w:fill="B3B3B3"/>
          </w:tcPr>
          <w:p>
            <w:pPr>
              <w:spacing w:after="0"/>
              <w:rPr>
                <w:sz w:val="20"/>
                <w:szCs w:val="20"/>
                <w:color w:val="auto"/>
              </w:rPr>
            </w:pPr>
          </w:p>
        </w:tc>
        <w:tc>
          <w:tcPr>
            <w:tcW w:w="140" w:type="dxa"/>
            <w:vAlign w:val="bottom"/>
            <w:tcBorders>
              <w:top w:val="single" w:sz="8" w:color="B3B3B3"/>
              <w:bottom w:val="single" w:sz="8" w:color="auto"/>
            </w:tcBorders>
            <w:shd w:val="clear" w:color="auto" w:fill="B3B3B3"/>
          </w:tcPr>
          <w:p>
            <w:pPr>
              <w:spacing w:after="0"/>
              <w:rPr>
                <w:sz w:val="20"/>
                <w:szCs w:val="20"/>
                <w:color w:val="auto"/>
              </w:rPr>
            </w:pPr>
          </w:p>
        </w:tc>
        <w:tc>
          <w:tcPr>
            <w:tcW w:w="160" w:type="dxa"/>
            <w:vAlign w:val="bottom"/>
            <w:tcBorders>
              <w:top w:val="single" w:sz="8" w:color="B3B3B3"/>
              <w:bottom w:val="single" w:sz="8" w:color="auto"/>
              <w:right w:val="single" w:sz="8" w:color="B3B3B3"/>
            </w:tcBorders>
            <w:shd w:val="clear" w:color="auto" w:fill="B3B3B3"/>
          </w:tcPr>
          <w:p>
            <w:pPr>
              <w:spacing w:after="0"/>
              <w:rPr>
                <w:sz w:val="20"/>
                <w:szCs w:val="20"/>
                <w:color w:val="auto"/>
              </w:rPr>
            </w:pPr>
          </w:p>
        </w:tc>
        <w:tc>
          <w:tcPr>
            <w:tcW w:w="400" w:type="dxa"/>
            <w:vAlign w:val="bottom"/>
            <w:tcBorders>
              <w:top w:val="single" w:sz="8" w:color="auto"/>
              <w:bottom w:val="single" w:sz="8" w:color="auto"/>
              <w:right w:val="single" w:sz="8" w:color="B3B3B3"/>
            </w:tcBorders>
            <w:shd w:val="clear" w:color="auto" w:fill="B3B3B3"/>
          </w:tcPr>
          <w:p>
            <w:pPr>
              <w:spacing w:after="0"/>
              <w:rPr>
                <w:sz w:val="20"/>
                <w:szCs w:val="20"/>
                <w:color w:val="auto"/>
              </w:rPr>
            </w:pPr>
          </w:p>
        </w:tc>
        <w:tc>
          <w:tcPr>
            <w:tcW w:w="120" w:type="dxa"/>
            <w:vAlign w:val="bottom"/>
            <w:tcBorders>
              <w:top w:val="single" w:sz="8" w:color="B3B3B3"/>
              <w:bottom w:val="single" w:sz="8" w:color="auto"/>
            </w:tcBorders>
            <w:shd w:val="clear" w:color="auto" w:fill="B3B3B3"/>
          </w:tcPr>
          <w:p>
            <w:pPr>
              <w:spacing w:after="0"/>
              <w:rPr>
                <w:sz w:val="20"/>
                <w:szCs w:val="20"/>
                <w:color w:val="auto"/>
              </w:rPr>
            </w:pPr>
          </w:p>
        </w:tc>
        <w:tc>
          <w:tcPr>
            <w:tcW w:w="140" w:type="dxa"/>
            <w:vAlign w:val="bottom"/>
            <w:tcBorders>
              <w:top w:val="single" w:sz="8" w:color="B3B3B3"/>
              <w:bottom w:val="single" w:sz="8" w:color="auto"/>
            </w:tcBorders>
            <w:shd w:val="clear" w:color="auto" w:fill="B3B3B3"/>
          </w:tcPr>
          <w:p>
            <w:pPr>
              <w:spacing w:after="0"/>
              <w:rPr>
                <w:sz w:val="20"/>
                <w:szCs w:val="20"/>
                <w:color w:val="auto"/>
              </w:rPr>
            </w:pPr>
          </w:p>
        </w:tc>
        <w:tc>
          <w:tcPr>
            <w:tcW w:w="380" w:type="dxa"/>
            <w:vAlign w:val="bottom"/>
            <w:tcBorders>
              <w:top w:val="single" w:sz="8" w:color="B3B3B3"/>
              <w:bottom w:val="single" w:sz="8" w:color="auto"/>
              <w:right w:val="single" w:sz="8" w:color="auto"/>
            </w:tcBorders>
            <w:shd w:val="clear" w:color="auto" w:fill="B3B3B3"/>
          </w:tcPr>
          <w:p>
            <w:pPr>
              <w:spacing w:after="0"/>
              <w:rPr>
                <w:sz w:val="20"/>
                <w:szCs w:val="20"/>
                <w:color w:val="auto"/>
              </w:rPr>
            </w:pPr>
          </w:p>
        </w:tc>
        <w:tc>
          <w:tcPr>
            <w:tcW w:w="380" w:type="dxa"/>
            <w:vAlign w:val="bottom"/>
            <w:tcBorders>
              <w:top w:val="single" w:sz="8" w:color="B3B3B3"/>
              <w:bottom w:val="single" w:sz="8" w:color="auto"/>
            </w:tcBorders>
            <w:shd w:val="clear" w:color="auto" w:fill="B3B3B3"/>
          </w:tcPr>
          <w:p>
            <w:pPr>
              <w:spacing w:after="0"/>
              <w:rPr>
                <w:sz w:val="20"/>
                <w:szCs w:val="20"/>
                <w:color w:val="auto"/>
              </w:rPr>
            </w:pPr>
          </w:p>
        </w:tc>
        <w:tc>
          <w:tcPr>
            <w:tcW w:w="100" w:type="dxa"/>
            <w:vAlign w:val="bottom"/>
            <w:tcBorders>
              <w:top w:val="single" w:sz="8" w:color="B3B3B3"/>
              <w:bottom w:val="single" w:sz="8" w:color="auto"/>
            </w:tcBorders>
            <w:shd w:val="clear" w:color="auto" w:fill="B3B3B3"/>
          </w:tcPr>
          <w:p>
            <w:pPr>
              <w:spacing w:after="0"/>
              <w:rPr>
                <w:sz w:val="20"/>
                <w:szCs w:val="20"/>
                <w:color w:val="auto"/>
              </w:rPr>
            </w:pPr>
          </w:p>
        </w:tc>
        <w:tc>
          <w:tcPr>
            <w:tcW w:w="140" w:type="dxa"/>
            <w:vAlign w:val="bottom"/>
            <w:tcBorders>
              <w:top w:val="single" w:sz="8" w:color="B3B3B3"/>
              <w:bottom w:val="single" w:sz="8" w:color="auto"/>
            </w:tcBorders>
            <w:shd w:val="clear" w:color="auto" w:fill="B3B3B3"/>
          </w:tcPr>
          <w:p>
            <w:pPr>
              <w:spacing w:after="0"/>
              <w:rPr>
                <w:sz w:val="20"/>
                <w:szCs w:val="20"/>
                <w:color w:val="auto"/>
              </w:rPr>
            </w:pPr>
          </w:p>
        </w:tc>
        <w:tc>
          <w:tcPr>
            <w:tcW w:w="440" w:type="dxa"/>
            <w:vAlign w:val="bottom"/>
            <w:tcBorders>
              <w:top w:val="single" w:sz="8" w:color="B3B3B3"/>
              <w:bottom w:val="single" w:sz="8" w:color="auto"/>
            </w:tcBorders>
            <w:shd w:val="clear" w:color="auto" w:fill="B3B3B3"/>
          </w:tcPr>
          <w:p>
            <w:pPr>
              <w:spacing w:after="0"/>
              <w:rPr>
                <w:sz w:val="20"/>
                <w:szCs w:val="20"/>
                <w:color w:val="auto"/>
              </w:rPr>
            </w:pPr>
          </w:p>
        </w:tc>
        <w:tc>
          <w:tcPr>
            <w:tcW w:w="160" w:type="dxa"/>
            <w:vAlign w:val="bottom"/>
            <w:tcBorders>
              <w:top w:val="single" w:sz="8" w:color="B3B3B3"/>
              <w:bottom w:val="single" w:sz="8" w:color="auto"/>
            </w:tcBorders>
            <w:shd w:val="clear" w:color="auto" w:fill="B3B3B3"/>
          </w:tcPr>
          <w:p>
            <w:pPr>
              <w:spacing w:after="0"/>
              <w:rPr>
                <w:sz w:val="20"/>
                <w:szCs w:val="20"/>
                <w:color w:val="auto"/>
              </w:rPr>
            </w:pPr>
          </w:p>
        </w:tc>
        <w:tc>
          <w:tcPr>
            <w:tcW w:w="80" w:type="dxa"/>
            <w:vAlign w:val="bottom"/>
            <w:tcBorders>
              <w:top w:val="single" w:sz="8" w:color="B3B3B3"/>
              <w:bottom w:val="single" w:sz="8" w:color="auto"/>
            </w:tcBorders>
            <w:shd w:val="clear" w:color="auto" w:fill="B3B3B3"/>
          </w:tcPr>
          <w:p>
            <w:pPr>
              <w:spacing w:after="0"/>
              <w:rPr>
                <w:sz w:val="20"/>
                <w:szCs w:val="20"/>
                <w:color w:val="auto"/>
              </w:rPr>
            </w:pPr>
          </w:p>
        </w:tc>
        <w:tc>
          <w:tcPr>
            <w:tcW w:w="400" w:type="dxa"/>
            <w:vAlign w:val="bottom"/>
            <w:tcBorders>
              <w:top w:val="single" w:sz="8" w:color="B3B3B3"/>
              <w:bottom w:val="single" w:sz="8" w:color="auto"/>
              <w:right w:val="single" w:sz="8" w:color="auto"/>
            </w:tcBorders>
            <w:shd w:val="clear" w:color="auto" w:fill="B3B3B3"/>
          </w:tcPr>
          <w:p>
            <w:pPr>
              <w:spacing w:after="0"/>
              <w:rPr>
                <w:sz w:val="20"/>
                <w:szCs w:val="20"/>
                <w:color w:val="auto"/>
              </w:rPr>
            </w:pPr>
          </w:p>
        </w:tc>
      </w:tr>
      <w:tr>
        <w:trPr>
          <w:trHeight w:val="169"/>
        </w:trPr>
        <w:tc>
          <w:tcPr>
            <w:tcW w:w="1140" w:type="dxa"/>
            <w:vAlign w:val="bottom"/>
            <w:tcBorders>
              <w:left w:val="single" w:sz="8" w:color="auto"/>
            </w:tcBorders>
          </w:tcPr>
          <w:p>
            <w:pPr>
              <w:spacing w:after="0"/>
              <w:rPr>
                <w:sz w:val="14"/>
                <w:szCs w:val="14"/>
                <w:color w:val="auto"/>
              </w:rPr>
            </w:pPr>
          </w:p>
        </w:tc>
        <w:tc>
          <w:tcPr>
            <w:tcW w:w="1760" w:type="dxa"/>
            <w:vAlign w:val="bottom"/>
            <w:tcBorders>
              <w:right w:val="single" w:sz="8" w:color="auto"/>
            </w:tcBorders>
            <w:gridSpan w:val="3"/>
          </w:tcPr>
          <w:p>
            <w:pPr>
              <w:jc w:val="center"/>
              <w:ind w:right="1060"/>
              <w:spacing w:after="0" w:line="170" w:lineRule="exact"/>
              <w:rPr>
                <w:sz w:val="20"/>
                <w:szCs w:val="20"/>
                <w:color w:val="auto"/>
              </w:rPr>
            </w:pPr>
            <w:r>
              <w:rPr>
                <w:rFonts w:ascii="Arial" w:cs="Arial" w:eastAsia="Arial" w:hAnsi="Arial"/>
                <w:sz w:val="18"/>
                <w:szCs w:val="18"/>
                <w:color w:val="auto"/>
                <w:w w:val="79"/>
              </w:rPr>
              <w:t>Category 1</w:t>
            </w:r>
          </w:p>
        </w:tc>
        <w:tc>
          <w:tcPr>
            <w:tcW w:w="1080" w:type="dxa"/>
            <w:vAlign w:val="bottom"/>
            <w:gridSpan w:val="3"/>
          </w:tcPr>
          <w:p>
            <w:pPr>
              <w:jc w:val="center"/>
              <w:ind w:left="490"/>
              <w:spacing w:after="0" w:line="170" w:lineRule="exact"/>
              <w:rPr>
                <w:sz w:val="20"/>
                <w:szCs w:val="20"/>
                <w:color w:val="auto"/>
              </w:rPr>
            </w:pPr>
            <w:r>
              <w:rPr>
                <w:rFonts w:ascii="Arial" w:cs="Arial" w:eastAsia="Arial" w:hAnsi="Arial"/>
                <w:sz w:val="18"/>
                <w:szCs w:val="18"/>
                <w:color w:val="auto"/>
                <w:w w:val="90"/>
              </w:rPr>
              <w:t>1.00%</w:t>
            </w:r>
          </w:p>
        </w:tc>
        <w:tc>
          <w:tcPr>
            <w:tcW w:w="2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040" w:type="dxa"/>
            <w:vAlign w:val="bottom"/>
            <w:gridSpan w:val="2"/>
          </w:tcPr>
          <w:p>
            <w:pPr>
              <w:jc w:val="center"/>
              <w:ind w:left="430"/>
              <w:spacing w:after="0" w:line="170" w:lineRule="exact"/>
              <w:rPr>
                <w:sz w:val="20"/>
                <w:szCs w:val="20"/>
                <w:color w:val="auto"/>
              </w:rPr>
            </w:pPr>
            <w:r>
              <w:rPr>
                <w:rFonts w:ascii="Arial" w:cs="Arial" w:eastAsia="Arial" w:hAnsi="Arial"/>
                <w:sz w:val="18"/>
                <w:szCs w:val="18"/>
                <w:color w:val="auto"/>
                <w:w w:val="92"/>
              </w:rPr>
              <w:t>0%</w:t>
            </w:r>
          </w:p>
        </w:tc>
        <w:tc>
          <w:tcPr>
            <w:tcW w:w="560" w:type="dxa"/>
            <w:vAlign w:val="bottom"/>
            <w:tcBorders>
              <w:right w:val="single" w:sz="8" w:color="auto"/>
            </w:tcBorders>
          </w:tcPr>
          <w:p>
            <w:pPr>
              <w:spacing w:after="0"/>
              <w:rPr>
                <w:sz w:val="14"/>
                <w:szCs w:val="14"/>
                <w:color w:val="auto"/>
              </w:rPr>
            </w:pPr>
          </w:p>
        </w:tc>
        <w:tc>
          <w:tcPr>
            <w:tcW w:w="1220" w:type="dxa"/>
            <w:vAlign w:val="bottom"/>
            <w:gridSpan w:val="3"/>
          </w:tcPr>
          <w:p>
            <w:pPr>
              <w:jc w:val="center"/>
              <w:ind w:left="490"/>
              <w:spacing w:after="0" w:line="170" w:lineRule="exact"/>
              <w:rPr>
                <w:sz w:val="20"/>
                <w:szCs w:val="20"/>
                <w:color w:val="auto"/>
              </w:rPr>
            </w:pPr>
            <w:r>
              <w:rPr>
                <w:rFonts w:ascii="Arial" w:cs="Arial" w:eastAsia="Arial" w:hAnsi="Arial"/>
                <w:sz w:val="18"/>
                <w:szCs w:val="18"/>
                <w:color w:val="auto"/>
                <w:w w:val="93"/>
              </w:rPr>
              <w:t>0.15%</w:t>
            </w:r>
          </w:p>
        </w:tc>
        <w:tc>
          <w:tcPr>
            <w:tcW w:w="1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80" w:type="dxa"/>
            <w:vAlign w:val="bottom"/>
            <w:gridSpan w:val="5"/>
          </w:tcPr>
          <w:p>
            <w:pPr>
              <w:jc w:val="center"/>
              <w:ind w:left="410"/>
              <w:spacing w:after="0" w:line="170" w:lineRule="exact"/>
              <w:rPr>
                <w:sz w:val="20"/>
                <w:szCs w:val="20"/>
                <w:color w:val="auto"/>
              </w:rPr>
            </w:pPr>
            <w:r>
              <w:rPr>
                <w:rFonts w:ascii="Arial" w:cs="Arial" w:eastAsia="Arial" w:hAnsi="Arial"/>
                <w:sz w:val="18"/>
                <w:szCs w:val="18"/>
                <w:color w:val="auto"/>
                <w:w w:val="93"/>
              </w:rPr>
              <w:t>1.00%</w:t>
            </w:r>
          </w:p>
        </w:tc>
        <w:tc>
          <w:tcPr>
            <w:tcW w:w="1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220" w:type="dxa"/>
            <w:vAlign w:val="bottom"/>
            <w:gridSpan w:val="5"/>
          </w:tcPr>
          <w:p>
            <w:pPr>
              <w:jc w:val="center"/>
              <w:ind w:left="370"/>
              <w:spacing w:after="0" w:line="170" w:lineRule="exact"/>
              <w:rPr>
                <w:sz w:val="20"/>
                <w:szCs w:val="20"/>
                <w:color w:val="auto"/>
              </w:rPr>
            </w:pPr>
            <w:r>
              <w:rPr>
                <w:rFonts w:ascii="Arial" w:cs="Arial" w:eastAsia="Arial" w:hAnsi="Arial"/>
                <w:sz w:val="18"/>
                <w:szCs w:val="18"/>
                <w:color w:val="auto"/>
                <w:w w:val="93"/>
              </w:rPr>
              <w:t>0.50%</w:t>
            </w:r>
          </w:p>
        </w:tc>
        <w:tc>
          <w:tcPr>
            <w:tcW w:w="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3"/>
          </w:tcPr>
          <w:p>
            <w:pPr>
              <w:jc w:val="center"/>
              <w:ind w:right="1000"/>
              <w:spacing w:after="0" w:line="196" w:lineRule="exact"/>
              <w:rPr>
                <w:sz w:val="20"/>
                <w:szCs w:val="20"/>
                <w:color w:val="auto"/>
              </w:rPr>
            </w:pPr>
            <w:r>
              <w:rPr>
                <w:rFonts w:ascii="Arial" w:cs="Arial" w:eastAsia="Arial" w:hAnsi="Arial"/>
                <w:sz w:val="18"/>
                <w:szCs w:val="18"/>
                <w:color w:val="auto"/>
                <w:w w:val="75"/>
              </w:rPr>
              <w:t>&lt; 1.50 to 1.0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1"/>
        </w:trPr>
        <w:tc>
          <w:tcPr>
            <w:tcW w:w="1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tcBorders>
          </w:tcPr>
          <w:p>
            <w:pPr>
              <w:spacing w:after="0"/>
              <w:rPr>
                <w:sz w:val="14"/>
                <w:szCs w:val="14"/>
                <w:color w:val="auto"/>
              </w:rPr>
            </w:pPr>
          </w:p>
        </w:tc>
        <w:tc>
          <w:tcPr>
            <w:tcW w:w="1760" w:type="dxa"/>
            <w:vAlign w:val="bottom"/>
            <w:tcBorders>
              <w:right w:val="single" w:sz="8" w:color="auto"/>
            </w:tcBorders>
            <w:gridSpan w:val="3"/>
          </w:tcPr>
          <w:p>
            <w:pPr>
              <w:jc w:val="center"/>
              <w:ind w:right="1060"/>
              <w:spacing w:after="0" w:line="170" w:lineRule="exact"/>
              <w:rPr>
                <w:sz w:val="20"/>
                <w:szCs w:val="20"/>
                <w:color w:val="auto"/>
              </w:rPr>
            </w:pPr>
            <w:r>
              <w:rPr>
                <w:rFonts w:ascii="Arial" w:cs="Arial" w:eastAsia="Arial" w:hAnsi="Arial"/>
                <w:sz w:val="18"/>
                <w:szCs w:val="18"/>
                <w:color w:val="auto"/>
                <w:w w:val="79"/>
              </w:rPr>
              <w:t>Category 2</w:t>
            </w:r>
          </w:p>
        </w:tc>
        <w:tc>
          <w:tcPr>
            <w:tcW w:w="1080" w:type="dxa"/>
            <w:vAlign w:val="bottom"/>
            <w:gridSpan w:val="3"/>
          </w:tcPr>
          <w:p>
            <w:pPr>
              <w:jc w:val="center"/>
              <w:ind w:left="490"/>
              <w:spacing w:after="0" w:line="170" w:lineRule="exact"/>
              <w:rPr>
                <w:sz w:val="20"/>
                <w:szCs w:val="20"/>
                <w:color w:val="auto"/>
              </w:rPr>
            </w:pPr>
            <w:r>
              <w:rPr>
                <w:rFonts w:ascii="Arial" w:cs="Arial" w:eastAsia="Arial" w:hAnsi="Arial"/>
                <w:sz w:val="18"/>
                <w:szCs w:val="18"/>
                <w:color w:val="auto"/>
                <w:w w:val="90"/>
              </w:rPr>
              <w:t>1.25%</w:t>
            </w:r>
          </w:p>
        </w:tc>
        <w:tc>
          <w:tcPr>
            <w:tcW w:w="2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040" w:type="dxa"/>
            <w:vAlign w:val="bottom"/>
            <w:gridSpan w:val="2"/>
          </w:tcPr>
          <w:p>
            <w:pPr>
              <w:jc w:val="center"/>
              <w:ind w:left="450"/>
              <w:spacing w:after="0" w:line="170" w:lineRule="exact"/>
              <w:rPr>
                <w:sz w:val="20"/>
                <w:szCs w:val="20"/>
                <w:color w:val="auto"/>
              </w:rPr>
            </w:pPr>
            <w:r>
              <w:rPr>
                <w:rFonts w:ascii="Arial" w:cs="Arial" w:eastAsia="Arial" w:hAnsi="Arial"/>
                <w:sz w:val="18"/>
                <w:szCs w:val="18"/>
                <w:color w:val="auto"/>
                <w:w w:val="90"/>
              </w:rPr>
              <w:t>0.25%</w:t>
            </w:r>
          </w:p>
        </w:tc>
        <w:tc>
          <w:tcPr>
            <w:tcW w:w="560" w:type="dxa"/>
            <w:vAlign w:val="bottom"/>
            <w:tcBorders>
              <w:right w:val="single" w:sz="8" w:color="auto"/>
            </w:tcBorders>
          </w:tcPr>
          <w:p>
            <w:pPr>
              <w:spacing w:after="0"/>
              <w:rPr>
                <w:sz w:val="14"/>
                <w:szCs w:val="14"/>
                <w:color w:val="auto"/>
              </w:rPr>
            </w:pPr>
          </w:p>
        </w:tc>
        <w:tc>
          <w:tcPr>
            <w:tcW w:w="1220" w:type="dxa"/>
            <w:vAlign w:val="bottom"/>
            <w:gridSpan w:val="3"/>
          </w:tcPr>
          <w:p>
            <w:pPr>
              <w:jc w:val="center"/>
              <w:ind w:left="490"/>
              <w:spacing w:after="0" w:line="170" w:lineRule="exact"/>
              <w:rPr>
                <w:sz w:val="20"/>
                <w:szCs w:val="20"/>
                <w:color w:val="auto"/>
              </w:rPr>
            </w:pPr>
            <w:r>
              <w:rPr>
                <w:rFonts w:ascii="Arial" w:cs="Arial" w:eastAsia="Arial" w:hAnsi="Arial"/>
                <w:sz w:val="18"/>
                <w:szCs w:val="18"/>
                <w:color w:val="auto"/>
                <w:w w:val="91"/>
              </w:rPr>
              <w:t>0.175%</w:t>
            </w:r>
          </w:p>
        </w:tc>
        <w:tc>
          <w:tcPr>
            <w:tcW w:w="1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80" w:type="dxa"/>
            <w:vAlign w:val="bottom"/>
            <w:gridSpan w:val="5"/>
          </w:tcPr>
          <w:p>
            <w:pPr>
              <w:jc w:val="center"/>
              <w:ind w:left="410"/>
              <w:spacing w:after="0" w:line="170" w:lineRule="exact"/>
              <w:rPr>
                <w:sz w:val="20"/>
                <w:szCs w:val="20"/>
                <w:color w:val="auto"/>
              </w:rPr>
            </w:pPr>
            <w:r>
              <w:rPr>
                <w:rFonts w:ascii="Arial" w:cs="Arial" w:eastAsia="Arial" w:hAnsi="Arial"/>
                <w:sz w:val="18"/>
                <w:szCs w:val="18"/>
                <w:color w:val="auto"/>
                <w:w w:val="93"/>
              </w:rPr>
              <w:t>1.25%</w:t>
            </w:r>
          </w:p>
        </w:tc>
        <w:tc>
          <w:tcPr>
            <w:tcW w:w="1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220" w:type="dxa"/>
            <w:vAlign w:val="bottom"/>
            <w:gridSpan w:val="5"/>
          </w:tcPr>
          <w:p>
            <w:pPr>
              <w:jc w:val="center"/>
              <w:ind w:left="370"/>
              <w:spacing w:after="0" w:line="170" w:lineRule="exact"/>
              <w:rPr>
                <w:sz w:val="20"/>
                <w:szCs w:val="20"/>
                <w:color w:val="auto"/>
              </w:rPr>
            </w:pPr>
            <w:r>
              <w:rPr>
                <w:rFonts w:ascii="Arial" w:cs="Arial" w:eastAsia="Arial" w:hAnsi="Arial"/>
                <w:sz w:val="18"/>
                <w:szCs w:val="18"/>
                <w:color w:val="auto"/>
                <w:w w:val="91"/>
              </w:rPr>
              <w:t>0.625%</w:t>
            </w:r>
          </w:p>
        </w:tc>
        <w:tc>
          <w:tcPr>
            <w:tcW w:w="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r>
      <w:tr>
        <w:trPr>
          <w:trHeight w:val="216"/>
        </w:trPr>
        <w:tc>
          <w:tcPr>
            <w:tcW w:w="2900" w:type="dxa"/>
            <w:vAlign w:val="bottom"/>
            <w:tcBorders>
              <w:left w:val="single" w:sz="8" w:color="auto"/>
              <w:right w:val="single" w:sz="8" w:color="auto"/>
            </w:tcBorders>
            <w:gridSpan w:val="4"/>
          </w:tcPr>
          <w:p>
            <w:pPr>
              <w:jc w:val="center"/>
              <w:spacing w:after="0" w:line="196" w:lineRule="exact"/>
              <w:rPr>
                <w:sz w:val="20"/>
                <w:szCs w:val="20"/>
                <w:color w:val="auto"/>
              </w:rPr>
            </w:pPr>
            <w:r>
              <w:rPr>
                <w:rFonts w:ascii="Arial" w:cs="Arial" w:eastAsia="Arial" w:hAnsi="Arial"/>
                <w:sz w:val="18"/>
                <w:szCs w:val="18"/>
                <w:color w:val="auto"/>
                <w:w w:val="90"/>
              </w:rPr>
              <w:t>&gt; 1.50 to 1.0 but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37"/>
        </w:trPr>
        <w:tc>
          <w:tcPr>
            <w:tcW w:w="114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gridSpan w:val="3"/>
          </w:tcPr>
          <w:p>
            <w:pPr>
              <w:jc w:val="center"/>
              <w:ind w:right="1000"/>
              <w:spacing w:after="0"/>
              <w:rPr>
                <w:sz w:val="20"/>
                <w:szCs w:val="20"/>
                <w:color w:val="auto"/>
              </w:rPr>
            </w:pPr>
            <w:r>
              <w:rPr>
                <w:rFonts w:ascii="Arial" w:cs="Arial" w:eastAsia="Arial" w:hAnsi="Arial"/>
                <w:sz w:val="18"/>
                <w:szCs w:val="18"/>
                <w:color w:val="auto"/>
                <w:w w:val="75"/>
              </w:rPr>
              <w:t>&lt; 2.00 to 1.0</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r>
      <w:tr>
        <w:trPr>
          <w:trHeight w:val="169"/>
        </w:trPr>
        <w:tc>
          <w:tcPr>
            <w:tcW w:w="1140" w:type="dxa"/>
            <w:vAlign w:val="bottom"/>
            <w:tcBorders>
              <w:left w:val="single" w:sz="8" w:color="auto"/>
            </w:tcBorders>
          </w:tcPr>
          <w:p>
            <w:pPr>
              <w:spacing w:after="0"/>
              <w:rPr>
                <w:sz w:val="14"/>
                <w:szCs w:val="14"/>
                <w:color w:val="auto"/>
              </w:rPr>
            </w:pPr>
          </w:p>
        </w:tc>
        <w:tc>
          <w:tcPr>
            <w:tcW w:w="1760" w:type="dxa"/>
            <w:vAlign w:val="bottom"/>
            <w:tcBorders>
              <w:right w:val="single" w:sz="8" w:color="auto"/>
            </w:tcBorders>
            <w:gridSpan w:val="3"/>
          </w:tcPr>
          <w:p>
            <w:pPr>
              <w:jc w:val="center"/>
              <w:ind w:right="1060"/>
              <w:spacing w:after="0" w:line="170" w:lineRule="exact"/>
              <w:rPr>
                <w:sz w:val="20"/>
                <w:szCs w:val="20"/>
                <w:color w:val="auto"/>
              </w:rPr>
            </w:pPr>
            <w:r>
              <w:rPr>
                <w:rFonts w:ascii="Arial" w:cs="Arial" w:eastAsia="Arial" w:hAnsi="Arial"/>
                <w:sz w:val="18"/>
                <w:szCs w:val="18"/>
                <w:color w:val="auto"/>
                <w:w w:val="79"/>
              </w:rPr>
              <w:t>Category 3</w:t>
            </w:r>
          </w:p>
        </w:tc>
        <w:tc>
          <w:tcPr>
            <w:tcW w:w="1080" w:type="dxa"/>
            <w:vAlign w:val="bottom"/>
            <w:gridSpan w:val="3"/>
          </w:tcPr>
          <w:p>
            <w:pPr>
              <w:jc w:val="center"/>
              <w:ind w:left="490"/>
              <w:spacing w:after="0" w:line="170" w:lineRule="exact"/>
              <w:rPr>
                <w:sz w:val="20"/>
                <w:szCs w:val="20"/>
                <w:color w:val="auto"/>
              </w:rPr>
            </w:pPr>
            <w:r>
              <w:rPr>
                <w:rFonts w:ascii="Arial" w:cs="Arial" w:eastAsia="Arial" w:hAnsi="Arial"/>
                <w:sz w:val="18"/>
                <w:szCs w:val="18"/>
                <w:color w:val="auto"/>
                <w:w w:val="90"/>
              </w:rPr>
              <w:t>1.50%</w:t>
            </w:r>
          </w:p>
        </w:tc>
        <w:tc>
          <w:tcPr>
            <w:tcW w:w="2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040" w:type="dxa"/>
            <w:vAlign w:val="bottom"/>
            <w:gridSpan w:val="2"/>
          </w:tcPr>
          <w:p>
            <w:pPr>
              <w:jc w:val="center"/>
              <w:ind w:left="450"/>
              <w:spacing w:after="0" w:line="170" w:lineRule="exact"/>
              <w:rPr>
                <w:sz w:val="20"/>
                <w:szCs w:val="20"/>
                <w:color w:val="auto"/>
              </w:rPr>
            </w:pPr>
            <w:r>
              <w:rPr>
                <w:rFonts w:ascii="Arial" w:cs="Arial" w:eastAsia="Arial" w:hAnsi="Arial"/>
                <w:sz w:val="18"/>
                <w:szCs w:val="18"/>
                <w:color w:val="auto"/>
                <w:w w:val="90"/>
              </w:rPr>
              <w:t>0.50%</w:t>
            </w:r>
          </w:p>
        </w:tc>
        <w:tc>
          <w:tcPr>
            <w:tcW w:w="560" w:type="dxa"/>
            <w:vAlign w:val="bottom"/>
            <w:tcBorders>
              <w:right w:val="single" w:sz="8" w:color="auto"/>
            </w:tcBorders>
          </w:tcPr>
          <w:p>
            <w:pPr>
              <w:spacing w:after="0"/>
              <w:rPr>
                <w:sz w:val="14"/>
                <w:szCs w:val="14"/>
                <w:color w:val="auto"/>
              </w:rPr>
            </w:pPr>
          </w:p>
        </w:tc>
        <w:tc>
          <w:tcPr>
            <w:tcW w:w="1220" w:type="dxa"/>
            <w:vAlign w:val="bottom"/>
            <w:gridSpan w:val="3"/>
          </w:tcPr>
          <w:p>
            <w:pPr>
              <w:jc w:val="center"/>
              <w:ind w:left="490"/>
              <w:spacing w:after="0" w:line="170" w:lineRule="exact"/>
              <w:rPr>
                <w:sz w:val="20"/>
                <w:szCs w:val="20"/>
                <w:color w:val="auto"/>
              </w:rPr>
            </w:pPr>
            <w:r>
              <w:rPr>
                <w:rFonts w:ascii="Arial" w:cs="Arial" w:eastAsia="Arial" w:hAnsi="Arial"/>
                <w:sz w:val="18"/>
                <w:szCs w:val="18"/>
                <w:color w:val="auto"/>
                <w:w w:val="91"/>
              </w:rPr>
              <w:t>0.225%</w:t>
            </w:r>
          </w:p>
        </w:tc>
        <w:tc>
          <w:tcPr>
            <w:tcW w:w="1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80" w:type="dxa"/>
            <w:vAlign w:val="bottom"/>
            <w:gridSpan w:val="5"/>
          </w:tcPr>
          <w:p>
            <w:pPr>
              <w:jc w:val="center"/>
              <w:ind w:left="410"/>
              <w:spacing w:after="0" w:line="170" w:lineRule="exact"/>
              <w:rPr>
                <w:sz w:val="20"/>
                <w:szCs w:val="20"/>
                <w:color w:val="auto"/>
              </w:rPr>
            </w:pPr>
            <w:r>
              <w:rPr>
                <w:rFonts w:ascii="Arial" w:cs="Arial" w:eastAsia="Arial" w:hAnsi="Arial"/>
                <w:sz w:val="18"/>
                <w:szCs w:val="18"/>
                <w:color w:val="auto"/>
                <w:w w:val="93"/>
              </w:rPr>
              <w:t>1.50%</w:t>
            </w:r>
          </w:p>
        </w:tc>
        <w:tc>
          <w:tcPr>
            <w:tcW w:w="1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220" w:type="dxa"/>
            <w:vAlign w:val="bottom"/>
            <w:gridSpan w:val="5"/>
          </w:tcPr>
          <w:p>
            <w:pPr>
              <w:jc w:val="center"/>
              <w:ind w:left="370"/>
              <w:spacing w:after="0" w:line="170" w:lineRule="exact"/>
              <w:rPr>
                <w:sz w:val="20"/>
                <w:szCs w:val="20"/>
                <w:color w:val="auto"/>
              </w:rPr>
            </w:pPr>
            <w:r>
              <w:rPr>
                <w:rFonts w:ascii="Arial" w:cs="Arial" w:eastAsia="Arial" w:hAnsi="Arial"/>
                <w:sz w:val="18"/>
                <w:szCs w:val="18"/>
                <w:color w:val="auto"/>
                <w:w w:val="93"/>
              </w:rPr>
              <w:t>0.75%</w:t>
            </w:r>
          </w:p>
        </w:tc>
        <w:tc>
          <w:tcPr>
            <w:tcW w:w="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r>
      <w:tr>
        <w:trPr>
          <w:trHeight w:val="216"/>
        </w:trPr>
        <w:tc>
          <w:tcPr>
            <w:tcW w:w="2900" w:type="dxa"/>
            <w:vAlign w:val="bottom"/>
            <w:tcBorders>
              <w:left w:val="single" w:sz="8" w:color="auto"/>
              <w:right w:val="single" w:sz="8" w:color="auto"/>
            </w:tcBorders>
            <w:gridSpan w:val="4"/>
          </w:tcPr>
          <w:p>
            <w:pPr>
              <w:jc w:val="center"/>
              <w:spacing w:after="0" w:line="196" w:lineRule="exact"/>
              <w:rPr>
                <w:sz w:val="20"/>
                <w:szCs w:val="20"/>
                <w:color w:val="auto"/>
              </w:rPr>
            </w:pPr>
            <w:r>
              <w:rPr>
                <w:rFonts w:ascii="Arial" w:cs="Arial" w:eastAsia="Arial" w:hAnsi="Arial"/>
                <w:sz w:val="18"/>
                <w:szCs w:val="18"/>
                <w:color w:val="auto"/>
                <w:w w:val="90"/>
              </w:rPr>
              <w:t>&gt; 2.00 to 1.0 but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37"/>
        </w:trPr>
        <w:tc>
          <w:tcPr>
            <w:tcW w:w="114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gridSpan w:val="3"/>
          </w:tcPr>
          <w:p>
            <w:pPr>
              <w:jc w:val="center"/>
              <w:ind w:right="1000"/>
              <w:spacing w:after="0"/>
              <w:rPr>
                <w:sz w:val="20"/>
                <w:szCs w:val="20"/>
                <w:color w:val="auto"/>
              </w:rPr>
            </w:pPr>
            <w:r>
              <w:rPr>
                <w:rFonts w:ascii="Arial" w:cs="Arial" w:eastAsia="Arial" w:hAnsi="Arial"/>
                <w:sz w:val="18"/>
                <w:szCs w:val="18"/>
                <w:color w:val="auto"/>
                <w:w w:val="75"/>
              </w:rPr>
              <w:t>&lt; 2.50 to 1.0</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r>
      <w:tr>
        <w:trPr>
          <w:trHeight w:val="169"/>
        </w:trPr>
        <w:tc>
          <w:tcPr>
            <w:tcW w:w="1140" w:type="dxa"/>
            <w:vAlign w:val="bottom"/>
            <w:tcBorders>
              <w:left w:val="single" w:sz="8" w:color="auto"/>
            </w:tcBorders>
          </w:tcPr>
          <w:p>
            <w:pPr>
              <w:spacing w:after="0"/>
              <w:rPr>
                <w:sz w:val="14"/>
                <w:szCs w:val="14"/>
                <w:color w:val="auto"/>
              </w:rPr>
            </w:pPr>
          </w:p>
        </w:tc>
        <w:tc>
          <w:tcPr>
            <w:tcW w:w="1760" w:type="dxa"/>
            <w:vAlign w:val="bottom"/>
            <w:tcBorders>
              <w:right w:val="single" w:sz="8" w:color="auto"/>
            </w:tcBorders>
            <w:gridSpan w:val="3"/>
          </w:tcPr>
          <w:p>
            <w:pPr>
              <w:jc w:val="center"/>
              <w:ind w:right="1060"/>
              <w:spacing w:after="0" w:line="170" w:lineRule="exact"/>
              <w:rPr>
                <w:sz w:val="20"/>
                <w:szCs w:val="20"/>
                <w:color w:val="auto"/>
              </w:rPr>
            </w:pPr>
            <w:r>
              <w:rPr>
                <w:rFonts w:ascii="Arial" w:cs="Arial" w:eastAsia="Arial" w:hAnsi="Arial"/>
                <w:sz w:val="18"/>
                <w:szCs w:val="18"/>
                <w:color w:val="auto"/>
                <w:w w:val="79"/>
              </w:rPr>
              <w:t>Category 4</w:t>
            </w:r>
          </w:p>
        </w:tc>
        <w:tc>
          <w:tcPr>
            <w:tcW w:w="1080" w:type="dxa"/>
            <w:vAlign w:val="bottom"/>
            <w:gridSpan w:val="3"/>
          </w:tcPr>
          <w:p>
            <w:pPr>
              <w:jc w:val="center"/>
              <w:ind w:left="490"/>
              <w:spacing w:after="0" w:line="170" w:lineRule="exact"/>
              <w:rPr>
                <w:sz w:val="20"/>
                <w:szCs w:val="20"/>
                <w:color w:val="auto"/>
              </w:rPr>
            </w:pPr>
            <w:r>
              <w:rPr>
                <w:rFonts w:ascii="Arial" w:cs="Arial" w:eastAsia="Arial" w:hAnsi="Arial"/>
                <w:sz w:val="18"/>
                <w:szCs w:val="18"/>
                <w:color w:val="auto"/>
                <w:w w:val="90"/>
              </w:rPr>
              <w:t>1.75%</w:t>
            </w:r>
          </w:p>
        </w:tc>
        <w:tc>
          <w:tcPr>
            <w:tcW w:w="2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040" w:type="dxa"/>
            <w:vAlign w:val="bottom"/>
            <w:gridSpan w:val="2"/>
          </w:tcPr>
          <w:p>
            <w:pPr>
              <w:jc w:val="center"/>
              <w:ind w:left="450"/>
              <w:spacing w:after="0" w:line="170" w:lineRule="exact"/>
              <w:rPr>
                <w:sz w:val="20"/>
                <w:szCs w:val="20"/>
                <w:color w:val="auto"/>
              </w:rPr>
            </w:pPr>
            <w:r>
              <w:rPr>
                <w:rFonts w:ascii="Arial" w:cs="Arial" w:eastAsia="Arial" w:hAnsi="Arial"/>
                <w:sz w:val="18"/>
                <w:szCs w:val="18"/>
                <w:color w:val="auto"/>
                <w:w w:val="90"/>
              </w:rPr>
              <w:t>0.75%</w:t>
            </w:r>
          </w:p>
        </w:tc>
        <w:tc>
          <w:tcPr>
            <w:tcW w:w="560" w:type="dxa"/>
            <w:vAlign w:val="bottom"/>
            <w:tcBorders>
              <w:right w:val="single" w:sz="8" w:color="auto"/>
            </w:tcBorders>
          </w:tcPr>
          <w:p>
            <w:pPr>
              <w:spacing w:after="0"/>
              <w:rPr>
                <w:sz w:val="14"/>
                <w:szCs w:val="14"/>
                <w:color w:val="auto"/>
              </w:rPr>
            </w:pPr>
          </w:p>
        </w:tc>
        <w:tc>
          <w:tcPr>
            <w:tcW w:w="1220" w:type="dxa"/>
            <w:vAlign w:val="bottom"/>
            <w:gridSpan w:val="3"/>
          </w:tcPr>
          <w:p>
            <w:pPr>
              <w:jc w:val="center"/>
              <w:ind w:left="490"/>
              <w:spacing w:after="0" w:line="170" w:lineRule="exact"/>
              <w:rPr>
                <w:sz w:val="20"/>
                <w:szCs w:val="20"/>
                <w:color w:val="auto"/>
              </w:rPr>
            </w:pPr>
            <w:r>
              <w:rPr>
                <w:rFonts w:ascii="Arial" w:cs="Arial" w:eastAsia="Arial" w:hAnsi="Arial"/>
                <w:sz w:val="18"/>
                <w:szCs w:val="18"/>
                <w:color w:val="auto"/>
                <w:w w:val="93"/>
              </w:rPr>
              <w:t>0.25%</w:t>
            </w:r>
          </w:p>
        </w:tc>
        <w:tc>
          <w:tcPr>
            <w:tcW w:w="1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80" w:type="dxa"/>
            <w:vAlign w:val="bottom"/>
            <w:gridSpan w:val="5"/>
          </w:tcPr>
          <w:p>
            <w:pPr>
              <w:jc w:val="center"/>
              <w:ind w:left="410"/>
              <w:spacing w:after="0" w:line="170" w:lineRule="exact"/>
              <w:rPr>
                <w:sz w:val="20"/>
                <w:szCs w:val="20"/>
                <w:color w:val="auto"/>
              </w:rPr>
            </w:pPr>
            <w:r>
              <w:rPr>
                <w:rFonts w:ascii="Arial" w:cs="Arial" w:eastAsia="Arial" w:hAnsi="Arial"/>
                <w:sz w:val="18"/>
                <w:szCs w:val="18"/>
                <w:color w:val="auto"/>
                <w:w w:val="93"/>
              </w:rPr>
              <w:t>1.75%</w:t>
            </w:r>
          </w:p>
        </w:tc>
        <w:tc>
          <w:tcPr>
            <w:tcW w:w="1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220" w:type="dxa"/>
            <w:vAlign w:val="bottom"/>
            <w:gridSpan w:val="5"/>
          </w:tcPr>
          <w:p>
            <w:pPr>
              <w:jc w:val="center"/>
              <w:ind w:left="370"/>
              <w:spacing w:after="0" w:line="170" w:lineRule="exact"/>
              <w:rPr>
                <w:sz w:val="20"/>
                <w:szCs w:val="20"/>
                <w:color w:val="auto"/>
              </w:rPr>
            </w:pPr>
            <w:r>
              <w:rPr>
                <w:rFonts w:ascii="Arial" w:cs="Arial" w:eastAsia="Arial" w:hAnsi="Arial"/>
                <w:sz w:val="18"/>
                <w:szCs w:val="18"/>
                <w:color w:val="auto"/>
                <w:w w:val="91"/>
              </w:rPr>
              <w:t>0.875%</w:t>
            </w:r>
          </w:p>
        </w:tc>
        <w:tc>
          <w:tcPr>
            <w:tcW w:w="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3"/>
          </w:tcPr>
          <w:p>
            <w:pPr>
              <w:jc w:val="center"/>
              <w:ind w:right="1000"/>
              <w:spacing w:after="0" w:line="196" w:lineRule="exact"/>
              <w:rPr>
                <w:sz w:val="20"/>
                <w:szCs w:val="20"/>
                <w:color w:val="auto"/>
              </w:rPr>
            </w:pPr>
            <w:r>
              <w:rPr>
                <w:rFonts w:ascii="Arial" w:cs="Arial" w:eastAsia="Arial" w:hAnsi="Arial"/>
                <w:sz w:val="18"/>
                <w:szCs w:val="18"/>
                <w:color w:val="auto"/>
                <w:w w:val="75"/>
              </w:rPr>
              <w:t>&gt; 2.50 to 1.0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1"/>
        </w:trPr>
        <w:tc>
          <w:tcPr>
            <w:tcW w:w="1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For purposes of the foregoing, (a) the Applicable Rate shall be determined as of the end of each fiscal quarter of the Borrower based upon the Borrower’s annual or quarterly consolidated financial statements delivered pursuant to Section 5.01 and (b) each change in the Applicable Rate resulting from a change in the Leverage Ratio shall be effective during the period commencing on and including five (5) Business Days after the date of delivery to the Administrative Agent of such consolidated financial statements indicating such change and ending on the date immediately preceding the effective date of the next such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Leverage Ratio shall be deemed to be in Category 4 at the option of the Administrative Agent or at the request of the Required Lenders if the Borrower fails to deliver the annual or quarterly consolidated financial statements required to be delivered by it pursuant to Section 5.01, during the period from the expiration of the time for delivery thereof until five (5) Business Days after such consolidated financial statements are delivered.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8.03(a).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Arrangers</w:t>
      </w:r>
      <w:r>
        <w:rPr>
          <w:rFonts w:ascii="Arial" w:cs="Arial" w:eastAsia="Arial" w:hAnsi="Arial"/>
          <w:sz w:val="16"/>
          <w:szCs w:val="16"/>
          <w:color w:val="auto"/>
        </w:rPr>
        <w:t>” means JPMorgan Chase Bank, N.A. and BofA Securities, Inc., in their capacities as joint bookrunners and joint lead arrangers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the use of an electronic platform) approved by the Administrative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2.04.</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Commitment</w:t>
      </w:r>
      <w:r>
        <w:rPr>
          <w:rFonts w:ascii="Arial" w:cs="Arial" w:eastAsia="Arial" w:hAnsi="Arial"/>
          <w:sz w:val="18"/>
          <w:szCs w:val="18"/>
          <w:color w:val="auto"/>
        </w:rPr>
        <w:t>” means, at any time with respect to any Lender, the Commitment of such Lender then in effect minus the Revolving Exposure of such Lender at such time.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the Borrower or any Subsidiary by any Lender or any of its Affiliates: (a) commercial credit cards, (b) stored value cards and (c) treasury management services (including, without limitation, controlled disbursement, automated clearinghouse transactions, return items, overdrafts and interstate depository network services).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 Agreement</w:t>
      </w:r>
      <w:r>
        <w:rPr>
          <w:rFonts w:ascii="Arial" w:cs="Arial" w:eastAsia="Arial" w:hAnsi="Arial"/>
          <w:sz w:val="16"/>
          <w:szCs w:val="16"/>
          <w:color w:val="auto"/>
        </w:rPr>
        <w:t>” means any agreement entered into by the Borrower or any Subsidiary in connection with Banking Services.</w:t>
      </w:r>
    </w:p>
    <w:p>
      <w:pPr>
        <w:spacing w:after="0" w:line="2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entitled “Bankruptcy”, as now or hereafter in effect, or any successor thereto, as hereafter amended.</w:t>
      </w:r>
    </w:p>
    <w:p>
      <w:pPr>
        <w:spacing w:after="0" w:line="17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such party.</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Bonding Obligations</w:t>
      </w:r>
      <w:r>
        <w:rPr>
          <w:rFonts w:ascii="Arial" w:cs="Arial" w:eastAsia="Arial" w:hAnsi="Arial"/>
          <w:sz w:val="18"/>
          <w:szCs w:val="18"/>
          <w:color w:val="auto"/>
        </w:rPr>
        <w:t>” means any and all obligations of the Borrower or any of its Subsidiaries to any Person to secure or assure the performance of any bid, contract, lease or statutory obligation, or otherwise constituting a bid, performance, return-of-money, surety, appeal or payment bond, contract or like undertaking, in each case, entered into by the Borrower or such Subsidiary in the ordinary course of business or in connection with a transaction permitted hereby.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MYR Group Inc., a Delaware corporation.</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Revolving Loans of the same Type, made, advanced, converted or continued on the same date and, in the case of a Eurocurrency Loan, as to which a single Interest Period is in effect.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Revolving Borrowing in accordance with Section 2.03.</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Eurocurrency Loan for a LIBO Quoted Currency,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general business in London, and in addition, with respect to any date for the payment or purchase of, or the fixing of an interest rate in relation to Canadian Dollars, the term “Business Day” shall also exclude any day on which banks are not open for general business in Toronto, Ontario and, if the Borrowings or LC Disbursements which are the subject of a borrowing, drawing, payment, reimbursement or rate selection are denominated in euro, the term “Business Day” shall also exclude any day on which the TARGET2 payment system is not open for the settlement of payments in euro.</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lawful currency of Canada.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xml:space="preserv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w:t>
      </w:r>
      <w:r>
        <w:rPr>
          <w:rFonts w:ascii="Arial" w:cs="Arial" w:eastAsia="Arial" w:hAnsi="Arial"/>
          <w:sz w:val="17"/>
          <w:szCs w:val="17"/>
          <w:u w:val="single" w:color="auto"/>
          <w:color w:val="auto"/>
        </w:rPr>
        <w:t>provided</w:t>
      </w:r>
      <w:r>
        <w:rPr>
          <w:rFonts w:ascii="Arial" w:cs="Arial" w:eastAsia="Arial" w:hAnsi="Arial"/>
          <w:sz w:val="17"/>
          <w:szCs w:val="17"/>
          <w:color w:val="auto"/>
        </w:rPr>
        <w:t>, that if any of the above rates shall be less than zero, such rate shall be deemed to be zero for purposes of this Agreement. Any change in the Canadian Prime Rate due to a change in the PRIMCAN Index or the rate appearing on the Reuters Screen CDOR Page shall be effective from and including the effective date of such change in the PRIMCAN Index or the rate appearing on the Reuters Screen CDOR Page, respectively.</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as of the date of determination,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 Screen Rate</w:t>
      </w:r>
      <w:r>
        <w:rPr>
          <w:rFonts w:ascii="Arial" w:cs="Arial" w:eastAsia="Arial" w:hAnsi="Arial"/>
          <w:sz w:val="16"/>
          <w:szCs w:val="16"/>
          <w:color w:val="auto"/>
        </w:rPr>
        <w:t>” 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1/100th of 1% (with .005% being rounded up), as of 10:15 a.m. Toronto local time on the first day of such Interest Period and, if such day is not a Business Day, then on the immediately preceding Business Day (as adjusted by Administrative Agent after 10:15 a.m. Toronto local time to reflect any error in the posted rate of interest or in the posted average annual rate of interest). If the CDOR Screen Rate shall be less than zero, the CDOR Screen Rate shall be deemed to be zero for purposes of this Agreement.</w:t>
      </w:r>
    </w:p>
    <w:p>
      <w:pPr>
        <w:spacing w:after="0" w:line="166"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(i)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Borrower (calculated on a fully diluted basis taking into account all options or other rights to acquire voting common Equity Interests of the Borrower then outstanding, regardless of whether such options or other rights are then currently exercisable); or (ii) occupation at any time of a majority of the seats (other than vacant seats) on the board of directors of the Borrower by Persons who were not nominated or appointed by the board of directors of the Borrower.</w:t>
      </w:r>
    </w:p>
    <w:p>
      <w:pPr>
        <w:spacing w:after="0" w:line="16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guideline or directive (whether or not having the force of law) of any Governmental Authority made or issued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w:t>
      </w:r>
      <w:r>
        <w:rPr>
          <w:rFonts w:ascii="Arial" w:cs="Arial" w:eastAsia="Arial" w:hAnsi="Arial"/>
          <w:sz w:val="18"/>
          <w:szCs w:val="18"/>
          <w:color w:val="auto"/>
        </w:rPr>
        <w:t>” means each of Bank of Montreal and Wells Fargo Bank, National Association, in its capacity as co-documentation agent for the credit facility evidenced by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property owned by any Loan Party, now existing or hereafter acquired, that may at any time be or become subject to a security interest or Lien in favor of Administrative Agent, on behalf of itself and the Holders of Secured Obligations, to secure the Secured Obligations; provided, however, that Collateral shall not include (i) Excluded Assets and (ii) Equity Interests in excess of the Applicable Pledge Percentage in any First Tier Foreign Subsidiary that is a Pledge Subsidiary.</w:t>
      </w:r>
    </w:p>
    <w:p>
      <w:pPr>
        <w:spacing w:after="0" w:line="18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 and all other agreements, instruments and documents executed in connection with this Agreement that are intended to create or evidence Liens on the Collateral for the purpose of securing the Secured Obligations, including all other security agreements, pledge agreements, loan agreements, notes, guarantees, subordination agreements, pledges, powers of attorney, consents, assignments, contracts, fee letters, notices, leases, financing statements and all other written matter whether heretofore, now, or hereafter executed by the Borrower or any of its Material Subsidiaries and delivered to the Administrative Agent.</w:t>
      </w:r>
    </w:p>
    <w:p>
      <w:pPr>
        <w:spacing w:after="0" w:line="17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the amount set forth on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opposite such Lender’s name, or in the Assignment and Assumption or other documentation or record (as such term is defined in Section 9-102(a)(70) of the UCC) as provided in Section 9.04(b)(ii)(C) pursuant to which such Lender shall have assumed its Commitment, as applicable, and giving effect to (a) any reduction in such amount from time to time pursuant to Section 2.09 and (b) any reduction or increase in such amount from time to time pursuant to assignments by or to such Lender pursuant to Section 9.04; provided, that at no time shall the Revolving Exposure of any Lender exceed its Commitment. The initial aggregate amount of the Lenders’ Commitments is $375,000,000.</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Schedule</w:t>
      </w:r>
      <w:r>
        <w:rPr>
          <w:rFonts w:ascii="Arial" w:cs="Arial" w:eastAsia="Arial" w:hAnsi="Arial"/>
          <w:sz w:val="18"/>
          <w:szCs w:val="18"/>
          <w:color w:val="auto"/>
        </w:rPr>
        <w:t>” means the Schedule attached hereto identified as such.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has the meaning assigned to such term in Section 8.03(c).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has the meaning assigned to such term in Section 2.05.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period, Net Income for such period plus (a) without duplication and to the extent deducted in determining Net Income for such period, the sum of (i) Interest Expense for such period, (ii) income tax expense for such period, (iii) all amounts attributable to depreciation and amortization expense for such period, (iv) any extraordinary non-cash charges for such period, (v) any non-cash costs, charges or expenses relating to cost savings, operating expense reductions, consolidations and integration costs, and other non-cash restructuring charges, (vi) any cash restructuring charges, not in excess of $10,000,000 in the aggregate during the term of this Agreement, and (vii) any other non-cash charges for such period (but excluding any non-cash charge in respect of an item that was included in Net Income in a prior period and any non-cash charge that relates to the write-down or write-off of inventory), minus (b) without duplication and to the extent included in Net Income, (i) any cash payments made during such period in respect of non-cash charges described in clause (a)(v) taken in a prior period and (ii) any extraordinary gains and any non-cash items of income for such period, all calculated for the Borrower and its Subsidiaries on a consolidated basis in accordance with GAAP. Notwithstanding the foregoing, with respect to any period during which a Permitted Acquisition occurs or the Borrower or any of its Subsidiaries acquires or sells or otherwise disposes of a Subsidiary or other assets, for purposes of determining compliance with the financial covenants set forth in Section 6.12, (x) Consolidated EBITDA shall be calculated pro forma (without duplication) as if the Permitted Acquisition or other acquisition or disposition had occurred on the first day of such period and (y) any Indebtedness incurred or repaid in connection therewith shall be deemed to have been consummated or incurred or repaid at the beginning of such period.</w:t>
      </w:r>
    </w:p>
    <w:p>
      <w:pPr>
        <w:spacing w:after="0" w:line="17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as of the date of any determination thereof, the consolidated stockholders’ equity of the Borrower and its Subsidiaries calculated in accordance with GAAP on a consolidated basis as of such date.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Borrower and its Subsidiaries calculated in accordance with GAAP on a consolidated basis as of such date.</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Indebtedness</w:t>
      </w:r>
      <w:r>
        <w:rPr>
          <w:rFonts w:ascii="Arial" w:cs="Arial" w:eastAsia="Arial" w:hAnsi="Arial"/>
          <w:sz w:val="18"/>
          <w:szCs w:val="18"/>
          <w:color w:val="auto"/>
        </w:rPr>
        <w:t>” means, at any date, the aggregate principal amount of all Indebtedness of the Borrower and its Subsidiaries at such date, determined on a consolidated basis in accordance with GAAP.</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Event</w:t>
      </w:r>
      <w:r>
        <w:rPr>
          <w:rFonts w:ascii="Arial" w:cs="Arial" w:eastAsia="Arial" w:hAnsi="Arial"/>
          <w:sz w:val="16"/>
          <w:szCs w:val="16"/>
          <w:color w:val="auto"/>
        </w:rPr>
        <w:t>” means a Borrowing, the issuance, amendment, renewal or extension of a Letter of Credit, an LC Disbursement or any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each Issuing Bank, or any other Lender.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Deemed Dividend Problem</w:t>
      </w:r>
      <w:r>
        <w:rPr>
          <w:rFonts w:ascii="Arial" w:cs="Arial" w:eastAsia="Arial" w:hAnsi="Arial"/>
          <w:sz w:val="17"/>
          <w:szCs w:val="17"/>
          <w:color w:val="auto"/>
        </w:rPr>
        <w:t>” means, with respect to any Foreign Subsidiary, such Foreign Subsidiary’s accumulated and undistributed earnings and profits being deemed to be repatriated to the Borrower or the applicable parent Domestic Subsidiary under Section 956 of the Code and the effect of such repatriation causing materially adverse tax consequences to the Borrower or such parent Domestic Subsidiary, in each case as determined by the Borrower in its commercially reasonable judgment acting in good faith and in consultation with its legal and tax advisors.</w:t>
      </w:r>
    </w:p>
    <w:p>
      <w:pPr>
        <w:spacing w:after="0" w:line="17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subject to the last sentence of Section 2.20,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provided that such Lender shall cease to be a Defaulting Lender pursuant to this clause (c) upon such Credit Party’s receipt of such certification in form and substance reasonably satisfactory to it and the Administrative Agent, or (d) has become the subject of (A) a Bankruptcy Event or (B) a Bail-In Action.</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Departing Lender</w:t>
      </w:r>
      <w:r>
        <w:rPr>
          <w:rFonts w:ascii="Arial" w:cs="Arial" w:eastAsia="Arial" w:hAnsi="Arial"/>
          <w:sz w:val="18"/>
          <w:szCs w:val="18"/>
          <w:color w:val="auto"/>
        </w:rPr>
        <w:t>” means each “Lender” under the Existing Credit Agreement that does not have a Commitment hereunder and is identified on the Departing Lender Schedule 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Departing Lender Schedule</w:t>
      </w:r>
      <w:r>
        <w:rPr>
          <w:rFonts w:ascii="Arial" w:cs="Arial" w:eastAsia="Arial" w:hAnsi="Arial"/>
          <w:sz w:val="16"/>
          <w:szCs w:val="16"/>
          <w:color w:val="auto"/>
        </w:rPr>
        <w:t>” means the Schedule identifying each Departing Lender as of the Effective Date attached hereto and identified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such.</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in </w:t>
      </w:r>
      <w:r>
        <w:rPr>
          <w:rFonts w:ascii="Arial" w:cs="Arial" w:eastAsia="Arial" w:hAnsi="Arial"/>
          <w:sz w:val="18"/>
          <w:szCs w:val="18"/>
          <w:u w:val="single" w:color="auto"/>
          <w:color w:val="auto"/>
        </w:rPr>
        <w:t>Schedule 3.06</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of any currency at any date means (i) the amount of such currency if such currency is Dollars or (ii) the equivalent amount thereof in Dollars if such currency is a Foreign Currency, calculated on the basis of the Exchange Rate for such currency, on or as of the most recent Computation Date provided for in Section 2.05.</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incorporated or organized under the laws of the United States of America, any state thereof or in the District of Columbia.</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w:t>
      </w:r>
      <w:r>
        <w:rPr>
          <w:rFonts w:ascii="Arial" w:cs="Arial" w:eastAsia="Arial" w:hAnsi="Arial"/>
          <w:sz w:val="18"/>
          <w:szCs w:val="18"/>
          <w:color w:val="auto"/>
        </w:rPr>
        <w:t>” means those certain obligations of the Borrower or any Subsidiary arising in connection with any acquisition of assets or businesses permitted under Section 6.04 to the seller of such assets or businesses, the payment of which is dependent on the future earnings or performance of such assets or businesses, and in each case as determined in accordance with GAAP.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date on which the conditions specified in Section 4.01 are satisfied (or waived in accordance with Section 9.02).</w:t>
      </w:r>
    </w:p>
    <w:p>
      <w:pPr>
        <w:spacing w:after="0" w:line="24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health and safety matters.</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 Amount</w:t>
      </w:r>
      <w:r>
        <w:rPr>
          <w:rFonts w:ascii="Arial" w:cs="Arial" w:eastAsia="Arial" w:hAnsi="Arial"/>
          <w:sz w:val="18"/>
          <w:szCs w:val="18"/>
          <w:color w:val="auto"/>
        </w:rPr>
        <w:t>” of any currency with respect to any amount of Dollars at any date means the equivalent in such currency of such amount of Dollars, calculated on the basis of the Exchange Rate for such other currency at 11:00 a.m., London time, on the date on or as of which such amount is to be determined.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Title IV of ERISA, Section 4001(a)(14) of ERISA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to which the Borrower or any of its ERISA Affiliates contributes or is required to contribute or otherwise has any outstanding liability is, or is expected to be, insolvent, within the meaning of Title IV of ERISA.</w:t>
      </w:r>
    </w:p>
    <w:p>
      <w:pPr>
        <w:spacing w:after="0" w:line="18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and/or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w:t>
      </w:r>
      <w:r>
        <w:rPr>
          <w:rFonts w:ascii="Arial" w:cs="Arial" w:eastAsia="Arial" w:hAnsi="Arial"/>
          <w:sz w:val="17"/>
          <w:szCs w:val="17"/>
          <w:color w:val="auto"/>
        </w:rPr>
        <w:t>” when used in reference to a currency means an Agreed Currency and when used in reference to any Loan or Borrowing, means that such Loan, or the Loans comprising such Borrowing, bears interest at a rate determined by reference to the Adjusted LIBO Rate.</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Payment Office</w:t>
      </w:r>
      <w:r>
        <w:rPr>
          <w:rFonts w:ascii="Arial" w:cs="Arial" w:eastAsia="Arial" w:hAnsi="Arial"/>
          <w:sz w:val="18"/>
          <w:szCs w:val="18"/>
          <w:color w:val="auto"/>
        </w:rPr>
        <w:t>” of the Administrative Agent means, for each Foreign Currency, the office, branch, affiliate or correspondent bank of the Administrative Agent for such currency as specified from time to time by the Administrative Agent to the Borrower and each Lender.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Section 7.01.</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means, on any day, (a) with respect to any Foreign Currency, the rate of exchange for the purchase of Dollars with such Foreign Currency last provided (either by publication or otherwise provided to the Administrative Agent) by the applicable Thomson Reuters Corp., Refinitiv, or any successor thereto (“</w:t>
      </w:r>
      <w:r>
        <w:rPr>
          <w:rFonts w:ascii="Arial" w:cs="Arial" w:eastAsia="Arial" w:hAnsi="Arial"/>
          <w:sz w:val="17"/>
          <w:szCs w:val="17"/>
          <w:u w:val="single" w:color="auto"/>
          <w:color w:val="auto"/>
        </w:rPr>
        <w:t>Reuters</w:t>
      </w:r>
      <w:r>
        <w:rPr>
          <w:rFonts w:ascii="Arial" w:cs="Arial" w:eastAsia="Arial" w:hAnsi="Arial"/>
          <w:sz w:val="17"/>
          <w:szCs w:val="17"/>
          <w:color w:val="auto"/>
        </w:rPr>
        <w:t>”) source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(b) if such amount is denominated in any other currency (other than Dollars), the equivalent of such amount in Dollars as determined by the Administrative Agent using any method of determination it deems appropriate in its sole discretion.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(i) any property (x) subject to any “certificate of title” (as defined in the UCC), (y) subject to any lease or other right-of-use agreement or constituting a leasehold or similar interest or (z) constituting any real property or interest therein or any “fixtures” (as defined in the UCC) related thereto and (ii) any Equity Interest in a Permitted Joint Venture.</w:t>
      </w:r>
    </w:p>
    <w:p>
      <w:pPr>
        <w:spacing w:after="0" w:line="18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7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with respect to the Administrative Agent, any Lender, any Issuing Bank or any other recipient of any payment to be made by or on account of any obligation of the Borrower hereunder, (a) Taxes imposed on (or measured by) its net income (however denominated) or franchise Taxes by the United States of America, or by the jurisdiction (or any political subdivision or taxing authority thereof or therein) under the laws of which such recipient is organized (or in which such recipient is resident for income tax purposes) or in which its principal office is located or, in the case of any Lender, in which its applicable lending office is located, (b) any branch profits Taxes or backup withholding Taxes imposed by the United States of America or any similar Tax imposed by any other jurisdiction in which the Borrower is located, (c) in the case of a Lender (other than an assignee pursuant to a request by the Borrower under Section 2.19(b)), any withholding Tax that is (i) imposed on amounts payable to such Lender at the time such Lender becomes a party to this Agreement (or designates a new lending office), except to the extent that such Lender (or its assignor, if any) was entitled, immediately prior to the designation of a new lending office (or such assignment), to receive additional amounts from the Borrower with respect to such withholding Tax pursuant to Section 2.17(a), or (ii) is attributable to such Lender’s failure to comply with Sections 2.17(e) or (f) and (d) any U.S. federal withholding Taxes imposed under FATCA.</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to such term in the recitals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Letter of Credit”</w:t>
      </w:r>
      <w:r>
        <w:rPr>
          <w:rFonts w:ascii="Arial" w:cs="Arial" w:eastAsia="Arial" w:hAnsi="Arial"/>
          <w:sz w:val="18"/>
          <w:szCs w:val="18"/>
          <w:color w:val="auto"/>
        </w:rPr>
        <w:t xml:space="preserve"> has the meaning assigned to such term in Section 2.06(c).</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administrative guidance thereunder or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purposes of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Assistance Problem</w:t>
      </w:r>
      <w:r>
        <w:rPr>
          <w:rFonts w:ascii="Arial" w:cs="Arial" w:eastAsia="Arial" w:hAnsi="Arial"/>
          <w:sz w:val="16"/>
          <w:szCs w:val="16"/>
          <w:color w:val="auto"/>
        </w:rPr>
        <w:t>” means, with respect to any Foreign Subsidiary, the inability of such Foreign Subsidiary to become a Subsidiary Guarantor or to permit its Equity Interests from being pledged pursuant to a pledge agreement on account of legal or financial limitations imposed by the jurisdiction of organization of such Foreign Subsidiary or other relevant jurisdictions having authority over such Foreign Subsidiary, in each case as determined by the Borrower in its commercially reasonable judgment acting in good faith and in consultation with its legal and tax advisors.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Foreign Subsidiary</w:t>
      </w:r>
      <w:r>
        <w:rPr>
          <w:rFonts w:ascii="Arial" w:cs="Arial" w:eastAsia="Arial" w:hAnsi="Arial"/>
          <w:sz w:val="18"/>
          <w:szCs w:val="18"/>
          <w:color w:val="auto"/>
        </w:rPr>
        <w:t>” means each Foreign Subsidiary with respect to which any one or more of the Borrower and its Domestic Subsidiaries directly owns or controls more than 50% of such Foreign Subsidiary’s issued and outstanding Equity Interests.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Currencies</w:t>
      </w:r>
      <w:r>
        <w:rPr>
          <w:rFonts w:ascii="Arial" w:cs="Arial" w:eastAsia="Arial" w:hAnsi="Arial"/>
          <w:sz w:val="18"/>
          <w:szCs w:val="18"/>
          <w:color w:val="auto"/>
        </w:rPr>
        <w:t>” means Agreed Currencies other than Dollars.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Exposure</w:t>
      </w:r>
      <w:r>
        <w:rPr>
          <w:rFonts w:ascii="Arial" w:cs="Arial" w:eastAsia="Arial" w:hAnsi="Arial"/>
          <w:sz w:val="18"/>
          <w:szCs w:val="18"/>
          <w:color w:val="auto"/>
        </w:rPr>
        <w:t>” has the meaning assigned to such term in Section 2.11(c).</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LC Exposure</w:t>
      </w:r>
      <w:r>
        <w:rPr>
          <w:rFonts w:ascii="Arial" w:cs="Arial" w:eastAsia="Arial" w:hAnsi="Arial"/>
          <w:sz w:val="18"/>
          <w:szCs w:val="18"/>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Letter of Credit</w:t>
      </w:r>
      <w:r>
        <w:rPr>
          <w:rFonts w:ascii="Arial" w:cs="Arial" w:eastAsia="Arial" w:hAnsi="Arial"/>
          <w:sz w:val="18"/>
          <w:szCs w:val="18"/>
          <w:color w:val="auto"/>
        </w:rPr>
        <w:t>” means a Letter of Credit denominated in a Foreign Currency.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Sublimit</w:t>
      </w:r>
      <w:r>
        <w:rPr>
          <w:rFonts w:ascii="Arial" w:cs="Arial" w:eastAsia="Arial" w:hAnsi="Arial"/>
          <w:sz w:val="18"/>
          <w:szCs w:val="18"/>
          <w:color w:val="auto"/>
        </w:rPr>
        <w:t>” means $75,000,000.</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Account</w:t>
      </w:r>
      <w:r>
        <w:rPr>
          <w:rFonts w:ascii="Arial" w:cs="Arial" w:eastAsia="Arial" w:hAnsi="Arial"/>
          <w:sz w:val="18"/>
          <w:szCs w:val="18"/>
          <w:color w:val="auto"/>
        </w:rPr>
        <w:t>” means the deposit account of the Borrower to which the Administrative Agent is authorized by the Borrower to transfer the proceeds of any Borrowings requested or authorized pursuant to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w:t>
      </w:r>
    </w:p>
    <w:p>
      <w:pPr>
        <w:spacing w:after="0" w:line="16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as hazardous or toxic or as a pollutant or contaminant pursuant to any Environmental Law.</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 of Secured Obligations</w:t>
      </w:r>
      <w:r>
        <w:rPr>
          <w:rFonts w:ascii="Arial" w:cs="Arial" w:eastAsia="Arial" w:hAnsi="Arial"/>
          <w:sz w:val="18"/>
          <w:szCs w:val="18"/>
          <w:color w:val="auto"/>
        </w:rPr>
        <w:t>” means the holders of the Secured Obligations from time to time and includes (i) each Lender and each Issuing Bank in respect of its Loans and LC Exposure respectively, (ii) the Administrative Agent, the Issuing Banks and the Lenders in respect of all other present and future obligations and liabilities of the Borrower and each other Loan Party of every type and description arising under or in connection with the Credit Agreement or any other Loan Document, (iii) each Lender and Affiliate of such Lender in respect of Swap Agreements and Banking Services Agreements entered into with such Person by the Borrower or any other Loan Party, (iv) each indemnified party under Section 9.03 in respect of the obligations and liabilities of the Borrower to such Person hereunder and under the other Loan Documents, and (v) their respective successors and (in the case of a Lender, permitted) transferees and assigns.</w:t>
      </w:r>
    </w:p>
    <w:p>
      <w:pPr>
        <w:spacing w:after="0" w:line="18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Hostile Acquisition</w:t>
      </w:r>
      <w:r>
        <w:rPr>
          <w:rFonts w:ascii="Arial" w:cs="Arial" w:eastAsia="Arial" w:hAnsi="Arial"/>
          <w:sz w:val="16"/>
          <w:szCs w:val="16"/>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has the meaning assigned to such term in Section 1.07.</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each of the following Subsidiaries so long as each such Subsidiary is an inactive entity with no assets or liabilities (other than arising from or relating to past inactivity or nonuse of such Person or otherwise associated with the dissolution of such Person): ComTel Technology, Inc., a Colorado corporation, MYRPower, Inc., a Delaware corporation, Myers International, Inc., a Delaware corporation, Hawkeye Construction, Inc., an Oregon corporation, MYR Real Estate Holdings Alaska, LLC, a Delaware limited liability company, and Sturgeon Transmission Services, LLC, a Delaware limited liability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2.04.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has the meaning assigned to such term in Section 2.04.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Amendment</w:t>
      </w:r>
      <w:r>
        <w:rPr>
          <w:rFonts w:ascii="Arial" w:cs="Arial" w:eastAsia="Arial" w:hAnsi="Arial"/>
          <w:sz w:val="18"/>
          <w:szCs w:val="18"/>
          <w:color w:val="auto"/>
        </w:rPr>
        <w:t>” has the meaning assigned to such term in Section 2.04.</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the Net Mark-to-Market Exposure of such Person under each Swap Agreement to the extent entered into for investment or speculative purposes and (l) obligations under any liquidated Earn-Out.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6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the Borrower under any Loan Document.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Memorandum</w:t>
      </w:r>
      <w:r>
        <w:rPr>
          <w:rFonts w:ascii="Arial" w:cs="Arial" w:eastAsia="Arial" w:hAnsi="Arial"/>
          <w:sz w:val="17"/>
          <w:szCs w:val="17"/>
          <w:color w:val="auto"/>
        </w:rPr>
        <w:t>” means the Confidential Information Memorandum dated August 2019 relating to the Borrower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Coverage Ratio</w:t>
      </w:r>
      <w:r>
        <w:rPr>
          <w:rFonts w:ascii="Arial" w:cs="Arial" w:eastAsia="Arial" w:hAnsi="Arial"/>
          <w:sz w:val="17"/>
          <w:szCs w:val="17"/>
          <w:color w:val="auto"/>
        </w:rPr>
        <w:t>” means, for any period, the ratio of (a) Consolidated EBITDA for such period to (b) Interest Expense for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Borrowing in accordance with Section 2.08.</w:t>
      </w:r>
    </w:p>
    <w:p>
      <w:pPr>
        <w:spacing w:after="0" w:line="23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with reference to any period, total interest expense (including that attributable to Capital Lease Obligations but excluding, for so long as such items are reported as interest expense in the Borrower’s and its Subsidiaries’ financial statements, amortized costs, fees and expenses incurred in connection with the Loan Documents, including, without limitation, Letter of Credit fees)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the last day of each March, June, September and December and the Maturity Date, and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7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Eurocurrency Borrowing, the period commencing on the date of such Borrowing and ending on the numerically corresponding day in the calendar month that is one, two, three or six months thereafter, in each case as the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7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Rate</w:t>
      </w:r>
      <w:r>
        <w:rPr>
          <w:rFonts w:ascii="Arial" w:cs="Arial" w:eastAsia="Arial" w:hAnsi="Arial"/>
          <w:sz w:val="16"/>
          <w:szCs w:val="16"/>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applicable Screen Rate for the longest period (for which the applicable Screen Rate is available for the applicable currency) that is shorter than the Impacted Interest Period and (b) the applicable Screen Rate for the shortest period (for which the applicable Screen Rate is available for the applicable currency) that exceeds the Impacted Interest Period, in each case, at such time.</w:t>
      </w:r>
    </w:p>
    <w:p>
      <w:pPr>
        <w:spacing w:after="0" w:line="15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each of (i) JPMorgan Chase Bank, N.A., (ii) Bank of America, N.A., (iii) Bank of Montreal, (iv) CIBC Bank USA, and (v) any other Lender that becomes an Issuing Bank pursuant to Sections 2.06(m), each in its capacity as an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means, at any time, the sum of (a) the aggregate undrawn Dollar Amount of all outstanding Letters of Credit at such time plus (b) the aggregate Dollar Amount of all LC Disbursements that have not yet been reimbursed by or on behalf of the Borrower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and any other Person that shall have become a party hereto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Issuing Banks. For the avoidance of doubt, the term “Lenders” excludes any Departing Lenders.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assigned to such term in Section 2.06(b).</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Commitment</w:t>
      </w:r>
      <w:r>
        <w:rPr>
          <w:rFonts w:ascii="Arial" w:cs="Arial" w:eastAsia="Arial" w:hAnsi="Arial"/>
          <w:sz w:val="17"/>
          <w:szCs w:val="17"/>
          <w:color w:val="auto"/>
        </w:rPr>
        <w:t>” means, with respect to each Issuing Bank, the commitment of such Issuing Bank to issue Letters of Credit hereunder. The initial amount of each initial Issuing Bank’s Letter of Credit Commitment is set forth on the Letter of Credit Commitment Schedule, or if an Issuing Bank has entered into an Assignment and Assumption, the amount set forth for such Issuing Bank as its Letter of Credit Commitment in the Register maintained by the Administrative Agent; each Issuing Bank’s Letter of Credit Commitment may be decreased or increased from time to time with the written consent of the Borrower, the Administrative Agent and the Issuing Banks (provided that any increase in the Letter of Credit Commitment with respect to any Issuing Bank, or any decrease in the Letter of Credit Commitment to an amount not less than any Issuing Bank’s Letter of Credit Commitment as of the Effective Date, shall only require the consent of the Borrower and such Issuing Bank).</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Commitment Schedule</w:t>
      </w:r>
      <w:r>
        <w:rPr>
          <w:rFonts w:ascii="Arial" w:cs="Arial" w:eastAsia="Arial" w:hAnsi="Arial"/>
          <w:sz w:val="18"/>
          <w:szCs w:val="18"/>
          <w:color w:val="auto"/>
        </w:rPr>
        <w:t>” means the Schedule attached hereto identified as such.</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means, on any date, the ratio of (a) Consolidated Total Indebtedness on such date to (b) Consolidated EBITDA for the period of four consecutive fiscal quarters ended on such date (or, if such date is not the last day of a fiscal quarter, ended on the last day of the fiscal quarter most recently ended prior to such date).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Quoted Currency</w:t>
      </w:r>
      <w:r>
        <w:rPr>
          <w:rFonts w:ascii="Arial" w:cs="Arial" w:eastAsia="Arial" w:hAnsi="Arial"/>
          <w:sz w:val="18"/>
          <w:szCs w:val="18"/>
          <w:color w:val="auto"/>
        </w:rPr>
        <w:t>” means Dollars, euro and any other Agreed Currency (other than Canadian Dollars).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xml:space="preserve">” means, with respect to (A) any Eurocurrency Borrowing denominated in any LIBO Quoted Currency and for any applicable Interest Period, the LIBO Screen Rate at approximately 11:00 a.m., London time, on the Quotation Day for such currency and Interest Period and (B) any Eurocurrency Borrowing in Canadian Dollars and for any applicable Interest Period, the CDOR Screen Rate for Canadian Dollars at approximately 11:00 a.m., Toronto time on the Quotation Day for Canadian Dollars and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or the CDOR Screen Rate, as applicable, shall not be available at such time for such Interest Period (the “</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then the LIBO Rate for such currency and such Interest Period shall be the Interpolated Rate. It is understood and agreed that all of the terms and conditions of this definition of “LIBO Rate” shall be subject to Section 2.14.</w:t>
      </w:r>
    </w:p>
    <w:p>
      <w:pPr>
        <w:spacing w:after="0" w:line="18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Screen Rate</w:t>
      </w:r>
      <w:r>
        <w:rPr>
          <w:rFonts w:ascii="Arial" w:cs="Arial" w:eastAsia="Arial" w:hAnsi="Arial"/>
          <w:sz w:val="17"/>
          <w:szCs w:val="17"/>
          <w:color w:val="auto"/>
        </w:rPr>
        <w:t xml:space="preserve">” means, for any day and time, with respect to any Eurocurrency Borrowing denominated in any LIBO Quoted Currency and for any Interest Period, the London interbank offered rate as administered by ICE Benchmark Administration (or any other Person that takes over the administration of such rate) for such LIBO Quoted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 Screen Rate as so determined would be less than zero, such rate shall be deemed to be zero for the purposes of this Agreement.</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Liquidity</w:t>
      </w:r>
      <w:r>
        <w:rPr>
          <w:rFonts w:ascii="Arial" w:cs="Arial" w:eastAsia="Arial" w:hAnsi="Arial"/>
          <w:sz w:val="16"/>
          <w:szCs w:val="16"/>
          <w:color w:val="auto"/>
        </w:rPr>
        <w:t>” means, as of the date of any determination thereof, the sum of (a) that portion of the aggregate Available Revolving Commitment which may be drawn or otherwise used on such date while remaining in pro forma compliance with the financial covenants set forth in Section 6.12 and (b) unencumbered and unrestricted cash of the Borrower and its Subsidiaries maintained with a Lender in the United States of America.</w:t>
      </w:r>
    </w:p>
    <w:p>
      <w:pPr>
        <w:spacing w:after="0" w:line="1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any promissory notes issued pursuant to this Agreement, any Letter of Credit applications, the Collateral Documents, the Subsidiary Guaranty, and all other agreements, instruments, documents and certificates identified in Section 4.01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and delivered to the Administrative Agent or any Lender in connection with the Agreement or the transactions contemplated thereby. Any reference in the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the Subsidiary Guarantors.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means (i) Chicago time in the case of a Loan, Borrowing or LC Disbursement denominated in Dollars, (ii) London, England time in the case of a Loan, Borrowing or LC Disbursement denominated in any Foreign Currency other than Canadian Dollars and (iii) local time at the place of the relevant Loan, Borrowing or LC Disbursement (or such earlier local time as is necessary for the relevant funds to be received and transferred to the Administrative Agent for same day value on the date the relevant reimbursement obligation is due) in the case of a Loan, Borrowing or LC Disbursement which is denominated in Canadian Dollars.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property or financial condition of the Borrower and the Subsidiaries taken as a whole or (b) the rights of or benefits available to the Administrative Agent, an Issuing Bank or the Lenders under the Loan Documents.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Foreign Subsidiary</w:t>
      </w:r>
      <w:r>
        <w:rPr>
          <w:rFonts w:ascii="Arial" w:cs="Arial" w:eastAsia="Arial" w:hAnsi="Arial"/>
          <w:sz w:val="16"/>
          <w:szCs w:val="16"/>
          <w:color w:val="auto"/>
        </w:rPr>
        <w:t>” means (a) as of the Effective Date, MYR Group Construction Canada, Ltd. and (b) after the Effective Date,</w:t>
      </w:r>
    </w:p>
    <w:p>
      <w:pPr>
        <w:spacing w:after="0" w:line="46" w:lineRule="exact"/>
        <w:rPr>
          <w:sz w:val="20"/>
          <w:szCs w:val="20"/>
          <w:color w:val="auto"/>
        </w:rPr>
      </w:pPr>
    </w:p>
    <w:p>
      <w:pPr>
        <w:jc w:val="both"/>
        <w:ind w:firstLine="8"/>
        <w:spacing w:after="0" w:line="268" w:lineRule="auto"/>
        <w:tabs>
          <w:tab w:leader="none" w:pos="218"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any First Tier Foreign Subsidiary designated in writing by the Borrower to the Administrative Agent as a “Material Foreign Subsidiary” and (ii) each First Tier Foreign Subsidiary (A) which, as of the most recent fiscal quarter of the Borrower, for the period of four consecutive fiscal quarters then ended, for which financial statements have been delivered pursuant to Section 5.01, contributed greater than ten percent (10%) of the Borrower’s Consolidated EBITDA for such period or (B) which contributed greater than ten percent (10%) of the Borrower’s Consolidated Total Assets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any time the aggregate amount of Consolidated EBITDA or Consolidated Total Assets attributable to all First Tier Foreign Subsidiaries that are not Material Foreign Subsidiaries exceeds twenty percent (20%) of Consolidated EBITDA for any such period or twenty percent (20%) of Consolidated Total Assets as of the end of any such fiscal quarter, the Borrower (or, in the event the Borrower has failed to do so within ten (10) days, the Administrative Agent) shall designate sufficient First Tier Foreign Subsidiaries as “Material Foreign Subsidiaries” to eliminate such excess, and such designated First Tier Foreign Subsidiaries shall for all purposes of this Agreement constitute Material Foreign Subsidiaries.</w:t>
      </w:r>
    </w:p>
    <w:p>
      <w:pPr>
        <w:spacing w:after="0" w:line="18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any Letters of Credit and any Affiliated Subordinated Debt), or obligations in respect of one or more Swap Agreements, of any one or more of the Borrower and its Subsidiaries in an aggregate principal amount exceeding $10,000,000. For purposes of determining Material Indebtedness,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8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xml:space="preserve">” means (a) as of the Effective Date, Harlan Electric Company, The L. E. Myers Co., Sturgeon Electric Company, Inc., Great Southwestern Construction, Inc., MYR Transmission Services, Inc., E.S. Boulos Company, MYR Real Estate Holdings, LLC, MYR Equipment, LLC, High Country Line Construction, Inc., GSW Integrated Services, LLC, Sturgeon Electric California, LLC, Huen Electric, Inc. and CSI Electrical Contractors, Inc. and (b) after the Effective Date, (i) any Subsidiary designated in writing by the Borrower to the Administrative Agent as a “Material Subsidiary” and (ii) each Subsidiary (A) which, as of the most recent fiscal quarter of the Borrower, for the period of four consecutive fiscal quarters then ended, for which financial statements have been delivered pursuant to Section 5.01, contributed greater than ten percent (10%) of the Borrower’s Consolidated EBITDA for such period or (B) which contributed greater than ten percent (10%) of the Borrower’s Consolidated Total Assets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the aggregate amount of Consolidated EBITDA or Consolidated Total Assets attributable to all Subsidiaries that are not Material Subsidiaries exceeds twenty percent (20%) of Consolidated EBITDA for any such period or twenty percent (20%) of Consolidated Total Assets as of the end of any such fiscal quarter, the Borrower (or, in the event the Borrower has failed to do so within ten (10) days, the Administrative Agent) shall designate sufficient Subsidiaries as “Material Subsidiaries” to eliminate such excess, and such designated Subsidiaries shall for all purposes of this Agreement constitute Material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Foreign Subsidiary shall be designated as a Material Subsidiary.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September 13, 2024 or any earlier date on which the Commitments are reduced to zero or otherwise terminated pursuant to the terms hereof in accordance with Article VII.</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Income</w:t>
      </w:r>
      <w:r>
        <w:rPr>
          <w:rFonts w:ascii="Arial" w:cs="Arial" w:eastAsia="Arial" w:hAnsi="Arial"/>
          <w:sz w:val="16"/>
          <w:szCs w:val="16"/>
          <w:color w:val="auto"/>
        </w:rPr>
        <w:t xml:space="preserve">” means, for any period, the consolidated net income (or loss) of the Borrower and its Subsidiaries,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6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Mark-to-Market Exposure</w:t>
      </w:r>
      <w:r>
        <w:rPr>
          <w:rFonts w:ascii="Arial" w:cs="Arial" w:eastAsia="Arial" w:hAnsi="Arial"/>
          <w:sz w:val="18"/>
          <w:szCs w:val="18"/>
          <w:color w:val="auto"/>
        </w:rPr>
        <w:t>” of a Person means, as of any date of determination, the excess (if any) of all unrealized losses over all unrealized profits of such Person arising from Swap Agreements. “Unrealized losses” means the fair market value of the cost to such Person of replacing such Swap Agreements as of the date of determination (assuming the Swap Agreements were to be terminated as of that date), and “unrealized profits” means the fair market value of the gain to such Person of replacing such Swap Agreement as of the date of determination (assuming such Swap Agreement were to be terminated as of that date).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the rate for a federal funds transaction quoted at 11:00 a.m. on such day received by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as so determined would be less than zero, such rate shall be deemed to be zero for purposes of this Agreement.</w:t>
      </w:r>
    </w:p>
    <w:p>
      <w:pPr>
        <w:spacing w:after="0" w:line="17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advances to, and debts, liabilities, obligations, covenants and duties of, the Borrower and its Subsidiaries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Letter of Credit commissions,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Effective Date</w:t>
      </w:r>
      <w:r>
        <w:rPr>
          <w:rFonts w:ascii="Arial" w:cs="Arial" w:eastAsia="Arial" w:hAnsi="Arial"/>
          <w:sz w:val="18"/>
          <w:szCs w:val="18"/>
          <w:color w:val="auto"/>
        </w:rPr>
        <w:t>” means December 21, 2011.</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 except any such Taxes with respect to the Administrative Agent, any Lender, any Issuing Bank or any other recipient of any payment to be made by or on account of any obligation of the Borrower hereunder imposed as a result of a present or former connection between such Administrative Agent, Lender, Issuing Bank or such other recipient and the jurisdiction imposing such Tax (other than connections arising from such Administrative Agent, Lender, Issuing Bank or such other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that are Taxes imposed with respect to an assignment (other than an assignment made pursuant to Section 2.19(b)).</w:t>
      </w:r>
    </w:p>
    <w:p>
      <w:pPr>
        <w:spacing w:after="0" w:line="16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6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Foreign Currency Rate</w:t>
      </w:r>
      <w:r>
        <w:rPr>
          <w:rFonts w:ascii="Arial" w:cs="Arial" w:eastAsia="Arial" w:hAnsi="Arial"/>
          <w:sz w:val="16"/>
          <w:szCs w:val="16"/>
          <w:color w:val="auto"/>
        </w:rPr>
        <w:t>” means, for any amount payable in a Foreign Currency, the rate of interest per annum as determined by the Administrative Agent at which overnight or weekend deposits in the relevant currency (or if such amount due remains unpaid for more than three</w:t>
      </w:r>
    </w:p>
    <w:p>
      <w:pPr>
        <w:jc w:val="both"/>
        <w:ind w:firstLine="8"/>
        <w:spacing w:after="0" w:line="255"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Days, then for such other period of time as the Administrative Agent may elect)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Credit Event.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means any acquisition (whether by purchase, merger, consolidation or otherwise but excluding in any event a Hostile Acquisition) or series of related acquisitions by the Borrower or any Subsidiary of all or substantially all the assets of, or more than fifty percent (50%) of the Equity Interests in, a Person or division or line of business of a Person if, at the time of and immediately after giving effect thereto, (a) no Default has occurred and is continuing or would arise after giving effect thereto, (b) such Person or division or line of business is engaged in the same or a similar line of business as the Borrower and the Subsidiaries or business reasonably related thereto, (c) all actions required to be taken with respect to such acquired or newly formed Subsidiary under Section 5.11 shall have been taken, (d) the Borrower and the Subsidiaries are in compliance, on a pro forma basis reasonably acceptable to the Administrative Agent after giving effect to such acquisition (without giving effect to any cost savings), with the covenants contained in Section 6.12 recomputed as of the last day of the most recently ended fiscal quarter of the Borrower for which financial statements are available, as if such acquisition (and any related incurrence or repayment of Indebtedness, with any new Indebtedness being deemed to be amortized over the applicable testing period in accordance with its terms) had occurred on the first day of each relevant period for testing such compliance and the Borrower shall have delivered to the Administrative Agent a certificate of a Financial Officer of the Borrower to such effect, together with all relevant financial information, statements and projections requested by the Administrative Agent, (e) in the case of an acquisition or merger involving the Borrower or a Subsidiary, the Borrower or such Subsidiary is the surviving entity of such merger and/or consolidation and (f) at the time of the consummation of such acquisition and immediately after giving effect (on a pro forma basis) thereto, the Leverage Ratio shall be at least 0.25 below the maximum Leverage Ratio permitted under Section 6.12(b) at such time.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660" w:firstLine="645"/>
        <w:spacing w:after="0" w:line="277" w:lineRule="auto"/>
        <w:tabs>
          <w:tab w:leader="none" w:pos="18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imposed by law for taxes that are not more than 60 days past due or which can thereafter be paid without penalty or which are being contested in compliance with Section 5.04;</w:t>
      </w:r>
    </w:p>
    <w:p>
      <w:pPr>
        <w:spacing w:after="0" w:line="170" w:lineRule="exact"/>
        <w:rPr>
          <w:rFonts w:ascii="Arial" w:cs="Arial" w:eastAsia="Arial" w:hAnsi="Arial"/>
          <w:sz w:val="18"/>
          <w:szCs w:val="18"/>
          <w:color w:val="auto"/>
        </w:rPr>
      </w:pPr>
    </w:p>
    <w:p>
      <w:pPr>
        <w:ind w:left="660" w:firstLine="645"/>
        <w:spacing w:after="0" w:line="342" w:lineRule="auto"/>
        <w:tabs>
          <w:tab w:leader="none" w:pos="1837"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and other similar Liens imposed by law or arising in the ordinary course of business and securing obligations that are not overdue by more than 60 days or are being contested in compliance with Section 5.04;</w:t>
      </w:r>
    </w:p>
    <w:p>
      <w:pPr>
        <w:spacing w:after="0" w:line="123" w:lineRule="exact"/>
        <w:rPr>
          <w:rFonts w:ascii="Arial" w:cs="Arial" w:eastAsia="Arial" w:hAnsi="Arial"/>
          <w:sz w:val="16"/>
          <w:szCs w:val="16"/>
          <w:color w:val="auto"/>
        </w:rPr>
      </w:pPr>
    </w:p>
    <w:p>
      <w:pPr>
        <w:ind w:left="660" w:firstLine="645"/>
        <w:spacing w:after="0" w:line="277" w:lineRule="auto"/>
        <w:tabs>
          <w:tab w:leader="none" w:pos="18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and deposits arising in the ordinary course of business in compliance with workers’ compensation, unemployment insurance and other social security laws and regulations;</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and deposits in connection with Bonding Obligations;</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Section 7.01(k);</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8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easements, zoning restrictions and other governmental restrictions on use, rights of way, permits, conditions, servitudes, exceptions, covenants, restrictions and all other encumbrances on or in respect of real property or any interest therein that do not materially interfere with the ordinary conduct of business of the Borrower or any Subsidiary;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left="660" w:firstLine="645"/>
        <w:spacing w:after="0" w:line="277" w:lineRule="auto"/>
        <w:tabs>
          <w:tab w:leader="none" w:pos="19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securing the obligations of the Borrower or any of its Subsidiaries under any leases, right-of-use or similar agreement (but only with respect to the property so leased or used) that do not constitute Capital Lease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term “Permitted Encumbrances” shall not include any Lien securing Indebtedness.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left="660" w:firstLine="645"/>
        <w:spacing w:after="0" w:line="277" w:lineRule="auto"/>
        <w:tabs>
          <w:tab w:leader="none" w:pos="18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70" w:lineRule="exact"/>
        <w:rPr>
          <w:rFonts w:ascii="Arial" w:cs="Arial" w:eastAsia="Arial" w:hAnsi="Arial"/>
          <w:sz w:val="18"/>
          <w:szCs w:val="18"/>
          <w:color w:val="auto"/>
        </w:rPr>
      </w:pPr>
    </w:p>
    <w:p>
      <w:pPr>
        <w:jc w:val="both"/>
        <w:ind w:left="660" w:firstLine="645"/>
        <w:spacing w:after="0" w:line="273" w:lineRule="auto"/>
        <w:tabs>
          <w:tab w:leader="none" w:pos="186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investments permitted by the Borrower’s investment policy as such policy is in effect, and as disclosed to the Administrative Agent and the Lenders, prior to the Effective Date (as such policy may be amended, restated, supplemented or otherwise modified from time to time with the consent of the Required Lenders, not to be unreasonably withheld, conditioned or delayed) including, without limitation, investments in U.S. treasury bills and notes, U.S. federal agency securities, collateralized repurchase agreements, domestic certificates of deposit, banker’s acceptances, eurodollar time deposits, Canadian Dollar deposits held by a Canadian Subsidiary, domestic commercial paper, corporate notes and bonds, municipal securities and certain mutual funds, in each case, as permitted thereunder.</w:t>
      </w:r>
    </w:p>
    <w:p>
      <w:pPr>
        <w:spacing w:after="0" w:line="17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Joint Venture</w:t>
      </w:r>
      <w:r>
        <w:rPr>
          <w:rFonts w:ascii="Arial" w:cs="Arial" w:eastAsia="Arial" w:hAnsi="Arial"/>
          <w:sz w:val="17"/>
          <w:szCs w:val="17"/>
          <w:color w:val="auto"/>
        </w:rPr>
        <w:t>” means any Person (i) that is formed by or consists of, or the Equity Interests of which are directly owned by, a Loan Party, on one hand, and a third party, on the other hand, and (ii) that is formed for the purpose of entering into and performing under one or more contracts, with respect to a single project or series of related projects, pursuant to which such Person agrees to deliver goods and services substantially similar to the goods and services the Borrower and its Subsidiaries agree to deliver in the ordinary course of business.</w:t>
      </w:r>
    </w:p>
    <w:p>
      <w:pPr>
        <w:spacing w:after="0" w:line="17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any employee pension benefit plan, as defined in Section 3(2) of ERISA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means 29 CFR § 2510.3-101 et seq., as modified by Section 3(42) of ERISA, as amended from time to time.</w:t>
      </w:r>
    </w:p>
    <w:p>
      <w:pPr>
        <w:spacing w:after="0" w:line="2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Subsidiary</w:t>
      </w:r>
      <w:r>
        <w:rPr>
          <w:rFonts w:ascii="Arial" w:cs="Arial" w:eastAsia="Arial" w:hAnsi="Arial"/>
          <w:sz w:val="18"/>
          <w:szCs w:val="18"/>
          <w:color w:val="auto"/>
        </w:rPr>
        <w:t>” means each Domestic Subsidiary (other than any Immaterial Subsidiary) and First Tier Foreign Subsidiary which is, in each case, a direct Subsidiary of the Borrower or a direct Subsidiary of a Material Subsidiary.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Interest Exemption</w:t>
      </w:r>
      <w:r>
        <w:rPr>
          <w:rFonts w:ascii="Arial" w:cs="Arial" w:eastAsia="Arial" w:hAnsi="Arial"/>
          <w:sz w:val="18"/>
          <w:szCs w:val="18"/>
          <w:color w:val="auto"/>
        </w:rPr>
        <w:t>” has the meaning assigned to such term in Section 2.17(e).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assigned to such term in Section 9.21.</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Quotation Day</w:t>
      </w:r>
      <w:r>
        <w:rPr>
          <w:rFonts w:ascii="Arial" w:cs="Arial" w:eastAsia="Arial" w:hAnsi="Arial"/>
          <w:sz w:val="16"/>
          <w:szCs w:val="16"/>
          <w:color w:val="auto"/>
        </w:rPr>
        <w:t>” means, with respect to any Eurocurrency Borrowing for any Interest Period, (i) if the currency is Canadian Dollars, the first day of such Interest Period, (ii) if the currency is euro, the day that is two (2) TARGET2 Days before the first day of such Interest Period, and (iii) for any other currency, two (2) Business Days prior to the commencement of such Interest Period (unless, in each case, market practice differs in the relevant market where the LIBO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Federal Reserve Board, as in effect from time to time and all official rulings and interpretations thereunder or thereof.</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trustees, administrators, managers, advisors and representatives of such Person and such Person’s Affiliates.</w:t>
      </w:r>
    </w:p>
    <w:p>
      <w:pPr>
        <w:spacing w:after="0" w:line="17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Revolving Exposures and unused Commitments representing more than 50% of the sum of the total Revolving Exposures and unused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there are three (3) or more Lenders, at least three (3) of such Lenders must approve any amendment or modification requiring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at any time there are fewer than three (3) Lenders, all Lenders must approve any such amendment or modification requiring the consent of the Required Lenders.</w:t>
      </w:r>
    </w:p>
    <w:p>
      <w:pPr>
        <w:spacing w:after="0" w:line="15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 of Law</w:t>
      </w:r>
      <w:r>
        <w:rPr>
          <w:rFonts w:ascii="Arial" w:cs="Arial" w:eastAsia="Arial" w:hAnsi="Arial"/>
          <w:sz w:val="17"/>
          <w:szCs w:val="17"/>
          <w:color w:val="auto"/>
        </w:rPr>
        <w:t>” means, as to any Person, the Certificate of Incorporation and By 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6"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(i) any dividend or other distribution (whether in cash, securities or other property) with respect to any Equity Interests in the Borrower or any Subsidiary, or (ii)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 or (iii) any payment in respect of Affiliated Subordinated Debt.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means a Borrowing of Revolving Loans in accordance with Section 2.02.</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Lender at any time, the sum of the outstanding principal amount of such Lender’s Revolving Loans and its LC Exposure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has the meaning assigned to such term in Section 3.18(b).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 Rate</w:t>
      </w:r>
      <w:r>
        <w:rPr>
          <w:rFonts w:ascii="Arial" w:cs="Arial" w:eastAsia="Arial" w:hAnsi="Arial"/>
          <w:sz w:val="17"/>
          <w:szCs w:val="17"/>
          <w:color w:val="auto"/>
        </w:rPr>
        <w:t>” means the LIBO Screen Rate and the CDOR Screen Rate collectively and individually as the context may require.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of the United States of America.</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all Obligations, together with all Swap Obligations and Banking Services Obligations owing to one or more Lenders or their respective Affiliates, in each case whether now existing or hereafter arising, whether all such obligations arise or accrue before or after the commencement of any bankruptcy, insolvency or receivership proceedings, including, without limitation, interest and fees accruing pre-petition or post-petition and costs, expenses, and attorneys’ and paralegals’ fees, whenever incurred (and whether or not such claims, interest, costs, expenses or fees are allowed or allowable in any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8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means that certain Pledge and Security Agreement (including any and all supplements thereto), dated as of the Original Effective Date, between the Loan Parties and the Administrative Agent, for the benefit of the Administrative Agent and the other Holders of Secured Obligations, and any other pledge or security agreement entered into, after the date of this Agreement by any other Loan Party (as required by this Agreement or any other Loan Document), or any other Person, as the same may be amended, restated or otherwise modified from time to time.</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Ancillary Obligations</w:t>
      </w:r>
      <w:r>
        <w:rPr>
          <w:rFonts w:ascii="Arial" w:cs="Arial" w:eastAsia="Arial" w:hAnsi="Arial"/>
          <w:sz w:val="18"/>
          <w:szCs w:val="18"/>
          <w:color w:val="auto"/>
        </w:rPr>
        <w:t>” 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Swap Obligation</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Federal Reserve Board, the Financial Conduct Authority, the Prudential Regulation Authority, the European Central Bank or other Governmental Authority for any category of deposits or liabilities customarily used to fund loans in the applicable currency, expressed in the case of each such requirement as a decimal. Such reserve, liquid asset, fees or similar requirements shall include those imposed pursuant to Regulation D of the Federal Reserve Board. Eurocurrency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Federal Reserve Board. The Statutory Reserve Rate shall be adjusted automatically on and as of the effective date of any change in any reserve, liquid asset or similar requirement.</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other Person (other than a natural person) the accounts of which would be consolidated with those of the parent in the parent’s consolidated financial statements if such financial statements were prepared in accordance with GAAP as of such date, as well as any other Person (a) of which securities or other ownership interests representing more than 50% of the Equity Interests or more than 50% of the ordinary voting power or, in the case of a partnership, more than 50% of the general partnership interests are, as of such date, owned, Controlled or held, or (b) that is, as of such date, otherwise greater than 50% Controlled, by the parent and/or one or more subsidiaries of the parent.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each Material Subsidiary that becomes a party to a Subsidiary Guaranty (including pursuant to a joinder or supplement thereto).</w:t>
      </w:r>
    </w:p>
    <w:p>
      <w:pPr>
        <w:spacing w:after="0" w:line="170"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means that certain Guaranty dated as of the Original Effective Date (including any and all supplements thereto) and executed by each Subsidiary Guarantor, and any other guaranty agreements as are requested by the Administrative Agent and its counsel, in each case as amended, restated, supplemented or otherwise modified from time to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such term in Section 9.21.</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any and all obligations of the Borrower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means Bank of America, N.A.</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w:t>
      </w:r>
      <w:r>
        <w:rPr>
          <w:rFonts w:ascii="Arial" w:cs="Arial" w:eastAsia="Arial" w:hAnsi="Arial"/>
          <w:sz w:val="18"/>
          <w:szCs w:val="18"/>
          <w:u w:val="single" w:color="auto"/>
          <w:color w:val="auto"/>
        </w:rPr>
        <w:t>TARGET2</w:t>
      </w:r>
      <w:r>
        <w:rPr>
          <w:rFonts w:ascii="Arial" w:cs="Arial" w:eastAsia="Arial" w:hAnsi="Arial"/>
          <w:sz w:val="18"/>
          <w:szCs w:val="18"/>
          <w:color w:val="auto"/>
        </w:rPr>
        <w:t>) payment system (or, if such payment system ceases to be operative, such other payment system (if any) reasonably determined by the Administrative Agent to be a suitable replacement) for the settlement of payments in euro.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 Day</w:t>
      </w:r>
      <w:r>
        <w:rPr>
          <w:rFonts w:ascii="Arial" w:cs="Arial" w:eastAsia="Arial" w:hAnsi="Arial"/>
          <w:sz w:val="18"/>
          <w:szCs w:val="18"/>
          <w:color w:val="auto"/>
        </w:rPr>
        <w:t>” means a day that TARGET2 is open for the settlement of payments in euro.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Status Certificate</w:t>
      </w:r>
      <w:r>
        <w:rPr>
          <w:rFonts w:ascii="Arial" w:cs="Arial" w:eastAsia="Arial" w:hAnsi="Arial"/>
          <w:sz w:val="18"/>
          <w:szCs w:val="18"/>
          <w:color w:val="auto"/>
        </w:rPr>
        <w:t>” has the meaning assigned to such term in Section 2.17(e).</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assessments, fees, charges or withholdings imposed by any Governmental Authority, including any interest, additions to tax or penalties applicable thereto.</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Subordinated Indebtedness</w:t>
      </w:r>
      <w:r>
        <w:rPr>
          <w:rFonts w:ascii="Arial" w:cs="Arial" w:eastAsia="Arial" w:hAnsi="Arial"/>
          <w:sz w:val="18"/>
          <w:szCs w:val="18"/>
          <w:color w:val="auto"/>
        </w:rPr>
        <w:t>” of the Borrower or any Subsidiary means any Indebtedness of such Person the payment of which is subordinated to payment of the Secured Obligations to the written satisfaction of, and the terms and conditions of which are otherwise satisfactory to, the Administrative Agent.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Subordinated Indebtedness Documents</w:t>
      </w:r>
      <w:r>
        <w:rPr>
          <w:rFonts w:ascii="Arial" w:cs="Arial" w:eastAsia="Arial" w:hAnsi="Arial"/>
          <w:sz w:val="18"/>
          <w:szCs w:val="18"/>
          <w:color w:val="auto"/>
        </w:rPr>
        <w:t>” means any document, agreement or instrument evidencing any Subordinated Indebtedness or entered into in connection with any Unaffiliated Subordinated Indebtedness.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Unliquidated Obligations</w:t>
      </w:r>
      <w:r>
        <w:rPr>
          <w:rFonts w:ascii="Arial" w:cs="Arial" w:eastAsia="Arial" w:hAnsi="Arial"/>
          <w:sz w:val="18"/>
          <w:szCs w:val="18"/>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has the meaning assigned to such term in Section 9.21.</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1 of Subtitle E of Title IV of ERISA.</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and Borrowings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 or a “Eurocurrency Borrowing”).</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6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Accounting Terms; GAAP; Pro Forma Calculations</w:t>
      </w:r>
      <w:r>
        <w:rPr>
          <w:rFonts w:ascii="Arial" w:cs="Arial" w:eastAsia="Arial" w:hAnsi="Arial"/>
          <w:sz w:val="17"/>
          <w:szCs w:val="17"/>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the foregoing or anything to the contrary set forth herein, the definitions set forth in the Loan Documents and any financial or other covenant calculations required by the Loan Documents shall be computed to exclude any change to lease accounting rules from those in effect pursuant to Accounting Standards Codification 840 (Leases) and other related lease accounting guidance as in effect on the Effective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1305"/>
        <w:spacing w:after="0" w:line="287" w:lineRule="auto"/>
        <w:tabs>
          <w:tab w:leader="none" w:pos="18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pro forma computations required to be made hereunder giving effect to any acquisition or disposition, or issuance, incurrence or assumption of Indebtedness, or other transaction for which a pro forma computation is expressly required under this Agreement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6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Status of Obligations</w:t>
      </w:r>
      <w:r>
        <w:rPr>
          <w:rFonts w:ascii="Arial" w:cs="Arial" w:eastAsia="Arial" w:hAnsi="Arial"/>
          <w:sz w:val="16"/>
          <w:szCs w:val="16"/>
          <w:color w:val="auto"/>
        </w:rPr>
        <w:t>. In the event that the Borrower or any other Loan Party shall at any time issue or have outstanding any Unaffiliated Subordinated Indebtedness, the Borrower shall take or cause such other Loan Party to take all such actions as shall be necessary to cause the Secured Obligations to constitute senior indebtedness (however denominated) in respect of such Unaffiliated Subordinated Indebtedness and to enable the Administrative Agent and the Lenders to have and exercise any payment blockage or other remedies available or potentially available to holders of senior indebtedness under the terms of such Unaffiliated Subordinated Indebtedness. Without limiting the foregoing, the Obligations are hereby designated as “senior indebtedness” and as “designated senior indebtedness” and words of similar import under and in respect of any indenture or other agreement or instrument under which such Unaffiliated Subordinated Indebtedness is outstanding and are further given all such other designations as shall be required under the terms of any such Unaffiliated Subordinated Indebtedness in order that the Lenders may have and exercise any payment blockage or other remedies available or potentially available to holders of senior indebtedness under the terms of such Unaffiliated Subordinated Indebtedness.</w:t>
      </w:r>
    </w:p>
    <w:p>
      <w:pPr>
        <w:spacing w:after="0" w:line="16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Amendment and Restatement of Existing Credit Agreement</w:t>
      </w:r>
      <w:r>
        <w:rPr>
          <w:rFonts w:ascii="Arial" w:cs="Arial" w:eastAsia="Arial" w:hAnsi="Arial"/>
          <w:sz w:val="17"/>
          <w:szCs w:val="17"/>
          <w:color w:val="auto"/>
        </w:rPr>
        <w:t>. The parties to this Agreement agree that, upon (i) the execution and delivery by each of the parties hereto of this Agreement and (ii) satisfaction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incurred under the Existing Credit Agreement which are outstanding on the Effective Date shall continue as Loans and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all obligations constituting “Obligations” with any Lender or any Affiliate of any Lender which are outstanding on the Effective Date shall continue as Obligations under this Agreement and the other Loan Documents, (c) the Administrative Agent shall make such reallocations, sales, assignments or other relevant actions in respect of each Lender’s credit exposure under the Existing Credit Agreement as are necessary in order that each such Lender’s Revolving Exposures and outstanding Loans hereunder reflects such Lender’s Applicable Percentage of the outstanding aggregate Revolving Exposures on the Effective Date, (d) the Borrower hereby agrees to compensate each Lender (including each Departing Lender) for any and all losses, costs and expenses incurred by such Lender in connection with the sale and assignment of any Eurocurrency Loans (including the “Eurocurrency Loans” under the Existing Credit Agreement) and such reallocation described above, in each case on the terms and in the manner set forth in Section 2.16 hereof and (e) upon the effectiveness hereof, each Departing Lender’s “Commitment” under the Existing Credit Agreement shall be terminated and each Departing Lender shall not be a Lender 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both"/>
        <w:ind w:firstLine="1297"/>
        <w:spacing w:after="0" w:line="268"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Interest Rates; LIBOR Notification</w:t>
      </w:r>
      <w:r>
        <w:rPr>
          <w:rFonts w:ascii="Arial" w:cs="Arial" w:eastAsia="Arial" w:hAnsi="Arial"/>
          <w:sz w:val="17"/>
          <w:szCs w:val="17"/>
          <w:color w:val="auto"/>
        </w:rPr>
        <w:t>. The interest rate on Eurocurrency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Section 2.14(c) of this Agreement, such Section 2.14(c) provides a mechanism for determining an alternative rate of interest. The Administrative Agent will notify the Borrower, pursuant to Section 2.14, in advance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Section 2.14(c), will be similar to, or produce the same value or economic equivalence of, the LIBO Rate or have the same volume or liquidity as did the London interbank offered rate prior to its discontinuance or unavailability.</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 Unless otherwise specified herein, the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set forth herein, each Lender (severally and not jointly) agrees to make Revolving Loans to the Borrower in Agreed Currencies from time to time during the Availability Period in an aggregate principal amount that will not result (after giving effect to any application of proceeds of such Borrowing pursuant to Section 2.10) in (a) the Dollar Amount of such Lender’s Revolving Exposure exceeding such Lender’s Commitment, (b) subject to Section 2.05, the Dollar Amount of the total Revolving Exposures exceeding the Aggregate Commitment or (c) subject to Section 2.05, the Dollar Amount of the total outstanding Revolving Loans and LC Exposure, in each case denominated in Foreign Currencies, exceeding the Foreign Currency Sublimit. Within the foregoing limits and subject to the terms and conditions set forth herein, the Borrower may borrow, prepay and reborrow Revolving Loans.</w:t>
      </w:r>
    </w:p>
    <w:p>
      <w:pPr>
        <w:spacing w:after="0" w:line="18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(a) 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w:t>
      </w:r>
    </w:p>
    <w:p>
      <w:pPr>
        <w:spacing w:after="0" w:line="187" w:lineRule="exact"/>
        <w:rPr>
          <w:sz w:val="20"/>
          <w:szCs w:val="20"/>
          <w:color w:val="auto"/>
        </w:rPr>
      </w:pPr>
    </w:p>
    <w:p>
      <w:pPr>
        <w:jc w:val="both"/>
        <w:ind w:firstLine="1305"/>
        <w:spacing w:after="0" w:line="255" w:lineRule="auto"/>
        <w:tabs>
          <w:tab w:leader="none" w:pos="19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Subject to Section 2.14, each Revolving Borrowing shall be comprised entirely of ABR Loans or Eurocurrency Loans as the Borrower may request in accordance 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ABR Loan shall only be made in Dollars or Canadian Dollars. Each Lender and each Issuing Bank, at its option may make any Loan and/or issue any Letter of Credit by causing any domestic or foreign branch or Affiliate of such Lender or Issuing Bank to make such Loan or issue such Letter of Credit (and in the case of an Affiliate, the provisions of Sections 2.14, 2.15, 2.16 and 2.17 shall apply to such Affiliate to the same extent as to such Lender or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93" w:lineRule="exact"/>
        <w:rPr>
          <w:rFonts w:ascii="Arial" w:cs="Arial" w:eastAsia="Arial" w:hAnsi="Arial"/>
          <w:sz w:val="18"/>
          <w:szCs w:val="18"/>
          <w:color w:val="auto"/>
        </w:rPr>
      </w:pPr>
    </w:p>
    <w:p>
      <w:pPr>
        <w:jc w:val="both"/>
        <w:ind w:firstLine="1305"/>
        <w:spacing w:after="0" w:line="290" w:lineRule="auto"/>
        <w:tabs>
          <w:tab w:leader="none" w:pos="18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Eurocurrency Borrowing, such Borrowing shall be in an aggregate amount that is an integral multiple of $100,000 (or, if such Borrowing is denominated in a Foreign Currency, $100,000 units of such currency) and not less than $1,000,000 (or if such Borrowing is denominated in a Foreign Currency, $1,000,000 units of such currency). At the time that each ABR Borrowing is made, such Borrowing shall be in an aggregate amount that is an integral multiple of $50,000 (or, if such Borrowing is denominated in Canadian Dollars, $50,000 units of such currency) and not less than $500,000 (or, if such Borrowing is denominated in Canadian Dollars, $500,000 units of such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Revolving Borrowing may be in an aggregate amount that is equal to the entire unused balance of the Aggregate Commitment or that is required to finance the reimbursement of an LC Disbursement as contemplated by Section 2.06(e). Borrowings of more than one Type may be outstanding at the same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not at any time be more than a total of ten (10) Eurocurrency Borrowings outstanding.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firstLine="1305"/>
        <w:spacing w:after="0" w:line="277" w:lineRule="auto"/>
        <w:tabs>
          <w:tab w:leader="none" w:pos="19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Revolving Borrowings</w:t>
      </w:r>
      <w:r>
        <w:rPr>
          <w:rFonts w:ascii="Arial" w:cs="Arial" w:eastAsia="Arial" w:hAnsi="Arial"/>
          <w:sz w:val="17"/>
          <w:szCs w:val="17"/>
          <w:color w:val="auto"/>
        </w:rPr>
        <w:t xml:space="preserve">. To request a Revolving Borrowing, the Borrower shall notify the Administrative Agent of such request by submitting a Borrowing Request (a) in the case of a Eurocurrency Borrowing, not later than 10:00 a.m. Local Time, three Business Days (in the case of a Eurocurrency Borrowing denominated in Dollars or Canadian Dollars), or not later than 10:00 a.m. Local Time, four (4) Business Days (in the case of a Eurocurrency Borrowing denominated in a Foreign Currency (other than Canadian Dollars)), in each case, before the date of the proposed Borrowing or (b) in the case of an ABR Borrowing, not later than 10:00 a.m. Local Time, on the date of the proposed Borrowing (in the case of an ABR Borrowing denominated in Dollars), or not later than 10:00 a.m. Local Time, one Business Day before the date of the proposed Borrowing (in the case of an ABR Borrowing denominated in Canadian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of an ABR Revolving Borrowing to finance the reimbursement of an LC Disbursement as contemplated by Section 2.06(e) may be given not later than 9:00 a.m., Local Time, on the date of the proposed Borrowing. Each such Borrowing Request shall be irrevocable and shall be signed by the Borrower. Each such Borrowing Request shall specify the following information in compliance with Section 2.02:</w:t>
      </w:r>
    </w:p>
    <w:p>
      <w:pPr>
        <w:spacing w:after="0" w:line="178" w:lineRule="exact"/>
        <w:rPr>
          <w:sz w:val="20"/>
          <w:szCs w:val="20"/>
          <w:color w:val="auto"/>
        </w:rPr>
      </w:pPr>
    </w:p>
    <w:p>
      <w:pPr>
        <w:ind w:left="1880" w:hanging="575"/>
        <w:spacing w:after="0"/>
        <w:tabs>
          <w:tab w:leader="none" w:pos="1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Eurocurrency Borrowing;</w:t>
      </w:r>
    </w:p>
    <w:p>
      <w:pPr>
        <w:spacing w:after="0" w:line="225" w:lineRule="exact"/>
        <w:rPr>
          <w:rFonts w:ascii="Arial" w:cs="Arial" w:eastAsia="Arial" w:hAnsi="Arial"/>
          <w:sz w:val="18"/>
          <w:szCs w:val="18"/>
          <w:color w:val="auto"/>
        </w:rPr>
      </w:pPr>
    </w:p>
    <w:p>
      <w:pPr>
        <w:ind w:left="1300" w:firstLine="5"/>
        <w:spacing w:after="0" w:line="277" w:lineRule="auto"/>
        <w:tabs>
          <w:tab w:leader="none" w:pos="19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Agreed Currency and, in the case of a Eurocurrency Borrowing,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1300" w:right="20" w:firstLine="5"/>
        <w:spacing w:after="0" w:line="277" w:lineRule="auto"/>
        <w:tabs>
          <w:tab w:leader="none" w:pos="18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 which shall comply with the requirements of Section 2.07.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no election as to the Type of Revolving Borrowing is specified, then, in the case of a Borrowing denominated in Dollars or Canadian Dollars, the requested Revolving Borrowing shall be an ABR Borrowing. If no Interest Period is specified with respect to any requested Eurocurrency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both"/>
        <w:ind w:firstLine="1297"/>
        <w:spacing w:after="0" w:line="283"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Expansion Options</w:t>
      </w:r>
      <w:r>
        <w:rPr>
          <w:rFonts w:ascii="Arial" w:cs="Arial" w:eastAsia="Arial" w:hAnsi="Arial"/>
          <w:sz w:val="16"/>
          <w:szCs w:val="16"/>
          <w:color w:val="auto"/>
        </w:rPr>
        <w:t>. The Borrower may from time to time elect to increase the Commitments or enter into one or more tranches of term loans (each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in each case in minimum increments of $5,000,000 so long as, after giving effect thereto, the aggregate amount of such increases and all such Incremental Term Loans does not exceed $200,000,000. The Borrower may arrange for any such increase or tranche to be provided by one or more Lenders (each Lender so agreeing to an increase in its Commitment, or to participate in such Incremental Term Loans,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or by one or more new banks, financial institutions or other entities (each such new bank, financial institution or other entity, an “</w:t>
      </w:r>
      <w:r>
        <w:rPr>
          <w:rFonts w:ascii="Arial" w:cs="Arial" w:eastAsia="Arial" w:hAnsi="Arial"/>
          <w:sz w:val="16"/>
          <w:szCs w:val="16"/>
          <w:u w:val="single" w:color="auto"/>
          <w:color w:val="auto"/>
        </w:rPr>
        <w:t>Augmenting Lender</w:t>
      </w:r>
      <w:r>
        <w:rPr>
          <w:rFonts w:ascii="Arial" w:cs="Arial" w:eastAsia="Arial" w:hAnsi="Arial"/>
          <w:sz w:val="16"/>
          <w:szCs w:val="16"/>
          <w:color w:val="auto"/>
        </w:rPr>
        <w:t xml:space="preserve">”; provided, that no Ineligible Institution may be an Augmenting Lender), to increase their existing Commitments, or to participate in such Incremental Term Loans, or extend Commitments,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Augmenting Lender, shall be subject to the approval of the Borrower, the Issuing Bank (to the extent the consent of the Issuing Bank would be required to effect an assignment under Section 9.04(b)) and the Administrative Agent (such approval by the Administrative Agent not to be unreasonably withheld) and (ii) (x) in the case of an Increasing Lender, the Borrower and such Increasing Lender execute an agreement substantially in the form of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hereto, and (y) in the case of an Augmenting Lender, the Borrower and such Augmenting Lender execute an agreement substantially in the form of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hereto. No consent of any Lender (other than the Lenders participating in the increase or any Incremental Term Loan) shall be required for any increase in Commitments or Incremental Term Loan pursuant to this Section 2.04. Increases and new Commitments and Incremental Term Loans created pursuant to this Section 2.04 shall become effective on the date agreed by the Borrower,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 (i) on the proposed date of the effectiveness of such increase or Incremental Term Loans, (A) the conditions set forth in paragraphs (a) and (b) of Section 4.02 shall be satisfied or waived by the Required Lenders and the Administrative Agent shall have received a certificate to that effect dated such date and executed by a Financial Officer of the Borrower and (B) the Borrower shall be in compliance (on a pro forma basis) with the covenants contained in Section 6.12 and (ii) the Administrative Agent shall have received certificates, resolutions and opinions consistent with those delivered on the Effective Date as to the corporate power and authority of the Borrower to borrow hereunder after giving effect to such increase.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except in the case of any Incremental Term Loans, the Borrower shall be deemed to have repaid and reborrowed all outstanding Revolving Loans as of the date of any increase in the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Eurocurrency Loan, shall be subject to indemnification by the Borrower pursuant to the provisions of Section 2.16 if the deemed payment occurs other than on the last day of the related Interest Periods. The Incremental Term Loans (a) shall rank pari passu in right of payment with the Revolving Loans, (b) shall not mature earlier than the Maturity Date (but may have amortization prior to such date) and (c) shall be treated substantially the same as (and in any event no more favorably than) the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Arial" w:cs="Arial" w:eastAsia="Arial" w:hAnsi="Arial"/>
          <w:sz w:val="16"/>
          <w:szCs w:val="16"/>
          <w:u w:val="single" w:color="auto"/>
          <w:color w:val="auto"/>
        </w:rPr>
        <w:t>Incremental Term Loan Amendment</w:t>
      </w:r>
      <w:r>
        <w:rPr>
          <w:rFonts w:ascii="Arial" w:cs="Arial" w:eastAsia="Arial" w:hAnsi="Arial"/>
          <w:sz w:val="16"/>
          <w:szCs w:val="16"/>
          <w:color w:val="auto"/>
        </w:rPr>
        <w:t>”)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2.04. Nothing contained in this Section 2.04 shall constitute, or otherwise be deemed to be, a commitment on the part of any Lender to increase its Commitment hereunder, or provide Incremental Term Loans, at any time. In connection with any increase of the Commitments or Incremental Term Loans pursuant to this Section 2.04,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ind w:left="130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Determination of Dollar Amounts</w:t>
      </w:r>
      <w:r>
        <w:rPr>
          <w:rFonts w:ascii="Arial" w:cs="Arial" w:eastAsia="Arial" w:hAnsi="Arial"/>
          <w:sz w:val="18"/>
          <w:szCs w:val="18"/>
          <w:color w:val="auto"/>
        </w:rPr>
        <w:t>. The Administrative Agent will determine the Dollar Amount of:</w:t>
      </w:r>
    </w:p>
    <w:p>
      <w:pPr>
        <w:spacing w:after="0" w:line="225" w:lineRule="exact"/>
        <w:rPr>
          <w:sz w:val="20"/>
          <w:szCs w:val="20"/>
          <w:color w:val="auto"/>
        </w:rPr>
      </w:pPr>
    </w:p>
    <w:p>
      <w:pPr>
        <w:ind w:right="20" w:firstLine="1305"/>
        <w:spacing w:after="0" w:line="277" w:lineRule="auto"/>
        <w:tabs>
          <w:tab w:leader="none" w:pos="1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Eurocurrency Borrowing as of the date two (2) Business Days prior to the date of such Borrowing or, if applicable, the date of conversion/continuation of any Borrowing as a Eurocurrency Borrowing,</w:t>
      </w:r>
    </w:p>
    <w:p>
      <w:pPr>
        <w:spacing w:after="0" w:line="170" w:lineRule="exact"/>
        <w:rPr>
          <w:rFonts w:ascii="Arial" w:cs="Arial" w:eastAsia="Arial" w:hAnsi="Arial"/>
          <w:sz w:val="18"/>
          <w:szCs w:val="18"/>
          <w:color w:val="auto"/>
        </w:rPr>
      </w:pPr>
    </w:p>
    <w:p>
      <w:pPr>
        <w:ind w:right="20" w:firstLine="1305"/>
        <w:spacing w:after="0" w:line="277" w:lineRule="auto"/>
        <w:tabs>
          <w:tab w:leader="none" w:pos="18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LC Exposure as of the date of each request for the issuance, amendment, renewal or extension of any Letter of Credit, and on the first Business Day of each calendar month,</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outstanding Credit Events on and as of the last Business Day of each calendar quarter (other than those related to Letters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Credit), and</w:t>
      </w:r>
    </w:p>
    <w:p>
      <w:pPr>
        <w:spacing w:after="0" w:line="210" w:lineRule="exact"/>
        <w:rPr>
          <w:rFonts w:ascii="Arial" w:cs="Arial" w:eastAsia="Arial" w:hAnsi="Arial"/>
          <w:sz w:val="16"/>
          <w:szCs w:val="16"/>
          <w:color w:val="auto"/>
        </w:rPr>
      </w:pPr>
    </w:p>
    <w:p>
      <w:pPr>
        <w:ind w:firstLine="1305"/>
        <w:spacing w:after="0" w:line="277" w:lineRule="auto"/>
        <w:tabs>
          <w:tab w:leader="none" w:pos="18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continuation of an Event of Default, with respect to all outstanding Credit Events (including those related to Letters of Credit), on any Business Day elected by the Administrative Agent in its discretion or upon instruction by the Required Lenders.</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4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each Issuing Bank agrees to issue, amend, extend and renew, at any time and from time to time during the Availability Period, at the request of the Borrower, in a form reasonably acceptable to the Administrative Agent and the applicable Issuing Bank, one or more Letters of Credit denominated in Agreed Currencies for the Borrower’s account having an amount available for draw that will not result in the total Revolving Exposures exceeding the Aggregate Commitment. In the event of any inconsistency between the terms and conditions of this Agreement and the terms and conditions of any Letter of Credit Agreement, the terms and conditions of this Agreement shall control. Notwithstanding anything herein to the contrary, no Issuing Bank shall have any obligation hereunder to issue, and shall not issue, any Letter of Credit the proceeds of which would be made available to any Person (i) to fund any activity or business of or with any Sanctioned Person, or in any country or territory that, at the time of such funding, is the subject of any Sanctions, (ii) in any manner that would result in a violation of any Sanctions by any party to this Agreement, or (iii) in any manner that would result in a violation of one or more policies of such Issuing Bank applicable to letters of credit generally. In addition, no Issuing Bank shall be under any obligation to issue any Letter of Credit if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firstLine="1305"/>
        <w:spacing w:after="0" w:line="285" w:lineRule="auto"/>
        <w:tabs>
          <w:tab w:leader="none" w:pos="195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the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the such Issuing Bank’s standard form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subject to Section 2.05, (x) the aggregate undrawn Dollar Amount of all outstanding Letters of Credit issued by the applicable Issuing Bank at such time plus (y) the aggregate Dollar Amount of all LC Disbursements made such Issuing Bank that have not yet been reimbursed by or on behalf of the Borrower at such time shall not exceed its Letter of Credit Commitment, (ii) subject to Section 2.05, the aggregate undrawn Dollar Amount of all outstanding Letters of Credit issued by the Issuing Banks shall not exceed $150,000,000, (iii) no Lender’s Dollar Amount of Revolving Exposure shall exceed its Commitment, (iv) subject to Section 2.05, the Dollar Amount of the Revolving Exposure shall not exceed the Aggregate Commitment and (v) subject to Section 2.05, the Dollar Amount of the total outstanding Revolving Loans and LC Exposure, in each case denominated in Foreign Currencies, shall not exceed the Foreign Currency Sublimit. The Borrower may, at any time and from time to time, reduce the Letter of Credit Commitment of any Issuing Bank with the consent of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reduce the Letter of Credit Commitment of any Issuing Bank if, after giving effect of such reduction, the conditions set forth in clauses (i) through (iv) above shall not be satisfied.</w:t>
      </w:r>
    </w:p>
    <w:p>
      <w:pPr>
        <w:spacing w:after="0" w:line="384" w:lineRule="exact"/>
        <w:rPr>
          <w:rFonts w:ascii="Arial" w:cs="Arial" w:eastAsia="Arial" w:hAnsi="Arial"/>
          <w:sz w:val="16"/>
          <w:szCs w:val="16"/>
          <w:color w:val="auto"/>
        </w:rPr>
      </w:pPr>
    </w:p>
    <w:p>
      <w:pPr>
        <w:jc w:val="both"/>
        <w:ind w:firstLine="1305"/>
        <w:spacing w:after="0" w:line="288" w:lineRule="auto"/>
        <w:tabs>
          <w:tab w:leader="none" w:pos="183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Borrower’s request, any such Letter of Credit which expires in the final year prior to the Maturity Date may have a later expiry date if cash collateralized or covered by standby letter(s) of credit in compliance with Section 2.06(j) below by no later than five (5) Business Days prior to the Maturity Date (each such Letter of Credit, an “</w:t>
      </w:r>
      <w:r>
        <w:rPr>
          <w:rFonts w:ascii="Arial" w:cs="Arial" w:eastAsia="Arial" w:hAnsi="Arial"/>
          <w:sz w:val="16"/>
          <w:szCs w:val="16"/>
          <w:u w:val="single" w:color="auto"/>
          <w:color w:val="auto"/>
        </w:rPr>
        <w:t>Extended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Letter of Credit with a 1 year tenor may provide for automatic or “evergreen” renewal thereof for additional 1 year periods (which shall in no event extend beyond the date referred to in clause (ii) above unless cash collateralized or covered by standby letter(s) of credit in accordance with the requirements for an Extended Letter of Credit). Notwithstanding the foregoing, any such automatic or “evergreen” Letter of Credit shall permit the applicable Issuing Bank to prevent any such 1 year extension at least once in each twelve-month period (commencing with the date of issuance of such Letter of Credit) by giving prior notice to the beneficiary thereof not later than that certain date in each such twelve-month period to be agreed upon at the time such Letter of Credit is issued.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ind w:firstLine="1305"/>
        <w:spacing w:after="0" w:line="270" w:lineRule="auto"/>
        <w:tabs>
          <w:tab w:leader="none" w:pos="194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77" w:lineRule="exact"/>
        <w:rPr>
          <w:rFonts w:ascii="Arial" w:cs="Arial" w:eastAsia="Arial" w:hAnsi="Arial"/>
          <w:sz w:val="17"/>
          <w:szCs w:val="17"/>
          <w:color w:val="auto"/>
        </w:rPr>
      </w:pPr>
    </w:p>
    <w:p>
      <w:pPr>
        <w:jc w:val="both"/>
        <w:ind w:firstLine="1305"/>
        <w:spacing w:after="0" w:line="284" w:lineRule="auto"/>
        <w:tabs>
          <w:tab w:leader="none" w:pos="1838"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any Issuing Bank shall make any LC Disbursement in respect of a Letter of Credit issued by such Issuing Bank, the Borrower shall reimburse such LC Disbursement by paying to the Administrative Agent in Dollars, the Dollar Amount equal to such LC Disbursement, calculated as of the date such Issuing Bank made such LC Disbursement (or if the applicable Issuing Bank shall so elect in its sole discretion by notice to the Borrower, in such other Agreed Currency which was paid by such Issuing Bank pursuant to such LC Disbursement) in an amount equal to such LC Disbursement not later than 11:00 a.m., Local Time, on the date that such LC Disbursement is made, if the Borrower shall have received notice of such LC Disbursement prior to 9:00 a.m., Local Time, on such date, or, if such notice has not been received by the Borrower prior to such time on such date, then not later than 11:00 a.m., Local Time, on the Business Day immediately following the day that the Borrower receives such notice, if such notice is not received prior to such time on the day of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subject to the conditions to borrowing set forth herein, request in accordance with Section 2.03 that such payment be financed with (i) to the extent such LC Disbursement was made in Dollars or Canadian Dollars, an ABR Revolving Borrowing or Eurocurrency Revolving Borrowing in Dollars or Canadian Dollars in an amount equal to such LC Disbursement or (ii) to the extent that such LC Disbursement was made in a Foreign Currency (other than Canadian Dollars), a Eurocurrency Revolving Borrowing in such Foreign Currency (other than Canadian Dollars) in an amount equal to such LC Disbursement and, in each case, to the extent so financed, the Borrower’s obligation to make such payment shall be discharged and replaced by the resulting Revolving Borrowing.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provided that such payment shall be payable by no later than 12:00 noon Local Time), and the Administrative Agent shall promptly pay to such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 Bank, then to such Lenders and such Issuing Bank as their interests may appear. Any payment made by a Lender pursuant to this paragraph to reimburse such Issuing Bank for any LC Disbursement (other than the funding of Revolving Loans as contemplated above) shall not constitute a Loan and shall not relieve the Borrower of its obligation to reimburse such LC Disbursement. If the Borrower’s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such Issuing Bank or the relevant Lender or (y) reimburse each LC Disbursement made in such Foreign Currency in Dollars, in an amount equal to the Equivalent Amount, calculated using the applicable Exchange Rates, on the date such LC Disbursement is made, of such LC Disbursement.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ind w:firstLine="1305"/>
        <w:spacing w:after="0" w:line="285" w:lineRule="auto"/>
        <w:tabs>
          <w:tab w:leader="none" w:pos="187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such Issuing Bank from liability to the Borrower to the extent of any direct damages (as opposed to consequential, special, indirect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84" w:lineRule="exact"/>
        <w:rPr>
          <w:rFonts w:ascii="Arial" w:cs="Arial" w:eastAsia="Arial" w:hAnsi="Arial"/>
          <w:sz w:val="16"/>
          <w:szCs w:val="16"/>
          <w:color w:val="auto"/>
        </w:rPr>
      </w:pPr>
    </w:p>
    <w:p>
      <w:pPr>
        <w:jc w:val="both"/>
        <w:ind w:firstLine="1305"/>
        <w:spacing w:after="0" w:line="257" w:lineRule="auto"/>
        <w:tabs>
          <w:tab w:leader="none" w:pos="203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telecopy or electronic mail)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such Issuing Bank and the Lenders with respect to any such LC Disbursement.</w:t>
      </w:r>
    </w:p>
    <w:p>
      <w:pPr>
        <w:spacing w:after="0" w:line="188" w:lineRule="exact"/>
        <w:rPr>
          <w:rFonts w:ascii="Arial" w:cs="Arial" w:eastAsia="Arial" w:hAnsi="Arial"/>
          <w:sz w:val="18"/>
          <w:szCs w:val="18"/>
          <w:color w:val="auto"/>
        </w:rPr>
      </w:pPr>
    </w:p>
    <w:p>
      <w:pPr>
        <w:jc w:val="both"/>
        <w:ind w:firstLine="1305"/>
        <w:spacing w:after="0" w:line="270" w:lineRule="auto"/>
        <w:tabs>
          <w:tab w:leader="none" w:pos="206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in the case such LC Disbursement is denominated in a Foreign Currency (other than Canadian Dollars), at the Overnight Foreign Currency Rate for such Foreign Currency plus the then effective Applicable Rate with respect to Eurocurrency Revolving Loans) and such interest shall be due and payable on the date when such reimbursement is payable;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when due pursuant to paragraph (e) of this Section, then Section 2.13(c) shall apply.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ind w:left="1840" w:hanging="535"/>
        <w:spacing w:after="0"/>
        <w:tabs>
          <w:tab w:leader="none" w:pos="18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Replacement and Resignation of Issuing Bank</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70" w:lineRule="auto"/>
        <w:tabs>
          <w:tab w:leader="none" w:pos="160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any other existing Issuing Bank, or to any previous Issuing Bank, or to such successor, any other existing Issuing Bank,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77" w:lineRule="exact"/>
        <w:rPr>
          <w:rFonts w:ascii="Arial" w:cs="Arial" w:eastAsia="Arial" w:hAnsi="Arial"/>
          <w:sz w:val="17"/>
          <w:szCs w:val="17"/>
          <w:color w:val="auto"/>
        </w:rPr>
      </w:pPr>
    </w:p>
    <w:p>
      <w:pPr>
        <w:jc w:val="both"/>
        <w:ind w:left="660" w:right="20" w:firstLine="645"/>
        <w:spacing w:after="0" w:line="264" w:lineRule="auto"/>
        <w:tabs>
          <w:tab w:leader="none" w:pos="15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Section 2.06(i)(i) above.</w:t>
      </w:r>
    </w:p>
    <w:p>
      <w:pPr>
        <w:spacing w:after="0" w:line="181" w:lineRule="exact"/>
        <w:rPr>
          <w:sz w:val="20"/>
          <w:szCs w:val="20"/>
          <w:color w:val="auto"/>
        </w:rPr>
      </w:pPr>
    </w:p>
    <w:p>
      <w:pPr>
        <w:jc w:val="both"/>
        <w:ind w:firstLine="1305"/>
        <w:spacing w:after="0" w:line="275" w:lineRule="auto"/>
        <w:tabs>
          <w:tab w:leader="none" w:pos="193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Cover; Cash Collateralization</w:t>
      </w:r>
      <w:r>
        <w:rPr>
          <w:rFonts w:ascii="Arial" w:cs="Arial" w:eastAsia="Arial" w:hAnsi="Arial"/>
          <w:sz w:val="16"/>
          <w:szCs w:val="16"/>
          <w:color w:val="auto"/>
        </w:rPr>
        <w:t>. If (x) any Event of Default shall occur and be continuing, on the Business Day that the Borrower receives notice from the Administrative Agent or the Required Lenders (or, if the maturity of the Loans has been accelerated, Lenders with LC Exposure representing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total LC Exposure) demanding the deposit of cash collateral pursuant to this paragraph or (y) the Borrower requests the issuance of an Extended Letter of Credit, the Borrower shall either (A) cover by arranging for the issuance of one or more standby letters of credit issued by an issuer, and otherwise on terms and conditions, satisfactory to the Administrative Agent or (B) deposit in an account with the Administrative Agent, in the name of the Administrative Agent and for the benefit of the Lenders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an amount in cash equal to 105% of the Dollar Amount of the LC Exposure in respect of such Extended Letter of Credit (in the case of the foregoing clause (y)) or in the aggregate (in the case of the foregoing clause (x)) as of such date plus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portions of such amount attributable to undrawn Foreign Currency Letters of Credit or LC Disbursements in a Foreign Currency that the Borrower is not late in reimbursing shall be deposited in the applicable Foreign Currencies in the actual amounts of such undrawn Letters of Credit and LC Disbursements and (ii) the obligation to provide such letter of credit cover or deposit such cover or cash collateral shall (1) be required by no later than five (5) Business Days prior to the Maturity Date in the case of an Extended Letter of Credit and (2) become effective immediately, and such cover or deposit shall become immediately due and payable, without demand or other notice of any kind, upon the occurrence of any Event of Default with respect to the Borrower described in Section 7.01(h) or (i). For the purposes of this paragraph, the Foreign Currency LC Exposure shall be calculated using the applicable Exchange Rate on the date notice demanding cash collateralization is delivered to the Borrower. Such cover and deposit shall be held by the Administrative Agent as collateral for the payment and performance of the Secured Obligations. The Administrative Agent shall have exclusive dominion and control, including the exclusive right of withdrawal, over such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any applicable Issuing Bank (ratably in the case of more than one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total LC Exposure), be applied to satisfy other Secured Obligations. If the Borrower is required to provide an amount of letter of credit cover or cash collateral hereunder as a result of the occurrence of an Event of Default, such amount (to the extent not applied as aforesaid) shall be returned to the Borrower within three Business Days after all such Defaults have been cured or waived.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ind w:firstLine="1305"/>
        <w:spacing w:after="0" w:line="269" w:lineRule="auto"/>
        <w:tabs>
          <w:tab w:leader="none" w:pos="184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Issuing Bank Agreements.</w:t>
      </w:r>
      <w:r>
        <w:rPr>
          <w:rFonts w:ascii="Arial" w:cs="Arial" w:eastAsia="Arial" w:hAnsi="Arial"/>
          <w:sz w:val="17"/>
          <w:szCs w:val="17"/>
          <w:color w:val="auto"/>
        </w:rPr>
        <w:t xml:space="preserve"> Unless otherwise requested by the Administrative Agent, each Issuing Bank shall report in writing to the Administrative Agent (i) promptly following the end of each calendar month, the aggregate amount of Letters of Credit issued by it and outstanding at the end of such month, (ii) on or prior to each Business Day on which such Issuing Bank expects to issue, amend, renew or extend any Letter of Credit, the date of such issuance, amendment, renewal or extension, and the aggregate face amount of the Letter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payment under any Letter of Credit, the date of such payment under such Letter of Credit and the amount of such payment, (iv) on any Business Day on which the Borrower fails to reimburse any payment under any Letter of Credit required to be reimbursed to such Issuing Bank on such day, the date of such failure and the amount of such payment and (v) on any other Business Day, such other information as the Administrative Agent shall reasonably request.</w:t>
      </w:r>
    </w:p>
    <w:p>
      <w:pPr>
        <w:spacing w:after="0" w:line="182" w:lineRule="exact"/>
        <w:rPr>
          <w:rFonts w:ascii="Arial" w:cs="Arial" w:eastAsia="Arial" w:hAnsi="Arial"/>
          <w:sz w:val="17"/>
          <w:szCs w:val="17"/>
          <w:color w:val="auto"/>
        </w:rPr>
      </w:pPr>
    </w:p>
    <w:p>
      <w:pPr>
        <w:jc w:val="both"/>
        <w:ind w:firstLine="1305"/>
        <w:spacing w:after="0" w:line="312" w:lineRule="auto"/>
        <w:tabs>
          <w:tab w:leader="none" w:pos="184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applicable Issuing Bank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46" w:lineRule="exact"/>
        <w:rPr>
          <w:rFonts w:ascii="Arial" w:cs="Arial" w:eastAsia="Arial" w:hAnsi="Arial"/>
          <w:sz w:val="16"/>
          <w:szCs w:val="16"/>
          <w:color w:val="auto"/>
        </w:rPr>
      </w:pPr>
    </w:p>
    <w:p>
      <w:pPr>
        <w:jc w:val="both"/>
        <w:ind w:firstLine="1305"/>
        <w:spacing w:after="0" w:line="255" w:lineRule="auto"/>
        <w:tabs>
          <w:tab w:leader="none" w:pos="185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Addition of Issuing Banks</w:t>
      </w:r>
      <w:r>
        <w:rPr>
          <w:rFonts w:ascii="Arial" w:cs="Arial" w:eastAsia="Arial" w:hAnsi="Arial"/>
          <w:sz w:val="18"/>
          <w:szCs w:val="18"/>
          <w:color w:val="auto"/>
        </w:rPr>
        <w:t>. The Borrower may, at any time and from time to time with the consent of the Administrative Agent and such Lender, designate one or more additional Lenders to act as an issuing bank under the terms of this Agreement. The Letter of Credit Commitment with respect to such additional Lender shall be subject to the consent of the Administrative Agent, the Borrower and such Lender. The Administrative Agent may update the Letter of Credit Commitment Schedule from time to time to reflect the addition of any Issuing Bank. Any Lender designated as an Issuing Bank pursuant to this paragraph (m) shall be deemed to be an “Issuing Bank” for the purposes of this Agreement (in addition to being a Lender) with respect to Letters of Credit issued by such Lender.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both"/>
        <w:ind w:firstLine="1297"/>
        <w:spacing w:after="0" w:line="25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 xml:space="preserve">. (a) Each Lender shall make each Loan to be made by it hereunder on the proposed date thereof by wire transfer of immediately available funds (i) in the case of Loans denominated in Dollars, by 11:00 a.m., Chicago time, to the account of the Administrative Agent most recently designated by it for such purpose by notice to the Lenders in an amount equal to such Lender’s Applicable Percentage and (ii) in the case of each Loan denominated in a Foreign Currency, by 12:00 noon, Local Time, in the city of the Administrative Agent’s Eurocurrency Payment Office for such currency and at such Eurocurrency Payment Office for such currency. The Administrative Agent will make such Loans available in immediately available funds to the Borrower by promptly crediting the amounts so received, in like funds, to the Funding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ABR Revolving Loans made to finance the reimbursement of an LC Disbursement as provided in Section 2.06(e) shall be remitted by the Administrative Agent to the applicable Issuing Bank.</w:t>
      </w:r>
    </w:p>
    <w:p>
      <w:pPr>
        <w:spacing w:after="0" w:line="192" w:lineRule="exact"/>
        <w:rPr>
          <w:sz w:val="20"/>
          <w:szCs w:val="20"/>
          <w:color w:val="auto"/>
        </w:rPr>
      </w:pPr>
    </w:p>
    <w:p>
      <w:pPr>
        <w:jc w:val="both"/>
        <w:ind w:firstLine="1305"/>
        <w:spacing w:after="0" w:line="268" w:lineRule="auto"/>
        <w:tabs>
          <w:tab w:leader="none" w:pos="1889"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(or, in the case of ABR Revolving Loans, no later than 11:00 a.m., Local Time, on the date of the proposed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(including without limitation the Overnight Foreign Currency Rate in the case of Loans denominated in a Foreign Currency) or (ii) in the case of the Borrower, the interest rate applicable to ABR Loans. If such Lender pays such amount to the Administrative Agent, then such amount shall constitute such Lender’s Loan included in such Borrowing. Nothing in this paragraph (b) shall be deemed to relieve any Lender from any obligation to fund any Loans in accordance with the terms and conditions hereunder or to prejudice any rights which the Borrower may have against any Lender as a result of any default by such Lender hereunder.</w:t>
      </w:r>
    </w:p>
    <w:p>
      <w:pPr>
        <w:spacing w:after="0" w:line="1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Elections</w:t>
      </w:r>
      <w:r>
        <w:rPr>
          <w:rFonts w:ascii="Arial" w:cs="Arial" w:eastAsia="Arial" w:hAnsi="Arial"/>
          <w:sz w:val="18"/>
          <w:szCs w:val="18"/>
          <w:color w:val="auto"/>
        </w:rPr>
        <w:t>. (a) Each Borrowing initially shall be of the Type specified in the applicable Borrowing Request and, in the case of a Eurocurrency Borrowing, shall have an initial Interest Period as specified in such Borrowing Request. Thereafter, the Borrower may elect to convert such Borrowing to a different Type or to continue such Borrowing and, in the case of a Eurocurrency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93" w:lineRule="exact"/>
        <w:rPr>
          <w:sz w:val="20"/>
          <w:szCs w:val="20"/>
          <w:color w:val="auto"/>
        </w:rPr>
      </w:pPr>
    </w:p>
    <w:p>
      <w:pPr>
        <w:jc w:val="both"/>
        <w:ind w:firstLine="1305"/>
        <w:spacing w:after="0" w:line="255" w:lineRule="auto"/>
        <w:tabs>
          <w:tab w:leader="none" w:pos="18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the Borrower. Notwithstanding any contrary provision herein, this Section shall not be construed to permit the Borrower to (i) change the currency of any Borrowing, (ii) elect an Interest Period for Eurocurrency Loans that does not comply with Section 2.02(d) or (iii) convert any Borrowing to a Borrowing of a Type not available under such Borrowing.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1820" w:hanging="515"/>
        <w:spacing w:after="0"/>
        <w:tabs>
          <w:tab w:leader="none" w:pos="1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Interest Election Request shall specify the following information in compliance with Section 2.02:</w:t>
      </w:r>
    </w:p>
    <w:p>
      <w:pPr>
        <w:spacing w:after="0" w:line="225" w:lineRule="exact"/>
        <w:rPr>
          <w:sz w:val="20"/>
          <w:szCs w:val="20"/>
          <w:color w:val="auto"/>
        </w:rPr>
      </w:pPr>
    </w:p>
    <w:p>
      <w:pPr>
        <w:jc w:val="both"/>
        <w:ind w:left="660" w:firstLine="645"/>
        <w:spacing w:after="0" w:line="291" w:lineRule="auto"/>
        <w:tabs>
          <w:tab w:leader="none" w:pos="193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w:t>
      </w: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and (iv) below shall be specified for each resulting Borrowing);</w:t>
      </w:r>
    </w:p>
    <w:p>
      <w:pPr>
        <w:spacing w:after="0" w:line="210" w:lineRule="exact"/>
        <w:rPr>
          <w:rFonts w:ascii="Arial" w:cs="Arial" w:eastAsia="Arial" w:hAnsi="Arial"/>
          <w:sz w:val="18"/>
          <w:szCs w:val="18"/>
          <w:color w:val="auto"/>
        </w:rPr>
      </w:pPr>
    </w:p>
    <w:p>
      <w:pPr>
        <w:ind w:left="1840" w:hanging="535"/>
        <w:spacing w:after="0"/>
        <w:tabs>
          <w:tab w:leader="none" w:pos="18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25" w:lineRule="exact"/>
        <w:rPr>
          <w:rFonts w:ascii="Arial" w:cs="Arial" w:eastAsia="Arial" w:hAnsi="Arial"/>
          <w:sz w:val="18"/>
          <w:szCs w:val="18"/>
          <w:color w:val="auto"/>
        </w:rPr>
      </w:pPr>
    </w:p>
    <w:p>
      <w:pPr>
        <w:ind w:left="1840" w:hanging="535"/>
        <w:spacing w:after="0"/>
        <w:tabs>
          <w:tab w:leader="none" w:pos="18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Eurocurrency Borrowing; and</w:t>
      </w:r>
    </w:p>
    <w:p>
      <w:pPr>
        <w:spacing w:after="0" w:line="225" w:lineRule="exact"/>
        <w:rPr>
          <w:rFonts w:ascii="Arial" w:cs="Arial" w:eastAsia="Arial" w:hAnsi="Arial"/>
          <w:sz w:val="18"/>
          <w:szCs w:val="18"/>
          <w:color w:val="auto"/>
        </w:rPr>
      </w:pPr>
    </w:p>
    <w:p>
      <w:pPr>
        <w:ind w:left="660" w:firstLine="645"/>
        <w:spacing w:after="0" w:line="308" w:lineRule="auto"/>
        <w:tabs>
          <w:tab w:leader="none" w:pos="1877"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Agreed Currency and, if the resulting Borrowing is a Eurocurrency Borrowing, the Interest Period to be applicable thereto after giving effect to such election, which Interest Period shall be a period contemplated by the definition of the term “Interest Period”.</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Borrower shall be deemed to have selected an Interest Period of one month’s duration.</w:t>
      </w:r>
    </w:p>
    <w:p>
      <w:pPr>
        <w:spacing w:after="0" w:line="170" w:lineRule="exact"/>
        <w:rPr>
          <w:sz w:val="20"/>
          <w:szCs w:val="20"/>
          <w:color w:val="auto"/>
        </w:rPr>
      </w:pPr>
    </w:p>
    <w:p>
      <w:pPr>
        <w:ind w:firstLine="1305"/>
        <w:spacing w:after="0" w:line="277" w:lineRule="auto"/>
        <w:tabs>
          <w:tab w:leader="none" w:pos="18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Borrower fails to deliver a timely Interest Election Request with respect to a Eurocurrency Revolving Borrowing prior to the end of the Interest Period applicable thereto, then, unless such Borrowing is repaid as provided herein, at the end of such Interest Period (i) in the case of a Borrowing denominated in Dollars or Canadian Dollars, such Borrowing shall be converted to an ABR Borrowing and (ii) in the case of a Borrowing denominated in a Foreign Currency (other than Canadian Dollars) in respect of which the Borrower shall have failed to deliver an Interest Election Request</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prior to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preceding the end of such Interest Period, such Borrowing shall automatically continue as a Eurocurrency Borrowing in the same Agreed Currency with an Interest Period of one month. Notwithstanding any contrary provision hereof, if an Event of Default has occurred and is continuing and the Administrative Agent, at the request of the Required Lenders, so notifies the Borrower, then, so long as an Event of Default is continuing</w:t>
      </w:r>
    </w:p>
    <w:p>
      <w:pPr>
        <w:spacing w:after="0" w:line="2" w:lineRule="exact"/>
        <w:rPr>
          <w:sz w:val="20"/>
          <w:szCs w:val="20"/>
          <w:color w:val="auto"/>
        </w:rPr>
      </w:pPr>
    </w:p>
    <w:p>
      <w:pPr>
        <w:jc w:val="both"/>
        <w:ind w:firstLine="8"/>
        <w:spacing w:after="0" w:line="273" w:lineRule="auto"/>
        <w:tabs>
          <w:tab w:leader="none" w:pos="231"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 outstanding Revolving Borrowing denominated in Dollars or Canadian Dollars may be converted to or continued as a Eurocurrency Borrowing, (ii) unless repaid, each Eurocurrency Revolving Borrowing denominated in Dollars or Canadian Dollars shall be converted to an ABR Borrowing at the end of the Interest Period applicable thereto and (iii) unless repaid, each Eurocurrency Revolving Borrowing denominated in a Foreign Currency (other than Canadian Dollars) shall automatically be continued as a Eurocurrency Borrowing with an Interest Period of one month.</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(a) Unless previously terminated, the Commitments shall terminate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11" w:lineRule="exact"/>
        <w:rPr>
          <w:sz w:val="20"/>
          <w:szCs w:val="20"/>
          <w:color w:val="auto"/>
        </w:rPr>
      </w:pPr>
    </w:p>
    <w:p>
      <w:pPr>
        <w:jc w:val="both"/>
        <w:ind w:firstLine="1305"/>
        <w:spacing w:after="0" w:line="297" w:lineRule="auto"/>
        <w:tabs>
          <w:tab w:leader="none" w:pos="193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Borrower may at any time terminate the Commitments upon (i) 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at the discretion of the Administrative Agent a back up standby letter of credit satisfactory to the Administrative Agent) equal to 105% of the LC Exposure as of such date), (iii) the payment in full of the accrued and unpaid fees, and (iv) the payment in full of all reimbursable expenses and other Secured Obligations together with accrued and unpaid interest thereon.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jc w:val="both"/>
        <w:ind w:firstLine="1305"/>
        <w:spacing w:after="0" w:line="259" w:lineRule="auto"/>
        <w:tabs>
          <w:tab w:leader="none" w:pos="1813"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The Borrower may at any time and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$100,000 and not less than $1,000,000 and (ii) the Borrower shall not terminate or reduce the Commitments if, after giving effect to any concurrent prepayment of the Loans in accordance with Section 2.11, the Dollar Amount of the Revolving Exposure would exceed the Aggregate Commitment.</w:t>
      </w:r>
    </w:p>
    <w:p>
      <w:pPr>
        <w:spacing w:after="0" w:line="186" w:lineRule="exact"/>
        <w:rPr>
          <w:rFonts w:ascii="Arial" w:cs="Arial" w:eastAsia="Arial" w:hAnsi="Arial"/>
          <w:sz w:val="18"/>
          <w:szCs w:val="18"/>
          <w:color w:val="auto"/>
        </w:rPr>
      </w:pPr>
    </w:p>
    <w:p>
      <w:pPr>
        <w:ind w:left="1860" w:hanging="555"/>
        <w:spacing w:after="0"/>
        <w:tabs>
          <w:tab w:leader="none" w:pos="18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of any election to terminate or reduce the Commitments under paragraph (b) or</w:t>
      </w:r>
    </w:p>
    <w:p>
      <w:pPr>
        <w:spacing w:after="0" w:line="46" w:lineRule="exact"/>
        <w:rPr>
          <w:rFonts w:ascii="Arial" w:cs="Arial" w:eastAsia="Arial" w:hAnsi="Arial"/>
          <w:sz w:val="16"/>
          <w:szCs w:val="16"/>
          <w:color w:val="auto"/>
        </w:rPr>
      </w:pPr>
    </w:p>
    <w:p>
      <w:pPr>
        <w:jc w:val="both"/>
        <w:ind w:firstLine="8"/>
        <w:spacing w:after="0" w:line="290" w:lineRule="auto"/>
        <w:tabs>
          <w:tab w:leader="none" w:pos="2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64"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 (a)The Borrower hereby unconditionally promises to pay to the Administrative Agent for the account of each Lender the then unpaid principal amount of each Revolving Loan on the Maturity Date in the currency of such Revolving Loan.</w:t>
      </w:r>
    </w:p>
    <w:p>
      <w:pPr>
        <w:spacing w:after="0" w:line="124" w:lineRule="exact"/>
        <w:rPr>
          <w:sz w:val="20"/>
          <w:szCs w:val="20"/>
          <w:color w:val="auto"/>
        </w:rPr>
      </w:pPr>
    </w:p>
    <w:p>
      <w:pPr>
        <w:jc w:val="both"/>
        <w:ind w:firstLine="1305"/>
        <w:spacing w:after="0" w:line="264" w:lineRule="auto"/>
        <w:tabs>
          <w:tab w:leader="none" w:pos="20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8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Agreed Currency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jc w:val="both"/>
        <w:ind w:firstLine="1305"/>
        <w:spacing w:after="0" w:line="312" w:lineRule="auto"/>
        <w:tabs>
          <w:tab w:leader="none" w:pos="1909"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(b) or (c) of this Section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46" w:lineRule="exact"/>
        <w:rPr>
          <w:rFonts w:ascii="Arial" w:cs="Arial" w:eastAsia="Arial" w:hAnsi="Arial"/>
          <w:sz w:val="16"/>
          <w:szCs w:val="16"/>
          <w:color w:val="auto"/>
        </w:rPr>
      </w:pPr>
    </w:p>
    <w:p>
      <w:pPr>
        <w:jc w:val="both"/>
        <w:ind w:firstLine="1305"/>
        <w:spacing w:after="0" w:line="276" w:lineRule="auto"/>
        <w:tabs>
          <w:tab w:leader="none" w:pos="1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Lender may request that Loans made by it be evidenced by a promissory note. In such event, the Borrower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order of the payee named therein (or, if such promissory note is a registered note, to such payee and its registered assigns).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ind w:left="130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342" w:lineRule="auto"/>
        <w:tabs>
          <w:tab w:leader="none" w:pos="182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Borrower shall have the right at any time and from time to time to prepay any Borrowing, in whole or in part, without premium or penalty (except for break funding payments in accordance with Section 2.16), subject to prior notice in accordance with paragraph (b) of this Section.</w:t>
      </w:r>
    </w:p>
    <w:p>
      <w:pPr>
        <w:spacing w:after="0" w:line="123" w:lineRule="exact"/>
        <w:rPr>
          <w:rFonts w:ascii="Arial" w:cs="Arial" w:eastAsia="Arial" w:hAnsi="Arial"/>
          <w:sz w:val="16"/>
          <w:szCs w:val="16"/>
          <w:color w:val="auto"/>
        </w:rPr>
      </w:pPr>
    </w:p>
    <w:p>
      <w:pPr>
        <w:jc w:val="both"/>
        <w:ind w:firstLine="1305"/>
        <w:spacing w:after="0" w:line="269" w:lineRule="auto"/>
        <w:tabs>
          <w:tab w:leader="none" w:pos="19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by telephone (confirmed by telecopy or electronic mail) of any prepayment hereunder (i) in the case of prepayment of a Eurocurrency Borrowing, not later than 10:00 a.m., Local Time, three (3) Business Days (in the case of a Eurocurrency Borrowing denominated in Dollars or Canadian Dollars) or four (4) Business Days (in the case of a Eurocurrency Borrowing denominated in a Foreign Currency (other than Canadian Dollars)), in each case before the date of prepayment or (ii) in the case of prepayment of an ABR Revolving Borrowing, not later than 11:00 a.m. Local Time, one (1) Business Day before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 Prepayments shall be accompanied by (i) accrued interest to the extent required by Section 2.13 and (ii) break funding payments pursuant to Section 2.16.</w:t>
      </w:r>
    </w:p>
    <w:p>
      <w:pPr>
        <w:spacing w:after="0" w:line="179" w:lineRule="exact"/>
        <w:rPr>
          <w:rFonts w:ascii="Arial" w:cs="Arial" w:eastAsia="Arial" w:hAnsi="Arial"/>
          <w:sz w:val="17"/>
          <w:szCs w:val="17"/>
          <w:color w:val="auto"/>
        </w:rPr>
      </w:pPr>
    </w:p>
    <w:p>
      <w:pPr>
        <w:jc w:val="both"/>
        <w:ind w:firstLine="1305"/>
        <w:spacing w:after="0" w:line="269" w:lineRule="auto"/>
        <w:tabs>
          <w:tab w:leader="none" w:pos="1912"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at any time, (i) other than as a result of fluctuations in currency exchange rates, (A) the sum of the aggregate principal Dollar Amount of all of the Revolving Exposures (calculated, with respect to those Credit Events denominated in Foreign Currencies, as of the most recent Computation Date with respect to each such Credit Event) exceeds the Aggregate Commitment or (B) the sum of the aggregate principal Dollar Amount of all of the outstanding Revolving Exposures denominated in Foreign Currencies (the “</w:t>
      </w:r>
      <w:r>
        <w:rPr>
          <w:rFonts w:ascii="Arial" w:cs="Arial" w:eastAsia="Arial" w:hAnsi="Arial"/>
          <w:sz w:val="17"/>
          <w:szCs w:val="17"/>
          <w:u w:val="single" w:color="auto"/>
          <w:color w:val="auto"/>
        </w:rPr>
        <w:t>Foreign Currency Exposure</w:t>
      </w:r>
      <w:r>
        <w:rPr>
          <w:rFonts w:ascii="Arial" w:cs="Arial" w:eastAsia="Arial" w:hAnsi="Arial"/>
          <w:sz w:val="17"/>
          <w:szCs w:val="17"/>
          <w:color w:val="auto"/>
        </w:rPr>
        <w:t>”) (so calculated), as of the most recent Computation Date with respect to each such Credit Event, exceeds the Foreign Currency Sublimit or (ii) solely as a result of fluctuations in currency exchange rates, (A) the sum of the aggregate principal Dollar Amount of all of the Revolving Exposures (so calculated) exceeds 105% of the Aggregate Commitment or (B) the Foreign Currency Exposure, as of the most recent Computation Date with respect to each such Credit Event, exceeds 105% of the Foreign Currency Sublimit, the Borrower shall in each case immediately repay Borrowings or cash collateralize LC Exposure in an account with the Administrative Agent pursuant to Section 2.06(j), as applicable, in an aggregate principal amount sufficient to cause (x) the aggregate Dollar Amount of all Revolving Exposures (so calculated) to be less than or equal to the Aggregate Commitment and (y) the Foreign Currency Exposure to be less than or equal to the Foreign Currency Sublimit, as applicable.</w:t>
      </w:r>
    </w:p>
    <w:p>
      <w:pPr>
        <w:spacing w:after="0" w:line="18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Fees</w:t>
      </w:r>
      <w:r>
        <w:rPr>
          <w:rFonts w:ascii="Arial" w:cs="Arial" w:eastAsia="Arial" w:hAnsi="Arial"/>
          <w:sz w:val="17"/>
          <w:szCs w:val="17"/>
          <w:color w:val="auto"/>
        </w:rPr>
        <w:t>. (a) The Borrower agrees to pay to the Administrative Agent for the account of each Lender a commitment fee, which shall accrue at the Applicable Rate on the average daily amount of the Available Revolving Commitment of such Lender during the period from and including the Original Effective Date to but excluding the date on which such Commitment terminates. Accrued commitment fees shall be payable on the fifteenth day following the last day of March, June, September and December of each year and on the date on which the Commitments terminate, commencing on the first such date to occur after the Original Effective Date. All commitment fees shall be computed on the basis of a year of 360 days and shall be payable for the actual number of days elapsed (including the first day but excluding the last day).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both"/>
        <w:ind w:firstLine="1305"/>
        <w:spacing w:after="0" w:line="268" w:lineRule="auto"/>
        <w:tabs>
          <w:tab w:leader="none" w:pos="1913"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Borrower agrees to pay (i) to the Administrative Agent for the account of each Lender a participation fee with respect to its participations in Letters of Credit, which shall accrue at the Applicable Rate for performance Letters of Credit or non-performance Letters of Credit, as applicable,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each Issuing Bank for its own account a fronting fee, which shall accrue at the rate of 0.125% per annum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fifteenth day following such last day, commencing on the first such date to occur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83" w:lineRule="exact"/>
        <w:rPr>
          <w:rFonts w:ascii="Arial" w:cs="Arial" w:eastAsia="Arial" w:hAnsi="Arial"/>
          <w:sz w:val="17"/>
          <w:szCs w:val="17"/>
          <w:color w:val="auto"/>
        </w:rPr>
      </w:pPr>
    </w:p>
    <w:p>
      <w:pPr>
        <w:ind w:firstLine="1305"/>
        <w:spacing w:after="0" w:line="277" w:lineRule="auto"/>
        <w:tabs>
          <w:tab w:leader="none" w:pos="18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8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and immediately available funds, to the Administrative Agent (or to an Issuing Bank, in the case of fees payable to it) for distribution, in the case of commitment fees and participation fees, to the Lenders. Fees paid shall not be refundable under any circumstances. The Administrative Agent shall make all Exchange Rate determinations necessary to convert non-Dollar amounts into Dollar amounts prior to the Borrower’s payment thereof.</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Interest</w:t>
      </w:r>
      <w:r>
        <w:rPr>
          <w:rFonts w:ascii="Arial" w:cs="Arial" w:eastAsia="Arial" w:hAnsi="Arial"/>
          <w:sz w:val="16"/>
          <w:szCs w:val="16"/>
          <w:color w:val="auto"/>
        </w:rPr>
        <w:t>. (a) The Loans comprising each ABR Borrowing shall bear interest at the Alternate Base Rate plus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firstLine="1305"/>
        <w:spacing w:after="0" w:line="277" w:lineRule="auto"/>
        <w:tabs>
          <w:tab w:leader="none" w:pos="18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Adjusted LIBO Rate for the Interest Period in effect for such Borrowing plus the Applicable Rate.</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9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88" w:lineRule="exact"/>
        <w:rPr>
          <w:rFonts w:ascii="Arial" w:cs="Arial" w:eastAsia="Arial" w:hAnsi="Arial"/>
          <w:sz w:val="18"/>
          <w:szCs w:val="18"/>
          <w:color w:val="auto"/>
        </w:rPr>
      </w:pPr>
    </w:p>
    <w:p>
      <w:pPr>
        <w:jc w:val="both"/>
        <w:ind w:firstLine="1305"/>
        <w:spacing w:after="0" w:line="255" w:lineRule="auto"/>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in the same Agreed Currency as the applicable Loan, on each Interest Payment Date for such Loan and, in the case of Revolving Loans, upon termination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both"/>
        <w:ind w:firstLine="1305"/>
        <w:spacing w:after="0" w:line="273" w:lineRule="auto"/>
        <w:tabs>
          <w:tab w:leader="none" w:pos="189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 interest computed by reference to the Alternate Base Rate at times when the Alternate Base Rate is based on the Prime Rate or Canadian Prime Rate shall be computed on the basis of a year of 365 days (or 366 days in a leap year) and (ii) interest computed by reference to the Adjusted LIBO Rate at times when the Adjusted LIBO Rate is based on the CDOR Screen Rate shall be computed on the basis of a year of 365 days,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89" w:lineRule="auto"/>
        <w:tabs>
          <w:tab w:leader="none" w:pos="1906"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at the time that the Administrative Agent shall seek to determine the LIBO Screen Rate on the Quotation Day for any Interest Period for a Eurocurrency Borrowing, the LIBO Screen Rate shall not be available for such Interest Period and/or for the applicable currency with respect to such Eurocurrency Borrowing for any reason, and the Administrative Agent shall reasonably determine that it is not possible to determine the Interpolated Rate (including, without limitation, because the LIBO Screen Rate is not available or published on a current basis) (which conclusion shall be conclusive and binding absent manifest error), then, (i) if such Borrowing shall be requested in Dollars or Canadian Dollars, then such Borrowing shall be made as an ABR Borrowing at the Alternate Base Rate and (ii) if such Borrowing shall be requested in any Foreign Currency (other than Canadian Dollars), the LIBO Rate shall be equal to the rate determined by the Administrative Agent in its reasonable discretion after consultation with the Borrower and consented to in writing by the Required Lenders (the “</w:t>
      </w:r>
      <w:r>
        <w:rPr>
          <w:rFonts w:ascii="Arial" w:cs="Arial" w:eastAsia="Arial" w:hAnsi="Arial"/>
          <w:sz w:val="16"/>
          <w:szCs w:val="16"/>
          <w:u w:val="single" w:color="auto"/>
          <w:color w:val="auto"/>
        </w:rPr>
        <w:t>Alternative 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until such time as the Alternative Rate shall be determined and so consented to by the Required Lenders, Borrowings shall not be available in such Foreign Currency (other than Canadian Dollars).</w:t>
      </w:r>
    </w:p>
    <w:p>
      <w:pPr>
        <w:spacing w:after="0" w:line="166" w:lineRule="exact"/>
        <w:rPr>
          <w:rFonts w:ascii="Arial" w:cs="Arial" w:eastAsia="Arial" w:hAnsi="Arial"/>
          <w:sz w:val="16"/>
          <w:szCs w:val="16"/>
          <w:color w:val="auto"/>
        </w:rPr>
      </w:pPr>
    </w:p>
    <w:p>
      <w:pPr>
        <w:ind w:left="1820" w:hanging="515"/>
        <w:spacing w:after="0"/>
        <w:tabs>
          <w:tab w:leader="none" w:pos="1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Eurocurrency Borrowing:</w:t>
      </w:r>
    </w:p>
    <w:p>
      <w:pPr>
        <w:spacing w:after="0" w:line="225" w:lineRule="exact"/>
        <w:rPr>
          <w:rFonts w:ascii="Arial" w:cs="Arial" w:eastAsia="Arial" w:hAnsi="Arial"/>
          <w:sz w:val="18"/>
          <w:szCs w:val="18"/>
          <w:color w:val="auto"/>
        </w:rPr>
      </w:pPr>
    </w:p>
    <w:p>
      <w:pPr>
        <w:jc w:val="both"/>
        <w:ind w:left="980" w:firstLine="520"/>
        <w:spacing w:after="0" w:line="259" w:lineRule="auto"/>
        <w:tabs>
          <w:tab w:leader="none" w:pos="18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and binding absent manifest error) that adequate and reasonable means do not exist for ascertaining the Adjusted LIBO Rate or the LIBO Rate, as applicable (including, without limitation, because the LIBO Screen Rate is not available or published on a current basis), for a Loan in the applicable currency or for the applicable Interest Period; or</w:t>
      </w:r>
    </w:p>
    <w:p>
      <w:pPr>
        <w:spacing w:after="0" w:line="186" w:lineRule="exact"/>
        <w:rPr>
          <w:rFonts w:ascii="Arial" w:cs="Arial" w:eastAsia="Arial" w:hAnsi="Arial"/>
          <w:sz w:val="18"/>
          <w:szCs w:val="18"/>
          <w:color w:val="auto"/>
        </w:rPr>
      </w:pPr>
    </w:p>
    <w:p>
      <w:pPr>
        <w:jc w:val="both"/>
        <w:ind w:left="980" w:firstLine="549"/>
        <w:spacing w:after="0" w:line="286" w:lineRule="auto"/>
        <w:tabs>
          <w:tab w:leader="none" w:pos="1917" w:val="left"/>
        </w:tabs>
        <w:numPr>
          <w:ilvl w:val="2"/>
          <w:numId w:val="44"/>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the Adjusted LIBO Rate or the LIBO Rate, as applicable, for a Loan in the applicable currency or for the applicable Interest Period will not adequately and fairly reflect the cost to such Lenders of making or maintaining their Loans included in such Borrowing for the applicable currency and such Interest Period;</w:t>
      </w:r>
    </w:p>
    <w:p>
      <w:pPr>
        <w:spacing w:after="0" w:line="166"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Eurocurrency Borrowing in the applicable currency or for the applicable Interest Period, as the case may be, shall be ineffective and any such Eurocurrency Borrowing shall be repaid or (solely if such Eurocurrency Borrowing is denominated in Dollars) converted into an ABR Borrowing on the last day of the then current Interest Period applicable thereto, (ii) if any Borrowing Request requests a Eurocurrency Borrowing in Dollars or Canadian Dollars, such Borrowing shall be made as an ABR Borrowing and (iii) if any Borrowing Request requests a Eurocurrency Borrowing in a Foreign Currency (other than Canadian Dollars), then the LIBO Rate for such Eurocurrency Borrowing shall be the Alternative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circumstances giving rise to such notice affect only one Type of Borrowings, then the other Type of Borrowings shall be permitted.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jc w:val="both"/>
        <w:ind w:firstLine="1305"/>
        <w:spacing w:after="0" w:line="284" w:lineRule="auto"/>
        <w:tabs>
          <w:tab w:leader="none" w:pos="1951"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If at any time the Administrative Agent determines (which determination shall be conclusive absent manifest error) that (i) the circumstances set forth in clause (b)(i) have arisen and such circumstances are unlikely to be temporary or (ii) the circumstances set forth in clause (b)(i) have not arisen but either (w) the supervisor for the administrator of the LIBO Screen Rate has made a public statement that the administrator of the LIBO Screen Rate is insolvent (and there is no successor administrator that will continue publication of the LIBO Screen Rate), (x) the administrator of the LIBO Screen Rate has made a public statement identifying a specific date after which the LIBO Screen Rate will permanently or indefinitely cease to be published by it (and there is no successor administrator that will continue publication of the LIBO Screen Rate), (y) the supervisor for the administrator of the LIBO Screen Rate has made a public statement identifying a specific date after which the LIBO Screen Rate will permanently or indefinitely cease to be published or (z) the supervisor for the administrator of the LIBO Screen Rate or a Governmental Authority having jurisdiction over the Administrative Agent has made a public statement identifying a specific date after which an applicable LIBO Screen Rate for any Agreed Currency may no longer be used for determining interest rates for loans, then the Administrative Agent and the Borrower shall (A) endeavor to establish an alternate rate of interest to the LIBO Rate for Loans denominated in Dollars, and (B) endeavor to establish an Alternative Rate as described in clause (a) above for Loans denominated in Agreed Currencies other than Dollars or Canadian Dollars, in each case, that gives due consideration to the then prevailing market convention for determining a rate of interest for syndicated loans in the United States in Dollars or such Agreed Currency at such time, as applicable and shall enter into an amendment to this Agreement to reflect such alternate rate or rates of interest and such other related changes to this Agreement as may be applicable (but for the avoidance of doubt, such related changes shall not include a reduction of the Applicable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alternate rate of interest as so determined would be less than zero, such rate shall be deemed to be zero for the purposes of this Agreement. Notwithstanding anything to the contrary in Section 9.02, any such amendment establishing an alternate rate of interest for Loans denominated in Dollars shall become effective without any further action or consent of any other party to this Agreement so long as the Administrative Agent shall not have received, within five Business Days of the date of receipt by the Lenders of a draft of such amendment showing such changes and the alternate rate or rates of interest, a written notice from the Required Lenders stating that such Required Lenders object to such amendment. Until an alternate rate of interest or Alternative Rate, as applicable, shall be determined in accordance with this clause (c) (but, in the case of the circumstances described in clause (ii) of the first sentence of this Section 2.14(c), only to the extent the LIBO Screen Rate for the applicable Agreed Currency and such Interest Period is not available or published at such time on a current basis), (x) any Interest Election Request that requests the conversion of any Borrowing to, or continuation of any Borrowing as, a Eurocurrency Borrowing, and any Borrowing Request for a Eurocurrency Borrowing in a Foreign Currency (other than Canadian Dollars) shall, in each case, be ineffective and any such Eurocurrency Borrowing shall be repaid or (solely if such Eurocurrency Borrowing is denominated in Dollars or Canadian Dollars) converted into an ABR Borrowing on the last day of the then current Interest Period applicable thereto, and (y) if any Borrowing Request requests a Eurocurrency Borrowing in Dollars or Canadian Dollars, such Borrowing shall be made as an ABR Borrowing.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ind w:left="130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225" w:lineRule="exact"/>
        <w:rPr>
          <w:sz w:val="20"/>
          <w:szCs w:val="20"/>
          <w:color w:val="auto"/>
        </w:rPr>
      </w:pPr>
    </w:p>
    <w:p>
      <w:pPr>
        <w:jc w:val="both"/>
        <w:ind w:left="660" w:firstLine="645"/>
        <w:spacing w:after="0" w:line="264" w:lineRule="auto"/>
        <w:tabs>
          <w:tab w:leader="none" w:pos="19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181" w:lineRule="exact"/>
        <w:rPr>
          <w:rFonts w:ascii="Arial" w:cs="Arial" w:eastAsia="Arial" w:hAnsi="Arial"/>
          <w:sz w:val="18"/>
          <w:szCs w:val="18"/>
          <w:color w:val="auto"/>
        </w:rPr>
      </w:pPr>
    </w:p>
    <w:p>
      <w:pPr>
        <w:ind w:left="660" w:firstLine="645"/>
        <w:spacing w:after="0" w:line="277" w:lineRule="auto"/>
        <w:tabs>
          <w:tab w:leader="none" w:pos="1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cost or expense (other than Taxes) affecting this Agreement or Loans made by such Lender or any Letter of Credit or participation therein; or</w:t>
      </w:r>
    </w:p>
    <w:p>
      <w:pPr>
        <w:spacing w:after="0" w:line="170" w:lineRule="exact"/>
        <w:rPr>
          <w:rFonts w:ascii="Arial" w:cs="Arial" w:eastAsia="Arial" w:hAnsi="Arial"/>
          <w:sz w:val="18"/>
          <w:szCs w:val="18"/>
          <w:color w:val="auto"/>
        </w:rPr>
      </w:pPr>
    </w:p>
    <w:p>
      <w:pPr>
        <w:jc w:val="both"/>
        <w:ind w:left="660" w:firstLine="645"/>
        <w:spacing w:after="0" w:line="286" w:lineRule="auto"/>
        <w:tabs>
          <w:tab w:leader="none" w:pos="1929"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subject the Administrative Agent, any Lender, any Issuing Bank or any other recipient of any payment to be made hereunder or under the other Loan Documents to any Taxes (other than (A) Indemnified Taxes, (B) Excluded Taxes or (C) Other Taxes) on its loans, loan principal, letters of credit, commitments, or other obligations, or its deposits, reserves, other liabilities or capital attributable thereto;</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the result of any of the foregoing shall be to increase the cost to such Person of making, continuing, converting into or maintaining any Loan (or of maintaining its obligation to make any such Loan) or to increase the cost to such Person of participating in, issuing or maintaining any Letter of Credit or to reduce the amount of any sum received or receivable by such Person hereunder (whether of principal, interest or otherwise), then the Borrower will pay to such Person such additional amount or amounts as will compensate such Person for such additional costs incurred or reduction suffered.</w:t>
      </w:r>
    </w:p>
    <w:p>
      <w:pPr>
        <w:spacing w:after="0" w:line="171" w:lineRule="exact"/>
        <w:rPr>
          <w:sz w:val="20"/>
          <w:szCs w:val="20"/>
          <w:color w:val="auto"/>
        </w:rPr>
      </w:pPr>
    </w:p>
    <w:p>
      <w:pPr>
        <w:jc w:val="both"/>
        <w:ind w:firstLine="1305"/>
        <w:spacing w:after="0" w:line="271" w:lineRule="auto"/>
        <w:tabs>
          <w:tab w:leader="none" w:pos="1838"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78" w:lineRule="exact"/>
        <w:rPr>
          <w:rFonts w:ascii="Arial" w:cs="Arial" w:eastAsia="Arial" w:hAnsi="Arial"/>
          <w:sz w:val="17"/>
          <w:szCs w:val="17"/>
          <w:color w:val="auto"/>
        </w:rPr>
      </w:pPr>
    </w:p>
    <w:p>
      <w:pPr>
        <w:jc w:val="both"/>
        <w:ind w:firstLine="1305"/>
        <w:spacing w:after="0" w:line="302" w:lineRule="auto"/>
        <w:tabs>
          <w:tab w:leader="none" w:pos="1923"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certificate of a Lender or an Issuing Bank setting forth the amount or amounts necessary to compensate such Lender or such Issuing Bank or its holding company, as the case may be, as specified in paragraph (a) or (b) of this Section and describing in reasonable detail the basis of such compensation and method of calculation shall be delivered to the Borrower and shall be conclusive absent manifest error. The Borrower shall pay such Lender or such Issuing Bank, as the case may be, the amount shown as due on any such certificate within 10 days after receipt thereof.</w:t>
      </w:r>
    </w:p>
    <w:p>
      <w:pPr>
        <w:spacing w:after="0" w:line="154" w:lineRule="exact"/>
        <w:rPr>
          <w:rFonts w:ascii="Arial" w:cs="Arial" w:eastAsia="Arial" w:hAnsi="Arial"/>
          <w:sz w:val="16"/>
          <w:szCs w:val="16"/>
          <w:color w:val="auto"/>
        </w:rPr>
      </w:pPr>
    </w:p>
    <w:p>
      <w:pPr>
        <w:jc w:val="both"/>
        <w:ind w:firstLine="1305"/>
        <w:spacing w:after="0" w:line="293" w:lineRule="auto"/>
        <w:tabs>
          <w:tab w:leader="none" w:pos="1844"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an Issuing Bank pursuant to this Section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jc w:val="both"/>
        <w:ind w:firstLine="1297"/>
        <w:spacing w:after="0" w:line="286"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2.09(d) and is revoked in accordance therewith), or (d) the assignment of any Eurocurrency Loan other than on the last day of the Interest Period applicable thereto as a result of a request by the Borrower pursuant to Section 2.19, then, in any such event, the Borrower shall compensate each Lender for the loss, cost and expense attributable to such event. In the case of a Eurocurrency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any amount or amounts (and the computation of any such loss, cost or expense in reasonable detail)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6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Any and all payments by or on account of any obligation of the Borrower hereunder shall (except to the extent required by applicable law) be made free and clear of and without deduction for any Indemnified Taxes or Other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shall be required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any Lender or any Issuing Bank (as the case may be) receives an amount equal to the sum it would have received had no such deductions been made, (ii) the Borrower shall be entitled to make such deductions or withholdings and (iii) the Borrower shall pay the full amount deducted or withheld to the relevant Governmental Authority in accordance with applicable law.</w:t>
      </w:r>
    </w:p>
    <w:p>
      <w:pPr>
        <w:spacing w:after="0" w:line="189" w:lineRule="exact"/>
        <w:rPr>
          <w:sz w:val="20"/>
          <w:szCs w:val="20"/>
          <w:color w:val="auto"/>
        </w:rPr>
      </w:pPr>
    </w:p>
    <w:p>
      <w:pPr>
        <w:ind w:left="1820" w:hanging="515"/>
        <w:spacing w:after="0"/>
        <w:tabs>
          <w:tab w:leader="none" w:pos="18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addition, the Borrower shall pay any Other Taxes to the relevant Governmental Authority in accordance with applicable law.</w:t>
      </w:r>
    </w:p>
    <w:p>
      <w:pPr>
        <w:spacing w:after="0" w:line="236" w:lineRule="exact"/>
        <w:rPr>
          <w:rFonts w:ascii="Arial" w:cs="Arial" w:eastAsia="Arial" w:hAnsi="Arial"/>
          <w:sz w:val="17"/>
          <w:szCs w:val="17"/>
          <w:color w:val="auto"/>
        </w:rPr>
      </w:pPr>
    </w:p>
    <w:p>
      <w:pPr>
        <w:jc w:val="both"/>
        <w:ind w:firstLine="1305"/>
        <w:spacing w:after="0" w:line="272" w:lineRule="auto"/>
        <w:tabs>
          <w:tab w:leader="none" w:pos="186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Borrower shall indemnify the Administrative Agent, each Lender and each Issuing Bank, within 10 days after written demand therefor, for the full amount of any Indemnified Taxes or Other Taxes paid by the Administrative Agent, such Lender or such Issuing Bank,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ind w:firstLine="1305"/>
        <w:spacing w:after="0" w:line="259" w:lineRule="auto"/>
        <w:tabs>
          <w:tab w:leader="none" w:pos="19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soon as practicable after any payment of Indemnified Taxes or Other Taxes by the Borrower to a Governmental Authority pursuant to this Section 2.17,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jc w:val="both"/>
        <w:ind w:firstLine="1305"/>
        <w:spacing w:after="0" w:line="287" w:lineRule="auto"/>
        <w:tabs>
          <w:tab w:leader="none" w:pos="18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Lender shall deliver to the Borrower and to the Administrative Agent, whenever reasonably requested by the Borrower or the Administrative Agent, such properly completed and executed documentation prescribed by applicable laws and such other reasonably requested information as will permit the Borrower or the Administrative Agent, as the case may be, (A) to determine whether or not payments made hereunder or under any other Loan Document are subject to Taxes, (B) to determine, if applicable, the required rate of withholding or deduction and (C) to establish such Lender’s entitlement to any available exemption from, or reduction of, applicable Taxes in respect of any payments to be made to such Lender pursuant to any Loan Document or otherwise to establish such Lender’s status for withholding Tax purposes in an applicable jurisdiction.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If any form, certification or other documentation provided by a Lender pursuant to this Section 2.17(e) (including any of the specific documentation described below) expires or becomes obsolete or inaccurate in any respect, such Lender shall promptly notify the Borrower and the Administrative Agent in writing and shall promptly update or otherwise correct the affected documentation or promptly notify the Borrower and the Administrative Agent in writing that such Lender is not legally eligible to do so. Without limiting the generality of the foregoing,</w:t>
      </w:r>
    </w:p>
    <w:p>
      <w:pPr>
        <w:spacing w:after="0" w:line="168" w:lineRule="exact"/>
        <w:rPr>
          <w:rFonts w:ascii="Arial" w:cs="Arial" w:eastAsia="Arial" w:hAnsi="Arial"/>
          <w:sz w:val="16"/>
          <w:szCs w:val="16"/>
          <w:color w:val="auto"/>
        </w:rPr>
      </w:pPr>
    </w:p>
    <w:p>
      <w:pPr>
        <w:jc w:val="both"/>
        <w:ind w:left="660" w:firstLine="1071"/>
        <w:spacing w:after="0" w:line="273" w:lineRule="auto"/>
        <w:tabs>
          <w:tab w:leader="none" w:pos="2011"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Lender that is a “United States person” within the meaning of Section 7701(a)(30) of the Code shall deliver to the Borrower and the Administrative Agent duly completed and executed originals of IRS Form W-9 or such other documentation or information prescribed by applicable laws or reasonably requested by the Borrower or the Administrative Agent (in such number of signed originals as shall be requested by the recipient) on or prior to the date on which such Lender becomes a Lender under this Agreement (and from time to time thereafter upon request of the Borrower or the Administrative Agent) as will enable the Borrower or the Administrative Agent, as the case may be, to determine whether or not such Lender is subject to U.S. federal backup withholding Tax or information reporting requirements; and</w:t>
      </w:r>
    </w:p>
    <w:p>
      <w:pPr>
        <w:spacing w:after="0" w:line="178" w:lineRule="exact"/>
        <w:rPr>
          <w:rFonts w:ascii="Arial" w:cs="Arial" w:eastAsia="Arial" w:hAnsi="Arial"/>
          <w:sz w:val="17"/>
          <w:szCs w:val="17"/>
          <w:color w:val="auto"/>
        </w:rPr>
      </w:pPr>
    </w:p>
    <w:p>
      <w:pPr>
        <w:jc w:val="both"/>
        <w:ind w:left="660" w:firstLine="1102"/>
        <w:spacing w:after="0" w:line="257" w:lineRule="auto"/>
        <w:tabs>
          <w:tab w:leader="none" w:pos="2100" w:val="left"/>
        </w:tabs>
        <w:numPr>
          <w:ilvl w:val="2"/>
          <w:numId w:val="49"/>
        </w:numPr>
        <w:rPr>
          <w:rFonts w:ascii="Arial" w:cs="Arial" w:eastAsia="Arial" w:hAnsi="Arial"/>
          <w:sz w:val="18"/>
          <w:szCs w:val="18"/>
          <w:color w:val="auto"/>
        </w:rPr>
      </w:pPr>
      <w:r>
        <w:rPr>
          <w:rFonts w:ascii="Arial" w:cs="Arial" w:eastAsia="Arial" w:hAnsi="Arial"/>
          <w:sz w:val="18"/>
          <w:szCs w:val="18"/>
          <w:color w:val="auto"/>
        </w:rPr>
        <w:t>each Foreign Lender that is entitled under the Code or any applicable treaty to an exemption from or reduction of U.S. federal withholding Tax with respect to any payments hereunder or under any other Loan Document shall deliver to the Borrower and the Administrative Agent (in such number of signed originals as shall be requested by the recipient) on or prior to the date on which such Foreign Lender becomes a Lender under this Agreement (and from time to time thereafter upon the request of the Borrower or the Administrative Agent), duly completed and executed copies of whichever of the following is applicable:</w:t>
      </w:r>
    </w:p>
    <w:p>
      <w:pPr>
        <w:spacing w:after="0" w:line="188" w:lineRule="exact"/>
        <w:rPr>
          <w:sz w:val="20"/>
          <w:szCs w:val="20"/>
          <w:color w:val="auto"/>
        </w:rPr>
      </w:pPr>
    </w:p>
    <w:p>
      <w:pPr>
        <w:ind w:left="660" w:firstLine="645"/>
        <w:spacing w:after="0" w:line="277" w:lineRule="auto"/>
        <w:tabs>
          <w:tab w:leader="none" w:pos="1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IRS Form W-8BEN or IRS Form W-8BEN-E, as applicable, (or any successor thereto) claiming eligibility for benefits of an income tax treaty to which the United States is a party,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jc w:val="both"/>
        <w:ind w:left="660" w:firstLine="645"/>
        <w:spacing w:after="0" w:line="264" w:lineRule="auto"/>
        <w:tabs>
          <w:tab w:leader="none" w:pos="16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IRS Form W-8ECI (or any successor thereto) claiming that specified payments (as applicable) under this Agreement or any other Loan Documents (as applicable) constitute income that is effectively connected with such Foreign Lender’s conduct of a trade or business in the United States,</w:t>
      </w:r>
    </w:p>
    <w:p>
      <w:pPr>
        <w:spacing w:after="0" w:line="181" w:lineRule="exact"/>
        <w:rPr>
          <w:rFonts w:ascii="Arial" w:cs="Arial" w:eastAsia="Arial" w:hAnsi="Arial"/>
          <w:sz w:val="18"/>
          <w:szCs w:val="18"/>
          <w:color w:val="auto"/>
        </w:rPr>
      </w:pPr>
    </w:p>
    <w:p>
      <w:pPr>
        <w:jc w:val="both"/>
        <w:ind w:left="660" w:firstLine="645"/>
        <w:spacing w:after="0" w:line="288" w:lineRule="auto"/>
        <w:tabs>
          <w:tab w:leader="none" w:pos="1672"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Sections 881(c) or 871(h) of the Code (the “</w:t>
      </w:r>
      <w:r>
        <w:rPr>
          <w:rFonts w:ascii="Arial" w:cs="Arial" w:eastAsia="Arial" w:hAnsi="Arial"/>
          <w:sz w:val="16"/>
          <w:szCs w:val="16"/>
          <w:u w:val="single" w:color="auto"/>
          <w:color w:val="auto"/>
        </w:rPr>
        <w:t>Portfolio Interest Exemption</w:t>
      </w:r>
      <w:r>
        <w:rPr>
          <w:rFonts w:ascii="Arial" w:cs="Arial" w:eastAsia="Arial" w:hAnsi="Arial"/>
          <w:sz w:val="16"/>
          <w:szCs w:val="16"/>
          <w:color w:val="auto"/>
        </w:rPr>
        <w:t>”), (x) a certificate (a “</w:t>
      </w:r>
      <w:r>
        <w:rPr>
          <w:rFonts w:ascii="Arial" w:cs="Arial" w:eastAsia="Arial" w:hAnsi="Arial"/>
          <w:sz w:val="16"/>
          <w:szCs w:val="16"/>
          <w:u w:val="single" w:color="auto"/>
          <w:color w:val="auto"/>
        </w:rPr>
        <w:t>Tax Status Certificate</w:t>
      </w:r>
      <w:r>
        <w:rPr>
          <w:rFonts w:ascii="Arial" w:cs="Arial" w:eastAsia="Arial" w:hAnsi="Arial"/>
          <w:sz w:val="16"/>
          <w:szCs w:val="16"/>
          <w:color w:val="auto"/>
        </w:rPr>
        <w:t>”) in form and substance reasonably satisfactory to the Administrative Agent and the Borrower to the effect that such Foreign Lender (I) is not a “bank” for purposes of Section 881(c)(3)(A) of the Code,</w:t>
      </w:r>
    </w:p>
    <w:p>
      <w:pPr>
        <w:jc w:val="both"/>
        <w:ind w:left="660" w:hanging="4"/>
        <w:spacing w:after="0" w:line="255" w:lineRule="auto"/>
        <w:tabs>
          <w:tab w:leader="none" w:pos="9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not a 10-percent shareholder of the Borrower for purpose of Section 881(c)(3)(B) of the Code and (III) is not a controlled foreign corporation related to the Borrower for the purposes of Section 881(c)(3)(C) of the Code and (y) IRS Form W-8BEN or IRS Form W-8BEN-E, as applicable, (or any successor thereto),</w:t>
      </w:r>
    </w:p>
    <w:p>
      <w:pPr>
        <w:spacing w:after="0" w:line="190" w:lineRule="exact"/>
        <w:rPr>
          <w:rFonts w:ascii="Arial" w:cs="Arial" w:eastAsia="Arial" w:hAnsi="Arial"/>
          <w:sz w:val="18"/>
          <w:szCs w:val="18"/>
          <w:color w:val="auto"/>
        </w:rPr>
      </w:pPr>
    </w:p>
    <w:p>
      <w:pPr>
        <w:jc w:val="both"/>
        <w:ind w:left="660" w:firstLine="645"/>
        <w:spacing w:after="0" w:line="273" w:lineRule="auto"/>
        <w:tabs>
          <w:tab w:leader="none" w:pos="1651" w:val="left"/>
        </w:tabs>
        <w:numPr>
          <w:ilvl w:val="1"/>
          <w:numId w:val="52"/>
        </w:numPr>
        <w:rPr>
          <w:rFonts w:ascii="Arial" w:cs="Arial" w:eastAsia="Arial" w:hAnsi="Arial"/>
          <w:sz w:val="17"/>
          <w:szCs w:val="17"/>
          <w:color w:val="auto"/>
        </w:rPr>
      </w:pPr>
      <w:r>
        <w:rPr>
          <w:rFonts w:ascii="Arial" w:cs="Arial" w:eastAsia="Arial" w:hAnsi="Arial"/>
          <w:sz w:val="17"/>
          <w:szCs w:val="17"/>
          <w:color w:val="auto"/>
        </w:rPr>
        <w:t>where such Lender is a partnership (for U.S. federal income tax purposes) or otherwise not a beneficial owner (e.g., where such Lender has sold a participation), IRS Form W-8IMY accompanied by IRS Form W-8ECI, IRS Form W-8BEN, IRS Form W-8BEN-E, IRS Form W-9 (or, in each case, any successor thereto) and all required supporting documentation from each beneficial owner, as applicable (including, where one or more of the underlying beneficial owner(s) is claiming the benefits of the Portfolio Interest Exemption, a Tax Status Certificate of such beneficial owner(s) provided that, if the Foreign Lender is a partnership and not a participating Lender, the Tax Status Certificate from the beneficial owner(s) may be provided by the Foreign Lender on behalf of the beneficial owner(s)), or</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71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81" w:lineRule="exact"/>
        <w:rPr>
          <w:sz w:val="20"/>
          <w:szCs w:val="20"/>
          <w:color w:val="auto"/>
        </w:rPr>
      </w:pPr>
    </w:p>
    <w:p>
      <w:pPr>
        <w:jc w:val="both"/>
        <w:ind w:firstLine="1305"/>
        <w:spacing w:after="0" w:line="271" w:lineRule="auto"/>
        <w:tabs>
          <w:tab w:leader="none" w:pos="1832"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Section 2.17(f), “FATCA” shall include any amendments made to FATCA after the date of this Agreement.</w:t>
      </w:r>
    </w:p>
    <w:p>
      <w:pPr>
        <w:spacing w:after="0" w:line="178" w:lineRule="exact"/>
        <w:rPr>
          <w:rFonts w:ascii="Arial" w:cs="Arial" w:eastAsia="Arial" w:hAnsi="Arial"/>
          <w:sz w:val="17"/>
          <w:szCs w:val="17"/>
          <w:color w:val="auto"/>
        </w:rPr>
      </w:pPr>
    </w:p>
    <w:p>
      <w:pPr>
        <w:jc w:val="both"/>
        <w:ind w:firstLine="1305"/>
        <w:spacing w:after="0" w:line="289" w:lineRule="auto"/>
        <w:tabs>
          <w:tab w:leader="none" w:pos="19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Lender shall severally indemnify the Administrative Agent, within 10 days after demand therefor, for (i) any Indemnified Taxes or Other Taxes attributable to such Lender (but only to the extent that the Borrower has not already indemnified the Administrative Agent for such Indemnified Taxes and Other Taxes and without limiting the obligation of the Borrower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2.17(g).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jc w:val="both"/>
        <w:ind w:firstLine="1305"/>
        <w:spacing w:after="0" w:line="270" w:lineRule="auto"/>
        <w:tabs>
          <w:tab w:leader="none" w:pos="1828"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the Administrative Agent or a Lender determines, in its sole discretion, exercised in good faith, that it has received a refund of any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Taxes or Other Taxes giving rise to such refund), net of all out-of-pocket expenses of the Administrative Agent or such Lender and without interest (other than any interest paid by the relevant Governmental Authority with respect to such refund); provided, that the Borrower, upon the request of the Administrative Agent or such Lender, agrees to repay the amount paid over to the Borrower (plus any penalties, interest or other charges imposed by the relevant Governmental Authority) pursuant to this Section 2.17(h)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Borrower or any other Person.</w:t>
      </w:r>
    </w:p>
    <w:p>
      <w:pPr>
        <w:spacing w:after="0" w:line="17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Payments Generally; Allocation of Proceeds; Sharing of Set-offs</w:t>
      </w:r>
      <w:r>
        <w:rPr>
          <w:rFonts w:ascii="Arial" w:cs="Arial" w:eastAsia="Arial" w:hAnsi="Arial"/>
          <w:sz w:val="16"/>
          <w:szCs w:val="16"/>
          <w:color w:val="auto"/>
        </w:rPr>
        <w:t>. (a) The Borrower shall make each payment required to be made by it hereunder (whether of principal, interest, fees or reimbursement of LC Disbursements, or of amounts payable under Section 2.15, 2.16 or 2.17, or otherwise) prior to (i) in the case of payments denominated in Dollars, 11:00 a.m., Chicago time and (ii) in the case of payments denominated in a Foreign Currency, 12:00 noon, Local Time, in the city of the Administrative Agent’s Eurocurrency Payment Office for such currency, in each case,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and (ii) to the Administrative Agent at its offices at 10 South Dearborn</w:t>
      </w:r>
    </w:p>
    <w:p>
      <w:pPr>
        <w:spacing w:after="0" w:line="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Street,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Chicago, Illinois 60603 or, in the case of a Credit Event denominated in a Foreign Currency, the Administrative Agent’s Eurocurrency Payment Office for such currency, except payments to be made directly to an Issuing Bank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no longer exists or the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 take all risks of the imposition of any such currency control or exchange regulations.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jc w:val="both"/>
        <w:ind w:firstLine="1305"/>
        <w:spacing w:after="0" w:line="285" w:lineRule="auto"/>
        <w:tabs>
          <w:tab w:leader="none" w:pos="1898"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Any proceeds of Collateral received by the Administrative Agent (i) constituting a specific payment of principal, interest, fees or other sum payable under the Loan Documents shall be applied as specified by the Borrower, so long as no Event of Default has occurred and is continuing and (ii) after an Event of Default has occurred and is continuing and the Administrative Agent so elects or the Required Lenders so direct (provided that no such election or direction shall be required if the Commitments have terminated and the Loans have become due and payable), such funds shall be applied ratably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 any fees, indemnities, or expense reimbursements including amounts then due to the Administrative Agent and any Issuing Bank from the Borrower,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 any fees or expense reimbursements then due to the Lenders from the Borrower,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 interest then due and payable on the Loans ratably,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prepay principal on the Loans and unreimbursed LC Disbursements and any other amounts owing with respect to Banking Services Obligations and Swap Obligations ratably,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pay an amount to the Administrative Agent equal to one hundred five percent (105%) of the aggregate undrawn face amount of all outstanding Letters of Credit and the aggregate amount of any unpaid LC Disbursements, to be held as cash collateral for such Obligations and </w:t>
      </w:r>
      <w:r>
        <w:rPr>
          <w:rFonts w:ascii="Arial" w:cs="Arial" w:eastAsia="Arial" w:hAnsi="Arial"/>
          <w:sz w:val="16"/>
          <w:szCs w:val="16"/>
          <w:u w:val="single" w:color="auto"/>
          <w:color w:val="auto"/>
        </w:rPr>
        <w:t>sixth</w:t>
      </w:r>
      <w:r>
        <w:rPr>
          <w:rFonts w:ascii="Arial" w:cs="Arial" w:eastAsia="Arial" w:hAnsi="Arial"/>
          <w:sz w:val="16"/>
          <w:szCs w:val="16"/>
          <w:color w:val="auto"/>
        </w:rPr>
        <w:t>,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Eurocurrency Loan, except (a) on the expiration date of the Interest Period applicable to any such Eurocurrency Loan or (b) in the event, and only to the extent, that there are no outstanding ABR Loans and, in any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77" w:lineRule="exact"/>
        <w:rPr>
          <w:rFonts w:ascii="Arial" w:cs="Arial" w:eastAsia="Arial" w:hAnsi="Arial"/>
          <w:sz w:val="16"/>
          <w:szCs w:val="16"/>
          <w:color w:val="auto"/>
        </w:rPr>
      </w:pPr>
    </w:p>
    <w:p>
      <w:pPr>
        <w:jc w:val="both"/>
        <w:ind w:firstLine="1305"/>
        <w:spacing w:after="0" w:line="270" w:lineRule="auto"/>
        <w:tabs>
          <w:tab w:leader="none" w:pos="1896" w:val="left"/>
        </w:tabs>
        <w:numPr>
          <w:ilvl w:val="0"/>
          <w:numId w:val="55"/>
        </w:numPr>
        <w:rPr>
          <w:rFonts w:ascii="Arial" w:cs="Arial" w:eastAsia="Arial" w:hAnsi="Arial"/>
          <w:sz w:val="17"/>
          <w:szCs w:val="17"/>
          <w:color w:val="auto"/>
        </w:rPr>
      </w:pPr>
      <w:r>
        <w:rPr>
          <w:rFonts w:ascii="Arial" w:cs="Arial" w:eastAsia="Arial" w:hAnsi="Arial"/>
          <w:sz w:val="17"/>
          <w:szCs w:val="17"/>
          <w:color w:val="auto"/>
        </w:rPr>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and that all such Borrowings shall be deemed to have been requested pursuant to Sections 2.03, 2.04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81" w:lineRule="exact"/>
        <w:rPr>
          <w:rFonts w:ascii="Arial" w:cs="Arial" w:eastAsia="Arial" w:hAnsi="Arial"/>
          <w:sz w:val="17"/>
          <w:szCs w:val="17"/>
          <w:color w:val="auto"/>
        </w:rPr>
      </w:pPr>
    </w:p>
    <w:p>
      <w:pPr>
        <w:jc w:val="both"/>
        <w:ind w:firstLine="1305"/>
        <w:spacing w:after="0" w:line="286" w:lineRule="auto"/>
        <w:tabs>
          <w:tab w:leader="none" w:pos="18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 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jc w:val="both"/>
        <w:ind w:firstLine="1305"/>
        <w:spacing w:after="0" w:line="253" w:lineRule="auto"/>
        <w:tabs>
          <w:tab w:leader="none" w:pos="18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w:t>
      </w:r>
    </w:p>
    <w:p>
      <w:pPr>
        <w:spacing w:after="0" w:line="197" w:lineRule="exact"/>
        <w:rPr>
          <w:rFonts w:ascii="Arial" w:cs="Arial" w:eastAsia="Arial" w:hAnsi="Arial"/>
          <w:sz w:val="18"/>
          <w:szCs w:val="18"/>
          <w:color w:val="auto"/>
        </w:rPr>
      </w:pPr>
    </w:p>
    <w:p>
      <w:pPr>
        <w:jc w:val="both"/>
        <w:ind w:firstLine="1305"/>
        <w:spacing w:after="0" w:line="255" w:lineRule="auto"/>
        <w:tabs>
          <w:tab w:leader="none" w:pos="18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2.05, 2.06(d) or (e), 2.07(b), 2.18(e) or 9.03(c), then the Administrative Agent may, in its discretion (notwithstanding any contrary provision hereof), (i) apply any amounts thereafter received by the Administrative Agent for the account of such Lender and for the benefit of the Administrative Agent or an Issuing Bank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93"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 (a) If any Lender requests compensation under Section 2.15, or the Borrower is required to pay any additional amount to any Lender or any Governmental Authority for the account of any Lender pursuant to Section 2.17,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spacing w:after="0" w:line="2" w:lineRule="exact"/>
        <w:rPr>
          <w:sz w:val="20"/>
          <w:szCs w:val="20"/>
          <w:color w:val="auto"/>
        </w:rPr>
      </w:pPr>
    </w:p>
    <w:p>
      <w:pPr>
        <w:jc w:val="both"/>
        <w:ind w:firstLine="8"/>
        <w:spacing w:after="0" w:line="255" w:lineRule="auto"/>
        <w:tabs>
          <w:tab w:leader="none" w:pos="2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0" w:lineRule="exact"/>
        <w:rPr>
          <w:rFonts w:ascii="Arial" w:cs="Arial" w:eastAsia="Arial" w:hAnsi="Arial"/>
          <w:sz w:val="18"/>
          <w:szCs w:val="18"/>
          <w:color w:val="auto"/>
        </w:rPr>
      </w:pPr>
    </w:p>
    <w:p>
      <w:pPr>
        <w:jc w:val="both"/>
        <w:ind w:firstLine="1305"/>
        <w:spacing w:after="0" w:line="285" w:lineRule="auto"/>
        <w:tabs>
          <w:tab w:leader="none" w:pos="1821"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Section 2.15, (ii) the Borrower is required to pay any additional amount to any Lender or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the Issuing Banks),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or in connection with the replacement of a Non-Consenting Lender under Section 9.02(e)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documents shall be without recourse to or warranty by the parties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ind w:firstLine="1297"/>
        <w:spacing w:after="0" w:line="277"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820" w:hanging="515"/>
        <w:spacing w:after="0"/>
        <w:tabs>
          <w:tab w:leader="none" w:pos="18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fees shall cease to accrue on the unfunded portion of the Commitment of such Defaulting Lender pursuant to Section 2.12(a);</w:t>
      </w:r>
    </w:p>
    <w:p>
      <w:pPr>
        <w:spacing w:after="0" w:line="236" w:lineRule="exact"/>
        <w:rPr>
          <w:rFonts w:ascii="Arial" w:cs="Arial" w:eastAsia="Arial" w:hAnsi="Arial"/>
          <w:sz w:val="17"/>
          <w:szCs w:val="17"/>
          <w:color w:val="auto"/>
        </w:rPr>
      </w:pPr>
    </w:p>
    <w:p>
      <w:pPr>
        <w:jc w:val="both"/>
        <w:ind w:firstLine="1305"/>
        <w:spacing w:after="0" w:line="284" w:lineRule="auto"/>
        <w:tabs>
          <w:tab w:leader="none" w:pos="1889"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any Issuing Bank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LC Exposure with respect to such Defaulting Lender in accordance with this Section;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Issuing Banks as a result of any judgment of a court of competent jurisdiction obtained by any Lender, the Issuing Banks against such Defaulting Lender as a result of such Defaulting Lender’s breach of its obligations under this Agreement or under any other Loan Document;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jc w:val="both"/>
        <w:ind w:firstLine="1305"/>
        <w:spacing w:after="0" w:line="259" w:lineRule="auto"/>
        <w:tabs>
          <w:tab w:leader="none" w:pos="19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Commitment and Revolving Exposure of such Defaulting Lender shall not be included in determining whether the Required Lenders have taken or may take any action hereunder (including any consent to any amendment, waiver or other modification pursuant to Section 9.02);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(c) shall not apply to the vote of a Defaulting Lender in the case of an amendment, waiver or other modification requiring the consent of such Lender or each Lender affected thereby;</w:t>
      </w:r>
    </w:p>
    <w:p>
      <w:pPr>
        <w:spacing w:after="0" w:line="186" w:lineRule="exact"/>
        <w:rPr>
          <w:rFonts w:ascii="Arial" w:cs="Arial" w:eastAsia="Arial" w:hAnsi="Arial"/>
          <w:sz w:val="18"/>
          <w:szCs w:val="18"/>
          <w:color w:val="auto"/>
        </w:rPr>
      </w:pPr>
    </w:p>
    <w:p>
      <w:pPr>
        <w:ind w:left="1820" w:hanging="515"/>
        <w:spacing w:after="0"/>
        <w:tabs>
          <w:tab w:leader="none" w:pos="1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LC Exposure exists at the time such Lender becomes a Defaulting Lender then:</w:t>
      </w:r>
    </w:p>
    <w:p>
      <w:pPr>
        <w:spacing w:after="0" w:line="225" w:lineRule="exact"/>
        <w:rPr>
          <w:sz w:val="20"/>
          <w:szCs w:val="20"/>
          <w:color w:val="auto"/>
        </w:rPr>
      </w:pPr>
    </w:p>
    <w:p>
      <w:pPr>
        <w:jc w:val="both"/>
        <w:ind w:left="1960" w:hanging="655"/>
        <w:spacing w:after="0" w:line="264" w:lineRule="auto"/>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or any part of the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Exposure to exceed its Commitment;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Borrower shall within two</w:t>
      </w:r>
    </w:p>
    <w:p>
      <w:pPr>
        <w:spacing w:after="0" w:line="23" w:lineRule="exact"/>
        <w:rPr>
          <w:rFonts w:ascii="Arial" w:cs="Arial" w:eastAsia="Arial" w:hAnsi="Arial"/>
          <w:sz w:val="18"/>
          <w:szCs w:val="18"/>
          <w:color w:val="auto"/>
        </w:rPr>
      </w:pPr>
    </w:p>
    <w:p>
      <w:pPr>
        <w:jc w:val="both"/>
        <w:ind w:left="1960"/>
        <w:spacing w:after="0" w:line="254" w:lineRule="auto"/>
        <w:rPr>
          <w:rFonts w:ascii="Arial" w:cs="Arial" w:eastAsia="Arial" w:hAnsi="Arial"/>
          <w:sz w:val="18"/>
          <w:szCs w:val="18"/>
          <w:color w:val="auto"/>
        </w:rPr>
      </w:pPr>
      <w:r>
        <w:rPr>
          <w:rFonts w:ascii="Arial" w:cs="Arial" w:eastAsia="Arial" w:hAnsi="Arial"/>
          <w:sz w:val="18"/>
          <w:szCs w:val="18"/>
          <w:color w:val="auto"/>
        </w:rPr>
        <w:t>(2) Business Days following notice by the Administrative Agent, cash collateralize for the benefit of the applicable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9"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65"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81" w:lineRule="exact"/>
        <w:rPr>
          <w:rFonts w:ascii="Arial" w:cs="Arial" w:eastAsia="Arial" w:hAnsi="Arial"/>
          <w:sz w:val="18"/>
          <w:szCs w:val="18"/>
          <w:color w:val="auto"/>
        </w:rPr>
      </w:pPr>
    </w:p>
    <w:p>
      <w:pPr>
        <w:jc w:val="both"/>
        <w:ind w:left="1960" w:hanging="655"/>
        <w:spacing w:after="0" w:line="279" w:lineRule="auto"/>
        <w:tabs>
          <w:tab w:leader="none" w:pos="1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Section 2.12(b) with respect to such Defaulting Lender’s LC Exposure shall be payable ratably to the applicable Issuing Banks until and to the extent that such LC Exposure is reallocated and/or cash collateralized;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jc w:val="both"/>
        <w:ind w:firstLine="1305"/>
        <w:spacing w:after="0" w:line="257" w:lineRule="auto"/>
        <w:tabs>
          <w:tab w:leader="none" w:pos="18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so long as such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2.20(d), and participating interests in any newly issued or increased Letter of Credit shall be allocated among non-Defaulting Lenders in a manner consistent with Section 2.20(d)(i) (and such Defaulting Lender shall not participate therein).</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(i) a Bankruptcy Event or a Bail-In Action with respect to a Parent of any Lender shall occur following the date hereof and for so long as such event shall continue or (ii) the Issuing Banks have a good faith belief that any Lender has defaulted in fulfilling its obligations under one or more other agreements in which such Lender commits to extend credit, the Issuing Banks shall not be required to issue, amend or increase any Letter of Credit, unless the Issuing Banks shall have entered into arrangements with the Borrower or such Lender, satisfactory to the Issuing Banks to defease any risk to it in respect of such Lender hereunder.</w:t>
      </w:r>
    </w:p>
    <w:p>
      <w:pPr>
        <w:spacing w:after="0" w:line="18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In the event that the Administrative Agent, the Borrower and the Issuing Banks each agrees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7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from the Borrower hereunder in the currency expressed to be 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Loan Party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each Loan Party’s corporate powers and have been duly authorized by all necessary corporate and, if required, stockholder action.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the Borrower or any of its Subsidiaries, (c) will not violate or result in a default under any indenture, agreement or other instrument binding upon the Borrower or any of its Subsidiaries or its assets, or give rise to a right thereunder to require any payment to be made by the Borrower or any of its Subsidiaries, and (d) will not result in the creation or imposition of any Lien on any asset of the Borrower or any of its Subsidiaries, except Liens created pursuant to the Loan Documents.</w:t>
      </w:r>
    </w:p>
    <w:p>
      <w:pPr>
        <w:spacing w:after="0" w:line="16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 (a) The Borrower has heretofore furnished to the Lenders its consolidated balance sheet and statements of income, stockholders equity and cash flows (i) as of and for the fiscal years ended December 31, 2017 and December 31, 2018 reported on by Ernst &amp; Young LLP, independent public accountants, and (ii) as of and for the fiscal quarter and the portion of the fiscal year ended June 30, 2019, certified as to the matters set forth in the immediately following sentence by a Financial Officer on behalf of the Borrower. Such financial statements present fairly, in all material respects, the financial position and results of operations and cash flows of the Borrower and its consolidated Subsidiaries as of such dates and for such periods in accordance with GAAP, subject to year end audit adjustments and the absence of footnotes in the case of the statements referred to in clause (ii) above.</w:t>
      </w:r>
    </w:p>
    <w:p>
      <w:pPr>
        <w:spacing w:after="0" w:line="189" w:lineRule="exact"/>
        <w:rPr>
          <w:sz w:val="20"/>
          <w:szCs w:val="20"/>
          <w:color w:val="auto"/>
        </w:rPr>
      </w:pPr>
    </w:p>
    <w:p>
      <w:pPr>
        <w:ind w:firstLine="1305"/>
        <w:spacing w:after="0" w:line="277" w:lineRule="auto"/>
        <w:tabs>
          <w:tab w:leader="none" w:pos="18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Since December 31, 2018, there has been no material adverse change in the business, assets, property or financial condition of the Borrower and its Subsidiaries, taken as a whole.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(a) Each of the Loan Parties has good title to, or valid leasehold interests in, all its real and personal property (except for defects in title that do not materially interfere with its ability to conduct its business or to utilize such properties for their intended purposes) free of all Liens other than those permitted by Section 6.02.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ind w:firstLine="1305"/>
        <w:spacing w:after="0" w:line="264" w:lineRule="auto"/>
        <w:tabs>
          <w:tab w:leader="none" w:pos="20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Loan Parties own, or are licensed to use, all trademarks, tradenames, copyrights, patents and other intellectual property necessary to their business as currently conducted, and the use thereof by the Loan Parties does not infringe in any material respect upon the rights of any other Person.</w:t>
      </w:r>
    </w:p>
    <w:p>
      <w:pPr>
        <w:spacing w:after="0" w:line="181" w:lineRule="exact"/>
        <w:rPr>
          <w:sz w:val="20"/>
          <w:szCs w:val="20"/>
          <w:color w:val="auto"/>
        </w:rPr>
      </w:pPr>
    </w:p>
    <w:p>
      <w:pPr>
        <w:jc w:val="both"/>
        <w:ind w:right="20" w:firstLine="1297"/>
        <w:spacing w:after="0" w:line="27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Litigation and Environmental Matters</w:t>
      </w:r>
      <w:r>
        <w:rPr>
          <w:rFonts w:ascii="Arial" w:cs="Arial" w:eastAsia="Arial" w:hAnsi="Arial"/>
          <w:sz w:val="17"/>
          <w:szCs w:val="17"/>
          <w:color w:val="auto"/>
        </w:rPr>
        <w:t>. (a) There are no actions, suits or proceedings by or before any arbitrator or Governmental Authority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spacing w:after="0" w:line="171" w:lineRule="exact"/>
        <w:rPr>
          <w:sz w:val="20"/>
          <w:szCs w:val="20"/>
          <w:color w:val="auto"/>
        </w:rPr>
      </w:pPr>
    </w:p>
    <w:p>
      <w:pPr>
        <w:jc w:val="both"/>
        <w:ind w:firstLine="1305"/>
        <w:spacing w:after="0" w:line="259" w:lineRule="auto"/>
        <w:tabs>
          <w:tab w:leader="none" w:pos="1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for the Disclosed Matters and except with respect to any other matters that, individually or in the aggregate, could not reasonably be expected to result in a Material Adverse Effect, none of the Borrower or any of its Subsidiaries (i) has received notice of any claim with respect to any Environmental Liability, (ii) has failed to comply with any Environmental Law or to obtain, maintain or comply with any permit, license or other approval required under any Environmental Law, or (iii) has become subject to any Environmental Liability.</w:t>
      </w:r>
    </w:p>
    <w:p>
      <w:pPr>
        <w:spacing w:after="0" w:line="186" w:lineRule="exact"/>
        <w:rPr>
          <w:rFonts w:ascii="Arial" w:cs="Arial" w:eastAsia="Arial" w:hAnsi="Arial"/>
          <w:sz w:val="18"/>
          <w:szCs w:val="18"/>
          <w:color w:val="auto"/>
        </w:rPr>
      </w:pPr>
    </w:p>
    <w:p>
      <w:pPr>
        <w:ind w:right="20" w:firstLine="1305"/>
        <w:spacing w:after="0" w:line="277" w:lineRule="auto"/>
        <w:tabs>
          <w:tab w:leader="none" w:pos="19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Borrower nor any of its Subsidiaries is an “investment company” as defined in, or subject to regulation under, the Investment Company Act of 1940.</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 (b) to the extent that the failure to do so could not be expected to result in a Material Adverse Effect.</w:t>
      </w:r>
    </w:p>
    <w:p>
      <w:pPr>
        <w:spacing w:after="0" w:line="18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4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(a)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the Borrower to the Administrative Agent or any Lender in connection with the negotiation of this Agreement or any other Loan Document (as modified or supplemented by other information so furnished) or delivered hereunder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Borrower represents only that such information was prepared in good faith based upon assumptions believed to be reasonable at the time delivered.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4" w:name="page105"/>
    <w:bookmarkEnd w:id="104"/>
    <w:p>
      <w:pPr>
        <w:ind w:firstLine="1305"/>
        <w:spacing w:after="0" w:line="277" w:lineRule="auto"/>
        <w:tabs>
          <w:tab w:leader="none" w:pos="184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Solvency</w:t>
      </w:r>
      <w:r>
        <w:rPr>
          <w:rFonts w:ascii="Arial" w:cs="Arial" w:eastAsia="Arial" w:hAnsi="Arial"/>
          <w:sz w:val="16"/>
          <w:szCs w:val="16"/>
          <w:color w:val="auto"/>
        </w:rPr>
        <w:t>. (a) Immediately after the consummation of the Transactions to occur on the Effective Date, (i) the fair value of the assets of the Borrower, at a fair valuation, will exceed its debts and liabilities, subordinated, contingent or otherwise; (ii) the present fair saleable value of the property of the Borrower will be greater than the amount that will be required to pay the probable liability of its debts and other liabilities, subordinated, contingent or otherwise, as such debts and other liabilities become absolute and matured; (iii) the Borrower will be able to pay its debts and liabilities, subordinated, contingent or otherwise, as such debts and liabilities become absolute and matured; and (iv) the Borrower will not have unreasonably small capital with which to conduct the business in which it is engaged as such business is now conducted and is proposed to be conducted after the Effective Date.</w:t>
      </w:r>
    </w:p>
    <w:p>
      <w:pPr>
        <w:spacing w:after="0" w:line="165" w:lineRule="exact"/>
        <w:rPr>
          <w:sz w:val="20"/>
          <w:szCs w:val="20"/>
          <w:color w:val="auto"/>
        </w:rPr>
      </w:pPr>
    </w:p>
    <w:p>
      <w:pPr>
        <w:jc w:val="both"/>
        <w:ind w:firstLine="1305"/>
        <w:spacing w:after="0" w:line="312" w:lineRule="auto"/>
        <w:tabs>
          <w:tab w:leader="none" w:pos="18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Borrower does not intend to, nor will it permit any of its Subsidiaries to, and the Borrower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Insurance</w:t>
      </w:r>
      <w:r>
        <w:rPr>
          <w:rFonts w:ascii="Arial" w:cs="Arial" w:eastAsia="Arial" w:hAnsi="Arial"/>
          <w:sz w:val="18"/>
          <w:szCs w:val="18"/>
          <w:color w:val="auto"/>
        </w:rPr>
        <w:t>. The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Capitalization and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3.14</w:t>
      </w:r>
      <w:r>
        <w:rPr>
          <w:rFonts w:ascii="Arial" w:cs="Arial" w:eastAsia="Arial" w:hAnsi="Arial"/>
          <w:sz w:val="18"/>
          <w:szCs w:val="18"/>
          <w:color w:val="auto"/>
        </w:rPr>
        <w:t xml:space="preserve"> sets forth (a) a correct and complete list of the name and relationship to the Borrower of each and all of the Borrower’s Subsidiaries, (b) a true and complete listing of each class of each of the Borrower’s authorized Equity Interests, of which all of such issued shares are validly issued, outstanding, fully paid and non-assessable, and owned beneficially and of record by the Persons identified on </w:t>
      </w:r>
      <w:r>
        <w:rPr>
          <w:rFonts w:ascii="Arial" w:cs="Arial" w:eastAsia="Arial" w:hAnsi="Arial"/>
          <w:sz w:val="18"/>
          <w:szCs w:val="18"/>
          <w:u w:val="single" w:color="auto"/>
          <w:color w:val="auto"/>
        </w:rPr>
        <w:t>Schedule 3.14</w:t>
      </w:r>
      <w:r>
        <w:rPr>
          <w:rFonts w:ascii="Arial" w:cs="Arial" w:eastAsia="Arial" w:hAnsi="Arial"/>
          <w:sz w:val="18"/>
          <w:szCs w:val="18"/>
          <w:color w:val="auto"/>
        </w:rPr>
        <w:t>, and (c) the type of entity of the Borrower and each of its Subsidiaries. All of the issued and outstanding Equity Interests owned by any Loan Party has been (to the extent such concepts are relevant with respect to such ownership interests) duly authorized and issued and is fully paid and non-assessable.</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xml:space="preserve">. The provisions of this Agreement and the other Loan Documents create legal and valid Liens on all the Collateral in favor of the Administrative Agent, for the benefit of the Holders of Secured Obligations, and, in the case Liens which can be perfected by the filing of UCC financing statements, upon the filing of the financing statements identified in </w:t>
      </w:r>
      <w:r>
        <w:rPr>
          <w:rFonts w:ascii="Arial" w:cs="Arial" w:eastAsia="Arial" w:hAnsi="Arial"/>
          <w:sz w:val="18"/>
          <w:szCs w:val="18"/>
          <w:u w:val="single" w:color="auto"/>
          <w:color w:val="auto"/>
        </w:rPr>
        <w:t>Schedule 3.15</w:t>
      </w:r>
      <w:r>
        <w:rPr>
          <w:rFonts w:ascii="Arial" w:cs="Arial" w:eastAsia="Arial" w:hAnsi="Arial"/>
          <w:sz w:val="18"/>
          <w:szCs w:val="18"/>
          <w:color w:val="auto"/>
        </w:rPr>
        <w:t>, such Liens constitute perfected and continuing Liens on the Collateral, securing the Secured Obligations, enforceable against the applicable Loan Party and all third parties, and having priority over all other Liens on the Collateral except in the case of (a) any Liens permitted under Section 6.02 and (b) Liens perfected only by possession or control to the extent the Administrative Agent has not obtained or does not maintain possession or control of such Collateral in accordance with applicable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jc w:val="both"/>
        <w:ind w:firstLine="1297"/>
        <w:spacing w:after="0" w:line="259"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Labor Disputes</w:t>
      </w:r>
      <w:r>
        <w:rPr>
          <w:rFonts w:ascii="Arial" w:cs="Arial" w:eastAsia="Arial" w:hAnsi="Arial"/>
          <w:sz w:val="18"/>
          <w:szCs w:val="18"/>
          <w:color w:val="auto"/>
        </w:rPr>
        <w:t>. As of the Effective Date, there are no strikes, lockouts or slowdowns against the Borrower or any Subsidiary pending or, to the knowledge of the Borrower, threatened. There are no labor controversies pending against or, to the knowledge of the Borrower, threatened against or affecting the Borrower or any of its Subsidiaries (i) which could reasonably be expected, individually or in the aggregate, to result in a Material Adverse Effect, or (ii) that involve this Agreement or the Transactions.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No Default</w:t>
      </w:r>
      <w:r>
        <w:rPr>
          <w:rFonts w:ascii="Arial" w:cs="Arial" w:eastAsia="Arial" w:hAnsi="Arial"/>
          <w:sz w:val="18"/>
          <w:szCs w:val="18"/>
          <w:color w:val="auto"/>
        </w:rPr>
        <w:t>. No Default has occurred and is continuing.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64" w:lineRule="auto"/>
        <w:tabs>
          <w:tab w:leader="none" w:pos="18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Borrower, its Subsidiaries, and their respective directors, officers and employees are in compliance with all applicable Sanctions in all material respects. The Borrower and its Subsidiaries have instituted and maintain policies and procedures designed to ensure compliance with applicable Sanctions.</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8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None of the Borrower, any Subsidiary, or, to the knowledge of Borrower, any of their respective directors, officers, or employees, is an individual or entity that is, or is owned or controlled by persons that are: (i) the subject of any sanctions administered or enforced by OFAC, the U.S. Department of State, the United Nations Security Council, the European Union, any European Union member state, Her Majesty’s Treasury of the United Kingdom, or other relevant sanctions authority (collectively, “Sanctions”) or (ii) located, organized, or resident in a country or territory that is subject of Sanctions, including Crimea, Cuba, Iran, North Korea, and Syria.</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No Loan Party is an EEA Financial Institution.</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Plan Assets; Prohibited Transactions</w:t>
      </w:r>
      <w:r>
        <w:rPr>
          <w:rFonts w:ascii="Arial" w:cs="Arial" w:eastAsia="Arial" w:hAnsi="Arial"/>
          <w:sz w:val="16"/>
          <w:szCs w:val="16"/>
          <w:color w:val="auto"/>
        </w:rPr>
        <w:t>. None of the Borrower or any of its Subsidiaries is an entity deemed to hold “plan assets” (within the meaning of the Plan Asset Regulations), and, assuming that no portion of any Loan is funded or held with “plan assets” (within the meaning of the Plan Asset Regulations) neither the execution, delivery nor performance of the Transactions, including the making of any Loan and the issuance of any Letter of Credit hereunder, will give rise to a non-exempt prohibited transaction under (i) Section 406(a) of ERISA or Section 4975(c)(1)(A)-</w:t>
      </w:r>
    </w:p>
    <w:p>
      <w:pPr>
        <w:spacing w:after="0" w:line="2" w:lineRule="exact"/>
        <w:rPr>
          <w:sz w:val="20"/>
          <w:szCs w:val="20"/>
          <w:color w:val="auto"/>
        </w:rPr>
      </w:pPr>
    </w:p>
    <w:p>
      <w:pPr>
        <w:ind w:left="1300" w:right="2340" w:hanging="1292"/>
        <w:spacing w:after="0" w:line="492" w:lineRule="auto"/>
        <w:tabs>
          <w:tab w:leader="none" w:pos="2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of the Code, or (ii) to the knowledge of the Borrower, Section 4.06(b) of ERISA or Section 4975(c)(E) or (F) of the Code. SECTION 3.21. </w:t>
      </w:r>
      <w:r>
        <w:rPr>
          <w:rFonts w:ascii="Arial" w:cs="Arial" w:eastAsia="Arial" w:hAnsi="Arial"/>
          <w:sz w:val="18"/>
          <w:szCs w:val="18"/>
          <w:u w:val="single" w:color="auto"/>
          <w:color w:val="auto"/>
        </w:rPr>
        <w:t>Covered Entity</w:t>
      </w:r>
      <w:r>
        <w:rPr>
          <w:rFonts w:ascii="Arial" w:cs="Arial" w:eastAsia="Arial" w:hAnsi="Arial"/>
          <w:sz w:val="18"/>
          <w:szCs w:val="18"/>
          <w:color w:val="auto"/>
        </w:rPr>
        <w:t>. No Loan Party is a Covered Entity.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Effective Date</w:t>
      </w:r>
      <w:r>
        <w:rPr>
          <w:rFonts w:ascii="Arial" w:cs="Arial" w:eastAsia="Arial" w:hAnsi="Arial"/>
          <w:sz w:val="17"/>
          <w:szCs w:val="17"/>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47" w:lineRule="exact"/>
        <w:rPr>
          <w:sz w:val="20"/>
          <w:szCs w:val="20"/>
          <w:color w:val="auto"/>
        </w:rPr>
      </w:pPr>
    </w:p>
    <w:p>
      <w:pPr>
        <w:jc w:val="both"/>
        <w:ind w:firstLine="1305"/>
        <w:spacing w:after="0" w:line="272" w:lineRule="auto"/>
        <w:tabs>
          <w:tab w:leader="none" w:pos="1892"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Credit Agreement and Loan Documents</w:t>
      </w:r>
      <w:r>
        <w:rPr>
          <w:rFonts w:ascii="Arial" w:cs="Arial" w:eastAsia="Arial" w:hAnsi="Arial"/>
          <w:sz w:val="17"/>
          <w:szCs w:val="17"/>
          <w:color w:val="auto"/>
        </w:rPr>
        <w:t xml:space="preserve">. The Administrative Agent (or its counsel) shall have received (i) from each party hereto either (A) a counterpart of this Agreement signed on behalf of such party or (B) written evidence satisfactory to the Administrative Agent (which may include telecopy transmission of a signed signature page of this Agreement) that such party has signed a counterpart of this Agreement and (ii) duly executed copies of the Loan Documents and such other legal opinions,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all in form and substance satisfactory to the Administrative Agent and its counsel and as further described in the list of closing documents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ind w:firstLine="1305"/>
        <w:spacing w:after="0" w:line="297" w:lineRule="auto"/>
        <w:tabs>
          <w:tab w:leader="none" w:pos="1848"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Financial Statements and Projections</w:t>
      </w:r>
      <w:r>
        <w:rPr>
          <w:rFonts w:ascii="Arial" w:cs="Arial" w:eastAsia="Arial" w:hAnsi="Arial"/>
          <w:sz w:val="16"/>
          <w:szCs w:val="16"/>
          <w:color w:val="auto"/>
        </w:rPr>
        <w:t>. The Lenders shall have received (i) audited consolidated financial statements of the Borrower for the 2017 and 2018 fiscal years, (ii) unaudited interim consolidated financial statements of the Borrower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Borrower, as reflected in the financial statements or projections contained in the Information Memorandum and (iii) satisfactory projections through 2023.</w:t>
      </w:r>
    </w:p>
    <w:p>
      <w:pPr>
        <w:spacing w:after="0" w:line="158" w:lineRule="exact"/>
        <w:rPr>
          <w:rFonts w:ascii="Arial" w:cs="Arial" w:eastAsia="Arial" w:hAnsi="Arial"/>
          <w:sz w:val="16"/>
          <w:szCs w:val="16"/>
          <w:color w:val="auto"/>
        </w:rPr>
      </w:pPr>
    </w:p>
    <w:p>
      <w:pPr>
        <w:jc w:val="both"/>
        <w:ind w:firstLine="1305"/>
        <w:spacing w:after="0" w:line="312" w:lineRule="auto"/>
        <w:tabs>
          <w:tab w:leader="none" w:pos="1973"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 Default Certificate</w:t>
      </w:r>
      <w:r>
        <w:rPr>
          <w:rFonts w:ascii="Arial" w:cs="Arial" w:eastAsia="Arial" w:hAnsi="Arial"/>
          <w:sz w:val="16"/>
          <w:szCs w:val="16"/>
          <w:color w:val="auto"/>
        </w:rPr>
        <w:t>. The Administrative Agent shall have received a certificate, signed by the chief financial officer of the Borrower, on the initial Borrowing date (i) stating that no Default has occurred and is continuing, (ii) stating that the representations and warranties contained in Article III are true and correct as of such date, and (iii) certifying any other factual matters as may be reasonably requested by the Administrative Agent.</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182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and the Administrative Agent shall have received all fees required to be paid, and all expenses for which invoices have been presented (including the reasonable fees and expenses of legal counsel to the Administrative Agent), on or before the Effective Date. All such amounts will be paid with proceeds of Loans made on the Effective Date and will be reflected in the funding instructions given by the Borrower to the Administrative Agent on or before the Effective Date.</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87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xml:space="preserve">. The Administrative Agent shall have received the results of a recent lien search of the Uniform Commercial Code records of each jurisdiction and office identified on </w:t>
      </w:r>
      <w:r>
        <w:rPr>
          <w:rFonts w:ascii="Arial" w:cs="Arial" w:eastAsia="Arial" w:hAnsi="Arial"/>
          <w:sz w:val="18"/>
          <w:szCs w:val="18"/>
          <w:u w:val="single" w:color="auto"/>
          <w:color w:val="auto"/>
        </w:rPr>
        <w:t>Schedule 3.15</w:t>
      </w:r>
      <w:r>
        <w:rPr>
          <w:rFonts w:ascii="Arial" w:cs="Arial" w:eastAsia="Arial" w:hAnsi="Arial"/>
          <w:sz w:val="18"/>
          <w:szCs w:val="18"/>
          <w:color w:val="auto"/>
        </w:rPr>
        <w:t>, and such search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Customer Due Diligence</w:t>
      </w:r>
      <w:r>
        <w:rPr>
          <w:rFonts w:ascii="Arial" w:cs="Arial" w:eastAsia="Arial" w:hAnsi="Arial"/>
          <w:sz w:val="18"/>
          <w:szCs w:val="18"/>
          <w:color w:val="auto"/>
        </w:rPr>
        <w:t>. (i)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and (ii) to the extent the Borrower qualifies as a “legal entity customer” under the Beneficial Ownership Regulation, at least five days prior to the Effective Date, any Lender that has requested,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93" w:lineRule="exact"/>
        <w:rPr>
          <w:rFonts w:ascii="Arial" w:cs="Arial" w:eastAsia="Arial" w:hAnsi="Arial"/>
          <w:sz w:val="18"/>
          <w:szCs w:val="18"/>
          <w:color w:val="auto"/>
        </w:rPr>
      </w:pPr>
    </w:p>
    <w:p>
      <w:pPr>
        <w:jc w:val="both"/>
        <w:ind w:right="20" w:firstLine="1305"/>
        <w:spacing w:after="0" w:line="264" w:lineRule="auto"/>
        <w:tabs>
          <w:tab w:leader="none" w:pos="19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Departing Lender shall have received payment in full of all “Obligations” owing to it under the Existing Credit Agreement (other than obligations to pay fees and expenses with respect to which the Borrower has not received an invoice, contingent indemnity obligations and other contingent obligations owing to it under the “Loan Documents” (as defined in the Existing Credit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The Administrative Agent shall notify the Borrower and the Lenders of the Effective Date, and such notice shall be conclusive and binding.</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(but not convert, continue or extend) a Loan (other than a Loan which refinances a LC Disbursement in accordance with Section 2.06(e)), and of the Issuing Banks to issue, amend, renew or extend any Letter of Credit, is subject to the satisfaction of the following conditions:</w:t>
      </w:r>
    </w:p>
    <w:p>
      <w:pPr>
        <w:spacing w:after="0" w:line="181" w:lineRule="exact"/>
        <w:rPr>
          <w:sz w:val="20"/>
          <w:szCs w:val="20"/>
          <w:color w:val="auto"/>
        </w:rPr>
      </w:pPr>
    </w:p>
    <w:p>
      <w:pPr>
        <w:jc w:val="both"/>
        <w:ind w:firstLine="1305"/>
        <w:spacing w:after="0" w:line="259" w:lineRule="auto"/>
        <w:tabs>
          <w:tab w:leader="none" w:pos="181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 set forth in this Agreement shall be true and correct on and as of the date of such Loan or the date of issuance, amendment, renewal or extension of such Letter of Credit, as applicable, except to the extent that any such representation or warranty relates solely to an earlier date, in which case it shall have been true and correct as of such earlier date, or, after prior notice to the Administrative Agent, is untrue or incorrect as a result of transactions permitted by the Loan Documents.</w:t>
      </w:r>
    </w:p>
    <w:p>
      <w:pPr>
        <w:spacing w:after="0" w:line="186" w:lineRule="exact"/>
        <w:rPr>
          <w:rFonts w:ascii="Arial" w:cs="Arial" w:eastAsia="Arial" w:hAnsi="Arial"/>
          <w:sz w:val="18"/>
          <w:szCs w:val="18"/>
          <w:color w:val="auto"/>
        </w:rPr>
      </w:pPr>
    </w:p>
    <w:p>
      <w:pPr>
        <w:ind w:firstLine="1305"/>
        <w:spacing w:after="0" w:line="277" w:lineRule="auto"/>
        <w:tabs>
          <w:tab w:leader="none" w:pos="185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no Default shall have occurred and be continuing.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Loan and each issuance, amendment, renewal or extension of a Letter of Credit shall be deemed to constitute a representation and warranty by the Borrower on the date thereof as to the matters specified in paragraphs (a) and (b) of this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Until the Commitments have expired or been terminated and the principal of and interest on each Loan and all fees payable hereunder shall have been paid in full and all Letters of Credit shall have expired, terminated, been cash collateralized or otherwise covered by letters of credit as permitted herein and all LC Disbursements shall have been reimbursed, the Borrower covenants and agrees with the Lenders that: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Borrower will furnish to the Administrative Agent and each Lender:</w:t>
      </w:r>
    </w:p>
    <w:p>
      <w:pPr>
        <w:spacing w:after="0" w:line="237" w:lineRule="exact"/>
        <w:rPr>
          <w:sz w:val="20"/>
          <w:szCs w:val="20"/>
          <w:color w:val="auto"/>
        </w:rPr>
      </w:pPr>
    </w:p>
    <w:p>
      <w:pPr>
        <w:jc w:val="both"/>
        <w:ind w:firstLine="1305"/>
        <w:spacing w:after="0" w:line="273" w:lineRule="auto"/>
        <w:tabs>
          <w:tab w:leader="none" w:pos="1889" w:val="left"/>
        </w:tabs>
        <w:numPr>
          <w:ilvl w:val="0"/>
          <w:numId w:val="72"/>
        </w:numPr>
        <w:rPr>
          <w:rFonts w:ascii="Arial" w:cs="Arial" w:eastAsia="Arial" w:hAnsi="Arial"/>
          <w:sz w:val="17"/>
          <w:szCs w:val="17"/>
          <w:color w:val="auto"/>
        </w:rPr>
      </w:pPr>
      <w:r>
        <w:rPr>
          <w:rFonts w:ascii="Arial" w:cs="Arial" w:eastAsia="Arial" w:hAnsi="Arial"/>
          <w:sz w:val="17"/>
          <w:szCs w:val="17"/>
          <w:color w:val="auto"/>
        </w:rPr>
        <w:t>within 120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accompanied by any management letter prepared by said accountants;</w:t>
      </w:r>
    </w:p>
    <w:p>
      <w:pPr>
        <w:spacing w:after="0" w:line="178" w:lineRule="exact"/>
        <w:rPr>
          <w:rFonts w:ascii="Arial" w:cs="Arial" w:eastAsia="Arial" w:hAnsi="Arial"/>
          <w:sz w:val="17"/>
          <w:szCs w:val="17"/>
          <w:color w:val="auto"/>
        </w:rPr>
      </w:pPr>
    </w:p>
    <w:p>
      <w:pPr>
        <w:jc w:val="both"/>
        <w:ind w:firstLine="1305"/>
        <w:spacing w:after="0" w:line="255" w:lineRule="auto"/>
        <w:tabs>
          <w:tab w:leader="none" w:pos="19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within 60 days after the end of each of the first three fiscal quarters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jc w:val="both"/>
        <w:ind w:firstLine="1305"/>
        <w:spacing w:after="0" w:line="271" w:lineRule="auto"/>
        <w:tabs>
          <w:tab w:leader="none" w:pos="1899"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concurrently with any delivery of financial statements under clause (a) or (b) above, a certificate of the Borrower executed on its behalf of a Financial Officer in substantially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(i) certifying, in the case of the financial statements delivered under clause (b),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78" w:lineRule="exact"/>
        <w:rPr>
          <w:rFonts w:ascii="Arial" w:cs="Arial" w:eastAsia="Arial" w:hAnsi="Arial"/>
          <w:sz w:val="17"/>
          <w:szCs w:val="17"/>
          <w:color w:val="auto"/>
        </w:rPr>
      </w:pPr>
    </w:p>
    <w:p>
      <w:pPr>
        <w:jc w:val="both"/>
        <w:ind w:firstLine="1305"/>
        <w:spacing w:after="0" w:line="302" w:lineRule="auto"/>
        <w:tabs>
          <w:tab w:leader="none" w:pos="1862" w:val="left"/>
        </w:tabs>
        <w:numPr>
          <w:ilvl w:val="1"/>
          <w:numId w:val="73"/>
        </w:numPr>
        <w:rPr>
          <w:rFonts w:ascii="Arial" w:cs="Arial" w:eastAsia="Arial" w:hAnsi="Arial"/>
          <w:sz w:val="16"/>
          <w:szCs w:val="16"/>
          <w:color w:val="auto"/>
        </w:rPr>
      </w:pPr>
      <w:r>
        <w:rPr>
          <w:rFonts w:ascii="Arial" w:cs="Arial" w:eastAsia="Arial" w:hAnsi="Arial"/>
          <w:sz w:val="16"/>
          <w:szCs w:val="16"/>
          <w:color w:val="auto"/>
        </w:rPr>
        <w:t>as soon as available (following approval by the Borrower’s board of directors, if such approval is obtained in the ordinary course), but in any event not more than 120 days after the end of each fiscal year of the Borrower, a copy of the plan and forecast (including a projected consolidated and consolidating balance sheet, income statement and funds flow statement) of the Borrower for the upcoming fiscal year (and, in the case of projected income statements, for each quarter of the upcoming fiscal year) substantially in form of the projections delivered pursuant to Section 4.01(b);</w:t>
      </w:r>
    </w:p>
    <w:p>
      <w:pPr>
        <w:spacing w:after="0" w:line="154" w:lineRule="exact"/>
        <w:rPr>
          <w:rFonts w:ascii="Arial" w:cs="Arial" w:eastAsia="Arial" w:hAnsi="Arial"/>
          <w:sz w:val="16"/>
          <w:szCs w:val="16"/>
          <w:color w:val="auto"/>
        </w:rPr>
      </w:pPr>
    </w:p>
    <w:p>
      <w:pPr>
        <w:ind w:firstLine="1305"/>
        <w:spacing w:after="0" w:line="277" w:lineRule="auto"/>
        <w:tabs>
          <w:tab w:leader="none" w:pos="1906"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distributed by the Borrower to its shareholders generally, as the case may be; and</w:t>
      </w:r>
    </w:p>
    <w:p>
      <w:pPr>
        <w:spacing w:after="0" w:line="170" w:lineRule="exact"/>
        <w:rPr>
          <w:rFonts w:ascii="Arial" w:cs="Arial" w:eastAsia="Arial" w:hAnsi="Arial"/>
          <w:sz w:val="18"/>
          <w:szCs w:val="18"/>
          <w:color w:val="auto"/>
        </w:rPr>
      </w:pPr>
    </w:p>
    <w:p>
      <w:pPr>
        <w:jc w:val="both"/>
        <w:ind w:firstLine="1305"/>
        <w:spacing w:after="0" w:line="291" w:lineRule="auto"/>
        <w:tabs>
          <w:tab w:leader="none" w:pos="1808" w:val="left"/>
        </w:tabs>
        <w:numPr>
          <w:ilvl w:val="1"/>
          <w:numId w:val="73"/>
        </w:numPr>
        <w:rPr>
          <w:rFonts w:ascii="Arial" w:cs="Arial" w:eastAsia="Arial" w:hAnsi="Arial"/>
          <w:sz w:val="16"/>
          <w:szCs w:val="16"/>
          <w:color w:val="auto"/>
        </w:rPr>
      </w:pPr>
      <w:r>
        <w:rPr>
          <w:rFonts w:ascii="Arial" w:cs="Arial" w:eastAsia="Arial" w:hAnsi="Arial"/>
          <w:sz w:val="16"/>
          <w:szCs w:val="16"/>
          <w:color w:val="auto"/>
        </w:rPr>
        <w:t>promptly following any request therefor, (x) such other information regarding the operations, business affairs and financial condition of the Borrower or any Subsidiary, or compliance with the terms of this Agreement, as the Administrative Agent or any Lender may reasonably request and</w:t>
      </w:r>
    </w:p>
    <w:p>
      <w:pPr>
        <w:ind w:firstLine="8"/>
        <w:spacing w:after="0" w:line="261" w:lineRule="auto"/>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Documents required to be delivered pursuant to Section 5.01(a), (b) or (e)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 Notwithstanding anything contained herein, in every instance the Borrower shall be required to provide paper copies of the compliance certificates required by clause (c) of this Section 5.01 to the Administrative Agent.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ind w:left="130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and each Lender prompt written notice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following:</w:t>
      </w:r>
    </w:p>
    <w:p>
      <w:pPr>
        <w:spacing w:after="0" w:line="211" w:lineRule="exact"/>
        <w:rPr>
          <w:sz w:val="20"/>
          <w:szCs w:val="20"/>
          <w:color w:val="auto"/>
        </w:rPr>
      </w:pPr>
    </w:p>
    <w:p>
      <w:pPr>
        <w:ind w:left="1820" w:hanging="515"/>
        <w:spacing w:after="0"/>
        <w:tabs>
          <w:tab w:leader="none" w:pos="1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Borrower or any Affiliate thereof that has a reasonable possibility of an adverse determination and that, if adversely determined, could reasonably be expected to result in a Material Adverse Effect;</w:t>
      </w:r>
    </w:p>
    <w:p>
      <w:pPr>
        <w:spacing w:after="0" w:line="181" w:lineRule="exact"/>
        <w:rPr>
          <w:rFonts w:ascii="Arial" w:cs="Arial" w:eastAsia="Arial" w:hAnsi="Arial"/>
          <w:sz w:val="18"/>
          <w:szCs w:val="18"/>
          <w:color w:val="auto"/>
        </w:rPr>
      </w:pPr>
    </w:p>
    <w:p>
      <w:pPr>
        <w:ind w:right="20" w:firstLine="1305"/>
        <w:spacing w:after="0" w:line="277" w:lineRule="auto"/>
        <w:tabs>
          <w:tab w:leader="none" w:pos="18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would reasonably be expected to result in a Material Adverse Effect;</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 and</w:t>
      </w:r>
    </w:p>
    <w:p>
      <w:pPr>
        <w:spacing w:after="0" w:line="225" w:lineRule="exact"/>
        <w:rPr>
          <w:rFonts w:ascii="Arial" w:cs="Arial" w:eastAsia="Arial" w:hAnsi="Arial"/>
          <w:sz w:val="18"/>
          <w:szCs w:val="18"/>
          <w:color w:val="auto"/>
        </w:rPr>
      </w:pPr>
    </w:p>
    <w:p>
      <w:pPr>
        <w:ind w:firstLine="1305"/>
        <w:spacing w:after="0" w:line="277" w:lineRule="auto"/>
        <w:tabs>
          <w:tab w:leader="none" w:pos="190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change in the information provided in the Beneficial Ownership Certification delivered to such Lender that would result in a change to the list of beneficial owners identified in such certification.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Material Subsidiaries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Borrower will, and will cause each of its Subsidiaries to, pay or discharge all Material Indebtedness and all other material liabilities and obligations, including Taxes,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Borrower will, and will cause each of its Material Subsidiaries to, keep and maintain all property material to the conduct of its business in good working order and condition, ordinary wear and tear excepted.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 w:name="page111"/>
    <w:bookmarkEnd w:id="110"/>
    <w:p>
      <w:pPr>
        <w:jc w:val="both"/>
        <w:ind w:firstLine="1297"/>
        <w:spacing w:after="0" w:line="271"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Books and Records; Inspection Rights</w:t>
      </w:r>
      <w:r>
        <w:rPr>
          <w:rFonts w:ascii="Arial" w:cs="Arial" w:eastAsia="Arial" w:hAnsi="Arial"/>
          <w:sz w:val="17"/>
          <w:szCs w:val="17"/>
          <w:color w:val="auto"/>
        </w:rPr>
        <w:t>. The Borrower will, and will cause each of its Subsidiaries to, (i) keep proper books of record and account in accordance with prudent practices and (ii)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The Borrower acknowledges that the Administrative Agent, after exercising its rights of inspection, may prepare and distribute to the Lenders certain reports pertaining to the assets for internal use by the Administrative Agent and the Lenders. The Administrative Agent agrees to use reasonable efforts to minimize, to the extent practicable and so long as no Default has occurred and is continuing, the number of separate requests from the Lenders to exercise their rights under this Section 5.06 and to coordinate the exercise by the Lenders of such rights.</w:t>
      </w:r>
    </w:p>
    <w:p>
      <w:pPr>
        <w:spacing w:after="0" w:line="17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will, and will cause each of its Subsidiaries to, comply with all Requirements of Law applicable to it or its property, except where the failure to do so, individually or in the aggregate, could not reasonably be expected to result in a Material Adverse Effect. The Borrower will maintain in effect and enforce in all material respects policies and procedures designed to ensure compliance by the Borrower, its Subsidiaries and their respective directors, officers, and employees with Anti-Corruption Laws and applicable Sanctions.</w:t>
      </w:r>
    </w:p>
    <w:p>
      <w:pPr>
        <w:spacing w:after="0" w:line="15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Loans and the Letters of Credit will be used to refinance certain existing Indebtedness, finance Permitted Acquisitions, Permitted Joint Ventures, working capital needs and for other general corporate purposes (including, without limitation, repurchases by the Borrower of its Equity Interests to the extent permitted under this Agreement) of the Borrower and its Subsidiaries. No part of the proceeds of any Loan and no Letter of Credit will be used, whether directly or indirectly, for any purpose that entails a violation of any of the regulations of the Federal Reserve Board, including Regulations T, U and X. The Borrower will not request any Borrowing or Letter of Credit, and Borrower shall not use, and the Borrower shall ensure that its Subsidiaries and its or their respective directors, officers, employees and agents shall not use, the proceeds of any Borrowing or Letter of Credit in furtherance of an offer, payment, promise to pay, or authorization of the payment or giving of money, or anything else of value, to any Person in violation of any Anti-Corruption Laws. The Borrower will not, directly or indirectly, use the proceeds of the Loans or Letters of Credit, or lend, contribute, or otherwise make available such proceeds to any subsidiary, joint venture partner, or other Person, (i) to fund any activities or business of or with any Person or in any country or territory, that, at the time of such funding, is the subject of Sanctions, or (ii) in any other manner that would result in a violation of Sanctions by any Person (including any Person participating in the Loans or Letters of Credit, whether as Administrative Agent, Lender, or otherwise).</w:t>
      </w:r>
    </w:p>
    <w:p>
      <w:pPr>
        <w:spacing w:after="0" w:line="18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Insurance</w:t>
      </w:r>
      <w:r>
        <w:rPr>
          <w:rFonts w:ascii="Arial" w:cs="Arial" w:eastAsia="Arial" w:hAnsi="Arial"/>
          <w:sz w:val="16"/>
          <w:szCs w:val="16"/>
          <w:color w:val="auto"/>
        </w:rPr>
        <w:t>. The Borrower will, and will cause each of its Subsidiaries to, maintain with financially sound and reputable carriers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Lenders, upon request of the Administrative Agent, information in reasonable detail as to the insurance so maintained. Within thirty (30) days after the Effective Date (or such later date as may be agreed to by the Administrative Agent in its sole discretion), the Borrower shall deliver to the Administrative Agent endorsements (x) to all “All Risk” physical damage or casualty insurance policies in respect of Collateral naming the Administrative Agent as lender loss payee, and (y) to all general liability and other liability policies naming the Administrative Agent an additional insured. In the event the Borrower or any of its Subsidiaries at any time or times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jc w:val="both"/>
        <w:ind w:firstLine="1297"/>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Casualty and Condemnation</w:t>
      </w:r>
      <w:r>
        <w:rPr>
          <w:rFonts w:ascii="Arial" w:cs="Arial" w:eastAsia="Arial" w:hAnsi="Arial"/>
          <w:sz w:val="18"/>
          <w:szCs w:val="18"/>
          <w:color w:val="auto"/>
        </w:rPr>
        <w:t>. The Borrower will furnish to the Administrative Agent and the Lenders prompt written notice of any casualty or other insured damage (to the extent representing a loss of in excess of $1,000,000 per occurrence to any property) or the commencement of any action or proceeding for the taking of any property of the Loan Parties or interest therein (with a value in excess of $1,000,000 per action or proceeding) under power of eminent domain or by condemnation or similar proceeding.</w:t>
      </w:r>
    </w:p>
    <w:p>
      <w:pPr>
        <w:spacing w:after="0" w:line="18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Subsidiary Guarantors; Pledges; Additional Collateral; Further Assurances</w:t>
      </w:r>
      <w:r>
        <w:rPr>
          <w:rFonts w:ascii="Arial" w:cs="Arial" w:eastAsia="Arial" w:hAnsi="Arial"/>
          <w:sz w:val="17"/>
          <w:szCs w:val="17"/>
          <w:color w:val="auto"/>
        </w:rPr>
        <w:t>. (a) As promptly as possible but in any event within thirty (30) days (or such later date as may be agreed upon by the Administrative Agent) after any Person becomes a Material Subsidiary, the Borrower shall provide the Administrative Agent with written notice thereof setting forth information in reasonable detail describing the material assets of such Person and shall cause each such Material Subsidiary to deliver to the Administrative Agent the Subsidiary Guaranty and the Security Agreement pursuant to which such Material Subsidiary agrees to be bound by the terms and provisions thereof, such Subsidiary Guaranty and Security Agreement to be accompanied by appropriate corporate resolutions, other corporate documentation and, if requested by the Administrative Agent in its reasonable discretion, legal opinions in form and substance reasonably satisfactory to the Administrative Agent and its counsel.</w:t>
      </w:r>
    </w:p>
    <w:p>
      <w:pPr>
        <w:spacing w:after="0" w:line="178" w:lineRule="exact"/>
        <w:rPr>
          <w:sz w:val="20"/>
          <w:szCs w:val="20"/>
          <w:color w:val="auto"/>
        </w:rPr>
      </w:pPr>
    </w:p>
    <w:p>
      <w:pPr>
        <w:jc w:val="both"/>
        <w:ind w:firstLine="1305"/>
        <w:spacing w:after="0" w:line="283" w:lineRule="auto"/>
        <w:tabs>
          <w:tab w:leader="none" w:pos="1881"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Borrower will cause, and will cause each other Loan Party to cause, all of its owned property (constituting personal, tangible, intangible, or mixed, but excluding Excluded Assets) to be subject at all times to first priority, perfected Liens in favor of the Administrative Agent for the benefit of the Holders of Secured Obligations to secure the Secured Obligations in accordance with and to the extent required by the terms and conditions of the Collateral Documents, subject in any case to Liens permitted by Section 6.02. Without limiting the generality of the foregoing, the Borrower (i) will cause the Applicable Pledge Percentage of the issued and outstanding Equity Interests of each Pledge Subsidiary directly owned by the Borrower or any other Loan Party to be subject at all times to a first priority, perfected Lien in favor of the Administrative Agent to secure the Secured Obligations in accordance with the terms and conditions of the Collateral Documents or such other security documents as the Administrative Agent shall reasonably request and (ii) will, and will cause each Subsidiary Guarantor to, deliver deposit account control agreements or blocked account agreements with respect to deposit accounts maintained by, the Borrower or such Subsidiary Guarantor to the extent, and within such time period as is, reasonably required by the Administrative Agent, in each case in accordance with the terms and conditions of the Security Agreement. In furtherance of the foregoing, upon the request of the Administrative Agent in its reasonable discretion, the Borrower will, and will cause each Subsidiary Guarantor to, deliver local law governed pledge documentation (x) at any time, in respect of the Applicable Pledge Percentage of the issued and outstanding Equity Interests of any Pledge Subsidiary that is a Material Foreign Subsidiary and</w:t>
      </w:r>
    </w:p>
    <w:p>
      <w:pPr>
        <w:spacing w:after="0" w:line="3" w:lineRule="exact"/>
        <w:rPr>
          <w:rFonts w:ascii="Arial" w:cs="Arial" w:eastAsia="Arial" w:hAnsi="Arial"/>
          <w:sz w:val="16"/>
          <w:szCs w:val="16"/>
          <w:color w:val="auto"/>
        </w:rPr>
      </w:pPr>
    </w:p>
    <w:p>
      <w:pPr>
        <w:ind w:firstLine="8"/>
        <w:spacing w:after="0" w:line="261" w:lineRule="auto"/>
        <w:tabs>
          <w:tab w:leader="none" w:pos="2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in respect of the Applicable Pledge Percentage of the issued and outstanding Equity Interests of any Pledge Subsidiary that is a First Tier Foreign Subsidiary.</w:t>
      </w:r>
    </w:p>
    <w:p>
      <w:pPr>
        <w:spacing w:after="0" w:line="183" w:lineRule="exact"/>
        <w:rPr>
          <w:rFonts w:ascii="Arial" w:cs="Arial" w:eastAsia="Arial" w:hAnsi="Arial"/>
          <w:sz w:val="18"/>
          <w:szCs w:val="18"/>
          <w:color w:val="auto"/>
        </w:rPr>
      </w:pPr>
    </w:p>
    <w:p>
      <w:pPr>
        <w:jc w:val="both"/>
        <w:ind w:firstLine="1305"/>
        <w:spacing w:after="0" w:line="255" w:lineRule="auto"/>
        <w:tabs>
          <w:tab w:leader="none" w:pos="1872" w:val="left"/>
        </w:tabs>
        <w:numPr>
          <w:ilvl w:val="1"/>
          <w:numId w:val="77"/>
        </w:numPr>
        <w:rPr>
          <w:rFonts w:ascii="Arial" w:cs="Arial" w:eastAsia="Arial" w:hAnsi="Arial"/>
          <w:sz w:val="18"/>
          <w:szCs w:val="18"/>
          <w:color w:val="auto"/>
        </w:rPr>
      </w:pPr>
      <w:r>
        <w:rPr>
          <w:rFonts w:ascii="Arial" w:cs="Arial" w:eastAsia="Arial" w:hAnsi="Arial"/>
          <w:sz w:val="18"/>
          <w:szCs w:val="18"/>
          <w:color w:val="auto"/>
        </w:rPr>
        <w:t>Without limiting the foregoing, the Borrower will, and will cause each Loan Party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Borrower.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ind w:firstLine="1305"/>
        <w:spacing w:after="0" w:line="277" w:lineRule="auto"/>
        <w:tabs>
          <w:tab w:leader="none" w:pos="19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the foregoing or anything else in this Agreement to the contrary, no Permitted Joint Venture shall be required to become a Subsidiary Guarantor or Pledge Subsidiary hereunder.</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879"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Borrower will provide to the Administrative Agent, from time to time or concurrently with the delivery of the certificate of a Financial Officer of the Borrower as required by Section 5.01(c), an updated version of </w:t>
      </w:r>
      <w:r>
        <w:rPr>
          <w:rFonts w:ascii="Arial" w:cs="Arial" w:eastAsia="Arial" w:hAnsi="Arial"/>
          <w:sz w:val="17"/>
          <w:szCs w:val="17"/>
          <w:u w:val="single" w:color="auto"/>
          <w:color w:val="auto"/>
        </w:rPr>
        <w:t>Schedule 3.14</w:t>
      </w:r>
      <w:r>
        <w:rPr>
          <w:rFonts w:ascii="Arial" w:cs="Arial" w:eastAsia="Arial" w:hAnsi="Arial"/>
          <w:sz w:val="17"/>
          <w:szCs w:val="17"/>
          <w:color w:val="auto"/>
        </w:rPr>
        <w:t xml:space="preserve"> (provided that if there have been no changes to </w:t>
      </w:r>
      <w:r>
        <w:rPr>
          <w:rFonts w:ascii="Arial" w:cs="Arial" w:eastAsia="Arial" w:hAnsi="Arial"/>
          <w:sz w:val="17"/>
          <w:szCs w:val="17"/>
          <w:u w:val="single" w:color="auto"/>
          <w:color w:val="auto"/>
        </w:rPr>
        <w:t>Schedule 3.14</w:t>
      </w:r>
      <w:r>
        <w:rPr>
          <w:rFonts w:ascii="Arial" w:cs="Arial" w:eastAsia="Arial" w:hAnsi="Arial"/>
          <w:sz w:val="17"/>
          <w:szCs w:val="17"/>
          <w:color w:val="auto"/>
        </w:rPr>
        <w:t xml:space="preserve"> since the previous updating thereof required hereby, such updated version shall not be required). For the avoidance of doubt, such updated </w:t>
      </w:r>
      <w:r>
        <w:rPr>
          <w:rFonts w:ascii="Arial" w:cs="Arial" w:eastAsia="Arial" w:hAnsi="Arial"/>
          <w:sz w:val="17"/>
          <w:szCs w:val="17"/>
          <w:u w:val="single" w:color="auto"/>
          <w:color w:val="auto"/>
        </w:rPr>
        <w:t>Schedule 3.14</w:t>
      </w:r>
      <w:r>
        <w:rPr>
          <w:rFonts w:ascii="Arial" w:cs="Arial" w:eastAsia="Arial" w:hAnsi="Arial"/>
          <w:sz w:val="17"/>
          <w:szCs w:val="17"/>
          <w:color w:val="auto"/>
        </w:rPr>
        <w:t xml:space="preserve"> shall not be understood to permit any action prohibited hereunder or constitute a waiver of any provision contained herein.</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8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Borrower will provide to the Administrative Agent, concurrently with the delivery of an executed supplement to the Security Agreement by any new grantor thereunder, a supplement to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reflecting the financing statement(s) naming such new grantor as debtor prepared for filing in connection therewith. For the avoidance of doubt, such supplement to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shall not be understood to permit any action prohibited hereunder or constitute a waiver of any provision contained herein.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Until the Commitments have expired or terminated and the principal of and interest on each Loan and all fees, expenses and other amounts payable under any Loan Document have been paid in full and all Letters of Credit have expired, terminated, been cash collateralized or otherwise covered by letters of credit as permitted herein and all LC Disbursements shall have been reimbursed, the Borrower covenants and agrees with the Lenders that: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The Borrower will not, and will not permit any Subsidiary to, create, incur or suffer to exist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11" w:lineRule="exact"/>
        <w:rPr>
          <w:sz w:val="20"/>
          <w:szCs w:val="20"/>
          <w:color w:val="auto"/>
        </w:rPr>
      </w:pPr>
    </w:p>
    <w:p>
      <w:pPr>
        <w:ind w:left="1820" w:hanging="515"/>
        <w:spacing w:after="0"/>
        <w:tabs>
          <w:tab w:leader="none" w:pos="1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Secured Obligations;</w:t>
      </w:r>
    </w:p>
    <w:p>
      <w:pPr>
        <w:spacing w:after="0" w:line="225" w:lineRule="exact"/>
        <w:rPr>
          <w:rFonts w:ascii="Arial" w:cs="Arial" w:eastAsia="Arial" w:hAnsi="Arial"/>
          <w:sz w:val="18"/>
          <w:szCs w:val="18"/>
          <w:color w:val="auto"/>
        </w:rPr>
      </w:pPr>
    </w:p>
    <w:p>
      <w:pPr>
        <w:ind w:firstLine="1305"/>
        <w:spacing w:after="0" w:line="277" w:lineRule="auto"/>
        <w:tabs>
          <w:tab w:leader="none" w:pos="19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extensions, renewals and replacements of any such Indebtedness that do not increase the outstanding principal amount thereof;</w:t>
      </w:r>
    </w:p>
    <w:p>
      <w:pPr>
        <w:spacing w:after="0" w:line="170" w:lineRule="exact"/>
        <w:rPr>
          <w:rFonts w:ascii="Arial" w:cs="Arial" w:eastAsia="Arial" w:hAnsi="Arial"/>
          <w:sz w:val="18"/>
          <w:szCs w:val="18"/>
          <w:color w:val="auto"/>
        </w:rPr>
      </w:pPr>
    </w:p>
    <w:p>
      <w:pPr>
        <w:ind w:firstLine="1305"/>
        <w:spacing w:after="0" w:line="308" w:lineRule="auto"/>
        <w:tabs>
          <w:tab w:leader="none" w:pos="197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Indebtedness of the Borrower to any Subsidiary and of any Subsidiary to the Borrower or any other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Indebtedness of any Subsidiary that is not a Loan Party to the Borrower or any Subsidiary that is a Loan Party shall be subject to Section 6.04;</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8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Guarantees by the Borrower of Indebtedness of any Subsidiary or Permitted Joint Venture and by any Subsidiary of Indebtedness of the Borrower or any other Subsidiary or Permitted Joint Venture,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Indebtedness so Guaranteed is permitted by this Section 6.01 and (ii) Guarantees by the Borrower or any Subsidiary that is a Loan Party of Indebtedness of any Subsidiary that is not a Loan Party or of any Permitted Joint Venture shall be subject to Section 6.04;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jc w:val="both"/>
        <w:ind w:firstLine="1305"/>
        <w:spacing w:after="0" w:line="273" w:lineRule="auto"/>
        <w:tabs>
          <w:tab w:leader="none" w:pos="18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Indebtedness of the Borrower or any Subsidiary incurred to finance the acquisition, construction, improvement, alteration or repair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incurred (A) prior to or within 365 days after such acquisition or the completion of such construction, improvement, alteration or repair and (ii) the aggregate principal amount of Indebtedness permitted by this clause (e) shall not exceed $100,000,000 at any time outstanding;</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202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of the Borrower or any Subsidiary in respect of Bonding Obligations;</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Indebtedness under any Swap Agreement entered into for bona fide hedging purposes and not for speculative or investment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purposes;</w:t>
      </w:r>
    </w:p>
    <w:p>
      <w:pPr>
        <w:spacing w:after="0" w:line="210" w:lineRule="exact"/>
        <w:rPr>
          <w:rFonts w:ascii="Arial" w:cs="Arial" w:eastAsia="Arial" w:hAnsi="Arial"/>
          <w:sz w:val="17"/>
          <w:szCs w:val="17"/>
          <w:color w:val="auto"/>
        </w:rPr>
      </w:pPr>
    </w:p>
    <w:p>
      <w:pPr>
        <w:ind w:firstLine="1305"/>
        <w:spacing w:after="0" w:line="277" w:lineRule="auto"/>
        <w:tabs>
          <w:tab w:leader="none" w:pos="1876"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Indebtedness constituting Affiliated Subordinated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permitted by this clause (i) shall not exceed $20,000,000 at any time outstanding;</w:t>
      </w:r>
    </w:p>
    <w:p>
      <w:pPr>
        <w:spacing w:after="0" w:line="170" w:lineRule="exact"/>
        <w:rPr>
          <w:rFonts w:ascii="Arial" w:cs="Arial" w:eastAsia="Arial" w:hAnsi="Arial"/>
          <w:sz w:val="18"/>
          <w:szCs w:val="18"/>
          <w:color w:val="auto"/>
        </w:rPr>
      </w:pPr>
    </w:p>
    <w:p>
      <w:pPr>
        <w:ind w:left="1840" w:hanging="535"/>
        <w:spacing w:after="0"/>
        <w:tabs>
          <w:tab w:leader="none" w:pos="18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constituting Unaffiliated Subordinated Indebtedness; and</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9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unsecured Indebtedness in an aggregate principal amount not exceeding 5% of Consolidated Net Worth (as of the most recently ended fiscal year and determined at the time of incurring such Indebtedness by reference to the Borrower’s financial statements most recently delivered pursuant to Section 5.01(a) or, if prior to the date of the delivery of the first financial statements to be delivered pursuant to Section 5.01(a), the most recent financial statements referred to in Section 3.04(a)) at any time outstanding.</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1" w:lineRule="exact"/>
        <w:rPr>
          <w:sz w:val="20"/>
          <w:szCs w:val="20"/>
          <w:color w:val="auto"/>
        </w:rPr>
      </w:pPr>
    </w:p>
    <w:p>
      <w:pPr>
        <w:ind w:left="1820" w:hanging="515"/>
        <w:spacing w:after="0"/>
        <w:tabs>
          <w:tab w:leader="none" w:pos="1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firstLine="1305"/>
        <w:spacing w:after="0" w:line="312" w:lineRule="auto"/>
        <w:tabs>
          <w:tab w:leader="none" w:pos="1922"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or any Subsidiary existing on the date hereof and set forth in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shall not apply to any other property or asset of the Borrower or Subsidiary and (ii) such Lien shall secure only those obligations which it secures on the date hereof and extensions, renewals and replacements thereof that do not increase the outstanding principal amount thereof;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jc w:val="both"/>
        <w:ind w:firstLine="1305"/>
        <w:spacing w:after="0" w:line="255" w:lineRule="auto"/>
        <w:tabs>
          <w:tab w:leader="none" w:pos="1973"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on assets acquired, constructed, improved, altered or repaired by the Borrower or any Subsidiary; provided that (i) such security interests secure Indebtedness permitted by clause (e) of Section 6.01, (ii) such security interests and the Indebtedness secured thereby are incurred prior to or within 365 days after such acquisition or the completion of such construction, improvement, alteration or repair, (iii) the principal amount of the Indebtedness secured thereby does not exceed the cost of acquiring, constructing, improving, altering or repairing such assets and (iv) such security interests shall not apply to any other property or assets of the Borrower or Subsidiary (other than, in respect of any lease, under any one or more master lease agreements with same lessor or an Affiliate thereof);</w:t>
      </w:r>
    </w:p>
    <w:p>
      <w:pPr>
        <w:spacing w:after="0" w:line="193" w:lineRule="exact"/>
        <w:rPr>
          <w:rFonts w:ascii="Arial" w:cs="Arial" w:eastAsia="Arial" w:hAnsi="Arial"/>
          <w:sz w:val="18"/>
          <w:szCs w:val="18"/>
          <w:color w:val="auto"/>
        </w:rPr>
      </w:pPr>
    </w:p>
    <w:p>
      <w:pPr>
        <w:jc w:val="both"/>
        <w:ind w:firstLine="1305"/>
        <w:spacing w:after="0" w:line="255" w:lineRule="auto"/>
        <w:tabs>
          <w:tab w:leader="none" w:pos="19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any Lien existing on any property or asset (other than accounts receivable and inventory) prior to the acquisition thereof by the Borrower or any Subsidiary or existing on any property or asset (other than accounts receivable and inventory) of any Person that becomes a Loan Party after the date hereof prior to the time such Person becomes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w:t>
      </w:r>
    </w:p>
    <w:p>
      <w:pPr>
        <w:spacing w:after="0" w:line="193" w:lineRule="exact"/>
        <w:rPr>
          <w:rFonts w:ascii="Arial" w:cs="Arial" w:eastAsia="Arial" w:hAnsi="Arial"/>
          <w:sz w:val="18"/>
          <w:szCs w:val="18"/>
          <w:color w:val="auto"/>
        </w:rPr>
      </w:pPr>
    </w:p>
    <w:p>
      <w:pPr>
        <w:ind w:firstLine="1305"/>
        <w:spacing w:after="0" w:line="277" w:lineRule="auto"/>
        <w:tabs>
          <w:tab w:leader="none" w:pos="18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arising out of sale and leaseback transactions permitted by Section 6.06;</w:t>
      </w:r>
    </w:p>
    <w:p>
      <w:pPr>
        <w:spacing w:after="0" w:line="225" w:lineRule="exact"/>
        <w:rPr>
          <w:rFonts w:ascii="Arial" w:cs="Arial" w:eastAsia="Arial" w:hAnsi="Arial"/>
          <w:sz w:val="18"/>
          <w:szCs w:val="18"/>
          <w:color w:val="auto"/>
        </w:rPr>
      </w:pPr>
    </w:p>
    <w:p>
      <w:pPr>
        <w:ind w:firstLine="1305"/>
        <w:spacing w:after="0" w:line="277" w:lineRule="auto"/>
        <w:tabs>
          <w:tab w:leader="none" w:pos="19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granted by a Subsidiary that is not a Loan Party in favor of the Borrower or another Loan Party in respect of Indebtedness owed by such Subsidiary; and</w:t>
      </w:r>
    </w:p>
    <w:p>
      <w:pPr>
        <w:spacing w:after="0" w:line="170" w:lineRule="exact"/>
        <w:rPr>
          <w:rFonts w:ascii="Arial" w:cs="Arial" w:eastAsia="Arial" w:hAnsi="Arial"/>
          <w:sz w:val="18"/>
          <w:szCs w:val="18"/>
          <w:color w:val="auto"/>
        </w:rPr>
      </w:pPr>
    </w:p>
    <w:p>
      <w:pPr>
        <w:ind w:left="1840" w:hanging="535"/>
        <w:spacing w:after="0"/>
        <w:tabs>
          <w:tab w:leader="none" w:pos="1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granted by a Loan Party in Equity Interests in a Permitted Joint Venture (including associated proceeds thereof).</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none of the Liens permitted pursuant to this Section 6.02 may at any time attach to any Loan Party’s (1) accounts receivable, other than those permitted under clauses (a) and (d) of the definition of Permitted Encumbrance and clause (a) above and (2) inventory, other than those permitted under clauses (a), (b) and (d) of the definition of Permitted Encumbrance and clause (a) above.</w:t>
      </w:r>
    </w:p>
    <w:p>
      <w:pPr>
        <w:spacing w:after="0" w:line="18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xml:space="preserve">. (a) The Borrower will not, and will not permit any Material Subsidiary to, merge into or consolidate with any other Person, or permit any other Person to merge into or consolidate with it, or liquidate or dissolve, except that, if at the time thereof and immediately after giving effect thereto no Default shall have occurred and be continuing (i) any Subsidiary of the Borrower may merge into the Borrower in a transaction in which the Borrower is the surviving corporation, (ii) any Loan Party (other than the Borrower) may merge into any Loan Party in a transaction in which the surviving entity is a Loan Party, (iii) any Subsidiary that is not a Loan Party may liquidate or dissolve if the Borrower determines in good faith that such liquidation or dissolution is in the best interests of the Borrower and is not materially disadvantageous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merger involving a Person that is not a wholly owned Subsidiary immediately prior to such merger shall not be permitted unless also permitted by Section 6.04 and</w:t>
      </w:r>
    </w:p>
    <w:p>
      <w:pPr>
        <w:spacing w:after="0" w:line="3"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Borrower and its Subsidiaries may consummate Permitted Acquisitions.</w:t>
      </w:r>
    </w:p>
    <w:p>
      <w:pPr>
        <w:spacing w:after="0" w:line="210" w:lineRule="exact"/>
        <w:rPr>
          <w:rFonts w:ascii="Arial" w:cs="Arial" w:eastAsia="Arial" w:hAnsi="Arial"/>
          <w:sz w:val="18"/>
          <w:szCs w:val="18"/>
          <w:color w:val="auto"/>
        </w:rPr>
      </w:pPr>
    </w:p>
    <w:p>
      <w:pPr>
        <w:ind w:firstLine="1305"/>
        <w:spacing w:after="0" w:line="277" w:lineRule="auto"/>
        <w:tabs>
          <w:tab w:leader="none" w:pos="1988"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Borrower will not, nor will it permit any of its Subsidiaries to, engage in any business other than businesses of the type conducted by the Borrower and its Subsidiaries on the date of execution of this Agreement and businesses reasonably related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jc w:val="both"/>
        <w:ind w:firstLine="1297"/>
        <w:spacing w:after="0" w:line="25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The Borrower will not, and will not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93" w:lineRule="exact"/>
        <w:rPr>
          <w:sz w:val="20"/>
          <w:szCs w:val="20"/>
          <w:color w:val="auto"/>
        </w:rPr>
      </w:pPr>
    </w:p>
    <w:p>
      <w:pPr>
        <w:ind w:left="1820" w:hanging="515"/>
        <w:spacing w:after="0"/>
        <w:tabs>
          <w:tab w:leader="none" w:pos="1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Permitted Investments and Permitted Acquisitions;</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investments in existence on the date of this Agreement and described in </w:t>
      </w:r>
      <w:r>
        <w:rPr>
          <w:rFonts w:ascii="Arial" w:cs="Arial" w:eastAsia="Arial" w:hAnsi="Arial"/>
          <w:sz w:val="18"/>
          <w:szCs w:val="18"/>
          <w:u w:val="single" w:color="auto"/>
          <w:color w:val="auto"/>
        </w:rPr>
        <w:t>Schedule 6.04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98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investments by the Borrower and the Subsidiaries (other than Permitted Joint Ventures) in Equity Interests in their respective Subsidiaries (other than Permitted Joint Ventures),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such Equity Interests held by a Loan Party shall be pledged pursuant to the Security Agreement (subject to the limitations applicable to common stock of a Foreign Subsidiary referred to in Section 5.11) and (B) the aggregate amount of investments by Loan Parties in Subsidiaries (other than Permitted Joint Ventures) that are not Loan Parties (together with outstanding intercompany loans permitted under the proviso to Section 6.04(d) and outstanding Guarantees permitted under the proviso to Section 6.04(e)) shall not exceed $1,000,000 at any time outstanding;</w:t>
      </w:r>
    </w:p>
    <w:p>
      <w:pPr>
        <w:spacing w:after="0" w:line="193" w:lineRule="exact"/>
        <w:rPr>
          <w:rFonts w:ascii="Arial" w:cs="Arial" w:eastAsia="Arial" w:hAnsi="Arial"/>
          <w:sz w:val="18"/>
          <w:szCs w:val="18"/>
          <w:color w:val="auto"/>
        </w:rPr>
      </w:pPr>
    </w:p>
    <w:p>
      <w:pPr>
        <w:jc w:val="both"/>
        <w:ind w:firstLine="1305"/>
        <w:spacing w:after="0" w:line="272" w:lineRule="auto"/>
        <w:tabs>
          <w:tab w:leader="none" w:pos="18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loans or advances made by the Borrower to any Subsidiary (other than Permitted Joint Ventures), Guarantees by the Borrower of the obligations (other than Indebtedness) of any Subsidiary (other than Permitted Joint Ventures), loans or advances made by any Subsidiary (other than Permitted Joint Ventures) to the Borrower or to any other Subsidiary (other than Permitted Joint Ventures), or Guarantees by any Subsidiary (other than Permitted Joint Ventures) of the obligations (other than Indebtedness) of the Borrower or of any Subsidiary (other than Permitted Joint Ventures),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such loans and advances made by Loan Parties to, or Guarantees made by Loan Parties of the obligations of, Subsidiaries that are not Loan Parties (together with outstanding investments permitted under clause (B) to the proviso to Section 6.04(c) and outstanding Guarantees permitted under the proviso to Section 6.04(e)) shall not exceed $1,000,000 at any time outstanding;</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90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Guarantees constituting Indebtedness permitted by Section 6.01,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of Subsidiaries (other than Permitted Joint Ventures) that are not Loan Parties that is Guaranteed by any Loan Party shall (together with outstanding investments permitted under clause (B) to the proviso to Section 6.04(c) and outstanding intercompany loans permitted under the proviso to Section 6.04(d)) shall not exceed $1,000,000 at any time outstanding;</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9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loans or advances made by the Borrower or any Subsidiary to its employees on an arms-length basis in the ordinary course of business consistent with past practices for travel and entertainment expenses, relocation costs and similar purposes up to a maximum of $500,000 in the aggregate at any one time outstanding;</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8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 or of such merger;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ind w:left="1820" w:hanging="515"/>
        <w:spacing w:after="0"/>
        <w:tabs>
          <w:tab w:leader="none" w:pos="1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investments received in connection with the dispositions of assets permitted by Section 6.05;</w:t>
      </w:r>
    </w:p>
    <w:p>
      <w:pPr>
        <w:spacing w:after="0" w:line="225" w:lineRule="exact"/>
        <w:rPr>
          <w:rFonts w:ascii="Arial" w:cs="Arial" w:eastAsia="Arial" w:hAnsi="Arial"/>
          <w:sz w:val="18"/>
          <w:szCs w:val="18"/>
          <w:color w:val="auto"/>
        </w:rPr>
      </w:pPr>
    </w:p>
    <w:p>
      <w:pPr>
        <w:ind w:left="1840" w:hanging="535"/>
        <w:spacing w:after="0"/>
        <w:tabs>
          <w:tab w:leader="none" w:pos="18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investments constituting deposits described in clauses (c) and (d) of the definition of the term “Permitted Encumbrances”;</w:t>
      </w:r>
    </w:p>
    <w:p>
      <w:pPr>
        <w:spacing w:after="0" w:line="236" w:lineRule="exact"/>
        <w:rPr>
          <w:rFonts w:ascii="Arial" w:cs="Arial" w:eastAsia="Arial" w:hAnsi="Arial"/>
          <w:sz w:val="17"/>
          <w:szCs w:val="17"/>
          <w:color w:val="auto"/>
        </w:rPr>
      </w:pPr>
    </w:p>
    <w:p>
      <w:pPr>
        <w:jc w:val="both"/>
        <w:ind w:firstLine="1305"/>
        <w:spacing w:after="0" w:line="270" w:lineRule="auto"/>
        <w:tabs>
          <w:tab w:leader="none" w:pos="2109"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(i) acquisitions, formation or ownership of Equity Interests in one or more Permitted Joint Ventures or First Tier Foreign Subsidiaries, (ii) Guarantees of the obligations of one or more Permitted Joint Ventures or First Tier Foreign Subsidiaries or (iii) investments in, or loans or advances to, one or more Permitted Joint Ventures or First Tier Foreign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making of any such investment, loan or advance, the positive difference, if any, between (x) the aggregate of all cash that has been invested in, or loaned or advanced to, Permitted Joint Ventures and First Tier Foreign Subsidiaries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aggregate of all cash payments or repayments of loans or advances that have been received from Permitted Joint Ventures and First Tier Foreign Subsidiaries as of such date, shall not in the aggregate exceed 30% of Consolidated Net Worth (calculated as of the most recently ended fiscal quarter and determined at the time of making such investment, loan or advance by reference to the Borrower’s financial statements most recently delivered pursuant to Section 5.01(a) or (b) or, if prior to the date of the delivery of the first financial statements to be delivered pursuant to Section 5.01(a) or (b), the most recent financial statements referred to in Section 3.04(a)); and</w:t>
      </w:r>
    </w:p>
    <w:p>
      <w:pPr>
        <w:spacing w:after="0" w:line="181" w:lineRule="exact"/>
        <w:rPr>
          <w:rFonts w:ascii="Arial" w:cs="Arial" w:eastAsia="Arial" w:hAnsi="Arial"/>
          <w:sz w:val="17"/>
          <w:szCs w:val="17"/>
          <w:color w:val="auto"/>
        </w:rPr>
      </w:pPr>
    </w:p>
    <w:p>
      <w:pPr>
        <w:jc w:val="both"/>
        <w:ind w:firstLine="1305"/>
        <w:spacing w:after="0" w:line="273" w:lineRule="auto"/>
        <w:tabs>
          <w:tab w:leader="none" w:pos="190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other investment, loan or advance (other than acquisitions) so long as the aggregate amount of all such investments, loans or advances does not exceed 7.5% of Consolidated Net Worth (in each case as of the most recently ended fiscal quarter and determined at the time of making such investment by reference to the Borrower’s financial statements most recently delivered pursuant to Section 5.01(a) or (b) or, if prior to the date of the delivery of the first financial statements to be delivered pursuant to Section 5.01(a) or (b), the most recent financial statements referred to in Section 3.04(a)). For the avoidance of doubt, the investments, loans and advances permitted under this clause (k) are separate from, and in addition to, the other investments, loans, advances, guarantees and acquisitions permitted under the foregoing clauses (a)-(j).</w:t>
      </w:r>
    </w:p>
    <w:p>
      <w:pPr>
        <w:spacing w:after="0" w:line="1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Asset Sales</w:t>
      </w:r>
      <w:r>
        <w:rPr>
          <w:rFonts w:ascii="Arial" w:cs="Arial" w:eastAsia="Arial" w:hAnsi="Arial"/>
          <w:sz w:val="18"/>
          <w:szCs w:val="18"/>
          <w:color w:val="auto"/>
        </w:rPr>
        <w:t>. The Borrower will not, and will not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Section 6.04), except:</w:t>
      </w:r>
    </w:p>
    <w:p>
      <w:pPr>
        <w:spacing w:after="0" w:line="181" w:lineRule="exact"/>
        <w:rPr>
          <w:sz w:val="20"/>
          <w:szCs w:val="20"/>
          <w:color w:val="auto"/>
        </w:rPr>
      </w:pPr>
    </w:p>
    <w:p>
      <w:pPr>
        <w:jc w:val="both"/>
        <w:ind w:firstLine="1305"/>
        <w:spacing w:after="0" w:line="264" w:lineRule="auto"/>
        <w:tabs>
          <w:tab w:leader="none" w:pos="18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sales, transfers, leases and dispositions of (i) inventory in the ordinary course of business, (ii) used, obsolete, worn out or surplus equipment or property in the ordinary course of business and (iii) any equipment or property subject to any lease or right-of-use agreement entered into in the ordinary course of business, in accordance with the terms of such agreement;</w:t>
      </w:r>
    </w:p>
    <w:p>
      <w:pPr>
        <w:spacing w:after="0" w:line="181" w:lineRule="exact"/>
        <w:rPr>
          <w:rFonts w:ascii="Arial" w:cs="Arial" w:eastAsia="Arial" w:hAnsi="Arial"/>
          <w:sz w:val="18"/>
          <w:szCs w:val="18"/>
          <w:color w:val="auto"/>
        </w:rPr>
      </w:pPr>
    </w:p>
    <w:p>
      <w:pPr>
        <w:ind w:firstLine="1305"/>
        <w:spacing w:after="0" w:line="277" w:lineRule="auto"/>
        <w:tabs>
          <w:tab w:leader="none" w:pos="19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sales, transfers, leases and dispositions to the Borrower or any Subsidiary, provided that any such sales, transfers or dispositions involving a Subsidiary that is not a Loan Party shall be made in compliance with Section 6.08;</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sales, transfers and dispositions of accounts receivable in connection with the compromise, settlement or collection thereof;</w:t>
      </w:r>
    </w:p>
    <w:p>
      <w:pPr>
        <w:spacing w:after="0" w:line="236" w:lineRule="exact"/>
        <w:rPr>
          <w:rFonts w:ascii="Arial" w:cs="Arial" w:eastAsia="Arial" w:hAnsi="Arial"/>
          <w:sz w:val="17"/>
          <w:szCs w:val="17"/>
          <w:color w:val="auto"/>
        </w:rPr>
      </w:pPr>
    </w:p>
    <w:p>
      <w:pPr>
        <w:ind w:left="1820" w:hanging="515"/>
        <w:spacing w:after="0"/>
        <w:tabs>
          <w:tab w:leader="none" w:pos="1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sales, transfers and dispositions of investments permitted by clauses (i) and (k) of Section 6.04;</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sale and leaseback transactions permitted by Section 6.06;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ind w:firstLine="1305"/>
        <w:spacing w:after="0" w:line="277" w:lineRule="auto"/>
        <w:tabs>
          <w:tab w:leader="none" w:pos="20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property or asset of the Borrower or any Subsidiary; and</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996"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sales, transfers and other dispositions of assets (other than Equity Interests in a Subsidiary unless all Equity Interests in such Subsidiary are sold) that are not permitted by any other paragraph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fair market value of all assets sold, transferred or otherwise disposed of in reliance upon this paragraph (g) shall not exceed $7,500,000 during any fiscal year of the Borrower.</w:t>
      </w:r>
    </w:p>
    <w:p>
      <w:pPr>
        <w:spacing w:after="0" w:line="16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Sale and Leaseback Transactions</w:t>
      </w:r>
      <w:r>
        <w:rPr>
          <w:rFonts w:ascii="Arial" w:cs="Arial" w:eastAsia="Arial" w:hAnsi="Arial"/>
          <w:sz w:val="17"/>
          <w:szCs w:val="17"/>
          <w:color w:val="auto"/>
        </w:rPr>
        <w:t xml:space="preserve">. The Borrower will not, and will not permit any Subsidiary to, without the prior written consent of the Administrative Agent,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or equipment by the Borrower or any Subsidiary that is made for cash consideration in an amount not less than the fair value of such fixed or capital asset or equipment;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net book value of the assets that are the subject of any such transaction (excluding any such transaction solely between Loan Parties) shall not, in the aggregate, when taken together with the aggregate net book value (determined at the time of the consummation of the instant transaction) of the assets that are the subject of all other such transactions then outstanding, exceed $50,000,000.</w:t>
      </w:r>
    </w:p>
    <w:p>
      <w:pPr>
        <w:spacing w:after="0" w:line="17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Restricted Payments; Certain Payments of Indebtedness</w:t>
      </w:r>
      <w:r>
        <w:rPr>
          <w:rFonts w:ascii="Arial" w:cs="Arial" w:eastAsia="Arial" w:hAnsi="Arial"/>
          <w:sz w:val="17"/>
          <w:szCs w:val="17"/>
          <w:color w:val="auto"/>
        </w:rPr>
        <w:t>. (a) The Borrower will not, and will not permit any Subsidiary to, declare or make, or agree to pay or make, directly or indirectly, any Restricted Payment, or incur any obligation (contingent or otherwise) to do so, except (i) the Borrower may declare and pay dividends with respect to its Equity Interest payable solely in additional units of its Equity Interests, (ii) Subsidiaries of the Borrower may declare and pay dividends ratably with respect to their Equity Interests, and (iii) the Borrower may make any other Restricted Payments so long as (A) no Event of Default has then occurred and is continuing or would arise after giving effect thereto, (B) at the time thereof and after giving pro forma effect thereto, the Leverage Ratio (as calculated pursuant to Section 6.12(b)) is, and would be, less than 2.50 to 1.0 and (C) at the time thereof and after giving pro forma effect thereto, the Liquidity of the Borrower and its Subsidiaries is, and would be, equal to or greater than $50,000,000. For the avoidance of doubt, this Section 6.07 shall not limit any issuances of securities or other payments with respect to any Equity Interests in connection with employment agreements, stock options and stock ownership plans entered into by employees, officers and directors of the Borrower or its Subsidiaries and as otherwise permitted under this Agreement.</w:t>
      </w:r>
    </w:p>
    <w:p>
      <w:pPr>
        <w:spacing w:after="0" w:line="178" w:lineRule="exact"/>
        <w:rPr>
          <w:sz w:val="20"/>
          <w:szCs w:val="20"/>
          <w:color w:val="auto"/>
        </w:rPr>
      </w:pPr>
    </w:p>
    <w:p>
      <w:pPr>
        <w:jc w:val="both"/>
        <w:ind w:firstLine="1305"/>
        <w:spacing w:after="0" w:line="259" w:lineRule="auto"/>
        <w:tabs>
          <w:tab w:leader="none" w:pos="18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Borrower will not, and will not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86" w:lineRule="exact"/>
        <w:rPr>
          <w:rFonts w:ascii="Arial" w:cs="Arial" w:eastAsia="Arial" w:hAnsi="Arial"/>
          <w:sz w:val="18"/>
          <w:szCs w:val="18"/>
          <w:color w:val="auto"/>
        </w:rPr>
      </w:pPr>
    </w:p>
    <w:p>
      <w:pPr>
        <w:ind w:left="2120" w:hanging="491"/>
        <w:spacing w:after="0"/>
        <w:tabs>
          <w:tab w:leader="none" w:pos="2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payment of Indebtedness created under the Loan Documents;</w:t>
      </w:r>
    </w:p>
    <w:p>
      <w:pPr>
        <w:spacing w:after="0" w:line="225" w:lineRule="exact"/>
        <w:rPr>
          <w:rFonts w:ascii="Arial" w:cs="Arial" w:eastAsia="Arial" w:hAnsi="Arial"/>
          <w:sz w:val="18"/>
          <w:szCs w:val="18"/>
          <w:color w:val="auto"/>
        </w:rPr>
      </w:pPr>
    </w:p>
    <w:p>
      <w:pPr>
        <w:ind w:left="980" w:firstLine="649"/>
        <w:spacing w:after="0" w:line="308" w:lineRule="auto"/>
        <w:tabs>
          <w:tab w:leader="none" w:pos="2133" w:val="left"/>
        </w:tabs>
        <w:numPr>
          <w:ilvl w:val="1"/>
          <w:numId w:val="88"/>
        </w:numPr>
        <w:rPr>
          <w:rFonts w:ascii="Arial" w:cs="Arial" w:eastAsia="Arial" w:hAnsi="Arial"/>
          <w:sz w:val="17"/>
          <w:szCs w:val="17"/>
          <w:color w:val="auto"/>
        </w:rPr>
      </w:pPr>
      <w:r>
        <w:rPr>
          <w:rFonts w:ascii="Arial" w:cs="Arial" w:eastAsia="Arial" w:hAnsi="Arial"/>
          <w:sz w:val="17"/>
          <w:szCs w:val="17"/>
          <w:color w:val="auto"/>
        </w:rPr>
        <w:t>any payment in respect of Affiliated Subordinated Debt to the extent such payment is made from funds permitted to be paid as a Restricted Payment pursuant to Section 6.07(a)(iii) and otherwise in conformity with the terms of subordination applicable thereto;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ind w:left="980" w:firstLine="649"/>
        <w:spacing w:after="0" w:line="277" w:lineRule="auto"/>
        <w:tabs>
          <w:tab w:leader="none" w:pos="22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payment in respect of Unaffiliated Subordinated Indebtedness made in accordance with the Unaffiliated Subordinated Indebtedness Documents and Section 6.10;</w:t>
      </w:r>
    </w:p>
    <w:p>
      <w:pPr>
        <w:spacing w:after="0" w:line="170" w:lineRule="exact"/>
        <w:rPr>
          <w:rFonts w:ascii="Arial" w:cs="Arial" w:eastAsia="Arial" w:hAnsi="Arial"/>
          <w:sz w:val="18"/>
          <w:szCs w:val="18"/>
          <w:color w:val="auto"/>
        </w:rPr>
      </w:pPr>
    </w:p>
    <w:p>
      <w:pPr>
        <w:ind w:left="980" w:firstLine="649"/>
        <w:spacing w:after="0" w:line="277" w:lineRule="auto"/>
        <w:tabs>
          <w:tab w:leader="none" w:pos="221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regularly scheduled interest and principal payments as and when due in respect of any Indebtedness, other than payments in respect of the Subordinated Indebtedness prohibited by the subordination provisions thereof;</w:t>
      </w:r>
    </w:p>
    <w:p>
      <w:pPr>
        <w:spacing w:after="0" w:line="170" w:lineRule="exact"/>
        <w:rPr>
          <w:rFonts w:ascii="Arial" w:cs="Arial" w:eastAsia="Arial" w:hAnsi="Arial"/>
          <w:sz w:val="18"/>
          <w:szCs w:val="18"/>
          <w:color w:val="auto"/>
        </w:rPr>
      </w:pPr>
    </w:p>
    <w:p>
      <w:pPr>
        <w:ind w:left="2100" w:hanging="471"/>
        <w:spacing w:after="0"/>
        <w:tabs>
          <w:tab w:leader="none" w:pos="2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refinancings of Indebtedness to the extent permitted by Section 6.01; and</w:t>
      </w:r>
    </w:p>
    <w:p>
      <w:pPr>
        <w:spacing w:after="0" w:line="225" w:lineRule="exact"/>
        <w:rPr>
          <w:rFonts w:ascii="Arial" w:cs="Arial" w:eastAsia="Arial" w:hAnsi="Arial"/>
          <w:sz w:val="18"/>
          <w:szCs w:val="18"/>
          <w:color w:val="auto"/>
        </w:rPr>
      </w:pPr>
    </w:p>
    <w:p>
      <w:pPr>
        <w:ind w:left="980" w:firstLine="649"/>
        <w:spacing w:after="0" w:line="277" w:lineRule="auto"/>
        <w:tabs>
          <w:tab w:leader="none" w:pos="2134"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secured Indebtedness that becomes due as a result of the voluntary sale or transfer of the property or assets securing such Indebtedness.</w:t>
      </w:r>
    </w:p>
    <w:p>
      <w:pPr>
        <w:spacing w:after="0" w:line="17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Borrower will not, and will not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the Borrower or such Subsidiary than could be obtained on an arm’s-length basis from unrelated third parties, (b) transactions between or among any Loan Party and any Pledge Subsidiary not involving any other Affiliate, (c) any investment, loan, advance or Guarantee permitted by Sections 6.04(c), 6.04(d) or 6.04(j),</w:t>
      </w:r>
    </w:p>
    <w:p>
      <w:pPr>
        <w:spacing w:after="0" w:line="2" w:lineRule="exact"/>
        <w:rPr>
          <w:sz w:val="20"/>
          <w:szCs w:val="20"/>
          <w:color w:val="auto"/>
        </w:rPr>
      </w:pPr>
    </w:p>
    <w:p>
      <w:pPr>
        <w:jc w:val="both"/>
        <w:ind w:firstLine="8"/>
        <w:spacing w:after="0" w:line="292" w:lineRule="auto"/>
        <w:tabs>
          <w:tab w:leader="none" w:pos="283"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Indebtedness permitted under Section 6.01(c) or (i), (e) any Restricted Payment permitted by Section 6.07, (f) loans or advances to employees permitted under Section 6.04, (g) 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its Subsidiaries in the ordinary course of business and (h) any issuances of securities or other payments, awards or grants in cash, securities or otherwise pursuant to, or the funding of, employment agreements, stock options and stock ownership plans approved by the Borrower’s board of directors.</w:t>
      </w:r>
    </w:p>
    <w:p>
      <w:pPr>
        <w:spacing w:after="0" w:line="16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Restrictive Agreements</w:t>
      </w:r>
      <w:r>
        <w:rPr>
          <w:rFonts w:ascii="Arial" w:cs="Arial" w:eastAsia="Arial" w:hAnsi="Arial"/>
          <w:sz w:val="17"/>
          <w:szCs w:val="17"/>
          <w:color w:val="auto"/>
        </w:rPr>
        <w:t xml:space="preserve">. The Borrower will not, and will not permit any Subsidiary to, directly or indirectly, enter into, incur or permit to exist any agreement or other arrangement that prohibits, restricts or imposes any condition upon (a) the ability of the Borrower or any of its Subsidiaries to create, incur or permit to exist any Lien upon any of its property or assets (other than any Lien permitted by Section 6.02), or (b) the ability of any Subsidiary to pay dividends or other distributions with respect to any shares of its capital stock or to make or repay loans or advances to the Borrower or any other Subsidiary or to Guarantee Indebtedness of the Borrower or any other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foregoing shall not apply to restrictions and conditions imposed by law or by any Loan Document, (ii)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(iii) clause (a) of the foregoing shall not apply to restrictions or conditions imposed by any agreement relating to secured Indebtedness permitted by this Agreement if such restrictions or conditions apply only to the property or assets securing such Indebtedness and (iv) clause (a) of the foregoing shall not apply to customary provisions in leases restricting the assignment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jc w:val="both"/>
        <w:ind w:firstLine="1297"/>
        <w:spacing w:after="0" w:line="272"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Unaffiliated Subordinated Indebtedness and Amendments to Unaffiliated Subordinated Indebtedness Documents</w:t>
      </w:r>
      <w:r>
        <w:rPr>
          <w:rFonts w:ascii="Arial" w:cs="Arial" w:eastAsia="Arial" w:hAnsi="Arial"/>
          <w:sz w:val="17"/>
          <w:szCs w:val="17"/>
          <w:color w:val="auto"/>
        </w:rPr>
        <w:t>. The Borrower will not, and will not permit any Subsidiary to, directly or indirectly voluntarily prepay, defease or in substance defease, purchase, redeem, retire or otherwise acquire, any Unaffiliated Subordinated Indebtedness or any Indebtedness from time to time outstanding under the Unaffiliated Subordinated Indebtedness Documents. Furthermore, the Borrower will not, and will not permit any Subsidiary to, amend the Unaffiliated Subordinated Indebtedness Documents or any document, agreement or instrument evidencing any Indebtedness incurred pursuant to the Unaffiliated Subordinated Indebtedness Documents (or any replacements, substitutions, extensions or renewals thereof) or pursuant to which such Indebtedness is issued where such amendment, modification or supplement provides for the following or which has any of the following effects:</w:t>
      </w:r>
    </w:p>
    <w:p>
      <w:pPr>
        <w:spacing w:after="0" w:line="178" w:lineRule="exact"/>
        <w:rPr>
          <w:sz w:val="20"/>
          <w:szCs w:val="20"/>
          <w:color w:val="auto"/>
        </w:rPr>
      </w:pPr>
    </w:p>
    <w:p>
      <w:pPr>
        <w:ind w:left="1960" w:hanging="655"/>
        <w:spacing w:after="0"/>
        <w:tabs>
          <w:tab w:leader="none" w:pos="1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increases the overall principal amount of any such Indebtedness or increases the amount of any single scheduled installment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principal or interest;</w:t>
      </w:r>
    </w:p>
    <w:p>
      <w:pPr>
        <w:spacing w:after="0" w:line="210" w:lineRule="exact"/>
        <w:rPr>
          <w:rFonts w:ascii="Arial" w:cs="Arial" w:eastAsia="Arial" w:hAnsi="Arial"/>
          <w:sz w:val="16"/>
          <w:szCs w:val="16"/>
          <w:color w:val="auto"/>
        </w:rPr>
      </w:pPr>
    </w:p>
    <w:p>
      <w:pPr>
        <w:ind w:left="1880" w:hanging="575"/>
        <w:spacing w:after="0"/>
        <w:tabs>
          <w:tab w:leader="none" w:pos="1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shortens or accelerates the date upon which any installment of principal or interest becomes due or adds any additional mandatory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redemption provisions;</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shortens the final maturity date of such Indebtedness or otherwise accelerates the amortization schedule with respect to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210" w:lineRule="exact"/>
        <w:rPr>
          <w:rFonts w:ascii="Arial" w:cs="Arial" w:eastAsia="Arial" w:hAnsi="Arial"/>
          <w:sz w:val="17"/>
          <w:szCs w:val="17"/>
          <w:color w:val="auto"/>
        </w:rPr>
      </w:pPr>
    </w:p>
    <w:p>
      <w:pPr>
        <w:ind w:left="1820" w:hanging="515"/>
        <w:spacing w:after="0"/>
        <w:tabs>
          <w:tab w:leader="none" w:pos="1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increases the rate of interest accruing on such Indebtedness;</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provides for the payment of additional fees or increases existing fees;</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79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amends or modifies any financial or negative covenant (or covenant which prohibits or restricts the Borrower or any Subsidiary from taking certain actions) in a manner which is more onerous or more restrictive in any material respect to the Borrower or such Subsidiary or which is otherwise materially adverse to the Borrower, any Subsidiary and/or the Lenders or, in the case of any such covenant, which places material additional restrictions on the Borrower or such Subsidiary or which requires the Borrower or such Subsidiary to comply with more restrictive financial ratios or which requires the Borrower to better its financial performance, in each case from that set forth in the existing applicable covenants in the Unaffiliated Subordinated Indebtedness Documents or the applicable covenants in this Agreement; or</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97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amends, modifies or adds any affirmative covenant in a manner which (i) when taken as a whole, is materially adverse to the Borrower, any Subsidiary and/or the Lenders or (ii) is more onerous than the existing applicable covenant in the Unaffiliated Subordinated Indebtedness Documents or the applicable covenant in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6.11. [Reserved].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7" w:lineRule="auto"/>
        <w:tabs>
          <w:tab w:leader="none" w:pos="190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Interest Coverage Ratio</w:t>
      </w:r>
      <w:r>
        <w:rPr>
          <w:rFonts w:ascii="Arial" w:cs="Arial" w:eastAsia="Arial" w:hAnsi="Arial"/>
          <w:sz w:val="18"/>
          <w:szCs w:val="18"/>
          <w:color w:val="auto"/>
        </w:rPr>
        <w:t>. The Borrower will not permit the Interest Coverage Ratio, determined as of the end of each of its fiscal quarters for any period of four consecutive fiscal quarters ending with the end of such fiscal quarter, to be less than 3.0 to 1.0.</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91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xml:space="preserve">. The Borrower will not permit the Leverage Ratio, determined as of the end of each of its fiscal quarters for any period of four consecutive fiscal quarters ending with the end of such fiscal quarter, to be greater than 3.0 to 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reimbursement obligations of the account party in respect of Letters of Credit with a maturity of one year or less (in an aggregate principal amount not to exceed the amount of Consolidated EBITDA for such period as of the end of such fiscal quarter) shall not be included in determining Consolidated Total Indebtedness for calculating the Leverage Ratio in accordance with this clause (b).</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following events shall each constitute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hereunder:</w:t>
      </w:r>
    </w:p>
    <w:p>
      <w:pPr>
        <w:spacing w:after="0" w:line="225" w:lineRule="exact"/>
        <w:rPr>
          <w:sz w:val="20"/>
          <w:szCs w:val="20"/>
          <w:color w:val="auto"/>
        </w:rPr>
      </w:pPr>
    </w:p>
    <w:p>
      <w:pPr>
        <w:ind w:right="20" w:firstLine="1305"/>
        <w:spacing w:after="0" w:line="308" w:lineRule="auto"/>
        <w:tabs>
          <w:tab w:leader="none" w:pos="18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8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Business Days;</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849"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171" w:lineRule="exact"/>
        <w:rPr>
          <w:rFonts w:ascii="Arial" w:cs="Arial" w:eastAsia="Arial" w:hAnsi="Arial"/>
          <w:sz w:val="17"/>
          <w:szCs w:val="17"/>
          <w:color w:val="auto"/>
        </w:rPr>
      </w:pPr>
    </w:p>
    <w:p>
      <w:pPr>
        <w:ind w:firstLine="1305"/>
        <w:spacing w:after="0" w:line="277" w:lineRule="auto"/>
        <w:tabs>
          <w:tab w:leader="none" w:pos="18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5.02(a), 5.03 (with respect to the Borrower’s existence), 5.08 or 5.11 or in Article VI or in Article X;</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9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Borrower or any Subsidiary Guarantor, as applicable, shall fail to observe or perform any covenant, condition or agreement contained in this Agreement (other than those which constitute a default under another Section of this Article) or any other Loan Document, and such failure shall continue unremedied for a period of 30 days after the earlier of such breach or notice thereof from the Administrative Agent to the Borrower (which notice will be given at the request of any Lender);</w:t>
      </w:r>
    </w:p>
    <w:p>
      <w:pPr>
        <w:spacing w:after="0" w:line="186" w:lineRule="exact"/>
        <w:rPr>
          <w:rFonts w:ascii="Arial" w:cs="Arial" w:eastAsia="Arial" w:hAnsi="Arial"/>
          <w:sz w:val="18"/>
          <w:szCs w:val="18"/>
          <w:color w:val="auto"/>
        </w:rPr>
      </w:pPr>
    </w:p>
    <w:p>
      <w:pPr>
        <w:ind w:right="20" w:firstLine="1305"/>
        <w:spacing w:after="0" w:line="277" w:lineRule="auto"/>
        <w:tabs>
          <w:tab w:leader="none" w:pos="18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Borrower or any Subsidiary shall fail to make any payment (whether of principal or interest and regardless of amount) in respect of any Material Indebtedness, when and as the same shall become due and payable;</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8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(g) shall not apply to secured Indebtedness that becomes due as a result of the voluntary sale or transfer of the property or assets securing such Indebtedness;</w:t>
      </w:r>
    </w:p>
    <w:p>
      <w:pPr>
        <w:spacing w:after="0" w:line="188" w:lineRule="exact"/>
        <w:rPr>
          <w:rFonts w:ascii="Arial" w:cs="Arial" w:eastAsia="Arial" w:hAnsi="Arial"/>
          <w:sz w:val="18"/>
          <w:szCs w:val="18"/>
          <w:color w:val="auto"/>
        </w:rPr>
      </w:pPr>
    </w:p>
    <w:p>
      <w:pPr>
        <w:jc w:val="both"/>
        <w:ind w:firstLine="1305"/>
        <w:spacing w:after="0" w:line="276" w:lineRule="auto"/>
        <w:tabs>
          <w:tab w:leader="none" w:pos="1928"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reorganization or other relief in respect of the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Subsidiary or for a substantial part of its assets, and, in any such case, such proceeding or petition shall continue undismissed for 60 days or an order or decree approving or ordering any of the foregoing shall be entered;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jc w:val="both"/>
        <w:ind w:firstLine="1305"/>
        <w:spacing w:after="0" w:line="273" w:lineRule="auto"/>
        <w:tabs>
          <w:tab w:leader="none" w:pos="217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78" w:lineRule="exact"/>
        <w:rPr>
          <w:rFonts w:ascii="Arial" w:cs="Arial" w:eastAsia="Arial" w:hAnsi="Arial"/>
          <w:sz w:val="17"/>
          <w:szCs w:val="17"/>
          <w:color w:val="auto"/>
        </w:rPr>
      </w:pPr>
    </w:p>
    <w:p>
      <w:pPr>
        <w:ind w:left="1880" w:hanging="575"/>
        <w:spacing w:after="0"/>
        <w:tabs>
          <w:tab w:leader="none" w:pos="1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Borrower or any Subsidiary shall become unable, admit in writing its inability or fail generally to pay its debts as they become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due;</w:t>
      </w:r>
    </w:p>
    <w:p>
      <w:pPr>
        <w:spacing w:after="0" w:line="210" w:lineRule="exact"/>
        <w:rPr>
          <w:rFonts w:ascii="Arial" w:cs="Arial" w:eastAsia="Arial" w:hAnsi="Arial"/>
          <w:sz w:val="16"/>
          <w:szCs w:val="16"/>
          <w:color w:val="auto"/>
        </w:rPr>
      </w:pPr>
    </w:p>
    <w:p>
      <w:pPr>
        <w:jc w:val="both"/>
        <w:ind w:firstLine="1305"/>
        <w:spacing w:after="0" w:line="302" w:lineRule="auto"/>
        <w:tabs>
          <w:tab w:leader="none" w:pos="1869" w:val="left"/>
        </w:tabs>
        <w:numPr>
          <w:ilvl w:val="0"/>
          <w:numId w:val="94"/>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$10,000,000 (to the extent not covered by a creditworthy insurer which has not denied coverage and subject to customary deductibles) shall be rendered against the Borrower or any Subsidiary or any combination thereof and the same shall remain undischarged for a period of 30 consecutive days during which execution shall not be effectively stayed, or any action shall be legally taken by a judgment creditor to attach or levy upon any assets of the Borrower or any Subsidiary to enforce any such judgment;</w:t>
      </w:r>
    </w:p>
    <w:p>
      <w:pPr>
        <w:spacing w:after="0" w:line="154" w:lineRule="exact"/>
        <w:rPr>
          <w:rFonts w:ascii="Arial" w:cs="Arial" w:eastAsia="Arial" w:hAnsi="Arial"/>
          <w:sz w:val="16"/>
          <w:szCs w:val="16"/>
          <w:color w:val="auto"/>
        </w:rPr>
      </w:pPr>
    </w:p>
    <w:p>
      <w:pPr>
        <w:ind w:firstLine="1305"/>
        <w:spacing w:after="0" w:line="277" w:lineRule="auto"/>
        <w:tabs>
          <w:tab w:leader="none" w:pos="184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would reasonably be expected to result in a Material Adverse Effect;</w:t>
      </w:r>
    </w:p>
    <w:p>
      <w:pPr>
        <w:spacing w:after="0" w:line="170" w:lineRule="exact"/>
        <w:rPr>
          <w:rFonts w:ascii="Arial" w:cs="Arial" w:eastAsia="Arial" w:hAnsi="Arial"/>
          <w:sz w:val="18"/>
          <w:szCs w:val="18"/>
          <w:color w:val="auto"/>
        </w:rPr>
      </w:pPr>
    </w:p>
    <w:p>
      <w:pPr>
        <w:ind w:left="1840" w:hanging="535"/>
        <w:spacing w:after="0"/>
        <w:tabs>
          <w:tab w:leader="none" w:pos="18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firstLine="1305"/>
        <w:spacing w:after="0" w:line="308" w:lineRule="auto"/>
        <w:tabs>
          <w:tab w:leader="none" w:pos="1862"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98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Subsidiary Guaranty shall fail to remain in full force or effect or any action shall be taken to discontinue or to assert the invalidity or unenforceability of the Subsidiary Guaranty, or any Subsidiary Guarantor shall fail to comply with any of the terms or provisions of the relevant Subsidiary Guaranty to which it is a party, or any Subsidiary Guarantor shall deny that it has any further liability under the Subsidiary Guaranty to which it is a party, or shall give notice to such effect;</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1944"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any Collateral Document shall for any reason fail to create a valid and perfected first priority security interest in any Collateral purported to be covered thereby, except as permitted by the terms of any Collateral Document, or any Collateral Document shall fail to remain in full force or effect or any action shall be taken to discontinue or to assert the invalidity or unenforceability of any Collateral Document, or any Loan Party shall fail to comply with any of the terms or provisions of any Collateral Document, or the Borrower, any Subsidiary or any holder of Affiliated Subordinated Debt shall fail to comply with the terms and conditions set forth in </w:t>
      </w:r>
      <w:r>
        <w:rPr>
          <w:rFonts w:ascii="Arial" w:cs="Arial" w:eastAsia="Arial" w:hAnsi="Arial"/>
          <w:sz w:val="17"/>
          <w:szCs w:val="17"/>
          <w:u w:val="single" w:color="auto"/>
          <w:color w:val="auto"/>
        </w:rPr>
        <w:t>Schedule 1.01</w:t>
      </w:r>
      <w:r>
        <w:rPr>
          <w:rFonts w:ascii="Arial" w:cs="Arial" w:eastAsia="Arial" w:hAnsi="Arial"/>
          <w:sz w:val="17"/>
          <w:szCs w:val="17"/>
          <w:color w:val="auto"/>
        </w:rPr>
        <w:t>, or any such terms and conditions shall fail to remain in full force or effect or any action shall be taken to discontinue or to assert the invalidity or unenforceability of such terms and conditions; or</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193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material provision of any Loan Document for any reason ceases to be valid, binding and enforceable in accordance with its terms (or the Borrower or any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p>
      <w:pPr>
        <w:jc w:val="both"/>
        <w:ind w:right="20" w:firstLine="1297"/>
        <w:spacing w:after="0" w:line="286"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Remedies Upon an Event of Default</w:t>
      </w:r>
      <w:r>
        <w:rPr>
          <w:rFonts w:ascii="Arial" w:cs="Arial" w:eastAsia="Arial" w:hAnsi="Arial"/>
          <w:sz w:val="17"/>
          <w:szCs w:val="17"/>
          <w:color w:val="auto"/>
        </w:rPr>
        <w:t>. If an Event of Default occurs (other than an event with respect to the Borrower described in Sections 7.01(h) or 7.01(i)), and at any time thereafter during the continuance of such Event of Default, the Administrative Agent may, and at the request of the Required Lenders shall, by notice to the Borrower, take any or all of the following actions, at the same or different times:</w:t>
      </w:r>
    </w:p>
    <w:p>
      <w:pPr>
        <w:spacing w:after="0" w:line="166" w:lineRule="exact"/>
        <w:rPr>
          <w:sz w:val="20"/>
          <w:szCs w:val="20"/>
          <w:color w:val="auto"/>
        </w:rPr>
      </w:pPr>
    </w:p>
    <w:p>
      <w:pPr>
        <w:ind w:left="1820" w:hanging="515"/>
        <w:spacing w:after="0"/>
        <w:tabs>
          <w:tab w:leader="none" w:pos="1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terminate the Commitments, and thereupon the Commitments shall terminate immediately;</w:t>
      </w:r>
    </w:p>
    <w:p>
      <w:pPr>
        <w:spacing w:after="0" w:line="225" w:lineRule="exact"/>
        <w:rPr>
          <w:rFonts w:ascii="Arial" w:cs="Arial" w:eastAsia="Arial" w:hAnsi="Arial"/>
          <w:sz w:val="18"/>
          <w:szCs w:val="18"/>
          <w:color w:val="auto"/>
        </w:rPr>
      </w:pPr>
    </w:p>
    <w:p>
      <w:pPr>
        <w:jc w:val="both"/>
        <w:ind w:firstLine="1305"/>
        <w:spacing w:after="0" w:line="302" w:lineRule="auto"/>
        <w:tabs>
          <w:tab w:leader="none" w:pos="1848" w:val="left"/>
        </w:tabs>
        <w:numPr>
          <w:ilvl w:val="0"/>
          <w:numId w:val="95"/>
        </w:numPr>
        <w:rPr>
          <w:rFonts w:ascii="Arial" w:cs="Arial" w:eastAsia="Arial" w:hAnsi="Arial"/>
          <w:sz w:val="16"/>
          <w:szCs w:val="16"/>
          <w:color w:val="auto"/>
        </w:rPr>
      </w:pPr>
      <w:r>
        <w:rPr>
          <w:rFonts w:ascii="Arial" w:cs="Arial" w:eastAsia="Arial" w:hAnsi="Arial"/>
          <w:sz w:val="16"/>
          <w:szCs w:val="16"/>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 accrued hereunder and under any other Loan Document, shall become due and payable immediately, without presentment, demand, protest or other notice of any kind, all of which are hereby waived by the Borrower;</w:t>
      </w:r>
    </w:p>
    <w:p>
      <w:pPr>
        <w:spacing w:after="0" w:line="154" w:lineRule="exact"/>
        <w:rPr>
          <w:rFonts w:ascii="Arial" w:cs="Arial" w:eastAsia="Arial" w:hAnsi="Arial"/>
          <w:sz w:val="16"/>
          <w:szCs w:val="16"/>
          <w:color w:val="auto"/>
        </w:rPr>
      </w:pPr>
    </w:p>
    <w:p>
      <w:pPr>
        <w:ind w:left="1860" w:hanging="555"/>
        <w:spacing w:after="0"/>
        <w:tabs>
          <w:tab w:leader="none" w:pos="1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require that the Borrower provide cash collateral as required in Section 2.06(j); and</w:t>
      </w:r>
    </w:p>
    <w:p>
      <w:pPr>
        <w:spacing w:after="0" w:line="225" w:lineRule="exact"/>
        <w:rPr>
          <w:rFonts w:ascii="Arial" w:cs="Arial" w:eastAsia="Arial" w:hAnsi="Arial"/>
          <w:sz w:val="18"/>
          <w:szCs w:val="18"/>
          <w:color w:val="auto"/>
        </w:rPr>
      </w:pPr>
    </w:p>
    <w:p>
      <w:pPr>
        <w:ind w:firstLine="1305"/>
        <w:spacing w:after="0" w:line="277" w:lineRule="auto"/>
        <w:tabs>
          <w:tab w:leader="none" w:pos="19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exercise on behalf of itself, the Lenders and the Issuing Banks all rights and remedies available to it, the Lenders and the Issuing Banks under the Loan Documents and Applicable Law.</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an Event of Default described in Sections 7.01(h) or 7.01(i) occurs with respect to the Borrower, the Commitments shall automatically terminate and the principal of the Loans then outstanding, together with accrued interest thereon and all fees and other Secured Obligations of the Borrower accrued hereunder and under any other Loan Document including any break funding payment or prepayment premium, shall automatically become due and payable, and the obligation of the Borrower to cash collateralize the LC Exposure as provided in clause (c) above shall automatically become effective, in each case, without presentment, demand, protest or other notice of any kind, all of which are hereby waived by the Borrower.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3" w:name="page124"/>
    <w:bookmarkEnd w:id="123"/>
    <w:p>
      <w:pPr>
        <w:jc w:val="both"/>
        <w:ind w:firstLine="648"/>
        <w:spacing w:after="0" w:line="267" w:lineRule="auto"/>
        <w:rPr>
          <w:sz w:val="20"/>
          <w:szCs w:val="20"/>
          <w:color w:val="auto"/>
        </w:rPr>
      </w:pPr>
      <w:r>
        <w:rPr>
          <w:rFonts w:ascii="Arial" w:cs="Arial" w:eastAsia="Arial" w:hAnsi="Arial"/>
          <w:sz w:val="17"/>
          <w:szCs w:val="17"/>
          <w:color w:val="auto"/>
        </w:rPr>
        <w:t xml:space="preserve">In addition to any other rights and remedies granted to the Administrative Agent and the Lenders in the Loan Documents, the Administrative Agent on behalf of the Lenders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required by </w:t>
      </w:r>
      <w:r>
        <w:rPr>
          <w:rFonts w:ascii="Arial" w:cs="Arial" w:eastAsia="Arial" w:hAnsi="Arial"/>
          <w:sz w:val="17"/>
          <w:szCs w:val="17"/>
          <w:u w:val="single" w:color="auto"/>
          <w:color w:val="auto"/>
        </w:rPr>
        <w:t>Section 2.18(b)</w:t>
      </w:r>
      <w:r>
        <w:rPr>
          <w:rFonts w:ascii="Arial" w:cs="Arial" w:eastAsia="Arial" w:hAnsi="Arial"/>
          <w:sz w:val="17"/>
          <w:szCs w:val="17"/>
          <w:color w:val="auto"/>
        </w:rPr>
        <w: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Subsidiaries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The Administrative Agent</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Each of the Lenders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United States of America, each of the Lenders, on behalf of itself and any of its Affiliates that are Holders of Secured Obligations, and the Issuing Banks hereby grant to the Administrative Agent any required powers of attorney to execute any Collateral Document governed by the laws of such jurisdiction on such Lender’s or Issuing Bank’s behalf. The provisions of this Article are solely for the benefit of the Administrative Agent, the Issuing Banks, and the Lenders, and neither the Borrower nor any other Loan Party shall have rights as a third party beneficiary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8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4" w:name="page125"/>
    <w:bookmarkEnd w:id="124"/>
    <w:p>
      <w:pPr>
        <w:jc w:val="both"/>
        <w:ind w:firstLine="1297"/>
        <w:spacing w:after="0" w:line="285" w:lineRule="auto"/>
        <w:rPr>
          <w:sz w:val="20"/>
          <w:szCs w:val="20"/>
          <w:color w:val="auto"/>
        </w:rPr>
      </w:pPr>
      <w:r>
        <w:rPr>
          <w:rFonts w:ascii="Arial" w:cs="Arial" w:eastAsia="Arial" w:hAnsi="Arial"/>
          <w:sz w:val="16"/>
          <w:szCs w:val="16"/>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jurisdiction by final and non-appealable judgment.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Article IV or elsewhere in any Loan Document, other than to confirm receipt of items expressly required to be delivered to the Administrative Agent.</w:t>
      </w:r>
    </w:p>
    <w:p>
      <w:pPr>
        <w:spacing w:after="0" w:line="17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with the understanding that the Administrative Agent’s duties with respect to all Loans and Letter of Credit denominated in Canadian Dollars will be administered by JPMorgan Chase Bank, N.A. (Toronto Branch) or such other affiliate thereof as may be designated by time to time.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the benefit of such retiring Administrative Agent, its sub agents and their respective Related Parties in respect of any actions taken or omitted to be taken by any of them while it was acting as Administrative Agent.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jc w:val="both"/>
        <w:ind w:firstLine="1297"/>
        <w:spacing w:after="0" w:line="270" w:lineRule="auto"/>
        <w:rPr>
          <w:sz w:val="20"/>
          <w:szCs w:val="20"/>
          <w:color w:val="auto"/>
        </w:rPr>
      </w:pPr>
      <w:r>
        <w:rPr>
          <w:rFonts w:ascii="Arial" w:cs="Arial" w:eastAsia="Arial" w:hAnsi="Arial"/>
          <w:sz w:val="17"/>
          <w:szCs w:val="17"/>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8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None of the Lenders, if any, identified in this Agreement as a Syndication Agent or a Co-Documentation Agent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Syndication Agent or Co-Documentation Agent, as applicable, as it makes with respect to the Administrative Agent in the preceding paragraph.</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Except with respect to the exercise of setoff rights of any Lender, in accordance with Section 9.08, the proceeds of which are applied in accordance with this Agreement, each Lender agrees that it will not take any action, nor institute any actions or proceedings, against the Borrower or with respect to any Loan Document, without the prior written consent of the Required Lenders or, as may be provided in this Agreement or the other Loan Documents, with the consent of the Administrative Agent.</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6" w:name="page127"/>
    <w:bookmarkEnd w:id="126"/>
    <w:p>
      <w:pPr>
        <w:jc w:val="both"/>
        <w:ind w:firstLine="1297"/>
        <w:spacing w:after="0" w:line="284" w:lineRule="auto"/>
        <w:rPr>
          <w:sz w:val="20"/>
          <w:szCs w:val="20"/>
          <w:color w:val="auto"/>
        </w:rPr>
      </w:pPr>
      <w:r>
        <w:rPr>
          <w:rFonts w:ascii="Arial" w:cs="Arial" w:eastAsia="Arial" w:hAnsi="Arial"/>
          <w:sz w:val="16"/>
          <w:szCs w:val="16"/>
          <w:color w:val="auto"/>
        </w:rPr>
        <w:t xml:space="preserve">In its capacity, the Administrative Agent is a “representative” of the Holders of Secured Obligations within the meaning of the term “secured party” as defined in the New York Uniform Commercial Code. Each Lender authorizes the Administrative Agent to enter into each of the Collateral Documents to which it is a party and to take all action contemplated by such documents. Each Lender agrees that no Holder of Secured Obligations (other than the Administrative Agent) shall have the right individually to seek to realize upon the security granted by any Collateral Document, it being understood and agreed that such rights and remedies may be exercised solely by the Administrative Agent for the benefit of the Holders of Secured Obligations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Holders of Secured Obligations any Loan Documents necessary or appropriate to grant and perfect a Lien on such Collateral in favor of the Administrative Agent on behalf of the Holders of Secured Obligations. The Lenders hereby authorize the Administrative Agent, at its option and in its discretion, to release any Lien granted to or held by the Administrative Agent upon any Collateral (i) as described in Section 9.02(d);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upon at least two Business Days’ prior reasonably detailed written request by the Borrower to the Administrative Agent, the Administrative Agent shall (and is hereby irrevocably authorized by the Lenders to) execute such documents as may be necessary to evidence the release of the Liens granted to the Administrative Agent for the benefit of the Holders of Secured Obligations herein or pursuant hereto upon the Collateral that was sold or transferred;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Administrative Agent shall not be required to execute any such document on terms which, in the Administrative Agent’s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Borrower or any Subsidiary in respect of) all interests retained by the Borrower or any Subsidiary, including (without limitation) the proceeds of the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39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 or any other Borrower) shall be entitled and empowered (but not obligated) by intervention in such proceeding or otherwise:</w:t>
      </w:r>
    </w:p>
    <w:p>
      <w:pPr>
        <w:spacing w:after="0" w:line="154" w:lineRule="exact"/>
        <w:rPr>
          <w:sz w:val="20"/>
          <w:szCs w:val="20"/>
          <w:color w:val="auto"/>
        </w:rPr>
      </w:pPr>
    </w:p>
    <w:p>
      <w:pPr>
        <w:jc w:val="both"/>
        <w:ind w:firstLine="1305"/>
        <w:spacing w:after="0" w:line="259" w:lineRule="auto"/>
        <w:tabs>
          <w:tab w:leader="none" w:pos="184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Exposure and all other Secured Obligations that are owing and unpaid and to file such other documents as may be necessary or advisable in order to have the claims of the Lenders, the Issuing Banks and the Administrative Agent (including any claim under Sections 2.12, 2.13, 2.15, 2.16, 2.17 and 9.03) allowed in such judicial proceeding; and</w:t>
      </w:r>
    </w:p>
    <w:p>
      <w:pPr>
        <w:spacing w:after="0" w:line="186" w:lineRule="exact"/>
        <w:rPr>
          <w:rFonts w:ascii="Arial" w:cs="Arial" w:eastAsia="Arial" w:hAnsi="Arial"/>
          <w:sz w:val="18"/>
          <w:szCs w:val="18"/>
          <w:color w:val="auto"/>
        </w:rPr>
      </w:pPr>
    </w:p>
    <w:p>
      <w:pPr>
        <w:ind w:left="1820" w:hanging="515"/>
        <w:spacing w:after="0"/>
        <w:tabs>
          <w:tab w:leader="none" w:pos="1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collect and receive any monies or other property payable or deliverable on any such claims and to distribute the same;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proceeding is hereby authorized by each Lender, any Issuing Bank and each other Holder of Secured Obligations to make such payments to the Administrative Agent and, in the event that the Administrative Agent shall consent to the making of such payments directly to the Lenders, the Issuing Banks or the other Holders of Secured Obligations, to pay to the Administrative Agent any amount due to it, in its capacity as the Administrative Agent, under the Loan Documents (including under Section 9.03).</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7" w:name="page128"/>
    <w:bookmarkEnd w:id="127"/>
    <w:p>
      <w:pPr>
        <w:jc w:val="both"/>
        <w:ind w:firstLine="1297"/>
        <w:spacing w:after="0" w:line="270" w:lineRule="auto"/>
        <w:rPr>
          <w:sz w:val="20"/>
          <w:szCs w:val="20"/>
          <w:color w:val="auto"/>
        </w:rPr>
      </w:pPr>
      <w:r>
        <w:rPr>
          <w:rFonts w:ascii="Arial" w:cs="Arial" w:eastAsia="Arial" w:hAnsi="Arial"/>
          <w:sz w:val="17"/>
          <w:szCs w:val="17"/>
          <w:color w:val="auto"/>
        </w:rPr>
        <w:t>The Borrower, on its behalf and on behalf of its Subsidiaries, and each Lender, on its behalf and on the behalf of its affiliated Holders of Secured Obligations, hereby irrevocably constitute the Administrative Agent as the holder of an irrevocable power of attorney (</w:t>
      </w:r>
      <w:r>
        <w:rPr>
          <w:rFonts w:ascii="Arial" w:cs="Arial" w:eastAsia="Arial" w:hAnsi="Arial"/>
          <w:sz w:val="17"/>
          <w:szCs w:val="17"/>
          <w:i w:val="1"/>
          <w:iCs w:val="1"/>
          <w:color w:val="auto"/>
        </w:rPr>
        <w:t>fondé de pouvoir</w:t>
      </w:r>
      <w:r>
        <w:rPr>
          <w:rFonts w:ascii="Arial" w:cs="Arial" w:eastAsia="Arial" w:hAnsi="Arial"/>
          <w:sz w:val="17"/>
          <w:szCs w:val="17"/>
          <w:color w:val="auto"/>
        </w:rPr>
        <w:t xml:space="preserve"> within the meaning of Article 2692 of the Civil Code of Québec) in order to hold hypothecs and security granted by the Borrower or any Subsidiary on property pursuant to the laws of the Province of Quebec to secure obligations of the Borrower or any Subsidiary under any bond, debenture or similar title of indebtedness issued by the Borrower or any Subsidiary in connection with this Agreement, and agree that the Administrative Agent may act as the bondholder and mandatary with respect to any bond, debenture or similar title of indebtedness that may be issued by the Borrower or any Subsidiary and pledged in favor of the Holders of Secured Obligations in connection with this Agreement. Notwithstanding the provisions of Section 32 of the An Act respecting the special powers of legal persons (Quebec), JPMorgan Chase Bank, N.A. as Administrative Agent may acquire and be the holder of any bond issued by the Borrower or any Subsidiary in connection with this Agreement (i.e., the fondé de pouvoir may acquire and hold the first bond issued under any deed of hypothec by the Borrower or any Subsidiary).</w:t>
      </w:r>
    </w:p>
    <w:p>
      <w:pPr>
        <w:spacing w:after="0" w:line="17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The Administrative Agent is hereby authorized to execute and deliver any documents necessary or appropriate to create and perfect the rights of pledge for the benefit of the Holders of Secured Obligations including a right of pledge with respect to the entitlements to profits, the balance left after winding up and the voting rights of the Borrower as ultimate parent of any subsidiary of the Borrower which is organized under the laws of the Netherlands and the Equity Interests of which are pledged in connection herewith (a “</w:t>
      </w:r>
      <w:r>
        <w:rPr>
          <w:rFonts w:ascii="Arial" w:cs="Arial" w:eastAsia="Arial" w:hAnsi="Arial"/>
          <w:sz w:val="17"/>
          <w:szCs w:val="17"/>
          <w:u w:val="single" w:color="auto"/>
          <w:color w:val="auto"/>
        </w:rPr>
        <w:t>Dutch Pledge</w:t>
      </w:r>
      <w:r>
        <w:rPr>
          <w:rFonts w:ascii="Arial" w:cs="Arial" w:eastAsia="Arial" w:hAnsi="Arial"/>
          <w:sz w:val="17"/>
          <w:szCs w:val="17"/>
          <w:color w:val="auto"/>
        </w:rPr>
        <w:t>”). Without prejudice to the provisions of this Agreement and the other Loan Documents, the parties hereto acknowledge and agree with the creation of parallel debt obligations of the Borrower or any relevant Subsidiary as will be described in any Dutch Pledge (the “</w:t>
      </w:r>
      <w:r>
        <w:rPr>
          <w:rFonts w:ascii="Arial" w:cs="Arial" w:eastAsia="Arial" w:hAnsi="Arial"/>
          <w:sz w:val="17"/>
          <w:szCs w:val="17"/>
          <w:u w:val="single" w:color="auto"/>
          <w:color w:val="auto"/>
        </w:rPr>
        <w:t>Parallel Debt</w:t>
      </w:r>
      <w:r>
        <w:rPr>
          <w:rFonts w:ascii="Arial" w:cs="Arial" w:eastAsia="Arial" w:hAnsi="Arial"/>
          <w:sz w:val="17"/>
          <w:szCs w:val="17"/>
          <w:color w:val="auto"/>
        </w:rPr>
        <w:t>”), including that any payment received by the Administrative Agent in respect of the Parallel Debt will – conditionally upon such payment not subsequently being avoided or reduced by virtue of any provisions or enactments relating to bankruptcy, insolvency, preference, liquidation or similar laws of general application – be deemed a satisfaction of a pro rata portion of the corresponding amounts of the Obligations, and any payment to the Holders of Secured Obligations in satisfaction of the Obligations shall – conditionally upon such payment not subsequently being avoided or reduced by virtue of any provisions or enactments relating to bankruptcy, insolvency, preference, liquidation or similar laws of general application – be deemed as satisfaction of the corresponding amount of the Parallel Debt. The parties hereto acknowledge and agree that, for purposes of a Dutch Pledge, any resignation by the Administrative Agent is not effective until its rights under the Parallel Debt are assigned to the successor Administrative Agent.</w:t>
      </w:r>
    </w:p>
    <w:p>
      <w:pPr>
        <w:spacing w:after="0" w:line="18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The parties hereto acknowledge and agree for the purposes of taking and ensuring the continuing validity of German law governed pledges (</w:t>
      </w:r>
      <w:r>
        <w:rPr>
          <w:rFonts w:ascii="Arial" w:cs="Arial" w:eastAsia="Arial" w:hAnsi="Arial"/>
          <w:sz w:val="16"/>
          <w:szCs w:val="16"/>
          <w:i w:val="1"/>
          <w:iCs w:val="1"/>
          <w:color w:val="auto"/>
        </w:rPr>
        <w:t>Pfandrechte</w:t>
      </w:r>
      <w:r>
        <w:rPr>
          <w:rFonts w:ascii="Arial" w:cs="Arial" w:eastAsia="Arial" w:hAnsi="Arial"/>
          <w:sz w:val="16"/>
          <w:szCs w:val="16"/>
          <w:color w:val="auto"/>
        </w:rPr>
        <w:t>) with the creation of parallel debt obligations of the Borrower and its Subsidiaries as will be further described in a separate German law governed parallel debt undertaking. The Administrative Agent shall (i) hold such parallel debt undertaking as fiduciary agent (</w:t>
      </w:r>
      <w:r>
        <w:rPr>
          <w:rFonts w:ascii="Arial" w:cs="Arial" w:eastAsia="Arial" w:hAnsi="Arial"/>
          <w:sz w:val="16"/>
          <w:szCs w:val="16"/>
          <w:i w:val="1"/>
          <w:iCs w:val="1"/>
          <w:color w:val="auto"/>
        </w:rPr>
        <w:t>Treuhaender</w:t>
      </w:r>
      <w:r>
        <w:rPr>
          <w:rFonts w:ascii="Arial" w:cs="Arial" w:eastAsia="Arial" w:hAnsi="Arial"/>
          <w:sz w:val="16"/>
          <w:szCs w:val="16"/>
          <w:color w:val="auto"/>
        </w:rPr>
        <w:t>) and</w:t>
      </w:r>
    </w:p>
    <w:p>
      <w:pPr>
        <w:jc w:val="both"/>
        <w:ind w:firstLine="8"/>
        <w:spacing w:after="0" w:line="288" w:lineRule="auto"/>
        <w:tabs>
          <w:tab w:leader="none" w:pos="269"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administer and hold as fiduciary agent (</w:t>
      </w:r>
      <w:r>
        <w:rPr>
          <w:rFonts w:ascii="Arial" w:cs="Arial" w:eastAsia="Arial" w:hAnsi="Arial"/>
          <w:sz w:val="16"/>
          <w:szCs w:val="16"/>
          <w:i w:val="1"/>
          <w:iCs w:val="1"/>
          <w:color w:val="auto"/>
        </w:rPr>
        <w:t>Treuhaender</w:t>
      </w:r>
      <w:r>
        <w:rPr>
          <w:rFonts w:ascii="Arial" w:cs="Arial" w:eastAsia="Arial" w:hAnsi="Arial"/>
          <w:sz w:val="16"/>
          <w:szCs w:val="16"/>
          <w:color w:val="auto"/>
        </w:rPr>
        <w:t>) any pledge created under a German law governed Collateral Document which is created in favor of any Holder of Secured Obligations or transferred to any Holder of Secured Obligations due to its accessory nature (</w:t>
      </w:r>
      <w:r>
        <w:rPr>
          <w:rFonts w:ascii="Arial" w:cs="Arial" w:eastAsia="Arial" w:hAnsi="Arial"/>
          <w:sz w:val="16"/>
          <w:szCs w:val="16"/>
          <w:i w:val="1"/>
          <w:iCs w:val="1"/>
          <w:color w:val="auto"/>
        </w:rPr>
        <w:t>Akzessorietaet</w:t>
      </w:r>
      <w:r>
        <w:rPr>
          <w:rFonts w:ascii="Arial" w:cs="Arial" w:eastAsia="Arial" w:hAnsi="Arial"/>
          <w:sz w:val="16"/>
          <w:szCs w:val="16"/>
          <w:color w:val="auto"/>
        </w:rPr>
        <w:t>), in each case in its own name and for the account of the Holders of Secured Obligations. Each Lender, on its own behalf and on behalf of its affiliated Holders of Secured Obligations, hereby authorizes the Administrative Agent to enter as its agent in its name and on its behalf into any German law governed Collateral Document, to accept as its agent in its name and on its behalf any pledge under such Collateral Document and to agree to and execute as agent in its name and on its behalf any amendments, supplements and other alterations to any such Collateral Document and to release any such Collateral Document and any pledge created under any such Collateral Document in accordance with the provisions herein and/or the provisions in any such Collateral Document.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8" w:name="page129"/>
    <w:bookmarkEnd w:id="128"/>
    <w:p>
      <w:pPr>
        <w:jc w:val="both"/>
        <w:ind w:firstLine="1297"/>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87" w:lineRule="exact"/>
        <w:rPr>
          <w:sz w:val="20"/>
          <w:szCs w:val="20"/>
          <w:color w:val="auto"/>
        </w:rPr>
      </w:pPr>
    </w:p>
    <w:p>
      <w:pPr>
        <w:ind w:left="980" w:firstLine="649"/>
        <w:spacing w:after="0" w:line="277" w:lineRule="auto"/>
        <w:tabs>
          <w:tab w:leader="none" w:pos="22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170" w:lineRule="exact"/>
        <w:rPr>
          <w:rFonts w:ascii="Arial" w:cs="Arial" w:eastAsia="Arial" w:hAnsi="Arial"/>
          <w:sz w:val="18"/>
          <w:szCs w:val="18"/>
          <w:color w:val="auto"/>
        </w:rPr>
      </w:pPr>
    </w:p>
    <w:p>
      <w:pPr>
        <w:jc w:val="both"/>
        <w:ind w:left="980" w:firstLine="649"/>
        <w:spacing w:after="0" w:line="273" w:lineRule="auto"/>
        <w:tabs>
          <w:tab w:leader="none" w:pos="2339"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8" w:lineRule="exact"/>
        <w:rPr>
          <w:rFonts w:ascii="Arial" w:cs="Arial" w:eastAsia="Arial" w:hAnsi="Arial"/>
          <w:sz w:val="17"/>
          <w:szCs w:val="17"/>
          <w:color w:val="auto"/>
        </w:rPr>
      </w:pPr>
    </w:p>
    <w:p>
      <w:pPr>
        <w:jc w:val="both"/>
        <w:ind w:left="980" w:firstLine="649"/>
        <w:spacing w:after="0" w:line="255" w:lineRule="auto"/>
        <w:tabs>
          <w:tab w:leader="none" w:pos="22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rFonts w:ascii="Arial" w:cs="Arial" w:eastAsia="Arial" w:hAnsi="Arial"/>
          <w:sz w:val="18"/>
          <w:szCs w:val="18"/>
          <w:color w:val="auto"/>
        </w:rPr>
      </w:pPr>
    </w:p>
    <w:p>
      <w:pPr>
        <w:ind w:left="980" w:firstLine="649"/>
        <w:spacing w:after="0" w:line="277" w:lineRule="auto"/>
        <w:tabs>
          <w:tab w:leader="none" w:pos="2298"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1305"/>
        <w:spacing w:after="0" w:line="254" w:lineRule="auto"/>
        <w:tabs>
          <w:tab w:leader="none" w:pos="1916"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Syndication Agent, any Co-Documentation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9" w:name="page130"/>
    <w:bookmarkEnd w:id="129"/>
    <w:p>
      <w:pPr>
        <w:jc w:val="both"/>
        <w:ind w:firstLine="1305"/>
        <w:spacing w:after="0" w:line="289" w:lineRule="auto"/>
        <w:tabs>
          <w:tab w:leader="none" w:pos="19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Administrative Agent, and each Arranger, 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Posting of Communications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64" w:lineRule="auto"/>
        <w:tabs>
          <w:tab w:leader="none" w:pos="18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 agrees that the Administrative Agent may, but shall not be obligated to, make any Communications available to the Lenders and the Issuing Bank by posting the Communications on IntraLinks™, DebtDomain, SyndTrak, ClearPar or any other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5"/>
        <w:spacing w:after="0" w:line="271" w:lineRule="auto"/>
        <w:tabs>
          <w:tab w:leader="none" w:pos="190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Banks and the Borrower hereby approves distribution of the Communications through the Approved Electronic Platform and understands and assumes the risks of such distribution.</w:t>
      </w:r>
    </w:p>
    <w:p>
      <w:pPr>
        <w:spacing w:after="0" w:line="178" w:lineRule="exact"/>
        <w:rPr>
          <w:rFonts w:ascii="Arial" w:cs="Arial" w:eastAsia="Arial" w:hAnsi="Arial"/>
          <w:sz w:val="17"/>
          <w:szCs w:val="17"/>
          <w:color w:val="auto"/>
        </w:rPr>
      </w:pPr>
    </w:p>
    <w:p>
      <w:pPr>
        <w:jc w:val="both"/>
        <w:ind w:firstLine="1305"/>
        <w:spacing w:after="0" w:line="252" w:lineRule="auto"/>
        <w:tabs>
          <w:tab w:leader="none" w:pos="20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CO-DOCUMENTATION AGENT, ANY SYNDICATION AGENT OR ANY OF THEIR RESPECTIVE RELATED PARTIES (COLLECTIVELY, “</w:t>
      </w:r>
      <w:r>
        <w:rPr>
          <w:rFonts w:ascii="Arial" w:cs="Arial" w:eastAsia="Arial" w:hAnsi="Arial"/>
          <w:sz w:val="18"/>
          <w:szCs w:val="18"/>
          <w:u w:val="single" w:color="auto"/>
          <w:color w:val="auto"/>
        </w:rPr>
        <w:t>APPLICABLE PARTIES</w:t>
      </w:r>
      <w:r>
        <w:rPr>
          <w:rFonts w:ascii="Arial" w:cs="Arial" w:eastAsia="Arial" w:hAnsi="Arial"/>
          <w:sz w:val="18"/>
          <w:szCs w:val="18"/>
          <w:color w:val="auto"/>
        </w:rPr>
        <w:t>”) HAVE ANY LIABILITY TO ANY LOAN PARTY, ANY LENDER, THE ISSUING BANKS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0" w:name="page131"/>
    <w:bookmarkEnd w:id="130"/>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66" w:lineRule="exact"/>
        <w:rPr>
          <w:sz w:val="20"/>
          <w:szCs w:val="20"/>
          <w:color w:val="auto"/>
        </w:rPr>
      </w:pPr>
    </w:p>
    <w:p>
      <w:pPr>
        <w:jc w:val="both"/>
        <w:ind w:firstLine="1305"/>
        <w:spacing w:after="0" w:line="257" w:lineRule="auto"/>
        <w:tabs>
          <w:tab w:leader="none" w:pos="18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184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the Lenders,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1" w:lineRule="exact"/>
        <w:rPr>
          <w:rFonts w:ascii="Arial" w:cs="Arial" w:eastAsia="Arial" w:hAnsi="Arial"/>
          <w:sz w:val="18"/>
          <w:szCs w:val="18"/>
          <w:color w:val="auto"/>
        </w:rPr>
      </w:pPr>
    </w:p>
    <w:p>
      <w:pPr>
        <w:ind w:firstLine="1305"/>
        <w:spacing w:after="0" w:line="277" w:lineRule="auto"/>
        <w:tabs>
          <w:tab w:leader="none" w:pos="188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Credit Bidding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Holders of Secured Obligations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jc w:val="both"/>
        <w:ind w:firstLine="8"/>
        <w:spacing w:after="0" w:line="283" w:lineRule="auto"/>
        <w:tabs>
          <w:tab w:leader="none" w:pos="25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of Secured Obligations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Holders of Secured Obligations’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Holders of Secured Obligations,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Holder of Secured Obligations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Holders of Secured Obligations pro rata with their original interest in such Obligations and the equity interests and/or debt instruments issued by any acquisition vehicle on account of such Obligations shall automatically be cancelled, without the need for any Holder of Secured Obligations or any acquisition vehicle to take any further action. Notwithstanding that the ratable portion of the Obligations of each Holder of Secured Obligations are deemed assigned to the acquisition vehicle or vehicles as set forth in clause (ii) above, each Holder of Secured Obligations shall execute such documents and provide such information regarding the Holder of Secured Obligations (and/or any designee of the Holder of Secured Obligations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81" w:lineRule="exact"/>
        <w:rPr>
          <w:sz w:val="20"/>
          <w:szCs w:val="20"/>
          <w:color w:val="auto"/>
        </w:rPr>
      </w:pPr>
    </w:p>
    <w:p>
      <w:pPr>
        <w:jc w:val="both"/>
        <w:ind w:left="980" w:firstLine="649"/>
        <w:spacing w:after="0" w:line="264" w:lineRule="auto"/>
        <w:tabs>
          <w:tab w:leader="none" w:pos="22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to the Borrower, to it at MYR Group Inc., Three Continental Towers, 1701 Golf Road, Suite 3-1012, Rolling Meadows, Illinois 60008, Attention of Betty R. Johnson, Senior Vice President, Chief Financial Officer and Treasurer (Telecopy No. (847) 290-1892; Telephone No. (847) 290-5861);</w:t>
      </w:r>
    </w:p>
    <w:p>
      <w:pPr>
        <w:spacing w:after="0" w:line="181" w:lineRule="exact"/>
        <w:rPr>
          <w:rFonts w:ascii="Arial" w:cs="Arial" w:eastAsia="Arial" w:hAnsi="Arial"/>
          <w:sz w:val="18"/>
          <w:szCs w:val="18"/>
          <w:color w:val="auto"/>
        </w:rPr>
      </w:pPr>
    </w:p>
    <w:p>
      <w:pPr>
        <w:ind w:left="2180" w:hanging="551"/>
        <w:spacing w:after="0"/>
        <w:tabs>
          <w:tab w:leader="none" w:pos="21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to the Administrative Agent, to JPMorgan Chase Bank, N.A., 10 South Dearborn, L2, Chicago, Illinois 60603, Attention of</w:t>
      </w:r>
    </w:p>
    <w:p>
      <w:pPr>
        <w:spacing w:after="0" w:line="35" w:lineRule="exact"/>
        <w:rPr>
          <w:sz w:val="20"/>
          <w:szCs w:val="20"/>
          <w:color w:val="auto"/>
        </w:rPr>
      </w:pPr>
    </w:p>
    <w:p>
      <w:pPr>
        <w:ind w:left="980"/>
        <w:spacing w:after="0" w:line="205" w:lineRule="auto"/>
        <w:rPr>
          <w:sz w:val="20"/>
          <w:szCs w:val="20"/>
          <w:color w:val="auto"/>
        </w:rPr>
      </w:pPr>
      <w:r>
        <w:rPr>
          <w:rFonts w:ascii="Arial" w:cs="Arial" w:eastAsia="Arial" w:hAnsi="Arial"/>
          <w:sz w:val="18"/>
          <w:szCs w:val="18"/>
          <w:color w:val="auto"/>
        </w:rPr>
        <w:t>Yuvette Owens (Telecopy No. (844) 490-5663),with a copy to JPMorgan Chase Bank, N.A., Mail Code IL1-1203, 10 S. Dearborn Street, 35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Chicago, Illinois, 60603, Attention of Christopher Collins (Telecopy No. (312) 386-7608);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2" w:name="page133"/>
    <w:bookmarkEnd w:id="132"/>
    <w:p>
      <w:pPr>
        <w:ind w:left="2120" w:hanging="491"/>
        <w:spacing w:after="0"/>
        <w:tabs>
          <w:tab w:leader="none" w:pos="2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to the Issuing Banks:</w:t>
      </w:r>
    </w:p>
    <w:p>
      <w:pPr>
        <w:spacing w:after="0" w:line="225" w:lineRule="exact"/>
        <w:rPr>
          <w:rFonts w:ascii="Arial" w:cs="Arial" w:eastAsia="Arial" w:hAnsi="Arial"/>
          <w:sz w:val="18"/>
          <w:szCs w:val="18"/>
          <w:color w:val="auto"/>
        </w:rPr>
      </w:pPr>
    </w:p>
    <w:p>
      <w:pPr>
        <w:jc w:val="both"/>
        <w:ind w:left="1800" w:firstLine="489"/>
        <w:spacing w:after="0" w:line="302" w:lineRule="auto"/>
        <w:tabs>
          <w:tab w:leader="none" w:pos="2591" w:val="left"/>
        </w:tabs>
        <w:numPr>
          <w:ilvl w:val="2"/>
          <w:numId w:val="105"/>
        </w:numPr>
        <w:rPr>
          <w:rFonts w:ascii="Arial" w:cs="Arial" w:eastAsia="Arial" w:hAnsi="Arial"/>
          <w:sz w:val="16"/>
          <w:szCs w:val="16"/>
          <w:color w:val="auto"/>
        </w:rPr>
      </w:pPr>
      <w:r>
        <w:rPr>
          <w:rFonts w:ascii="Arial" w:cs="Arial" w:eastAsia="Arial" w:hAnsi="Arial"/>
          <w:sz w:val="16"/>
          <w:szCs w:val="16"/>
          <w:color w:val="auto"/>
        </w:rPr>
        <w:t>in the case of JPMorgan Chase Bank, N.A. (A) in the case of a Letter of Credit denominated in Dollars, to it at JPMorgan Chase Bank, N.A., 10 South Dearborn, Chicago, Illinois 60603, (Telephone No. (855) 609-0059), (Fax: (214) 307-6784) and (B) in the case of a Letter of Credit denominated in a Foreign Currency, to it at JPMorgan Chase Bank, N.A. (Toronto Branch), Suite 4500, TD Tower, 66 Wellington Street West, Toronto, Ontario, M5K 1E7, Attention: Jennifer L. McLaughlin (Telecopy: (844) 320-8504);</w:t>
      </w:r>
    </w:p>
    <w:p>
      <w:pPr>
        <w:spacing w:after="0" w:line="154" w:lineRule="exact"/>
        <w:rPr>
          <w:rFonts w:ascii="Arial" w:cs="Arial" w:eastAsia="Arial" w:hAnsi="Arial"/>
          <w:sz w:val="16"/>
          <w:szCs w:val="16"/>
          <w:color w:val="auto"/>
        </w:rPr>
      </w:pPr>
    </w:p>
    <w:p>
      <w:pPr>
        <w:ind w:left="2580" w:hanging="291"/>
        <w:spacing w:after="0"/>
        <w:tabs>
          <w:tab w:leader="none" w:pos="258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if to Bank of America, N.A., to it at Bank of America, N.A., Attention of Kristine Parker (Telecopy No. 415-343-9311);</w:t>
      </w:r>
    </w:p>
    <w:p>
      <w:pPr>
        <w:spacing w:after="0" w:line="236" w:lineRule="exact"/>
        <w:rPr>
          <w:rFonts w:ascii="Arial" w:cs="Arial" w:eastAsia="Arial" w:hAnsi="Arial"/>
          <w:sz w:val="17"/>
          <w:szCs w:val="17"/>
          <w:color w:val="auto"/>
        </w:rPr>
      </w:pPr>
    </w:p>
    <w:p>
      <w:pPr>
        <w:ind w:left="1800" w:right="20" w:firstLine="477"/>
        <w:spacing w:after="0" w:line="277" w:lineRule="auto"/>
        <w:tabs>
          <w:tab w:leader="none" w:pos="260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to Bank of Montreal, to it at Bank of Montreal, Global Trade Operations, 234 Simcoe Street, 3rd Floor, Toronto, Ontario, Canada M5T 1T4, Attn: Irene Lee, (Phone Number: 416-598-6594, Fax Number: 877- 801-7787);</w:t>
      </w:r>
    </w:p>
    <w:p>
      <w:pPr>
        <w:spacing w:after="0" w:line="170" w:lineRule="exact"/>
        <w:rPr>
          <w:rFonts w:ascii="Arial" w:cs="Arial" w:eastAsia="Arial" w:hAnsi="Arial"/>
          <w:sz w:val="18"/>
          <w:szCs w:val="18"/>
          <w:color w:val="auto"/>
        </w:rPr>
      </w:pPr>
    </w:p>
    <w:p>
      <w:pPr>
        <w:ind w:left="1800" w:right="60" w:firstLine="477"/>
        <w:spacing w:after="0" w:line="277" w:lineRule="auto"/>
        <w:tabs>
          <w:tab w:leader="none" w:pos="258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to CIBC Bank USA, to it at 70 W. Madison, Suite 200, Chicago, IL 60602, Attn: Trade Operations (Fax: 312-800-9816, Telephone: 312-564-2000); and</w:t>
      </w:r>
    </w:p>
    <w:p>
      <w:pPr>
        <w:spacing w:after="0" w:line="170" w:lineRule="exact"/>
        <w:rPr>
          <w:rFonts w:ascii="Arial" w:cs="Arial" w:eastAsia="Arial" w:hAnsi="Arial"/>
          <w:sz w:val="18"/>
          <w:szCs w:val="18"/>
          <w:color w:val="auto"/>
        </w:rPr>
      </w:pPr>
    </w:p>
    <w:p>
      <w:pPr>
        <w:ind w:left="2060" w:hanging="431"/>
        <w:spacing w:after="0"/>
        <w:tabs>
          <w:tab w:leader="none" w:pos="2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87" w:lineRule="exact"/>
        <w:rPr>
          <w:sz w:val="20"/>
          <w:szCs w:val="20"/>
          <w:color w:val="auto"/>
        </w:rPr>
      </w:pPr>
    </w:p>
    <w:p>
      <w:pPr>
        <w:jc w:val="both"/>
        <w:ind w:firstLine="1305"/>
        <w:spacing w:after="0" w:line="257" w:lineRule="auto"/>
        <w:tabs>
          <w:tab w:leader="none" w:pos="202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Banks hereunder may be delivered or furnished by using Approved Electronic Platforms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left="1840" w:hanging="535"/>
        <w:spacing w:after="0"/>
        <w:tabs>
          <w:tab w:leader="none" w:pos="18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3" w:name="page134"/>
    <w:bookmarkEnd w:id="133"/>
    <w:p>
      <w:pPr>
        <w:jc w:val="both"/>
        <w:ind w:firstLine="1297"/>
        <w:spacing w:after="0" w:line="270"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2" w:lineRule="exact"/>
        <w:rPr>
          <w:sz w:val="20"/>
          <w:szCs w:val="20"/>
          <w:color w:val="auto"/>
        </w:rPr>
      </w:pPr>
    </w:p>
    <w:p>
      <w:pPr>
        <w:jc w:val="both"/>
        <w:ind w:firstLine="1305"/>
        <w:spacing w:after="0" w:line="284" w:lineRule="auto"/>
        <w:tabs>
          <w:tab w:leader="none" w:pos="189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Except as provided in Section 2.04 with respect to an Incremental Term Loan Amendment and subject to Section 2.14(c), Section 9.02(c) and Section 9.02(f),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(ii) reduce or forgive the principal amount of any Loan or LC Disbursement or reduce the rate of interest thereon, or reduce or forgive any interest or fees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(ii)),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directly affected thereby, (iv) change Section 2.18(b) or (d) in a manner that would alter the pro rata sharing of payments required thereby, without the written consent of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limitation in respect of Sections 2.18(b) and (d) shall not prohibit each Lender directly affected thereby from consenting, upon the request of the Borrower, to the extension of the final maturity date of its Loans and other Obligations or the scheduled date of expiration of its Commitment beyond the Maturity Date as contemplated by Section 9.02(b)(iii) above, (v)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(it being understood that, solely with the consent of the parties prescribed by Section 2.04 to be parties to an Incremental Term Loan Amendment, Incremental Term Loans may be included in the determination of Required Lenders on substantially the same basis as the Commitments and the Revolving Loans are included on the Effective Date), (vi) (x) release the Borrower from its obligations under Article X or (y) release all or substantially all of the Subsidiary Guarantors from their obligation under the Subsidiary Guaranty (except as otherwise permitted herein or in the other Loan Documents), without the written consent of each Lender, or (vii) except as provided in clauses (d) and (e) of this Section or in any Collateral Document, release all or substantially all of the Collateral, without the written consent of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no such agreement shall amend, modify or otherwise affect the rights or duties of the Administrative Agent or any Issuing Bank hereunder without the prior written consent of the Administrative Agent or such Issuing Bank, as the case may be. The Administrative Agent may also amend the </w:t>
      </w:r>
      <w:r>
        <w:rPr>
          <w:rFonts w:ascii="Arial" w:cs="Arial" w:eastAsia="Arial" w:hAnsi="Arial"/>
          <w:sz w:val="16"/>
          <w:szCs w:val="16"/>
          <w:u w:val="single" w:color="auto"/>
          <w:color w:val="auto"/>
        </w:rPr>
        <w:t>Commitment Schedule</w:t>
      </w:r>
      <w:r>
        <w:rPr>
          <w:rFonts w:ascii="Arial" w:cs="Arial" w:eastAsia="Arial" w:hAnsi="Arial"/>
          <w:sz w:val="16"/>
          <w:szCs w:val="16"/>
          <w:color w:val="auto"/>
        </w:rPr>
        <w:t xml:space="preserve"> to reflect assignments entered into pursuant to Section 9.04.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4" w:name="page135"/>
    <w:bookmarkEnd w:id="134"/>
    <w:p>
      <w:pPr>
        <w:jc w:val="both"/>
        <w:ind w:firstLine="1305"/>
        <w:spacing w:after="0" w:line="291" w:lineRule="auto"/>
        <w:tabs>
          <w:tab w:leader="none" w:pos="185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Notwithstanding the foregoing, this Agreement and any other Loan Document may be amended (or amended and restated) with the written consent of the Required Lenders, the Administrative Agent and the Borrower to each relevant Loan Document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 provided that no such amendment (or amendment or restatement) shall increase the Commitment or change the Applicable Percentage of any Lender without the written consent of such Lender.</w:t>
      </w:r>
    </w:p>
    <w:p>
      <w:pPr>
        <w:spacing w:after="0" w:line="167" w:lineRule="exact"/>
        <w:rPr>
          <w:rFonts w:ascii="Arial" w:cs="Arial" w:eastAsia="Arial" w:hAnsi="Arial"/>
          <w:sz w:val="16"/>
          <w:szCs w:val="16"/>
          <w:color w:val="auto"/>
        </w:rPr>
      </w:pPr>
    </w:p>
    <w:p>
      <w:pPr>
        <w:jc w:val="both"/>
        <w:ind w:firstLine="1305"/>
        <w:spacing w:after="0" w:line="286" w:lineRule="auto"/>
        <w:tabs>
          <w:tab w:leader="none" w:pos="193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Lenders hereby irrevocably authorize the Administrative Agent, at its option and in its sole discretion, to release any Liens granted to the Administrative Agent by the Loan Parties on any Collateral (i) upon the termination of the Commitments, payment and satisfaction in full in cash of all Secured Obligations (other than Unliquidated Obligations), and the cash collateralization of all Unliquidated Obligations in a manner satisfactory to the Administrative Agent, (ii) constituting property being sold or disposed of if the Borrower certifies to the Administrative Agent that the sale or disposition is made in compliance with the terms of this Agreement (and the Administrative Agent may rely conclusively on any such certificate, without further inquiry), (iii) constituting property leased to the Borrower or any Subsidiary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The Administrative Agent, at its option and in its discretion, is hereby authorized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Holder of Secured Obligations for any failure to monitor or maintain any portion of the Collateral.</w:t>
      </w:r>
    </w:p>
    <w:p>
      <w:pPr>
        <w:spacing w:after="0" w:line="168" w:lineRule="exact"/>
        <w:rPr>
          <w:rFonts w:ascii="Arial" w:cs="Arial" w:eastAsia="Arial" w:hAnsi="Arial"/>
          <w:sz w:val="16"/>
          <w:szCs w:val="16"/>
          <w:color w:val="auto"/>
        </w:rPr>
      </w:pPr>
    </w:p>
    <w:p>
      <w:pPr>
        <w:jc w:val="both"/>
        <w:ind w:firstLine="1305"/>
        <w:spacing w:after="0" w:line="269" w:lineRule="auto"/>
        <w:tabs>
          <w:tab w:leader="none" w:pos="18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then the Borrower may elect to replace a Non-Consenting Lender as a Lender party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the outstanding principal amount of its Loans and participations in LC Disbursements and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5" w:name="page136"/>
    <w:bookmarkEnd w:id="135"/>
    <w:p>
      <w:pPr>
        <w:ind w:firstLine="1305"/>
        <w:spacing w:after="0" w:line="308" w:lineRule="auto"/>
        <w:tabs>
          <w:tab w:leader="none" w:pos="193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4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Borrower shall pay (i) all reasonable out of pocket expenses incurred by the Administrative Agent and its Affiliates, including the reasonable fees, charges and disbursements of counsel for the Administrative Agent, in connection with the initial general syndication and distribution (including, without limitation, via the internet or through a service such as Intralinks) of the credit facilities provided for herein, the preparation and administration of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reasonable out-of-pocket expenses incurred by the Administrative Agent, any Issuing Bank or any Lender, including the fees, charges and disbursements of any counsel for the Administrative Agent, any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69" w:lineRule="exact"/>
        <w:rPr>
          <w:sz w:val="20"/>
          <w:szCs w:val="20"/>
          <w:color w:val="auto"/>
        </w:rPr>
      </w:pPr>
    </w:p>
    <w:p>
      <w:pPr>
        <w:jc w:val="both"/>
        <w:ind w:firstLine="1305"/>
        <w:spacing w:after="0" w:line="285" w:lineRule="auto"/>
        <w:tabs>
          <w:tab w:leader="none" w:pos="186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penalties, liabilities and related reasonable out-of-pocket expenses, including the fees, charges and disbursements of any counsel for any Indemnitee, incurred by or asserted against any Indemnitee arising out of, in connection with any actual or prospective claim, litigation, investigation, arbitration or proceeding, whether based on contract, tort or any other theory and regardless of whether any Indemnitee is a party thereto, relating to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arbitration or proceeding relating to any of the foregoing, whether or not such claim, litigation, investigation, arbitration or proceeding is brought by the Borrower or any other Loan Party or its or their respective equity holders, Affiliates, creditors or any third Person and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(x) the gross negligence or willful misconduct of such Indemnitee (or any Related Party thereof) or (y) a claim made by the Borrower against an Indemnitee for breach by such Indemnitee (or any Related Party thereof) of its obligations under the Loan Documents. Paragraph (b) of this Section shall not apply with respect to Taxes other than any Taxes that represent losses, claims, damages, etc. arising from any non-Tax claim.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6" w:name="page137"/>
    <w:bookmarkEnd w:id="136"/>
    <w:p>
      <w:pPr>
        <w:jc w:val="both"/>
        <w:ind w:firstLine="1305"/>
        <w:spacing w:after="0" w:line="276" w:lineRule="auto"/>
        <w:tabs>
          <w:tab w:leader="none" w:pos="187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To the extent that the Borrower fails to pay any amount required to be paid by it to the Administrative Agent or any Issuing Bank under paragraph (a) or (b) 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penalty, liability or related expense, as the case may be, was incurred by or asserted against the Administrative Agent or such Issuing Bank in its capacity as such.</w:t>
      </w:r>
    </w:p>
    <w:p>
      <w:pPr>
        <w:spacing w:after="0" w:line="172" w:lineRule="exact"/>
        <w:rPr>
          <w:rFonts w:ascii="Arial" w:cs="Arial" w:eastAsia="Arial" w:hAnsi="Arial"/>
          <w:sz w:val="17"/>
          <w:szCs w:val="17"/>
          <w:color w:val="auto"/>
        </w:rPr>
      </w:pPr>
    </w:p>
    <w:p>
      <w:pPr>
        <w:jc w:val="both"/>
        <w:ind w:firstLine="1305"/>
        <w:spacing w:after="0" w:line="288" w:lineRule="auto"/>
        <w:tabs>
          <w:tab w:leader="none" w:pos="188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each party hereto shall not assert, and hereby waives, any claim against any other party hereto and its Related Parties,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contained in this sentence shall limit the Borrower’s indemnity obligations to Indemnitees to the extent set forth in Section 9.03(b) above for any special, indirect, consequential or punitive damages claimed against such Indemnitees in respect of any actual or prospective claim, litigation, investigation, arbitration or proceeding made by a party other than the Borrower or any Subsidiary or Affiliate thereof. No Indemnitee referred to in Section 9.03(b)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for damages arising from the gross negligence or willful misconduct of such Indemnitee as determined by a court of competent jurisdiction by final and non-appealable judgment.</w:t>
      </w:r>
    </w:p>
    <w:p>
      <w:pPr>
        <w:spacing w:after="0" w:line="169" w:lineRule="exact"/>
        <w:rPr>
          <w:rFonts w:ascii="Arial" w:cs="Arial" w:eastAsia="Arial" w:hAnsi="Arial"/>
          <w:sz w:val="16"/>
          <w:szCs w:val="16"/>
          <w:color w:val="auto"/>
        </w:rPr>
      </w:pPr>
    </w:p>
    <w:p>
      <w:pPr>
        <w:ind w:left="1800" w:hanging="495"/>
        <w:spacing w:after="0"/>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any Issuing Bank that issues any Letter of Credit), except that</w:t>
      </w:r>
    </w:p>
    <w:p>
      <w:pPr>
        <w:jc w:val="both"/>
        <w:ind w:firstLine="8"/>
        <w:spacing w:after="0" w:line="290" w:lineRule="auto"/>
        <w:tabs>
          <w:tab w:leader="none" w:pos="23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7" w:name="page138"/>
    <w:bookmarkEnd w:id="137"/>
    <w:p>
      <w:pPr>
        <w:jc w:val="both"/>
        <w:ind w:firstLine="1305"/>
        <w:spacing w:after="0" w:line="264" w:lineRule="auto"/>
        <w:tabs>
          <w:tab w:leader="none" w:pos="19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181" w:lineRule="exact"/>
        <w:rPr>
          <w:rFonts w:ascii="Arial" w:cs="Arial" w:eastAsia="Arial" w:hAnsi="Arial"/>
          <w:sz w:val="18"/>
          <w:szCs w:val="18"/>
          <w:color w:val="auto"/>
        </w:rPr>
      </w:pPr>
    </w:p>
    <w:p>
      <w:pPr>
        <w:jc w:val="both"/>
        <w:ind w:left="660" w:right="20" w:firstLine="1293"/>
        <w:spacing w:after="0" w:line="259" w:lineRule="auto"/>
        <w:tabs>
          <w:tab w:leader="none" w:pos="227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 xml:space="preserve">the Borrower (provided that the Borrower shall be deemed to have consented to any such assignment unless it shall object thereto by written notice to the Administrative Agent within five (5) Business Days after having received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no consent of the Borrower shall be required for an assignment to a Lender, an Affiliate of a Lender, an Approved Fund or, if an Event of Default has occurred and is continuing, any other assignee;</w:t>
      </w:r>
    </w:p>
    <w:p>
      <w:pPr>
        <w:spacing w:after="0" w:line="186" w:lineRule="exact"/>
        <w:rPr>
          <w:rFonts w:ascii="Arial" w:cs="Arial" w:eastAsia="Arial" w:hAnsi="Arial"/>
          <w:sz w:val="18"/>
          <w:szCs w:val="18"/>
          <w:color w:val="auto"/>
        </w:rPr>
      </w:pPr>
    </w:p>
    <w:p>
      <w:pPr>
        <w:ind w:left="2240" w:hanging="287"/>
        <w:spacing w:after="0"/>
        <w:tabs>
          <w:tab w:leader="none" w:pos="224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Administrative Agent; and</w:t>
      </w:r>
    </w:p>
    <w:p>
      <w:pPr>
        <w:spacing w:after="0" w:line="225" w:lineRule="exact"/>
        <w:rPr>
          <w:rFonts w:ascii="Arial" w:cs="Arial" w:eastAsia="Arial" w:hAnsi="Arial"/>
          <w:sz w:val="18"/>
          <w:szCs w:val="18"/>
          <w:color w:val="auto"/>
        </w:rPr>
      </w:pPr>
    </w:p>
    <w:p>
      <w:pPr>
        <w:ind w:left="2240" w:hanging="287"/>
        <w:spacing w:after="0"/>
        <w:tabs>
          <w:tab w:leader="none" w:pos="224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Issuing Banks.</w:t>
      </w:r>
    </w:p>
    <w:p>
      <w:pPr>
        <w:spacing w:after="0" w:line="225" w:lineRule="exact"/>
        <w:rPr>
          <w:rFonts w:ascii="Arial" w:cs="Arial" w:eastAsia="Arial" w:hAnsi="Arial"/>
          <w:sz w:val="18"/>
          <w:szCs w:val="18"/>
          <w:color w:val="auto"/>
        </w:rPr>
      </w:pPr>
    </w:p>
    <w:p>
      <w:pPr>
        <w:ind w:left="2080" w:hanging="257"/>
        <w:spacing w:after="0"/>
        <w:tabs>
          <w:tab w:leader="none" w:pos="2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jc w:val="both"/>
        <w:ind w:left="660" w:firstLine="1293"/>
        <w:spacing w:after="0" w:line="276" w:lineRule="auto"/>
        <w:tabs>
          <w:tab w:leader="none" w:pos="2254" w:val="left"/>
        </w:tabs>
        <w:numPr>
          <w:ilvl w:val="2"/>
          <w:numId w:val="114"/>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has occurred and is continuing;</w:t>
      </w:r>
    </w:p>
    <w:p>
      <w:pPr>
        <w:spacing w:after="0" w:line="172" w:lineRule="exact"/>
        <w:rPr>
          <w:rFonts w:ascii="Arial" w:cs="Arial" w:eastAsia="Arial" w:hAnsi="Arial"/>
          <w:sz w:val="17"/>
          <w:szCs w:val="17"/>
          <w:color w:val="auto"/>
        </w:rPr>
      </w:pPr>
    </w:p>
    <w:p>
      <w:pPr>
        <w:ind w:left="660" w:firstLine="1293"/>
        <w:spacing w:after="0" w:line="277" w:lineRule="auto"/>
        <w:tabs>
          <w:tab w:leader="none" w:pos="2275" w:val="left"/>
        </w:tabs>
        <w:numPr>
          <w:ilvl w:val="2"/>
          <w:numId w:val="114"/>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170" w:lineRule="exact"/>
        <w:rPr>
          <w:rFonts w:ascii="Arial" w:cs="Arial" w:eastAsia="Arial" w:hAnsi="Arial"/>
          <w:sz w:val="18"/>
          <w:szCs w:val="18"/>
          <w:color w:val="auto"/>
        </w:rPr>
      </w:pPr>
    </w:p>
    <w:p>
      <w:pPr>
        <w:jc w:val="both"/>
        <w:ind w:left="660" w:firstLine="1293"/>
        <w:spacing w:after="0" w:line="302" w:lineRule="auto"/>
        <w:tabs>
          <w:tab w:leader="none" w:pos="2246" w:val="left"/>
        </w:tabs>
        <w:numPr>
          <w:ilvl w:val="2"/>
          <w:numId w:val="114"/>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154" w:lineRule="exact"/>
        <w:rPr>
          <w:rFonts w:ascii="Arial" w:cs="Arial" w:eastAsia="Arial" w:hAnsi="Arial"/>
          <w:sz w:val="16"/>
          <w:szCs w:val="16"/>
          <w:color w:val="auto"/>
        </w:rPr>
      </w:pPr>
    </w:p>
    <w:p>
      <w:pPr>
        <w:jc w:val="both"/>
        <w:ind w:left="660" w:firstLine="1293"/>
        <w:spacing w:after="0" w:line="279" w:lineRule="auto"/>
        <w:tabs>
          <w:tab w:leader="none" w:pos="2253" w:val="left"/>
        </w:tabs>
        <w:numPr>
          <w:ilvl w:val="2"/>
          <w:numId w:val="114"/>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which the assignee designates one or more credit contacts to whom all syndicate-level information (which may contain, subject to Section 9.12, material non-public information about the Borrower and its Subsidiaries) will be made available and who may receive such information in accordance with the assignee’s compliance procedures and applicable laws, including Federal and state securities laws.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purposes of this Section 9.04(b), the terms “</w:t>
      </w:r>
      <w:r>
        <w:rPr>
          <w:rFonts w:ascii="Arial" w:cs="Arial" w:eastAsia="Arial" w:hAnsi="Arial"/>
          <w:sz w:val="18"/>
          <w:szCs w:val="18"/>
          <w:u w:val="single" w:color="auto"/>
          <w:color w:val="auto"/>
        </w:rPr>
        <w:t>Approved Fund</w:t>
      </w:r>
      <w:r>
        <w:rPr>
          <w:rFonts w:ascii="Arial" w:cs="Arial" w:eastAsia="Arial" w:hAnsi="Arial"/>
          <w:sz w:val="18"/>
          <w:szCs w:val="18"/>
          <w:color w:val="auto"/>
        </w:rPr>
        <w:t>” and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have the following meanings: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8" w:name="page139"/>
    <w:bookmarkEnd w:id="138"/>
    <w:p>
      <w:pPr>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Institution</w:t>
      </w:r>
      <w:r>
        <w:rPr>
          <w:rFonts w:ascii="Arial" w:cs="Arial" w:eastAsia="Arial" w:hAnsi="Arial"/>
          <w:sz w:val="17"/>
          <w:szCs w:val="17"/>
          <w:color w:val="auto"/>
        </w:rPr>
        <w:t>” means (a) a natural person, (b) a Defaulting Lender or its Parent, (c) the Borrower, any of its Subsidiaries or any of its Affiliates, or (d) a company, investment vehicle or trust for, or owned and operated for the primary benefit of, a natural person or relative(s) thereof.</w:t>
      </w:r>
    </w:p>
    <w:p>
      <w:pPr>
        <w:spacing w:after="0" w:line="147" w:lineRule="exact"/>
        <w:rPr>
          <w:sz w:val="20"/>
          <w:szCs w:val="20"/>
          <w:color w:val="auto"/>
        </w:rPr>
      </w:pPr>
    </w:p>
    <w:p>
      <w:pPr>
        <w:jc w:val="both"/>
        <w:ind w:left="1820" w:firstLine="3"/>
        <w:spacing w:after="0" w:line="270" w:lineRule="auto"/>
        <w:tabs>
          <w:tab w:leader="none" w:pos="2162"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81" w:lineRule="exact"/>
        <w:rPr>
          <w:rFonts w:ascii="Arial" w:cs="Arial" w:eastAsia="Arial" w:hAnsi="Arial"/>
          <w:sz w:val="17"/>
          <w:szCs w:val="17"/>
          <w:color w:val="auto"/>
        </w:rPr>
      </w:pPr>
    </w:p>
    <w:p>
      <w:pPr>
        <w:jc w:val="both"/>
        <w:ind w:left="1820" w:firstLine="3"/>
        <w:spacing w:after="0" w:line="254" w:lineRule="auto"/>
        <w:tabs>
          <w:tab w:leader="none" w:pos="21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192" w:lineRule="exact"/>
        <w:rPr>
          <w:rFonts w:ascii="Arial" w:cs="Arial" w:eastAsia="Arial" w:hAnsi="Arial"/>
          <w:sz w:val="18"/>
          <w:szCs w:val="18"/>
          <w:color w:val="auto"/>
        </w:rPr>
      </w:pPr>
    </w:p>
    <w:p>
      <w:pPr>
        <w:jc w:val="both"/>
        <w:ind w:left="1820" w:firstLine="3"/>
        <w:spacing w:after="0" w:line="287" w:lineRule="auto"/>
        <w:tabs>
          <w:tab w:leader="none" w:pos="2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9" w:name="page140"/>
    <w:bookmarkEnd w:id="139"/>
    <w:p>
      <w:pPr>
        <w:jc w:val="both"/>
        <w:ind w:firstLine="1305"/>
        <w:spacing w:after="0" w:line="287" w:lineRule="auto"/>
        <w:tabs>
          <w:tab w:leader="none" w:pos="169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 Any Lender may, without the consent of the Borrower, the Administrative Agent or the Issuing Banks,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other than an Ineligible Institution, in all or a portion of such Lender’s rights and obligations under this Agreement (including all or a portion of its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9.02(b) that affects such Participant. Subject to paragraph (c)(ii) of this Section, the Borrower agrees that each Participant shall be entitled to the benefits of Sections 2.15, 2.16 and 2.17 to the same extent as if it were a Lender and had acquired its interest by assignment pursuant to paragraph (b) of this Section. To the extent permitted by law, each Participant also shall be entitled to the benefits of Section 9.08 as though it were a Lender, provided such Participant agrees to be subject to Section 2.18(c) as though it were a Lender.</w:t>
      </w:r>
    </w:p>
    <w:p>
      <w:pPr>
        <w:spacing w:after="0" w:line="168" w:lineRule="exact"/>
        <w:rPr>
          <w:rFonts w:ascii="Arial" w:cs="Arial" w:eastAsia="Arial" w:hAnsi="Arial"/>
          <w:sz w:val="16"/>
          <w:szCs w:val="16"/>
          <w:color w:val="auto"/>
        </w:rPr>
      </w:pPr>
    </w:p>
    <w:p>
      <w:pPr>
        <w:jc w:val="both"/>
        <w:ind w:left="1620" w:firstLine="9"/>
        <w:spacing w:after="0" w:line="285" w:lineRule="auto"/>
        <w:tabs>
          <w:tab w:leader="none" w:pos="215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2.17 unless the Borrower is notified of the participation sold to such Participant and such Participant agrees, for the benefit of the Borrower, to comply with Section 2.17(e) as though it were a Lender (it being understood that the documentation required under Section 2.17(e) shall be delivered to the participating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7" w:lineRule="exact"/>
        <w:rPr>
          <w:rFonts w:ascii="Arial" w:cs="Arial" w:eastAsia="Arial" w:hAnsi="Arial"/>
          <w:sz w:val="16"/>
          <w:szCs w:val="16"/>
          <w:color w:val="auto"/>
        </w:rPr>
      </w:pPr>
    </w:p>
    <w:p>
      <w:pPr>
        <w:jc w:val="both"/>
        <w:ind w:firstLine="1305"/>
        <w:spacing w:after="0" w:line="279" w:lineRule="auto"/>
        <w:tabs>
          <w:tab w:leader="none" w:pos="189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0" w:name="page141"/>
    <w:bookmarkEnd w:id="140"/>
    <w:p>
      <w:pPr>
        <w:jc w:val="both"/>
        <w:ind w:firstLine="1297"/>
        <w:spacing w:after="0" w:line="28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6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w:t>
      </w:r>
    </w:p>
    <w:p>
      <w:pPr>
        <w:spacing w:after="0" w:line="16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1" w:name="page142"/>
    <w:bookmarkEnd w:id="141"/>
    <w:p>
      <w:pPr>
        <w:jc w:val="both"/>
        <w:ind w:firstLine="1297"/>
        <w:spacing w:after="0" w:line="286"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at any time held, and other obligations at any time owing, by such Lender, such Issuing Bank or any such Affiliate, to or for the credit or the account of the Borrower against any and all of the Secured Obligations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of the Borrower may be contingent or unmatured or are owed to a branch office or Affiliate of such Lender or such Issuing Bank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(a)The Loan Documents (other than those containing a contrary express choice of law provision) shall be governed by and construed in accordance with the laws of the State of New York, but giving effect to federal laws applicable to national banks.</w:t>
      </w:r>
    </w:p>
    <w:p>
      <w:pPr>
        <w:spacing w:after="0" w:line="181" w:lineRule="exact"/>
        <w:rPr>
          <w:sz w:val="20"/>
          <w:szCs w:val="20"/>
          <w:color w:val="auto"/>
        </w:rPr>
      </w:pPr>
    </w:p>
    <w:p>
      <w:pPr>
        <w:jc w:val="both"/>
        <w:ind w:firstLine="1305"/>
        <w:spacing w:after="0" w:line="259" w:lineRule="auto"/>
        <w:tabs>
          <w:tab w:leader="none" w:pos="20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Holder of Secured Obligations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86" w:lineRule="exact"/>
        <w:rPr>
          <w:rFonts w:ascii="Arial" w:cs="Arial" w:eastAsia="Arial" w:hAnsi="Arial"/>
          <w:sz w:val="18"/>
          <w:szCs w:val="18"/>
          <w:color w:val="auto"/>
        </w:rPr>
      </w:pPr>
    </w:p>
    <w:p>
      <w:pPr>
        <w:jc w:val="both"/>
        <w:ind w:firstLine="1305"/>
        <w:spacing w:after="0" w:line="288" w:lineRule="auto"/>
        <w:tabs>
          <w:tab w:leader="none" w:pos="185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Borrower hereby irrevocably and unconditionally submits, for itself and its property, to the exclusive jurisdiction of the United States District Court of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2" w:name="page143"/>
    <w:bookmarkEnd w:id="142"/>
    <w:p>
      <w:pPr>
        <w:jc w:val="both"/>
        <w:ind w:firstLine="1305"/>
        <w:spacing w:after="0" w:line="259" w:lineRule="auto"/>
        <w:tabs>
          <w:tab w:leader="none" w:pos="178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firstLine="1305"/>
        <w:spacing w:after="0" w:line="342" w:lineRule="auto"/>
        <w:tabs>
          <w:tab w:leader="none" w:pos="183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2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9"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7"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the Issuing Banks and the Lenders agrees to maintain the confidentiality of the Information (as defined below), except that Information may be disclosed (a) to its and its Affiliates’ Related Parties, including accountants, legal counsel and other advisors (it being understood that the Persons to whom such disclosure is made will be informed of the confidential nature of such Information and instructed to keep such Information confidential), (b) to the extent required or requested by any Governmental Authority (including any self-regulatory authority, such as the National Association of Insurance Commissioners), (c) to the extent required by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Related Parties) to any swap, derivative or other transaction relating to the Borrower, its Subsidiaries and their obligations, (g) on a confidential basis to (i) any rating agency in connection with the rating of the Borrower or its Subsidiaries or this Agreement or (ii) the CUSIP Service Bureau or any similar agency in connection with the issuance and monitoring of identification numbers with respect to this Agreement, (h) with the consent of the Borrower or (i) to the extent such Information (x) becomes publicly available other than as a result of a breach of this Section or (y) becomes available to the Administrative Agent, any Issuing Bank or any Lender, or any of their respective Affiliates, on a nonconfidential basis from a source other than the Borrower. For the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3" w:name="page144"/>
    <w:bookmarkEnd w:id="143"/>
    <w:p>
      <w:pPr>
        <w:jc w:val="both"/>
        <w:ind w:firstLine="648"/>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Several Obligations; Nonreliance; Violation of Law</w:t>
      </w:r>
      <w:r>
        <w:rPr>
          <w:rFonts w:ascii="Arial" w:cs="Arial" w:eastAsia="Arial" w:hAnsi="Arial"/>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for the repayment of the Borrowings provided for herein. Anything contained in this Agreement to the contrary notwithstanding, neither an Issuing Bank nor any Lender shall be obligated to extend credit to the Borrower in violation of any Requirement of Law.</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Disclosure</w:t>
      </w:r>
      <w:r>
        <w:rPr>
          <w:rFonts w:ascii="Arial" w:cs="Arial" w:eastAsia="Arial" w:hAnsi="Arial"/>
          <w:sz w:val="18"/>
          <w:szCs w:val="18"/>
          <w:color w:val="auto"/>
        </w:rPr>
        <w:t>. The Borrower and each Lender hereby acknowledges and agrees that the Administrative Agent and/or its Affiliates from time to time may hold investments in, make other loans to or have other relationships with any of the Borrower, its Subsidiaries and their respective Affiliates.</w:t>
      </w:r>
    </w:p>
    <w:p>
      <w:pPr>
        <w:spacing w:after="0" w:line="18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Appointment for Perfection</w:t>
      </w:r>
      <w:r>
        <w:rPr>
          <w:rFonts w:ascii="Arial" w:cs="Arial" w:eastAsia="Arial" w:hAnsi="Arial"/>
          <w:sz w:val="17"/>
          <w:szCs w:val="17"/>
          <w:color w:val="auto"/>
        </w:rPr>
        <w:t>. Each Lender hereby appoints each other Lender as its agent for the purpose of perfecting Liens, for the benefit of the Administrative Agent and the Holders of Secured Obligations, in assets which, in accordance with Article 9 of the UCC or any other applicable law can be perfected only by possession. Should any Lender (other than the Administrative Agent) obtain possession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4" w:name="page145"/>
    <w:bookmarkEnd w:id="144"/>
    <w:p>
      <w:pPr>
        <w:ind w:left="1300"/>
        <w:spacing w:after="0"/>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Releases of Subsidiary Guarantors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93" w:lineRule="auto"/>
        <w:tabs>
          <w:tab w:leader="none" w:pos="18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A Subsidiary Guarantor shall automatically be released from its obligations under the Subsidiary Guaranty upon the consummation of any transaction permitted by this Agreement as a result of which such Subsidiary Guarantor ceases to be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64" w:lineRule="exact"/>
        <w:rPr>
          <w:rFonts w:ascii="Arial" w:cs="Arial" w:eastAsia="Arial" w:hAnsi="Arial"/>
          <w:sz w:val="16"/>
          <w:szCs w:val="16"/>
          <w:color w:val="auto"/>
        </w:rPr>
      </w:pPr>
    </w:p>
    <w:p>
      <w:pPr>
        <w:ind w:right="20" w:firstLine="1305"/>
        <w:spacing w:after="0" w:line="342" w:lineRule="auto"/>
        <w:tabs>
          <w:tab w:leader="none" w:pos="185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Further, the Administrative Agent may (and is hereby irrevocably authorized by each Lender to), upon the request of the Borrower, release any Subsidiary Guarantor from its obligations under the Subsidiary Guaranty if such Subsidiary Guarantor is no longer a Material Subsidiary.</w:t>
      </w:r>
    </w:p>
    <w:p>
      <w:pPr>
        <w:spacing w:after="0" w:line="123" w:lineRule="exact"/>
        <w:rPr>
          <w:rFonts w:ascii="Arial" w:cs="Arial" w:eastAsia="Arial" w:hAnsi="Arial"/>
          <w:sz w:val="16"/>
          <w:szCs w:val="16"/>
          <w:color w:val="auto"/>
        </w:rPr>
      </w:pPr>
    </w:p>
    <w:p>
      <w:pPr>
        <w:jc w:val="both"/>
        <w:ind w:firstLine="1305"/>
        <w:spacing w:after="0" w:line="276" w:lineRule="auto"/>
        <w:tabs>
          <w:tab w:leader="none" w:pos="185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At such time as the principal and interest on the Loans, all LC Disbursements, the fees, expenses and other amounts payable under the Loan Documents and the other Obligations (other than Banking Services Obligations, Swap Obligations, and other Obligations expressly stated to survive such payment and termination) shall have been paid in full, the Commitments shall have been terminated and no Letters of Credit shall be outstanding, the Subsidiary Guaranty and all obligations (other than those expressly stated to survive such termination) of each Subsidiary Guarantor thereunder shall automatically terminate, all without delivery of any instrument or performance of any act by any Person.</w:t>
      </w:r>
    </w:p>
    <w:p>
      <w:pPr>
        <w:spacing w:after="0" w:line="17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7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SECTION 9.19.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xml:space="preserve"> (a)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5" w:name="page146"/>
    <w:bookmarkEnd w:id="145"/>
    <w:p>
      <w:pPr>
        <w:jc w:val="both"/>
        <w:ind w:firstLine="1305"/>
        <w:spacing w:after="0" w:line="272" w:lineRule="auto"/>
        <w:tabs>
          <w:tab w:leader="none" w:pos="155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77" w:lineRule="exact"/>
        <w:rPr>
          <w:rFonts w:ascii="Arial" w:cs="Arial" w:eastAsia="Arial" w:hAnsi="Arial"/>
          <w:sz w:val="17"/>
          <w:szCs w:val="17"/>
          <w:color w:val="auto"/>
        </w:rPr>
      </w:pPr>
    </w:p>
    <w:p>
      <w:pPr>
        <w:jc w:val="both"/>
        <w:ind w:firstLine="1305"/>
        <w:spacing w:after="0" w:line="272" w:lineRule="auto"/>
        <w:tabs>
          <w:tab w:leader="none" w:pos="155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Acknowledgment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firstLine="1305"/>
        <w:spacing w:after="0" w:line="277" w:lineRule="auto"/>
        <w:tabs>
          <w:tab w:leader="none" w:pos="182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120" w:hanging="491"/>
        <w:spacing w:after="0"/>
        <w:tabs>
          <w:tab w:leader="none" w:pos="21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980" w:firstLine="649"/>
        <w:spacing w:after="0" w:line="312" w:lineRule="auto"/>
        <w:tabs>
          <w:tab w:leader="none" w:pos="211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6" w:lineRule="exact"/>
        <w:rPr>
          <w:rFonts w:ascii="Arial" w:cs="Arial" w:eastAsia="Arial" w:hAnsi="Arial"/>
          <w:sz w:val="16"/>
          <w:szCs w:val="16"/>
          <w:color w:val="auto"/>
        </w:rPr>
      </w:pPr>
    </w:p>
    <w:p>
      <w:pPr>
        <w:ind w:left="980" w:firstLine="649"/>
        <w:spacing w:after="0" w:line="277" w:lineRule="auto"/>
        <w:tabs>
          <w:tab w:leader="none" w:pos="219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6" w:name="page147"/>
    <w:bookmarkEnd w:id="146"/>
    <w:p>
      <w:pPr>
        <w:jc w:val="both"/>
        <w:ind w:firstLine="1297"/>
        <w:spacing w:after="0" w:line="272"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Hedging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Borrower Guarantee</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In order to induce the Lenders to extend credit to the Borrower hereunder and for other good and valuable consideration (the receipt and sufficiency of which are hereby acknowledged), the Borrower hereby absolutely and irrevocably and unconditionally guarantees, as a primary obligor and not merely as a surety, the payment when and as due of the Specified Ancillary Obligations of the Subsidiaries. The Borrower further agrees that the due and punctual payment of such Specified Ancillary Obligations may be extended or renewed, in whole or in part, without notice to or further assent from it, and that it will remain bound upon its guarantee hereunder notwithstanding any such extension or renewal of any such Specified Ancillary Obligation.</w:t>
      </w:r>
    </w:p>
    <w:p>
      <w:pPr>
        <w:spacing w:after="0" w:line="15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The Borrower waives presentment to, demand of payment from and protest to any Subsidiary of any of the Specified Ancillary Obligations, and also waives notice of acceptance of its obligations and notice of protest for nonpayment. The obligations of the Borrower hereunder shall not be affected by (a) the failure of any applicable Lender (or any of its Affiliates) to assert any claim or demand or to enforce any right or remedy against any Subsidiary under the provisions of any Banking Services Agreement, any Swap Agreement or otherwise; (b) any extension or renewal of any of the Specified Ancillary Obligations; (c) any rescission, waiver, amendment or modification of, or release from, any of the terms or provisions of this Agreement, any other Loan Document, any Banking Services Agreement, any Swap Agreement or other agreement; (d) any default, failure or delay, willful or otherwise, in the performance of any of the Specified Ancillary Obligations; (e) the failure of any applicable Lender (or any of its Affiliates) to take any steps to perfect and maintain any security interest in, or to preserve any rights to, any security or collateral for the Specified Ancillary Obligations, if any; (f) any change in the corporate, partnership or other existence, structure or ownership of any Subsidiary or any other guarantor of any of the Specified Ancillary Obligations; (g) the enforceability or validity of the Specified Ancillary Obligations or any part thereof or the genuineness, enforceability or validity of any agreement relating thereto or with respect to any collateral securing the Specified Ancillary Obligations or any part thereof, or any other invalidity or unenforceability relating to or against any Subsidiary or any other guarantor of any of the Specified Ancillary Obligations, for any reason related to this Agreement, any other Loan Document, any Banking Services Agreement, any Swap Agreement, or any provision of applicable law, decree, order or regulation of any jurisdiction purporting to prohibit the payment by such Subsidiary or any other guarantor of the Specified Ancillary Obligations, of any of the Specified Ancillary Obligations or otherwise affecting any term of any of the Specified Ancillary Obligations; or (h) any other act, omission or delay to do any other act which may or might in any manner or to any extent vary the risk of the Borrower or otherwise operate as a discharge of a guarantor as a matter of law or equity or which would impair or eliminate any right of the Borrower to subrogation.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jc w:val="both"/>
        <w:ind w:firstLine="1297"/>
        <w:spacing w:after="0" w:line="302" w:lineRule="auto"/>
        <w:rPr>
          <w:sz w:val="20"/>
          <w:szCs w:val="20"/>
          <w:color w:val="auto"/>
        </w:rPr>
      </w:pPr>
      <w:r>
        <w:rPr>
          <w:rFonts w:ascii="Arial" w:cs="Arial" w:eastAsia="Arial" w:hAnsi="Arial"/>
          <w:sz w:val="16"/>
          <w:szCs w:val="16"/>
          <w:color w:val="auto"/>
        </w:rPr>
        <w:t>The Borrower further agrees that its agreement hereunder constitutes a guarantee of payment when due (whether or not any bankruptcy or similar proceeding shall have stayed the accrual or collection of any of the Specified Ancillary Obligations or operated as a discharge thereof) and not merely of collection, and waives any right to require that any resort be had by any applicable Lender (or any of its Affiliates) to any balance of any deposit account or credit on the books of the Administrative Agent, any Issuing Bank or any Lender in favor of any Subsidiary or any other Person.</w:t>
      </w:r>
    </w:p>
    <w:p>
      <w:pPr>
        <w:spacing w:after="0" w:line="15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The obligations of the Borrower hereunder shall not be subject to any reduction, limitation, impairment or termination for any reason, and shall not be subject to any defense or set-off, counterclaim, recoupment or termination whatsoever, by reason of the invalidity, illegality or unenforceability of any of the Specified Ancillary Obligations, any impossibility in the performance of any of the Specified Ancillary Obligations or otherwise.</w:t>
      </w:r>
    </w:p>
    <w:p>
      <w:pPr>
        <w:spacing w:after="0" w:line="14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Borrower further agrees that its obligations hereunder shall constitute a continuing and irrevocable guarantee of all Specified Ancillary Obligations now or hereafter existing and shall continue to be effective or be reinstated, as the case may be, if at any time payment, or any part thereof, of any Specified Ancillary Obligation (including a payment effected through exercise of a right of setoff) is rescinded, or is or must otherwise be restored or returned by any applicable Lender (or any of its Affiliates) upon the insolvency, bankruptcy or reorganization of any Subsidiary or otherwise (including pursuant to any settlement entered into by a holder of Specified Ancillary Obligations in its discretion).</w:t>
      </w:r>
    </w:p>
    <w:p>
      <w:pPr>
        <w:spacing w:after="0" w:line="173"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In furtherance of the foregoing and not in limitation of any other right which any applicable Lender (or any of its Affiliates) may have at law or in equity against the Borrower by virtue hereof, upon the failure of any Subsidiary to pay any Specified Ancillary Obligation when and as the same shall become due, whether at maturity, by acceleration, after notice of prepayment or otherwise, the Borrower hereby promises to and will, upon receipt of written demand by any applicable Lender (or any of its Affiliates), forthwith pay, or cause to be paid, to such applicable Lender (or any of its Affiliates) in cash an amount equal to the unpaid principal amount of such Specified Ancillary Obligations then due, together with accrued and unpaid interest thereon. The Borrower further agrees that if payment in respect of any Specified Ancillary Obligation shall be due in a currency other than Dollars and/or at a place of payment other than New York, Chicago or any other Eurocurrency Payment Office and if, by reason of any Change in Law, disruption of currency or foreign exchange markets, war or civil disturbance or other event, payment of such Specified Ancillary Obligation in such currency or at such place of payment shall be impossible or, in the reasonable judgment of any applicable Lender (or any of its Affiliates), disadvantageous to such applicable Lender (or any of its Affiliates) in any material respect, then, at the election of such applicable Lender, the Borrower shall make payment of such Specified Ancillary Obligation in Dollars (based upon the applicable Equivalent Amount in effect on the date of payment) and/or in New York, Chicago or such other Eurocurrency Payment Office as is designated by such applicable Lender (or its Affiliate) and, as a separate and independent obligation, shall indemnify such applicable Lender (and any of its Affiliates) against any losses or reasonable out-of-pocket expenses that it shall sustain as a result of such alternative payment.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8" w:name="page149"/>
    <w:bookmarkEnd w:id="148"/>
    <w:p>
      <w:pPr>
        <w:jc w:val="both"/>
        <w:ind w:firstLine="1297"/>
        <w:spacing w:after="0" w:line="286" w:lineRule="auto"/>
        <w:rPr>
          <w:sz w:val="20"/>
          <w:szCs w:val="20"/>
          <w:color w:val="auto"/>
        </w:rPr>
      </w:pPr>
      <w:r>
        <w:rPr>
          <w:rFonts w:ascii="Arial" w:cs="Arial" w:eastAsia="Arial" w:hAnsi="Arial"/>
          <w:sz w:val="17"/>
          <w:szCs w:val="17"/>
          <w:color w:val="auto"/>
        </w:rPr>
        <w:t>Upon payment by the Borrower of any sums as provided above, all rights of the Borrower against any Subsidiary arising as a result thereof by way of right of subrogation or otherwise shall in all respects be subordinated and junior in right of payment to the prior indefeasible payment in full in cash of all the Specified Ancillary Obligations owed by such Subsidiary to the applicable Lender (or its applicable Affiliates).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Nothing shall discharge or satisfy the liability of the Borrower hereunder except the full performance and payment in cash of the Secured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The Borrower hereby absolutely, unconditionally and irrevocably undertakes to provide such funds or other support as may be needed from time to time by each Subsidiary Guarantor to honor all of its obligations under the Subsidiary Guaranty in respect of Specified Swap Obligations (provided, however, that the Borrower shall only be liable under this paragraph for the maximum amount of such liability that can be hereby incurred without rendering its obligations under this paragraph or otherwise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voidable under applicable law relating to fraudulent conveyance or fraudulent transfer, and not for any greater amount). The Borrower intends that this paragraph constitute, and this paragraph shall be deemed to constitute, a “keepwell, support, or other agreement” for the benefit of each Subsidiary Guarantor for all purposes of Section 1a(18)(A)(v)(II) of the Commodity Exchange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9" w:name="page150"/>
    <w:bookmarkEnd w:id="149"/>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MYR GROUP INC., as the Borrower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Betty Johnson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Second Amended and Restated Credit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ind w:left="4520"/>
        <w:spacing w:after="0" w:line="277" w:lineRule="auto"/>
        <w:rPr>
          <w:sz w:val="20"/>
          <w:szCs w:val="20"/>
          <w:color w:val="auto"/>
        </w:rPr>
      </w:pPr>
      <w:r>
        <w:rPr>
          <w:rFonts w:ascii="Arial" w:cs="Arial" w:eastAsia="Arial" w:hAnsi="Arial"/>
          <w:sz w:val="18"/>
          <w:szCs w:val="18"/>
          <w:color w:val="auto"/>
        </w:rPr>
        <w:t>JPMORGAN CHASE BANK, N.A., individually as a Lender, as an Issuing Bank and as Administrative Agent</w:t>
      </w:r>
    </w:p>
    <w:p>
      <w:pPr>
        <w:spacing w:after="0" w:line="38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Christopher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Christopher Collins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JPMORGAN CHASE BANK, N.A. (TORONTO BRANCH), as a Lender</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Christopher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Christopher Collins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Signature Page to Second Amended and Restated Credit Agreement</w:t>
      </w:r>
    </w:p>
    <w:p>
      <w:pPr>
        <w:spacing w:after="0" w:line="46"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60"/>
          </w:cols>
          <w:pgMar w:left="1440" w:top="908" w:right="499" w:bottom="1440" w:gutter="0" w:footer="0" w:header="0"/>
        </w:sectPr>
      </w:pPr>
    </w:p>
    <w:bookmarkStart w:id="151" w:name="page152"/>
    <w:bookmarkEnd w:id="151"/>
    <w:p>
      <w:pPr>
        <w:ind w:left="4520"/>
        <w:spacing w:after="0" w:line="277" w:lineRule="auto"/>
        <w:rPr>
          <w:sz w:val="20"/>
          <w:szCs w:val="20"/>
          <w:color w:val="auto"/>
        </w:rPr>
      </w:pPr>
      <w:r>
        <w:rPr>
          <w:rFonts w:ascii="Arial" w:cs="Arial" w:eastAsia="Arial" w:hAnsi="Arial"/>
          <w:sz w:val="18"/>
          <w:szCs w:val="18"/>
          <w:color w:val="auto"/>
        </w:rPr>
        <w:t>BANK OF AMERICA, N.A., individually as a Lender, as an Issuing Bank and as Syndication Agent</w:t>
      </w:r>
    </w:p>
    <w:p>
      <w:pPr>
        <w:spacing w:after="0" w:line="38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Quinn Richardson,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Quinn Richardson, A.</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ind w:left="4520" w:right="20"/>
        <w:spacing w:after="0" w:line="277" w:lineRule="auto"/>
        <w:rPr>
          <w:sz w:val="20"/>
          <w:szCs w:val="20"/>
          <w:color w:val="auto"/>
        </w:rPr>
      </w:pPr>
      <w:r>
        <w:rPr>
          <w:rFonts w:ascii="Arial" w:cs="Arial" w:eastAsia="Arial" w:hAnsi="Arial"/>
          <w:sz w:val="18"/>
          <w:szCs w:val="18"/>
          <w:color w:val="auto"/>
        </w:rPr>
        <w:t>BANK OF AMERICA, NATIONAL ASSOCIATION (CANADA BRANCH), as a Lender</w:t>
      </w:r>
    </w:p>
    <w:p>
      <w:pPr>
        <w:spacing w:after="0" w:line="38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Medina Sales de Andrade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Signature Page to Second Amended and Restated Credit Agreement</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152" w:name="page153"/>
    <w:bookmarkEnd w:id="152"/>
    <w:p>
      <w:pPr>
        <w:jc w:val="right"/>
        <w:ind w:right="839"/>
        <w:spacing w:after="0"/>
        <w:rPr>
          <w:sz w:val="20"/>
          <w:szCs w:val="20"/>
          <w:color w:val="auto"/>
        </w:rPr>
      </w:pPr>
      <w:r>
        <w:rPr>
          <w:rFonts w:ascii="Arial" w:cs="Arial" w:eastAsia="Arial" w:hAnsi="Arial"/>
          <w:sz w:val="18"/>
          <w:szCs w:val="18"/>
          <w:color w:val="auto"/>
        </w:rPr>
        <w:t>BANK OF MONTREAL, individually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John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John Armstrong</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Amended and Restated Credit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53" w:name="page154"/>
    <w:bookmarkEnd w:id="153"/>
    <w:p>
      <w:pPr>
        <w:ind w:left="4520"/>
        <w:spacing w:after="0" w:line="277" w:lineRule="auto"/>
        <w:rPr>
          <w:sz w:val="20"/>
          <w:szCs w:val="20"/>
          <w:color w:val="auto"/>
        </w:rPr>
      </w:pPr>
      <w:r>
        <w:rPr>
          <w:rFonts w:ascii="Arial" w:cs="Arial" w:eastAsia="Arial" w:hAnsi="Arial"/>
          <w:sz w:val="18"/>
          <w:szCs w:val="18"/>
          <w:color w:val="auto"/>
        </w:rPr>
        <w:t>WELLS FARGO BANK, NATIONAL ASSOCIATION, individually as a Lender</w:t>
      </w:r>
    </w:p>
    <w:p>
      <w:pPr>
        <w:spacing w:after="0" w:line="38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Benjamin Livermore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Benjamin Livermore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Signature Page to Second Amended and Restated Credit Agreement</w:t>
      </w:r>
    </w:p>
    <w:p>
      <w:pPr>
        <w:spacing w:after="0" w:line="4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20"/>
          </w:cols>
          <w:pgMar w:left="1440" w:top="909" w:right="639" w:bottom="1440" w:gutter="0" w:footer="0" w:header="0"/>
        </w:sectPr>
      </w:pPr>
    </w:p>
    <w:bookmarkStart w:id="154" w:name="page155"/>
    <w:bookmarkEnd w:id="154"/>
    <w:p>
      <w:pPr>
        <w:jc w:val="right"/>
        <w:ind w:right="1279"/>
        <w:spacing w:after="0"/>
        <w:rPr>
          <w:sz w:val="20"/>
          <w:szCs w:val="20"/>
          <w:color w:val="auto"/>
        </w:rPr>
      </w:pPr>
      <w:r>
        <w:rPr>
          <w:rFonts w:ascii="Arial" w:cs="Arial" w:eastAsia="Arial" w:hAnsi="Arial"/>
          <w:sz w:val="18"/>
          <w:szCs w:val="18"/>
          <w:color w:val="auto"/>
        </w:rPr>
        <w:t>CIBC BANK USA, individually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Frank Condellire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Frank Condellire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Amended and Restated Credit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55" w:name="page156"/>
    <w:bookmarkEnd w:id="155"/>
    <w:p>
      <w:pPr>
        <w:jc w:val="both"/>
        <w:ind w:left="4520" w:right="20"/>
        <w:spacing w:after="0" w:line="264" w:lineRule="auto"/>
        <w:rPr>
          <w:sz w:val="20"/>
          <w:szCs w:val="20"/>
          <w:color w:val="auto"/>
        </w:rPr>
      </w:pPr>
      <w:r>
        <w:rPr>
          <w:rFonts w:ascii="Arial" w:cs="Arial" w:eastAsia="Arial" w:hAnsi="Arial"/>
          <w:sz w:val="18"/>
          <w:szCs w:val="18"/>
          <w:color w:val="auto"/>
        </w:rPr>
        <w:t>The undersigned Departing Lender hereby acknowledges and agrees that, from and after the Effective Date, it is no longer a party to the Existing Credit Agreement and will not be a party to this Agreement.</w:t>
      </w:r>
    </w:p>
    <w:p>
      <w:pPr>
        <w:spacing w:after="0" w:line="181" w:lineRule="exact"/>
        <w:rPr>
          <w:sz w:val="20"/>
          <w:szCs w:val="20"/>
          <w:color w:val="auto"/>
        </w:rPr>
      </w:pPr>
    </w:p>
    <w:p>
      <w:pPr>
        <w:jc w:val="both"/>
        <w:ind w:left="4520"/>
        <w:spacing w:after="0" w:line="277" w:lineRule="auto"/>
        <w:rPr>
          <w:sz w:val="20"/>
          <w:szCs w:val="20"/>
          <w:color w:val="auto"/>
        </w:rPr>
      </w:pPr>
      <w:r>
        <w:rPr>
          <w:rFonts w:ascii="Arial" w:cs="Arial" w:eastAsia="Arial" w:hAnsi="Arial"/>
          <w:sz w:val="18"/>
          <w:szCs w:val="18"/>
          <w:color w:val="auto"/>
        </w:rPr>
        <w:t>PNC BANK, NATIONAL ASSOCIATION, as a Departing Lender (and solely with respect to Section 1.06 of this Agreement)</w:t>
      </w:r>
    </w:p>
    <w:p>
      <w:pPr>
        <w:spacing w:after="0" w:line="38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Brandon Norder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Brandon Norder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Second Amended and Restated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6" w:name="page157"/>
    <w:bookmarkEnd w:id="156"/>
    <w:tbl>
      <w:tblPr>
        <w:tblLayout w:type="fixed"/>
        <w:tblInd w:w="1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600" w:type="dxa"/>
            <w:vAlign w:val="bottom"/>
            <w:gridSpan w:val="2"/>
          </w:tcPr>
          <w:p>
            <w:pPr>
              <w:jc w:val="center"/>
              <w:ind w:right="3710"/>
              <w:spacing w:after="0"/>
              <w:rPr>
                <w:sz w:val="20"/>
                <w:szCs w:val="20"/>
                <w:color w:val="auto"/>
              </w:rPr>
            </w:pPr>
            <w:r>
              <w:rPr>
                <w:rFonts w:ascii="Arial" w:cs="Arial" w:eastAsia="Arial" w:hAnsi="Arial"/>
                <w:sz w:val="18"/>
                <w:szCs w:val="18"/>
                <w:color w:val="auto"/>
                <w:w w:val="98"/>
              </w:rPr>
              <w:t>COMMITMENT SCHEDULE</w:t>
            </w:r>
          </w:p>
        </w:tc>
      </w:tr>
      <w:tr>
        <w:trPr>
          <w:trHeight w:val="216"/>
        </w:trPr>
        <w:tc>
          <w:tcPr>
            <w:tcW w:w="38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tcPr>
          <w:p>
            <w:pPr>
              <w:spacing w:after="0"/>
              <w:rPr>
                <w:sz w:val="18"/>
                <w:szCs w:val="18"/>
                <w:color w:val="auto"/>
              </w:rPr>
            </w:pPr>
          </w:p>
        </w:tc>
      </w:tr>
      <w:tr>
        <w:trPr>
          <w:trHeight w:val="228"/>
        </w:trPr>
        <w:tc>
          <w:tcPr>
            <w:tcW w:w="3820" w:type="dxa"/>
            <w:vAlign w:val="bottom"/>
            <w:tcBorders>
              <w:left w:val="single" w:sz="8" w:color="auto"/>
            </w:tcBorders>
          </w:tcPr>
          <w:p>
            <w:pPr>
              <w:ind w:left="2480"/>
              <w:spacing w:after="0"/>
              <w:rPr>
                <w:sz w:val="20"/>
                <w:szCs w:val="20"/>
                <w:color w:val="auto"/>
              </w:rPr>
            </w:pPr>
            <w:r>
              <w:rPr>
                <w:rFonts w:ascii="Arial" w:cs="Arial" w:eastAsia="Arial" w:hAnsi="Arial"/>
                <w:sz w:val="18"/>
                <w:szCs w:val="18"/>
                <w:b w:val="1"/>
                <w:bCs w:val="1"/>
                <w:color w:val="auto"/>
              </w:rPr>
              <w:t>Lender</w:t>
            </w:r>
          </w:p>
        </w:tc>
        <w:tc>
          <w:tcPr>
            <w:tcW w:w="1700" w:type="dxa"/>
            <w:vAlign w:val="bottom"/>
            <w:tcBorders>
              <w:right w:val="single" w:sz="8" w:color="auto"/>
            </w:tcBorders>
          </w:tcPr>
          <w:p>
            <w:pPr>
              <w:spacing w:after="0"/>
              <w:rPr>
                <w:sz w:val="19"/>
                <w:szCs w:val="19"/>
                <w:color w:val="auto"/>
              </w:rPr>
            </w:pPr>
          </w:p>
        </w:tc>
        <w:tc>
          <w:tcPr>
            <w:tcW w:w="5900" w:type="dxa"/>
            <w:vAlign w:val="bottom"/>
            <w:tcBorders>
              <w:right w:val="single" w:sz="8" w:color="auto"/>
            </w:tcBorders>
          </w:tcPr>
          <w:p>
            <w:pPr>
              <w:ind w:left="2420"/>
              <w:spacing w:after="0"/>
              <w:rPr>
                <w:sz w:val="20"/>
                <w:szCs w:val="20"/>
                <w:color w:val="auto"/>
              </w:rPr>
            </w:pPr>
            <w:r>
              <w:rPr>
                <w:rFonts w:ascii="Arial" w:cs="Arial" w:eastAsia="Arial" w:hAnsi="Arial"/>
                <w:sz w:val="18"/>
                <w:szCs w:val="18"/>
                <w:b w:val="1"/>
                <w:bCs w:val="1"/>
                <w:color w:val="auto"/>
              </w:rPr>
              <w:t>Commitment</w:t>
            </w:r>
          </w:p>
        </w:tc>
      </w:tr>
      <w:tr>
        <w:trPr>
          <w:trHeight w:val="198"/>
        </w:trPr>
        <w:tc>
          <w:tcPr>
            <w:tcW w:w="382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5900" w:type="dxa"/>
            <w:vAlign w:val="bottom"/>
            <w:tcBorders>
              <w:bottom w:val="single" w:sz="8" w:color="auto"/>
              <w:right w:val="single" w:sz="8" w:color="auto"/>
            </w:tcBorders>
          </w:tcPr>
          <w:p>
            <w:pPr>
              <w:spacing w:after="0"/>
              <w:rPr>
                <w:sz w:val="17"/>
                <w:szCs w:val="17"/>
                <w:color w:val="auto"/>
              </w:rPr>
            </w:pPr>
          </w:p>
        </w:tc>
      </w:tr>
      <w:tr>
        <w:trPr>
          <w:trHeight w:val="426"/>
        </w:trPr>
        <w:tc>
          <w:tcPr>
            <w:tcW w:w="382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spacing w:after="0"/>
              <w:rPr>
                <w:sz w:val="24"/>
                <w:szCs w:val="24"/>
                <w:color w:val="auto"/>
              </w:rPr>
            </w:pPr>
          </w:p>
        </w:tc>
      </w:tr>
      <w:tr>
        <w:trPr>
          <w:trHeight w:val="224"/>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JPMorgan Chase Bank, N.A.</w:t>
            </w:r>
          </w:p>
        </w:tc>
        <w:tc>
          <w:tcPr>
            <w:tcW w:w="1700" w:type="dxa"/>
            <w:vAlign w:val="bottom"/>
            <w:tcBorders>
              <w:right w:val="single" w:sz="8" w:color="auto"/>
            </w:tcBorders>
          </w:tcPr>
          <w:p>
            <w:pPr>
              <w:spacing w:after="0"/>
              <w:rPr>
                <w:sz w:val="19"/>
                <w:szCs w:val="19"/>
                <w:color w:val="auto"/>
              </w:rPr>
            </w:pPr>
          </w:p>
        </w:tc>
        <w:tc>
          <w:tcPr>
            <w:tcW w:w="5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$120,000,000</w:t>
            </w:r>
          </w:p>
        </w:tc>
      </w:tr>
      <w:tr>
        <w:trPr>
          <w:trHeight w:val="202"/>
        </w:trPr>
        <w:tc>
          <w:tcPr>
            <w:tcW w:w="382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5900" w:type="dxa"/>
            <w:vAlign w:val="bottom"/>
            <w:tcBorders>
              <w:bottom w:val="single" w:sz="8" w:color="auto"/>
              <w:right w:val="single" w:sz="8" w:color="auto"/>
            </w:tcBorders>
          </w:tcPr>
          <w:p>
            <w:pPr>
              <w:spacing w:after="0"/>
              <w:rPr>
                <w:sz w:val="17"/>
                <w:szCs w:val="17"/>
                <w:color w:val="auto"/>
              </w:rPr>
            </w:pPr>
          </w:p>
        </w:tc>
      </w:tr>
      <w:tr>
        <w:trPr>
          <w:trHeight w:val="426"/>
        </w:trPr>
        <w:tc>
          <w:tcPr>
            <w:tcW w:w="382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spacing w:after="0"/>
              <w:rPr>
                <w:sz w:val="24"/>
                <w:szCs w:val="24"/>
                <w:color w:val="auto"/>
              </w:rPr>
            </w:pPr>
          </w:p>
        </w:tc>
      </w:tr>
      <w:tr>
        <w:trPr>
          <w:trHeight w:val="224"/>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00" w:type="dxa"/>
            <w:vAlign w:val="bottom"/>
            <w:tcBorders>
              <w:right w:val="single" w:sz="8" w:color="auto"/>
            </w:tcBorders>
          </w:tcPr>
          <w:p>
            <w:pPr>
              <w:spacing w:after="0"/>
              <w:rPr>
                <w:sz w:val="19"/>
                <w:szCs w:val="19"/>
                <w:color w:val="auto"/>
              </w:rPr>
            </w:pPr>
          </w:p>
        </w:tc>
        <w:tc>
          <w:tcPr>
            <w:tcW w:w="5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$120,000,000</w:t>
            </w:r>
          </w:p>
        </w:tc>
      </w:tr>
      <w:tr>
        <w:trPr>
          <w:trHeight w:val="202"/>
        </w:trPr>
        <w:tc>
          <w:tcPr>
            <w:tcW w:w="382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5900" w:type="dxa"/>
            <w:vAlign w:val="bottom"/>
            <w:tcBorders>
              <w:bottom w:val="single" w:sz="8" w:color="auto"/>
              <w:right w:val="single" w:sz="8" w:color="auto"/>
            </w:tcBorders>
          </w:tcPr>
          <w:p>
            <w:pPr>
              <w:spacing w:after="0"/>
              <w:rPr>
                <w:sz w:val="17"/>
                <w:szCs w:val="17"/>
                <w:color w:val="auto"/>
              </w:rPr>
            </w:pPr>
          </w:p>
        </w:tc>
      </w:tr>
      <w:tr>
        <w:trPr>
          <w:trHeight w:val="426"/>
        </w:trPr>
        <w:tc>
          <w:tcPr>
            <w:tcW w:w="382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spacing w:after="0"/>
              <w:rPr>
                <w:sz w:val="24"/>
                <w:szCs w:val="24"/>
                <w:color w:val="auto"/>
              </w:rPr>
            </w:pPr>
          </w:p>
        </w:tc>
      </w:tr>
      <w:tr>
        <w:trPr>
          <w:trHeight w:val="224"/>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Wells Fargo Bank, National Association</w:t>
            </w:r>
          </w:p>
        </w:tc>
        <w:tc>
          <w:tcPr>
            <w:tcW w:w="1700" w:type="dxa"/>
            <w:vAlign w:val="bottom"/>
            <w:tcBorders>
              <w:right w:val="single" w:sz="8" w:color="auto"/>
            </w:tcBorders>
          </w:tcPr>
          <w:p>
            <w:pPr>
              <w:spacing w:after="0"/>
              <w:rPr>
                <w:sz w:val="19"/>
                <w:szCs w:val="19"/>
                <w:color w:val="auto"/>
              </w:rPr>
            </w:pPr>
          </w:p>
        </w:tc>
        <w:tc>
          <w:tcPr>
            <w:tcW w:w="5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$47,500,000</w:t>
            </w:r>
          </w:p>
        </w:tc>
      </w:tr>
      <w:tr>
        <w:trPr>
          <w:trHeight w:val="202"/>
        </w:trPr>
        <w:tc>
          <w:tcPr>
            <w:tcW w:w="382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5900" w:type="dxa"/>
            <w:vAlign w:val="bottom"/>
            <w:tcBorders>
              <w:bottom w:val="single" w:sz="8" w:color="auto"/>
              <w:right w:val="single" w:sz="8" w:color="auto"/>
            </w:tcBorders>
          </w:tcPr>
          <w:p>
            <w:pPr>
              <w:spacing w:after="0"/>
              <w:rPr>
                <w:sz w:val="17"/>
                <w:szCs w:val="17"/>
                <w:color w:val="auto"/>
              </w:rPr>
            </w:pPr>
          </w:p>
        </w:tc>
      </w:tr>
      <w:tr>
        <w:trPr>
          <w:trHeight w:val="426"/>
        </w:trPr>
        <w:tc>
          <w:tcPr>
            <w:tcW w:w="382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spacing w:after="0"/>
              <w:rPr>
                <w:sz w:val="24"/>
                <w:szCs w:val="24"/>
                <w:color w:val="auto"/>
              </w:rPr>
            </w:pPr>
          </w:p>
        </w:tc>
      </w:tr>
      <w:tr>
        <w:trPr>
          <w:trHeight w:val="224"/>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Bank of Montreal</w:t>
            </w:r>
          </w:p>
        </w:tc>
        <w:tc>
          <w:tcPr>
            <w:tcW w:w="1700" w:type="dxa"/>
            <w:vAlign w:val="bottom"/>
            <w:tcBorders>
              <w:right w:val="single" w:sz="8" w:color="auto"/>
            </w:tcBorders>
          </w:tcPr>
          <w:p>
            <w:pPr>
              <w:spacing w:after="0"/>
              <w:rPr>
                <w:sz w:val="19"/>
                <w:szCs w:val="19"/>
                <w:color w:val="auto"/>
              </w:rPr>
            </w:pPr>
          </w:p>
        </w:tc>
        <w:tc>
          <w:tcPr>
            <w:tcW w:w="5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$47,500,000</w:t>
            </w:r>
          </w:p>
        </w:tc>
      </w:tr>
      <w:tr>
        <w:trPr>
          <w:trHeight w:val="202"/>
        </w:trPr>
        <w:tc>
          <w:tcPr>
            <w:tcW w:w="382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5900" w:type="dxa"/>
            <w:vAlign w:val="bottom"/>
            <w:tcBorders>
              <w:bottom w:val="single" w:sz="8" w:color="auto"/>
              <w:right w:val="single" w:sz="8" w:color="auto"/>
            </w:tcBorders>
          </w:tcPr>
          <w:p>
            <w:pPr>
              <w:spacing w:after="0"/>
              <w:rPr>
                <w:sz w:val="17"/>
                <w:szCs w:val="17"/>
                <w:color w:val="auto"/>
              </w:rPr>
            </w:pPr>
          </w:p>
        </w:tc>
      </w:tr>
      <w:tr>
        <w:trPr>
          <w:trHeight w:val="426"/>
        </w:trPr>
        <w:tc>
          <w:tcPr>
            <w:tcW w:w="382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spacing w:after="0"/>
              <w:rPr>
                <w:sz w:val="24"/>
                <w:szCs w:val="24"/>
                <w:color w:val="auto"/>
              </w:rPr>
            </w:pPr>
          </w:p>
        </w:tc>
      </w:tr>
      <w:tr>
        <w:trPr>
          <w:trHeight w:val="224"/>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CIBC Bank USA</w:t>
            </w:r>
          </w:p>
        </w:tc>
        <w:tc>
          <w:tcPr>
            <w:tcW w:w="1700" w:type="dxa"/>
            <w:vAlign w:val="bottom"/>
            <w:tcBorders>
              <w:right w:val="single" w:sz="8" w:color="auto"/>
            </w:tcBorders>
          </w:tcPr>
          <w:p>
            <w:pPr>
              <w:spacing w:after="0"/>
              <w:rPr>
                <w:sz w:val="19"/>
                <w:szCs w:val="19"/>
                <w:color w:val="auto"/>
              </w:rPr>
            </w:pPr>
          </w:p>
        </w:tc>
        <w:tc>
          <w:tcPr>
            <w:tcW w:w="5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$40,000,000</w:t>
            </w:r>
          </w:p>
        </w:tc>
      </w:tr>
      <w:tr>
        <w:trPr>
          <w:trHeight w:val="202"/>
        </w:trPr>
        <w:tc>
          <w:tcPr>
            <w:tcW w:w="382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5900" w:type="dxa"/>
            <w:vAlign w:val="bottom"/>
            <w:tcBorders>
              <w:bottom w:val="single" w:sz="8" w:color="auto"/>
              <w:right w:val="single" w:sz="8" w:color="auto"/>
            </w:tcBorders>
          </w:tcPr>
          <w:p>
            <w:pPr>
              <w:spacing w:after="0"/>
              <w:rPr>
                <w:sz w:val="17"/>
                <w:szCs w:val="17"/>
                <w:color w:val="auto"/>
              </w:rPr>
            </w:pPr>
          </w:p>
        </w:tc>
      </w:tr>
      <w:tr>
        <w:trPr>
          <w:trHeight w:val="426"/>
        </w:trPr>
        <w:tc>
          <w:tcPr>
            <w:tcW w:w="382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spacing w:after="0"/>
              <w:rPr>
                <w:sz w:val="24"/>
                <w:szCs w:val="24"/>
                <w:color w:val="auto"/>
              </w:rPr>
            </w:pPr>
          </w:p>
        </w:tc>
      </w:tr>
      <w:tr>
        <w:trPr>
          <w:trHeight w:val="228"/>
        </w:trPr>
        <w:tc>
          <w:tcPr>
            <w:tcW w:w="3820" w:type="dxa"/>
            <w:vAlign w:val="bottom"/>
            <w:tcBorders>
              <w:left w:val="single" w:sz="8" w:color="auto"/>
            </w:tcBorders>
          </w:tcPr>
          <w:p>
            <w:pPr>
              <w:ind w:left="256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right w:val="single" w:sz="8" w:color="auto"/>
            </w:tcBorders>
          </w:tcPr>
          <w:p>
            <w:pPr>
              <w:spacing w:after="0"/>
              <w:rPr>
                <w:sz w:val="19"/>
                <w:szCs w:val="19"/>
                <w:color w:val="auto"/>
              </w:rPr>
            </w:pPr>
          </w:p>
        </w:tc>
        <w:tc>
          <w:tcPr>
            <w:tcW w:w="59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$375,000,000</w:t>
            </w:r>
          </w:p>
        </w:tc>
      </w:tr>
      <w:tr>
        <w:trPr>
          <w:trHeight w:val="198"/>
        </w:trPr>
        <w:tc>
          <w:tcPr>
            <w:tcW w:w="382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5900" w:type="dxa"/>
            <w:vAlign w:val="bottom"/>
            <w:tcBorders>
              <w:bottom w:val="single" w:sz="8" w:color="auto"/>
              <w:right w:val="single" w:sz="8" w:color="auto"/>
            </w:tcBorders>
          </w:tcPr>
          <w:p>
            <w:pPr>
              <w:spacing w:after="0"/>
              <w:rPr>
                <w:sz w:val="17"/>
                <w:szCs w:val="17"/>
                <w:color w:val="auto"/>
              </w:rPr>
            </w:pPr>
          </w:p>
        </w:tc>
      </w:tr>
      <w:tr>
        <w:trPr>
          <w:trHeight w:val="642"/>
        </w:trPr>
        <w:tc>
          <w:tcPr>
            <w:tcW w:w="3820" w:type="dxa"/>
            <w:vAlign w:val="bottom"/>
          </w:tcPr>
          <w:p>
            <w:pPr>
              <w:spacing w:after="0"/>
              <w:rPr>
                <w:sz w:val="24"/>
                <w:szCs w:val="24"/>
                <w:color w:val="auto"/>
              </w:rPr>
            </w:pPr>
          </w:p>
        </w:tc>
        <w:tc>
          <w:tcPr>
            <w:tcW w:w="7600" w:type="dxa"/>
            <w:vAlign w:val="bottom"/>
            <w:gridSpan w:val="2"/>
          </w:tcPr>
          <w:p>
            <w:pPr>
              <w:jc w:val="center"/>
              <w:ind w:right="3730"/>
              <w:spacing w:after="0"/>
              <w:rPr>
                <w:sz w:val="20"/>
                <w:szCs w:val="20"/>
                <w:color w:val="auto"/>
              </w:rPr>
            </w:pPr>
            <w:r>
              <w:rPr>
                <w:rFonts w:ascii="Arial" w:cs="Arial" w:eastAsia="Arial" w:hAnsi="Arial"/>
                <w:sz w:val="18"/>
                <w:szCs w:val="18"/>
                <w:color w:val="auto"/>
                <w:w w:val="91"/>
              </w:rPr>
              <w:t>Commitment Schedule</w:t>
            </w:r>
          </w:p>
        </w:tc>
      </w:tr>
      <w:tr>
        <w:trPr>
          <w:trHeight w:val="675"/>
        </w:trPr>
        <w:tc>
          <w:tcPr>
            <w:tcW w:w="38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t>LETTER OF CREDIT COMMITMENT SCHEDULE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6540" w:type="dxa"/>
            <w:vAlign w:val="bottom"/>
            <w:tcBorders>
              <w:top w:val="single" w:sz="8" w:color="auto"/>
              <w:left w:val="single" w:sz="8" w:color="auto"/>
              <w:right w:val="single" w:sz="8" w:color="auto"/>
            </w:tcBorders>
          </w:tcPr>
          <w:p>
            <w:pPr>
              <w:ind w:left="2760"/>
              <w:spacing w:after="0"/>
              <w:rPr>
                <w:sz w:val="20"/>
                <w:szCs w:val="20"/>
                <w:color w:val="auto"/>
              </w:rPr>
            </w:pPr>
            <w:r>
              <w:rPr>
                <w:rFonts w:ascii="Arial" w:cs="Arial" w:eastAsia="Arial" w:hAnsi="Arial"/>
                <w:sz w:val="18"/>
                <w:szCs w:val="18"/>
                <w:b w:val="1"/>
                <w:bCs w:val="1"/>
                <w:color w:val="auto"/>
              </w:rPr>
              <w:t>Issuing Bank</w:t>
            </w:r>
          </w:p>
        </w:tc>
        <w:tc>
          <w:tcPr>
            <w:tcW w:w="4880" w:type="dxa"/>
            <w:vAlign w:val="bottom"/>
            <w:tcBorders>
              <w:top w:val="single" w:sz="8" w:color="auto"/>
              <w:right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Letter of Credit Commitment</w:t>
            </w:r>
          </w:p>
        </w:tc>
      </w:tr>
      <w:tr>
        <w:trPr>
          <w:trHeight w:val="198"/>
        </w:trPr>
        <w:tc>
          <w:tcPr>
            <w:tcW w:w="6540" w:type="dxa"/>
            <w:vAlign w:val="bottom"/>
            <w:tcBorders>
              <w:left w:val="single" w:sz="8" w:color="auto"/>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r>
      <w:tr>
        <w:trPr>
          <w:trHeight w:val="224"/>
        </w:trPr>
        <w:tc>
          <w:tcPr>
            <w:tcW w:w="6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JPMorgan Chase Bank, N.A.</w:t>
            </w:r>
          </w:p>
        </w:tc>
        <w:tc>
          <w:tcPr>
            <w:tcW w:w="4880" w:type="dxa"/>
            <w:vAlign w:val="bottom"/>
            <w:tcBorders>
              <w:right w:val="single" w:sz="8" w:color="auto"/>
            </w:tcBorders>
          </w:tcPr>
          <w:p>
            <w:pPr>
              <w:jc w:val="right"/>
              <w:ind w:right="3810"/>
              <w:spacing w:after="0"/>
              <w:rPr>
                <w:sz w:val="20"/>
                <w:szCs w:val="20"/>
                <w:color w:val="auto"/>
              </w:rPr>
            </w:pPr>
            <w:r>
              <w:rPr>
                <w:rFonts w:ascii="Arial" w:cs="Arial" w:eastAsia="Arial" w:hAnsi="Arial"/>
                <w:sz w:val="18"/>
                <w:szCs w:val="18"/>
                <w:color w:val="auto"/>
                <w:w w:val="95"/>
              </w:rPr>
              <w:t>$56,500,000</w:t>
            </w:r>
          </w:p>
        </w:tc>
      </w:tr>
      <w:tr>
        <w:trPr>
          <w:trHeight w:val="202"/>
        </w:trPr>
        <w:tc>
          <w:tcPr>
            <w:tcW w:w="6540" w:type="dxa"/>
            <w:vAlign w:val="bottom"/>
            <w:tcBorders>
              <w:left w:val="single" w:sz="8" w:color="auto"/>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r>
      <w:tr>
        <w:trPr>
          <w:trHeight w:val="224"/>
        </w:trPr>
        <w:tc>
          <w:tcPr>
            <w:tcW w:w="6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4880" w:type="dxa"/>
            <w:vAlign w:val="bottom"/>
            <w:tcBorders>
              <w:right w:val="single" w:sz="8" w:color="auto"/>
            </w:tcBorders>
          </w:tcPr>
          <w:p>
            <w:pPr>
              <w:jc w:val="right"/>
              <w:ind w:right="3810"/>
              <w:spacing w:after="0"/>
              <w:rPr>
                <w:sz w:val="20"/>
                <w:szCs w:val="20"/>
                <w:color w:val="auto"/>
              </w:rPr>
            </w:pPr>
            <w:r>
              <w:rPr>
                <w:rFonts w:ascii="Arial" w:cs="Arial" w:eastAsia="Arial" w:hAnsi="Arial"/>
                <w:sz w:val="18"/>
                <w:szCs w:val="18"/>
                <w:color w:val="auto"/>
                <w:w w:val="95"/>
              </w:rPr>
              <w:t>$56,500,000</w:t>
            </w:r>
          </w:p>
        </w:tc>
      </w:tr>
      <w:tr>
        <w:trPr>
          <w:trHeight w:val="202"/>
        </w:trPr>
        <w:tc>
          <w:tcPr>
            <w:tcW w:w="6540" w:type="dxa"/>
            <w:vAlign w:val="bottom"/>
            <w:tcBorders>
              <w:left w:val="single" w:sz="8" w:color="auto"/>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r>
      <w:tr>
        <w:trPr>
          <w:trHeight w:val="224"/>
        </w:trPr>
        <w:tc>
          <w:tcPr>
            <w:tcW w:w="6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Bank of Montreal</w:t>
            </w:r>
          </w:p>
        </w:tc>
        <w:tc>
          <w:tcPr>
            <w:tcW w:w="4880" w:type="dxa"/>
            <w:vAlign w:val="bottom"/>
            <w:tcBorders>
              <w:right w:val="single" w:sz="8" w:color="auto"/>
            </w:tcBorders>
          </w:tcPr>
          <w:p>
            <w:pPr>
              <w:jc w:val="right"/>
              <w:ind w:right="3810"/>
              <w:spacing w:after="0"/>
              <w:rPr>
                <w:sz w:val="20"/>
                <w:szCs w:val="20"/>
                <w:color w:val="auto"/>
              </w:rPr>
            </w:pPr>
            <w:r>
              <w:rPr>
                <w:rFonts w:ascii="Arial" w:cs="Arial" w:eastAsia="Arial" w:hAnsi="Arial"/>
                <w:sz w:val="18"/>
                <w:szCs w:val="18"/>
                <w:color w:val="auto"/>
                <w:w w:val="95"/>
              </w:rPr>
              <w:t>$22,000,000</w:t>
            </w:r>
          </w:p>
        </w:tc>
      </w:tr>
      <w:tr>
        <w:trPr>
          <w:trHeight w:val="202"/>
        </w:trPr>
        <w:tc>
          <w:tcPr>
            <w:tcW w:w="6540" w:type="dxa"/>
            <w:vAlign w:val="bottom"/>
            <w:tcBorders>
              <w:left w:val="single" w:sz="8" w:color="auto"/>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r>
      <w:tr>
        <w:trPr>
          <w:trHeight w:val="224"/>
        </w:trPr>
        <w:tc>
          <w:tcPr>
            <w:tcW w:w="6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CIBC Bank USA</w:t>
            </w:r>
          </w:p>
        </w:tc>
        <w:tc>
          <w:tcPr>
            <w:tcW w:w="4880" w:type="dxa"/>
            <w:vAlign w:val="bottom"/>
            <w:tcBorders>
              <w:right w:val="single" w:sz="8" w:color="auto"/>
            </w:tcBorders>
          </w:tcPr>
          <w:p>
            <w:pPr>
              <w:jc w:val="right"/>
              <w:ind w:right="3810"/>
              <w:spacing w:after="0"/>
              <w:rPr>
                <w:sz w:val="20"/>
                <w:szCs w:val="20"/>
                <w:color w:val="auto"/>
              </w:rPr>
            </w:pPr>
            <w:r>
              <w:rPr>
                <w:rFonts w:ascii="Arial" w:cs="Arial" w:eastAsia="Arial" w:hAnsi="Arial"/>
                <w:sz w:val="18"/>
                <w:szCs w:val="18"/>
                <w:color w:val="auto"/>
                <w:w w:val="95"/>
              </w:rPr>
              <w:t>$15,000,000</w:t>
            </w:r>
          </w:p>
        </w:tc>
      </w:tr>
      <w:tr>
        <w:trPr>
          <w:trHeight w:val="202"/>
        </w:trPr>
        <w:tc>
          <w:tcPr>
            <w:tcW w:w="6540" w:type="dxa"/>
            <w:vAlign w:val="bottom"/>
            <w:tcBorders>
              <w:left w:val="single" w:sz="8" w:color="auto"/>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of Credit Commitment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7"/>
          <w:szCs w:val="17"/>
          <w:color w:val="auto"/>
        </w:rPr>
        <w:t>DEPARTING LENDER SCHEDULE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Departing Lenders</w:t>
      </w:r>
    </w:p>
    <w:p>
      <w:pPr>
        <w:spacing w:after="0" w:line="229" w:lineRule="exact"/>
        <w:rPr>
          <w:sz w:val="20"/>
          <w:szCs w:val="20"/>
          <w:color w:val="auto"/>
        </w:rPr>
      </w:pPr>
    </w:p>
    <w:p>
      <w:pPr>
        <w:ind w:left="1100" w:hanging="995"/>
        <w:spacing w:after="0"/>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PNC Bank National Association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Departing Lender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1.</w:t>
            </w:r>
          </w:p>
        </w:tc>
        <w:tc>
          <w:tcPr>
            <w:tcW w:w="2460" w:type="dxa"/>
            <w:vAlign w:val="bottom"/>
          </w:tcPr>
          <w:p>
            <w:pPr>
              <w:ind w:left="280"/>
              <w:spacing w:after="0"/>
              <w:rPr>
                <w:sz w:val="20"/>
                <w:szCs w:val="20"/>
                <w:color w:val="auto"/>
              </w:rPr>
            </w:pPr>
            <w:r>
              <w:rPr>
                <w:rFonts w:ascii="Arial" w:cs="Arial" w:eastAsia="Arial" w:hAnsi="Arial"/>
                <w:sz w:val="18"/>
                <w:szCs w:val="18"/>
                <w:color w:val="auto"/>
              </w:rPr>
              <w:t>Assignor:</w:t>
            </w:r>
          </w:p>
        </w:tc>
        <w:tc>
          <w:tcPr>
            <w:tcW w:w="8360" w:type="dxa"/>
            <w:vAlign w:val="bottom"/>
          </w:tcPr>
          <w:p>
            <w:pPr>
              <w:ind w:left="560"/>
              <w:spacing w:after="0"/>
              <w:rPr>
                <w:sz w:val="20"/>
                <w:szCs w:val="20"/>
                <w:color w:val="auto"/>
              </w:rPr>
            </w:pPr>
            <w:r>
              <w:rPr>
                <w:rFonts w:ascii="Arial" w:cs="Arial" w:eastAsia="Arial" w:hAnsi="Arial"/>
                <w:sz w:val="18"/>
                <w:szCs w:val="18"/>
                <w:color w:val="auto"/>
              </w:rPr>
              <w:t>______________________________</w:t>
            </w:r>
          </w:p>
        </w:tc>
      </w:tr>
      <w:tr>
        <w:trPr>
          <w:trHeight w:val="324"/>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2460" w:type="dxa"/>
            <w:vAlign w:val="bottom"/>
          </w:tcPr>
          <w:p>
            <w:pPr>
              <w:ind w:left="280"/>
              <w:spacing w:after="0"/>
              <w:rPr>
                <w:sz w:val="20"/>
                <w:szCs w:val="20"/>
                <w:color w:val="auto"/>
              </w:rPr>
            </w:pPr>
            <w:r>
              <w:rPr>
                <w:rFonts w:ascii="Arial" w:cs="Arial" w:eastAsia="Arial" w:hAnsi="Arial"/>
                <w:sz w:val="18"/>
                <w:szCs w:val="18"/>
                <w:color w:val="auto"/>
              </w:rPr>
              <w:t>Assignee:</w:t>
            </w:r>
          </w:p>
        </w:tc>
        <w:tc>
          <w:tcPr>
            <w:tcW w:w="8360" w:type="dxa"/>
            <w:vAlign w:val="bottom"/>
          </w:tcPr>
          <w:p>
            <w:pPr>
              <w:ind w:left="560"/>
              <w:spacing w:after="0"/>
              <w:rPr>
                <w:sz w:val="20"/>
                <w:szCs w:val="20"/>
                <w:color w:val="auto"/>
              </w:rPr>
            </w:pPr>
            <w:r>
              <w:rPr>
                <w:rFonts w:ascii="Arial" w:cs="Arial" w:eastAsia="Arial" w:hAnsi="Arial"/>
                <w:sz w:val="18"/>
                <w:szCs w:val="18"/>
                <w:color w:val="auto"/>
              </w:rPr>
              <w:t>______________________________</w:t>
            </w:r>
          </w:p>
        </w:tc>
      </w:tr>
      <w:tr>
        <w:trPr>
          <w:trHeight w:val="566"/>
        </w:trPr>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360" w:type="dxa"/>
            <w:vAlign w:val="bottom"/>
          </w:tcPr>
          <w:p>
            <w:pPr>
              <w:ind w:left="560"/>
              <w:spacing w:after="0"/>
              <w:rPr>
                <w:sz w:val="20"/>
                <w:szCs w:val="20"/>
                <w:color w:val="auto"/>
              </w:rPr>
            </w:pPr>
            <w:r>
              <w:rPr>
                <w:rFonts w:ascii="Arial" w:cs="Arial" w:eastAsia="Arial" w:hAnsi="Arial"/>
                <w:sz w:val="18"/>
                <w:szCs w:val="18"/>
                <w:color w:val="auto"/>
              </w:rPr>
              <w:t>[and is an Affiliate/Approved Fund of [</w:t>
            </w:r>
            <w:r>
              <w:rPr>
                <w:rFonts w:ascii="Arial" w:cs="Arial" w:eastAsia="Arial" w:hAnsi="Arial"/>
                <w:sz w:val="18"/>
                <w:szCs w:val="18"/>
                <w:i w:val="1"/>
                <w:iCs w:val="1"/>
                <w:color w:val="auto"/>
              </w:rPr>
              <w:t>identify Lender]</w:t>
            </w:r>
            <w:r>
              <w:rPr>
                <w:rFonts w:ascii="Arial" w:cs="Arial" w:eastAsia="Arial" w:hAnsi="Arial"/>
                <w:sz w:val="30"/>
                <w:szCs w:val="30"/>
                <w:b w:val="1"/>
                <w:bCs w:val="1"/>
                <w:i w:val="1"/>
                <w:iCs w:val="1"/>
                <w:color w:val="auto"/>
                <w:vertAlign w:val="superscript"/>
              </w:rPr>
              <w:t>1</w:t>
            </w:r>
            <w:r>
              <w:rPr>
                <w:rFonts w:ascii="Arial" w:cs="Arial" w:eastAsia="Arial" w:hAnsi="Arial"/>
                <w:sz w:val="18"/>
                <w:szCs w:val="18"/>
                <w:color w:val="auto"/>
              </w:rPr>
              <w:t>]</w:t>
            </w:r>
          </w:p>
        </w:tc>
      </w:tr>
      <w:tr>
        <w:trPr>
          <w:trHeight w:val="230"/>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3.</w:t>
            </w:r>
          </w:p>
        </w:tc>
        <w:tc>
          <w:tcPr>
            <w:tcW w:w="2460" w:type="dxa"/>
            <w:vAlign w:val="bottom"/>
          </w:tcPr>
          <w:p>
            <w:pPr>
              <w:ind w:left="280"/>
              <w:spacing w:after="0"/>
              <w:rPr>
                <w:sz w:val="20"/>
                <w:szCs w:val="20"/>
                <w:color w:val="auto"/>
              </w:rPr>
            </w:pPr>
            <w:r>
              <w:rPr>
                <w:rFonts w:ascii="Arial" w:cs="Arial" w:eastAsia="Arial" w:hAnsi="Arial"/>
                <w:sz w:val="18"/>
                <w:szCs w:val="18"/>
                <w:color w:val="auto"/>
              </w:rPr>
              <w:t>Borrower:</w:t>
            </w:r>
          </w:p>
        </w:tc>
        <w:tc>
          <w:tcPr>
            <w:tcW w:w="8360" w:type="dxa"/>
            <w:vAlign w:val="bottom"/>
          </w:tcPr>
          <w:p>
            <w:pPr>
              <w:ind w:left="560"/>
              <w:spacing w:after="0"/>
              <w:rPr>
                <w:sz w:val="20"/>
                <w:szCs w:val="20"/>
                <w:color w:val="auto"/>
              </w:rPr>
            </w:pPr>
            <w:r>
              <w:rPr>
                <w:rFonts w:ascii="Arial" w:cs="Arial" w:eastAsia="Arial" w:hAnsi="Arial"/>
                <w:sz w:val="18"/>
                <w:szCs w:val="18"/>
                <w:color w:val="auto"/>
              </w:rPr>
              <w:t>MYR Group Inc.</w:t>
            </w:r>
          </w:p>
        </w:tc>
      </w:tr>
      <w:tr>
        <w:trPr>
          <w:trHeight w:val="324"/>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4.</w:t>
            </w:r>
          </w:p>
        </w:tc>
        <w:tc>
          <w:tcPr>
            <w:tcW w:w="2460" w:type="dxa"/>
            <w:vAlign w:val="bottom"/>
          </w:tcPr>
          <w:p>
            <w:pPr>
              <w:ind w:left="280"/>
              <w:spacing w:after="0"/>
              <w:rPr>
                <w:sz w:val="20"/>
                <w:szCs w:val="20"/>
                <w:color w:val="auto"/>
              </w:rPr>
            </w:pPr>
            <w:r>
              <w:rPr>
                <w:rFonts w:ascii="Arial" w:cs="Arial" w:eastAsia="Arial" w:hAnsi="Arial"/>
                <w:sz w:val="18"/>
                <w:szCs w:val="18"/>
                <w:color w:val="auto"/>
              </w:rPr>
              <w:t>Administrative Agent:</w:t>
            </w:r>
          </w:p>
        </w:tc>
        <w:tc>
          <w:tcPr>
            <w:tcW w:w="8360" w:type="dxa"/>
            <w:vAlign w:val="bottom"/>
          </w:tcPr>
          <w:p>
            <w:pPr>
              <w:ind w:left="560"/>
              <w:spacing w:after="0"/>
              <w:rPr>
                <w:sz w:val="20"/>
                <w:szCs w:val="20"/>
                <w:color w:val="auto"/>
              </w:rPr>
            </w:pPr>
            <w:r>
              <w:rPr>
                <w:rFonts w:ascii="Arial" w:cs="Arial" w:eastAsia="Arial" w:hAnsi="Arial"/>
                <w:sz w:val="18"/>
                <w:szCs w:val="18"/>
                <w:color w:val="auto"/>
              </w:rPr>
              <w:t>JPMorgan Chase Bank, N.A., as the administrative agent under the Credit Agreement</w:t>
            </w:r>
          </w:p>
        </w:tc>
      </w:tr>
      <w:tr>
        <w:trPr>
          <w:trHeight w:val="418"/>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5.</w:t>
            </w:r>
          </w:p>
        </w:tc>
        <w:tc>
          <w:tcPr>
            <w:tcW w:w="2460" w:type="dxa"/>
            <w:vAlign w:val="bottom"/>
          </w:tcPr>
          <w:p>
            <w:pPr>
              <w:ind w:left="280"/>
              <w:spacing w:after="0"/>
              <w:rPr>
                <w:sz w:val="20"/>
                <w:szCs w:val="20"/>
                <w:color w:val="auto"/>
              </w:rPr>
            </w:pPr>
            <w:r>
              <w:rPr>
                <w:rFonts w:ascii="Arial" w:cs="Arial" w:eastAsia="Arial" w:hAnsi="Arial"/>
                <w:sz w:val="18"/>
                <w:szCs w:val="18"/>
                <w:color w:val="auto"/>
              </w:rPr>
              <w:t>Credit Agreement:</w:t>
            </w:r>
          </w:p>
        </w:tc>
        <w:tc>
          <w:tcPr>
            <w:tcW w:w="8360" w:type="dxa"/>
            <w:vAlign w:val="bottom"/>
          </w:tcPr>
          <w:p>
            <w:pPr>
              <w:ind w:left="560"/>
              <w:spacing w:after="0"/>
              <w:rPr>
                <w:sz w:val="20"/>
                <w:szCs w:val="20"/>
                <w:color w:val="auto"/>
              </w:rPr>
            </w:pPr>
            <w:r>
              <w:rPr>
                <w:rFonts w:ascii="Arial" w:cs="Arial" w:eastAsia="Arial" w:hAnsi="Arial"/>
                <w:sz w:val="18"/>
                <w:szCs w:val="18"/>
                <w:color w:val="auto"/>
                <w:w w:val="90"/>
              </w:rPr>
              <w:t>The Second Amended and Restated Credit Agreement dated as of September 13, 2019 among MYR Group</w:t>
            </w:r>
          </w:p>
        </w:tc>
      </w:tr>
      <w:tr>
        <w:trPr>
          <w:trHeight w:val="230"/>
        </w:trPr>
        <w:tc>
          <w:tcPr>
            <w:tcW w:w="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360" w:type="dxa"/>
            <w:vAlign w:val="bottom"/>
          </w:tcPr>
          <w:p>
            <w:pPr>
              <w:ind w:left="560"/>
              <w:spacing w:after="0"/>
              <w:rPr>
                <w:sz w:val="20"/>
                <w:szCs w:val="20"/>
                <w:color w:val="auto"/>
              </w:rPr>
            </w:pPr>
            <w:r>
              <w:rPr>
                <w:rFonts w:ascii="Arial" w:cs="Arial" w:eastAsia="Arial" w:hAnsi="Arial"/>
                <w:sz w:val="18"/>
                <w:szCs w:val="18"/>
                <w:color w:val="auto"/>
                <w:w w:val="90"/>
              </w:rPr>
              <w:t>Inc., as the Borrower, the Lenders parties thereto and JPMorgan Chase Bank, N.A., as Administrative Agent</w:t>
            </w:r>
          </w:p>
        </w:tc>
      </w:tr>
    </w:tbl>
    <w:p>
      <w:pPr>
        <w:spacing w:after="0" w:line="94" w:lineRule="exact"/>
        <w:rPr>
          <w:sz w:val="20"/>
          <w:szCs w:val="20"/>
          <w:color w:val="auto"/>
        </w:rPr>
      </w:pPr>
    </w:p>
    <w:p>
      <w:pPr>
        <w:ind w:left="700" w:hanging="692"/>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097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6" w:lineRule="exact"/>
        <w:rPr>
          <w:sz w:val="20"/>
          <w:szCs w:val="20"/>
          <w:color w:val="auto"/>
        </w:rPr>
      </w:pPr>
    </w:p>
    <w:p>
      <w:pPr>
        <w:ind w:left="120" w:hanging="112"/>
        <w:spacing w:after="0"/>
        <w:tabs>
          <w:tab w:leader="none" w:pos="120" w:val="left"/>
        </w:tabs>
        <w:numPr>
          <w:ilvl w:val="0"/>
          <w:numId w:val="124"/>
        </w:numPr>
        <w:rPr>
          <w:rFonts w:ascii="Arial" w:cs="Arial" w:eastAsia="Arial" w:hAnsi="Arial"/>
          <w:sz w:val="30"/>
          <w:szCs w:val="30"/>
          <w:color w:val="auto"/>
          <w:vertAlign w:val="superscript"/>
        </w:rPr>
      </w:pPr>
      <w:r>
        <w:rPr>
          <w:rFonts w:ascii="Arial" w:cs="Arial" w:eastAsia="Arial" w:hAnsi="Arial"/>
          <w:sz w:val="18"/>
          <w:szCs w:val="18"/>
          <w:color w:val="auto"/>
        </w:rPr>
        <w:t>Select as applicable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60" w:name="page161"/>
    <w:bookmarkEnd w:id="160"/>
    <w:tbl>
      <w:tblPr>
        <w:tblLayout w:type="fixed"/>
        <w:tblInd w:w="10" w:type="dxa"/>
        <w:tblCellMar>
          <w:top w:w="0" w:type="dxa"/>
          <w:left w:w="0" w:type="dxa"/>
          <w:bottom w:w="0" w:type="dxa"/>
          <w:right w:w="0" w:type="dxa"/>
        </w:tblCellMar>
      </w:tblPr>
      <w:tr>
        <w:trPr>
          <w:trHeight w:val="215"/>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Aggregate Amount of</w:t>
            </w:r>
          </w:p>
        </w:tc>
        <w:tc>
          <w:tcPr>
            <w:tcW w:w="3440" w:type="dxa"/>
            <w:vAlign w:val="bottom"/>
            <w:tcBorders>
              <w:top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Amount of</w:t>
            </w:r>
          </w:p>
        </w:tc>
        <w:tc>
          <w:tcPr>
            <w:tcW w:w="3960" w:type="dxa"/>
            <w:vAlign w:val="bottom"/>
            <w:tcBorders>
              <w:top w:val="single" w:sz="8" w:color="auto"/>
              <w:right w:val="single" w:sz="8" w:color="auto"/>
            </w:tcBorders>
          </w:tcPr>
          <w:p>
            <w:pPr>
              <w:jc w:val="right"/>
              <w:ind w:right="1072"/>
              <w:spacing w:after="0"/>
              <w:rPr>
                <w:sz w:val="20"/>
                <w:szCs w:val="20"/>
                <w:color w:val="auto"/>
              </w:rPr>
            </w:pPr>
            <w:r>
              <w:rPr>
                <w:rFonts w:ascii="Arial" w:cs="Arial" w:eastAsia="Arial" w:hAnsi="Arial"/>
                <w:sz w:val="18"/>
                <w:szCs w:val="18"/>
                <w:color w:val="auto"/>
              </w:rPr>
              <w:t>Percentage Assigned of</w:t>
            </w:r>
          </w:p>
        </w:tc>
      </w:tr>
      <w:tr>
        <w:trPr>
          <w:trHeight w:val="217"/>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Commitment/Loans for all</w:t>
            </w:r>
          </w:p>
        </w:tc>
        <w:tc>
          <w:tcPr>
            <w:tcW w:w="344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Commitment/Loans Assigned</w:t>
            </w:r>
          </w:p>
        </w:tc>
        <w:tc>
          <w:tcPr>
            <w:tcW w:w="3960" w:type="dxa"/>
            <w:vAlign w:val="bottom"/>
            <w:tcBorders>
              <w:right w:val="single" w:sz="8" w:color="auto"/>
            </w:tcBorders>
          </w:tcPr>
          <w:p>
            <w:pPr>
              <w:jc w:val="right"/>
              <w:ind w:right="1152"/>
              <w:spacing w:after="0" w:line="217" w:lineRule="exact"/>
              <w:rPr>
                <w:sz w:val="20"/>
                <w:szCs w:val="20"/>
                <w:color w:val="auto"/>
              </w:rPr>
            </w:pPr>
            <w:r>
              <w:rPr>
                <w:rFonts w:ascii="Arial" w:cs="Arial" w:eastAsia="Arial" w:hAnsi="Arial"/>
                <w:sz w:val="16"/>
                <w:szCs w:val="16"/>
                <w:color w:val="auto"/>
              </w:rPr>
              <w:t>Commitment/Loans</w:t>
            </w:r>
            <w:r>
              <w:rPr>
                <w:rFonts w:ascii="Arial" w:cs="Arial" w:eastAsia="Arial" w:hAnsi="Arial"/>
                <w:sz w:val="25"/>
                <w:szCs w:val="25"/>
                <w:color w:val="auto"/>
                <w:vertAlign w:val="superscript"/>
              </w:rPr>
              <w:t>2</w:t>
            </w:r>
          </w:p>
        </w:tc>
      </w:tr>
      <w:tr>
        <w:trPr>
          <w:trHeight w:val="230"/>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Lenders</w:t>
            </w:r>
          </w:p>
        </w:tc>
        <w:tc>
          <w:tcPr>
            <w:tcW w:w="34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spacing w:after="0"/>
              <w:rPr>
                <w:sz w:val="20"/>
                <w:szCs w:val="20"/>
                <w:color w:val="auto"/>
              </w:rPr>
            </w:pPr>
          </w:p>
        </w:tc>
      </w:tr>
      <w:tr>
        <w:trPr>
          <w:trHeight w:val="215"/>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18"/>
                <w:szCs w:val="18"/>
                <w:color w:val="auto"/>
              </w:rPr>
            </w:pPr>
          </w:p>
        </w:tc>
      </w:tr>
      <w:tr>
        <w:trPr>
          <w:trHeight w:val="224"/>
        </w:trPr>
        <w:tc>
          <w:tcPr>
            <w:tcW w:w="4020" w:type="dxa"/>
            <w:vAlign w:val="bottom"/>
            <w:tcBorders>
              <w:left w:val="single" w:sz="8" w:color="auto"/>
              <w:right w:val="single" w:sz="8" w:color="auto"/>
            </w:tcBorders>
          </w:tcPr>
          <w:p>
            <w:pPr>
              <w:jc w:val="right"/>
              <w:ind w:right="373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tcPr>
          <w:p>
            <w:pPr>
              <w:jc w:val="right"/>
              <w:ind w:right="3170"/>
              <w:spacing w:after="0"/>
              <w:rPr>
                <w:sz w:val="20"/>
                <w:szCs w:val="20"/>
                <w:color w:val="auto"/>
              </w:rPr>
            </w:pPr>
            <w:r>
              <w:rPr>
                <w:rFonts w:ascii="Arial" w:cs="Arial" w:eastAsia="Arial" w:hAnsi="Arial"/>
                <w:sz w:val="18"/>
                <w:szCs w:val="18"/>
                <w:color w:val="auto"/>
              </w:rPr>
              <w:t>$</w:t>
            </w:r>
          </w:p>
        </w:tc>
        <w:tc>
          <w:tcPr>
            <w:tcW w:w="3960" w:type="dxa"/>
            <w:vAlign w:val="bottom"/>
            <w:tcBorders>
              <w:right w:val="single" w:sz="8" w:color="auto"/>
            </w:tcBorders>
          </w:tcPr>
          <w:p>
            <w:pPr>
              <w:jc w:val="right"/>
              <w:ind w:right="1032"/>
              <w:spacing w:after="0"/>
              <w:rPr>
                <w:sz w:val="20"/>
                <w:szCs w:val="20"/>
                <w:color w:val="auto"/>
              </w:rPr>
            </w:pPr>
            <w:r>
              <w:rPr>
                <w:rFonts w:ascii="Arial" w:cs="Arial" w:eastAsia="Arial" w:hAnsi="Arial"/>
                <w:sz w:val="18"/>
                <w:szCs w:val="18"/>
                <w:color w:val="auto"/>
              </w:rPr>
              <w:t>%</w:t>
            </w:r>
          </w:p>
        </w:tc>
      </w:tr>
      <w:tr>
        <w:trPr>
          <w:trHeight w:val="202"/>
        </w:trPr>
        <w:tc>
          <w:tcPr>
            <w:tcW w:w="4020" w:type="dxa"/>
            <w:vAlign w:val="bottom"/>
            <w:tcBorders>
              <w:left w:val="single" w:sz="8" w:color="auto"/>
              <w:bottom w:val="single" w:sz="8" w:color="auto"/>
              <w:right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spacing w:after="0"/>
              <w:rPr>
                <w:sz w:val="17"/>
                <w:szCs w:val="17"/>
                <w:color w:val="auto"/>
              </w:rPr>
            </w:pPr>
          </w:p>
        </w:tc>
      </w:tr>
      <w:tr>
        <w:trPr>
          <w:trHeight w:val="224"/>
        </w:trPr>
        <w:tc>
          <w:tcPr>
            <w:tcW w:w="4020" w:type="dxa"/>
            <w:vAlign w:val="bottom"/>
            <w:tcBorders>
              <w:left w:val="single" w:sz="8" w:color="auto"/>
              <w:right w:val="single" w:sz="8" w:color="auto"/>
            </w:tcBorders>
          </w:tcPr>
          <w:p>
            <w:pPr>
              <w:jc w:val="right"/>
              <w:ind w:right="373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tcPr>
          <w:p>
            <w:pPr>
              <w:jc w:val="right"/>
              <w:ind w:right="3170"/>
              <w:spacing w:after="0"/>
              <w:rPr>
                <w:sz w:val="20"/>
                <w:szCs w:val="20"/>
                <w:color w:val="auto"/>
              </w:rPr>
            </w:pPr>
            <w:r>
              <w:rPr>
                <w:rFonts w:ascii="Arial" w:cs="Arial" w:eastAsia="Arial" w:hAnsi="Arial"/>
                <w:sz w:val="18"/>
                <w:szCs w:val="18"/>
                <w:color w:val="auto"/>
              </w:rPr>
              <w:t>$</w:t>
            </w:r>
          </w:p>
        </w:tc>
        <w:tc>
          <w:tcPr>
            <w:tcW w:w="3960" w:type="dxa"/>
            <w:vAlign w:val="bottom"/>
            <w:tcBorders>
              <w:right w:val="single" w:sz="8" w:color="auto"/>
            </w:tcBorders>
          </w:tcPr>
          <w:p>
            <w:pPr>
              <w:jc w:val="right"/>
              <w:ind w:right="1032"/>
              <w:spacing w:after="0"/>
              <w:rPr>
                <w:sz w:val="20"/>
                <w:szCs w:val="20"/>
                <w:color w:val="auto"/>
              </w:rPr>
            </w:pPr>
            <w:r>
              <w:rPr>
                <w:rFonts w:ascii="Arial" w:cs="Arial" w:eastAsia="Arial" w:hAnsi="Arial"/>
                <w:sz w:val="18"/>
                <w:szCs w:val="18"/>
                <w:color w:val="auto"/>
              </w:rPr>
              <w:t>%</w:t>
            </w:r>
          </w:p>
        </w:tc>
      </w:tr>
      <w:tr>
        <w:trPr>
          <w:trHeight w:val="202"/>
        </w:trPr>
        <w:tc>
          <w:tcPr>
            <w:tcW w:w="4020" w:type="dxa"/>
            <w:vAlign w:val="bottom"/>
            <w:tcBorders>
              <w:left w:val="single" w:sz="8" w:color="auto"/>
              <w:bottom w:val="single" w:sz="8" w:color="auto"/>
              <w:right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spacing w:after="0"/>
              <w:rPr>
                <w:sz w:val="17"/>
                <w:szCs w:val="17"/>
                <w:color w:val="auto"/>
              </w:rPr>
            </w:pPr>
          </w:p>
        </w:tc>
      </w:tr>
      <w:tr>
        <w:trPr>
          <w:trHeight w:val="224"/>
        </w:trPr>
        <w:tc>
          <w:tcPr>
            <w:tcW w:w="4020" w:type="dxa"/>
            <w:vAlign w:val="bottom"/>
            <w:tcBorders>
              <w:left w:val="single" w:sz="8" w:color="auto"/>
              <w:right w:val="single" w:sz="8" w:color="auto"/>
            </w:tcBorders>
          </w:tcPr>
          <w:p>
            <w:pPr>
              <w:jc w:val="right"/>
              <w:ind w:right="373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tcPr>
          <w:p>
            <w:pPr>
              <w:jc w:val="right"/>
              <w:ind w:right="3170"/>
              <w:spacing w:after="0"/>
              <w:rPr>
                <w:sz w:val="20"/>
                <w:szCs w:val="20"/>
                <w:color w:val="auto"/>
              </w:rPr>
            </w:pPr>
            <w:r>
              <w:rPr>
                <w:rFonts w:ascii="Arial" w:cs="Arial" w:eastAsia="Arial" w:hAnsi="Arial"/>
                <w:sz w:val="18"/>
                <w:szCs w:val="18"/>
                <w:color w:val="auto"/>
              </w:rPr>
              <w:t>$</w:t>
            </w:r>
          </w:p>
        </w:tc>
        <w:tc>
          <w:tcPr>
            <w:tcW w:w="3960" w:type="dxa"/>
            <w:vAlign w:val="bottom"/>
            <w:tcBorders>
              <w:right w:val="single" w:sz="8" w:color="auto"/>
            </w:tcBorders>
          </w:tcPr>
          <w:p>
            <w:pPr>
              <w:jc w:val="right"/>
              <w:ind w:right="1032"/>
              <w:spacing w:after="0"/>
              <w:rPr>
                <w:sz w:val="20"/>
                <w:szCs w:val="20"/>
                <w:color w:val="auto"/>
              </w:rPr>
            </w:pPr>
            <w:r>
              <w:rPr>
                <w:rFonts w:ascii="Arial" w:cs="Arial" w:eastAsia="Arial" w:hAnsi="Arial"/>
                <w:sz w:val="18"/>
                <w:szCs w:val="18"/>
                <w:color w:val="auto"/>
              </w:rPr>
              <w:t>%</w:t>
            </w:r>
          </w:p>
        </w:tc>
      </w:tr>
      <w:tr>
        <w:trPr>
          <w:trHeight w:val="202"/>
        </w:trPr>
        <w:tc>
          <w:tcPr>
            <w:tcW w:w="4020" w:type="dxa"/>
            <w:vAlign w:val="bottom"/>
            <w:tcBorders>
              <w:left w:val="single" w:sz="8" w:color="auto"/>
              <w:bottom w:val="single" w:sz="8" w:color="auto"/>
              <w:right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 ___, 20___ [TO BE INSERTED BY ADMINISTRATIVE AGENT AND WHICH SHALL BE THE EFFECTIVE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[its] [their] related parties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8097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0" w:lineRule="exact"/>
        <w:rPr>
          <w:sz w:val="20"/>
          <w:szCs w:val="20"/>
          <w:color w:val="auto"/>
        </w:rPr>
      </w:pPr>
    </w:p>
    <w:p>
      <w:pPr>
        <w:ind w:left="5360" w:right="4040" w:hanging="5352"/>
        <w:spacing w:after="0" w:line="632" w:lineRule="auto"/>
        <w:tabs>
          <w:tab w:leader="none" w:pos="119" w:val="left"/>
        </w:tabs>
        <w:numPr>
          <w:ilvl w:val="0"/>
          <w:numId w:val="125"/>
        </w:numPr>
        <w:rPr>
          <w:rFonts w:ascii="Arial" w:cs="Arial" w:eastAsia="Arial" w:hAnsi="Arial"/>
          <w:sz w:val="29"/>
          <w:szCs w:val="29"/>
          <w:color w:val="auto"/>
          <w:vertAlign w:val="superscript"/>
        </w:rPr>
      </w:pPr>
      <w:r>
        <w:rPr>
          <w:rFonts w:ascii="Arial" w:cs="Arial" w:eastAsia="Arial" w:hAnsi="Arial"/>
          <w:sz w:val="18"/>
          <w:szCs w:val="18"/>
          <w:color w:val="auto"/>
        </w:rPr>
        <w:t>Set forth, to at least 9 decimals, as a percentage of the Commitment/Loans of all Lenders thereunder.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61" w:name="page162"/>
    <w:bookmarkEnd w:id="161"/>
    <w:p>
      <w:pPr>
        <w:ind w:left="5720"/>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OF ASSIGNEE]</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Administrative Agent and an 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4048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4048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[OTHERS ISSUING BANKS], as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4048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auto"/>
          <w:vertAlign w:val="superscript"/>
        </w:rPr>
        <w:t>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MYR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4048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3" w:lineRule="exact"/>
        <w:rPr>
          <w:sz w:val="20"/>
          <w:szCs w:val="20"/>
          <w:color w:val="auto"/>
        </w:rPr>
      </w:pPr>
    </w:p>
    <w:p>
      <w:pPr>
        <w:ind w:left="5360" w:right="3059" w:hanging="5352"/>
        <w:spacing w:after="0" w:line="632" w:lineRule="auto"/>
        <w:tabs>
          <w:tab w:leader="none" w:pos="119" w:val="left"/>
        </w:tabs>
        <w:numPr>
          <w:ilvl w:val="0"/>
          <w:numId w:val="126"/>
        </w:numPr>
        <w:rPr>
          <w:rFonts w:ascii="Arial" w:cs="Arial" w:eastAsia="Arial" w:hAnsi="Arial"/>
          <w:sz w:val="29"/>
          <w:szCs w:val="29"/>
          <w:color w:val="auto"/>
          <w:vertAlign w:val="superscript"/>
        </w:rPr>
      </w:pPr>
      <w:r>
        <w:rPr>
          <w:rFonts w:ascii="Arial" w:cs="Arial" w:eastAsia="Arial" w:hAnsi="Arial"/>
          <w:sz w:val="18"/>
          <w:szCs w:val="18"/>
          <w:color w:val="auto"/>
        </w:rPr>
        <w:t>To be added only if the consent of the Borrower is required by the terms of the Credit Agreement.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ANNEX 1</w:t>
      </w:r>
    </w:p>
    <w:p>
      <w:pPr>
        <w:spacing w:after="0" w:line="22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[__________________]</w:t>
      </w:r>
      <w:r>
        <w:rPr>
          <w:rFonts w:ascii="Arial" w:cs="Arial" w:eastAsia="Arial" w:hAnsi="Arial"/>
          <w:sz w:val="30"/>
          <w:szCs w:val="30"/>
          <w:color w:val="auto"/>
          <w:vertAlign w:val="superscript"/>
        </w:rPr>
        <w:t>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760" w:hanging="455"/>
        <w:spacing w:after="0"/>
        <w:tabs>
          <w:tab w:leader="none" w:pos="17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7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jc w:val="both"/>
        <w:ind w:firstLine="8"/>
        <w:spacing w:after="0" w:line="267" w:lineRule="auto"/>
        <w:tabs>
          <w:tab w:leader="none" w:pos="27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___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97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0" w:lineRule="exact"/>
        <w:rPr>
          <w:sz w:val="20"/>
          <w:szCs w:val="20"/>
          <w:color w:val="auto"/>
        </w:rPr>
      </w:pPr>
    </w:p>
    <w:p>
      <w:pPr>
        <w:ind w:left="120" w:hanging="112"/>
        <w:spacing w:after="0"/>
        <w:tabs>
          <w:tab w:leader="none" w:pos="120" w:val="left"/>
        </w:tabs>
        <w:numPr>
          <w:ilvl w:val="0"/>
          <w:numId w:val="129"/>
        </w:numPr>
        <w:rPr>
          <w:rFonts w:ascii="Arial" w:cs="Arial" w:eastAsia="Arial" w:hAnsi="Arial"/>
          <w:sz w:val="30"/>
          <w:szCs w:val="30"/>
          <w:color w:val="auto"/>
          <w:vertAlign w:val="superscript"/>
        </w:rPr>
      </w:pPr>
      <w:r>
        <w:rPr>
          <w:rFonts w:ascii="Arial" w:cs="Arial" w:eastAsia="Arial" w:hAnsi="Arial"/>
          <w:sz w:val="18"/>
          <w:szCs w:val="18"/>
          <w:color w:val="auto"/>
        </w:rPr>
        <w:t>Describe Credit Agreement at option of Administrative Agent.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4" w:name="page165"/>
    <w:bookmarkEnd w:id="164"/>
    <w:p>
      <w:pPr>
        <w:jc w:val="both"/>
        <w:ind w:firstLine="656"/>
        <w:spacing w:after="0" w:line="264" w:lineRule="auto"/>
        <w:tabs>
          <w:tab w:leader="none" w:pos="84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ind w:right="20" w:firstLine="656"/>
        <w:spacing w:after="0" w:line="342" w:lineRule="auto"/>
        <w:tabs>
          <w:tab w:leader="none" w:pos="842"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LIST OF CLOSING DOCUMENTS</w:t>
      </w:r>
    </w:p>
    <w:p>
      <w:pPr>
        <w:spacing w:after="0" w:line="23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color w:val="auto"/>
        </w:rPr>
        <w:t>LIST OF CLOSING DOCUMENTS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13, 2019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LIST OF CLOSING DOCUMENTS</w:t>
      </w:r>
      <w:r>
        <w:rPr>
          <w:rFonts w:ascii="Arial" w:cs="Arial" w:eastAsia="Arial" w:hAnsi="Arial"/>
          <w:sz w:val="30"/>
          <w:szCs w:val="30"/>
          <w:color w:val="auto"/>
          <w:vertAlign w:val="superscript"/>
        </w:rPr>
        <w:t>1</w:t>
      </w:r>
    </w:p>
    <w:p>
      <w:pPr>
        <w:spacing w:after="0" w:line="120" w:lineRule="exact"/>
        <w:rPr>
          <w:sz w:val="20"/>
          <w:szCs w:val="20"/>
          <w:color w:val="auto"/>
        </w:rPr>
      </w:pPr>
    </w:p>
    <w:p>
      <w:pPr>
        <w:ind w:left="5100" w:hanging="498"/>
        <w:spacing w:after="0"/>
        <w:tabs>
          <w:tab w:leader="none" w:pos="5100" w:val="left"/>
        </w:tabs>
        <w:numPr>
          <w:ilvl w:val="1"/>
          <w:numId w:val="131"/>
        </w:numPr>
        <w:rPr>
          <w:rFonts w:ascii="Arial" w:cs="Arial" w:eastAsia="Arial" w:hAnsi="Arial"/>
          <w:sz w:val="18"/>
          <w:szCs w:val="18"/>
          <w:color w:val="auto"/>
        </w:rPr>
      </w:pPr>
      <w:r>
        <w:rPr>
          <w:rFonts w:ascii="Arial" w:cs="Arial" w:eastAsia="Arial" w:hAnsi="Arial"/>
          <w:sz w:val="18"/>
          <w:szCs w:val="18"/>
          <w:b w:val="1"/>
          <w:bCs w:val="1"/>
          <w:color w:val="auto"/>
        </w:rPr>
        <w:t>LOAN DOCUMENTS</w:t>
      </w:r>
    </w:p>
    <w:p>
      <w:pPr>
        <w:spacing w:after="0" w:line="229" w:lineRule="exact"/>
        <w:rPr>
          <w:rFonts w:ascii="Arial" w:cs="Arial" w:eastAsia="Arial" w:hAnsi="Arial"/>
          <w:sz w:val="18"/>
          <w:szCs w:val="18"/>
          <w:color w:val="auto"/>
        </w:rPr>
      </w:pPr>
    </w:p>
    <w:p>
      <w:pPr>
        <w:jc w:val="both"/>
        <w:ind w:firstLine="8"/>
        <w:spacing w:after="0" w:line="286" w:lineRule="auto"/>
        <w:tabs>
          <w:tab w:leader="none" w:pos="107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Second Amended and Restated Credit Agreement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MYR Group Inc. (the “</w:t>
      </w:r>
      <w:r>
        <w:rPr>
          <w:rFonts w:ascii="Arial" w:cs="Arial" w:eastAsia="Arial" w:hAnsi="Arial"/>
          <w:sz w:val="17"/>
          <w:szCs w:val="17"/>
          <w:u w:val="single" w:color="auto"/>
          <w:color w:val="auto"/>
        </w:rPr>
        <w:t>Borrower</w:t>
      </w:r>
      <w:r>
        <w:rPr>
          <w:rFonts w:ascii="Arial" w:cs="Arial" w:eastAsia="Arial" w:hAnsi="Arial"/>
          <w:sz w:val="17"/>
          <w:szCs w:val="17"/>
          <w:color w:val="auto"/>
        </w:rPr>
        <w:t>”), the institutions from time to time parties thereto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in its capacity as Administrative Agent for itself and the other Lenders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evidencing a revolving credit facility in an initial aggregate principal amount of $375,000,000.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Commitment Schedule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Letter of Credit Commitment Schedule Departing Lender Schedule</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i w:val="1"/>
                <w:iCs w:val="1"/>
                <w:color w:val="auto"/>
              </w:rPr>
              <w:t>Schedule 1.01</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32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Affiliated Subordinated Debt</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i w:val="1"/>
                <w:iCs w:val="1"/>
                <w:color w:val="auto"/>
              </w:rPr>
              <w:t>Schedule 3.06</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32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Disclosed Matters</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i w:val="1"/>
                <w:iCs w:val="1"/>
                <w:color w:val="auto"/>
              </w:rPr>
              <w:t>Schedule 3.14</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32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Capitalization and Subsidiaries</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i w:val="1"/>
                <w:iCs w:val="1"/>
                <w:color w:val="auto"/>
              </w:rPr>
              <w:t>Schedule 3.15</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32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Financing Statements</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i w:val="1"/>
                <w:iCs w:val="1"/>
                <w:color w:val="auto"/>
              </w:rPr>
              <w:t>Schedule 6.01</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32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Existing Indebtedness</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i w:val="1"/>
                <w:iCs w:val="1"/>
                <w:color w:val="auto"/>
              </w:rPr>
              <w:t>Schedule 6.02</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32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Existing Liens</w:t>
            </w:r>
          </w:p>
        </w:tc>
      </w:tr>
      <w:tr>
        <w:trPr>
          <w:trHeight w:val="230"/>
        </w:trPr>
        <w:tc>
          <w:tcPr>
            <w:tcW w:w="1300" w:type="dxa"/>
            <w:vAlign w:val="bottom"/>
          </w:tcPr>
          <w:p>
            <w:pPr>
              <w:spacing w:after="0"/>
              <w:rPr>
                <w:sz w:val="20"/>
                <w:szCs w:val="20"/>
                <w:color w:val="auto"/>
              </w:rPr>
            </w:pPr>
            <w:r>
              <w:rPr>
                <w:rFonts w:ascii="Arial" w:cs="Arial" w:eastAsia="Arial" w:hAnsi="Arial"/>
                <w:sz w:val="18"/>
                <w:szCs w:val="18"/>
                <w:b w:val="1"/>
                <w:bCs w:val="1"/>
                <w:i w:val="1"/>
                <w:iCs w:val="1"/>
                <w:color w:val="auto"/>
              </w:rPr>
              <w:t>Schedule 6.04</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32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Existing Investments</w:t>
            </w:r>
          </w:p>
        </w:tc>
      </w:tr>
      <w:tr>
        <w:trPr>
          <w:trHeight w:val="648"/>
        </w:trPr>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80" w:type="dxa"/>
            <w:vAlign w:val="bottom"/>
          </w:tcPr>
          <w:p>
            <w:pPr>
              <w:ind w:left="2460"/>
              <w:spacing w:after="0"/>
              <w:rPr>
                <w:sz w:val="20"/>
                <w:szCs w:val="20"/>
                <w:color w:val="auto"/>
              </w:rPr>
            </w:pPr>
            <w:r>
              <w:rPr>
                <w:rFonts w:ascii="Arial" w:cs="Arial" w:eastAsia="Arial" w:hAnsi="Arial"/>
                <w:sz w:val="18"/>
                <w:szCs w:val="18"/>
                <w:color w:val="auto"/>
                <w:w w:val="97"/>
              </w:rPr>
              <w:t>EXHIBITS</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Exhibit 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80" w:type="dxa"/>
            <w:vAlign w:val="bottom"/>
          </w:tcPr>
          <w:p>
            <w:pPr>
              <w:ind w:left="20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B</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80" w:type="dxa"/>
            <w:vAlign w:val="bottom"/>
          </w:tcPr>
          <w:p>
            <w:pPr>
              <w:ind w:left="200"/>
              <w:spacing w:after="0"/>
              <w:rPr>
                <w:sz w:val="20"/>
                <w:szCs w:val="20"/>
                <w:color w:val="auto"/>
              </w:rPr>
            </w:pPr>
            <w:r>
              <w:rPr>
                <w:rFonts w:ascii="Arial" w:cs="Arial" w:eastAsia="Arial" w:hAnsi="Arial"/>
                <w:sz w:val="18"/>
                <w:szCs w:val="18"/>
                <w:color w:val="auto"/>
              </w:rPr>
              <w:t>List of Closing Documents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C-1</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80" w:type="dxa"/>
            <w:vAlign w:val="bottom"/>
          </w:tcPr>
          <w:p>
            <w:pPr>
              <w:ind w:left="200"/>
              <w:spacing w:after="0"/>
              <w:rPr>
                <w:sz w:val="20"/>
                <w:szCs w:val="20"/>
                <w:color w:val="auto"/>
              </w:rPr>
            </w:pPr>
            <w:r>
              <w:rPr>
                <w:rFonts w:ascii="Arial" w:cs="Arial" w:eastAsia="Arial" w:hAnsi="Arial"/>
                <w:sz w:val="18"/>
                <w:szCs w:val="18"/>
                <w:color w:val="auto"/>
                <w:w w:val="98"/>
              </w:rPr>
              <w:t>Form of Increasing Lender Supplement</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C-2</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80" w:type="dxa"/>
            <w:vAlign w:val="bottom"/>
          </w:tcPr>
          <w:p>
            <w:pPr>
              <w:ind w:left="200"/>
              <w:spacing w:after="0"/>
              <w:rPr>
                <w:sz w:val="20"/>
                <w:szCs w:val="20"/>
                <w:color w:val="auto"/>
              </w:rPr>
            </w:pPr>
            <w:r>
              <w:rPr>
                <w:rFonts w:ascii="Arial" w:cs="Arial" w:eastAsia="Arial" w:hAnsi="Arial"/>
                <w:sz w:val="18"/>
                <w:szCs w:val="18"/>
                <w:color w:val="auto"/>
                <w:w w:val="94"/>
              </w:rPr>
              <w:t>Form of Augmenting Lender Supplement</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Exhibit D</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80" w:type="dxa"/>
            <w:vAlign w:val="bottom"/>
          </w:tcPr>
          <w:p>
            <w:pPr>
              <w:ind w:left="200"/>
              <w:spacing w:after="0"/>
              <w:rPr>
                <w:sz w:val="20"/>
                <w:szCs w:val="20"/>
                <w:color w:val="auto"/>
              </w:rPr>
            </w:pPr>
            <w:r>
              <w:rPr>
                <w:rFonts w:ascii="Arial" w:cs="Arial" w:eastAsia="Arial" w:hAnsi="Arial"/>
                <w:sz w:val="18"/>
                <w:szCs w:val="18"/>
                <w:color w:val="auto"/>
              </w:rPr>
              <w:t>Form of Compliance Certificate</w:t>
            </w:r>
          </w:p>
        </w:tc>
      </w:tr>
    </w:tbl>
    <w:p>
      <w:pPr>
        <w:spacing w:after="0" w:line="202" w:lineRule="exact"/>
        <w:rPr>
          <w:sz w:val="20"/>
          <w:szCs w:val="20"/>
          <w:color w:val="auto"/>
        </w:rPr>
      </w:pPr>
    </w:p>
    <w:p>
      <w:pPr>
        <w:ind w:left="1140" w:hanging="1132"/>
        <w:spacing w:after="0"/>
        <w:tabs>
          <w:tab w:leader="none" w:pos="11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Notes executed by the Borrower in favor of each of the Lenders, if any, which has requested a note pursuant to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of the Credit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firstLine="8"/>
        <w:spacing w:after="0" w:line="277" w:lineRule="auto"/>
        <w:tabs>
          <w:tab w:leader="none" w:pos="101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Joinder and Reaffirmation of Guaranty executed by the Subsidiary Guarantors identified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 (collectively with the Borrower, the “</w:t>
      </w:r>
      <w:r>
        <w:rPr>
          <w:rFonts w:ascii="Arial" w:cs="Arial" w:eastAsia="Arial" w:hAnsi="Arial"/>
          <w:sz w:val="18"/>
          <w:szCs w:val="18"/>
          <w:u w:val="single" w:color="auto"/>
          <w:color w:val="auto"/>
        </w:rPr>
        <w:t>Loan Parties</w:t>
      </w:r>
      <w:r>
        <w:rPr>
          <w:rFonts w:ascii="Arial" w:cs="Arial" w:eastAsia="Arial" w:hAnsi="Arial"/>
          <w:sz w:val="18"/>
          <w:szCs w:val="18"/>
          <w:color w:val="auto"/>
        </w:rPr>
        <w:t>”) in favor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4490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firstLine="8"/>
        <w:spacing w:after="0" w:line="194" w:lineRule="auto"/>
        <w:tabs>
          <w:tab w:leader="none" w:pos="126" w:val="left"/>
        </w:tabs>
        <w:numPr>
          <w:ilvl w:val="0"/>
          <w:numId w:val="134"/>
        </w:numPr>
        <w:rPr>
          <w:rFonts w:ascii="Arial" w:cs="Arial" w:eastAsia="Arial" w:hAnsi="Arial"/>
          <w:sz w:val="30"/>
          <w:szCs w:val="30"/>
          <w:color w:val="auto"/>
          <w:vertAlign w:val="superscript"/>
        </w:rPr>
      </w:pPr>
      <w:r>
        <w:rPr>
          <w:rFonts w:ascii="Arial" w:cs="Arial" w:eastAsia="Arial" w:hAnsi="Arial"/>
          <w:sz w:val="18"/>
          <w:szCs w:val="18"/>
          <w:color w:val="auto"/>
        </w:rPr>
        <w:t xml:space="preserve">Each capitalized term used herein and not defined herein shall have the meaning assigned to such term in the above-defined Credit Agreement. Items appearing in </w:t>
      </w:r>
      <w:r>
        <w:rPr>
          <w:rFonts w:ascii="Arial" w:cs="Arial" w:eastAsia="Arial" w:hAnsi="Arial"/>
          <w:sz w:val="18"/>
          <w:szCs w:val="18"/>
          <w:b w:val="1"/>
          <w:bCs w:val="1"/>
          <w:color w:val="auto"/>
        </w:rPr>
        <w:t>bold</w:t>
      </w:r>
      <w:r>
        <w:rPr>
          <w:rFonts w:ascii="Arial" w:cs="Arial" w:eastAsia="Arial" w:hAnsi="Arial"/>
          <w:sz w:val="18"/>
          <w:szCs w:val="18"/>
          <w:color w:val="auto"/>
        </w:rPr>
        <w:t xml:space="preserve"> and </w:t>
      </w:r>
      <w:r>
        <w:rPr>
          <w:rFonts w:ascii="Arial" w:cs="Arial" w:eastAsia="Arial" w:hAnsi="Arial"/>
          <w:sz w:val="18"/>
          <w:szCs w:val="18"/>
          <w:i w:val="1"/>
          <w:iCs w:val="1"/>
          <w:color w:val="auto"/>
        </w:rPr>
        <w:t>italics</w:t>
      </w:r>
      <w:r>
        <w:rPr>
          <w:rFonts w:ascii="Arial" w:cs="Arial" w:eastAsia="Arial" w:hAnsi="Arial"/>
          <w:sz w:val="18"/>
          <w:szCs w:val="18"/>
          <w:color w:val="auto"/>
        </w:rPr>
        <w:t xml:space="preserve"> shall be prepared and/or provided by the Borrower and/or Borrower’s counsel.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7" w:name="page168"/>
    <w:bookmarkEnd w:id="167"/>
    <w:p>
      <w:pPr>
        <w:ind w:left="1000" w:hanging="992"/>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Joinder, Amendment No. 2, and Reaffirmation of Pledge and Security Agreement executed by the Loan Parties.</w:t>
      </w:r>
    </w:p>
    <w:p>
      <w:pPr>
        <w:spacing w:after="0" w:line="225" w:lineRule="exact"/>
        <w:rPr>
          <w:rFonts w:ascii="Arial" w:cs="Arial" w:eastAsia="Arial" w:hAnsi="Arial"/>
          <w:sz w:val="18"/>
          <w:szCs w:val="18"/>
          <w:color w:val="auto"/>
        </w:rPr>
      </w:pPr>
    </w:p>
    <w:p>
      <w:pPr>
        <w:jc w:val="both"/>
        <w:ind w:firstLine="8"/>
        <w:spacing w:after="0" w:line="271" w:lineRule="auto"/>
        <w:tabs>
          <w:tab w:leader="none" w:pos="1165" w:val="left"/>
        </w:tabs>
        <w:numPr>
          <w:ilvl w:val="0"/>
          <w:numId w:val="1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Certificates of Insurance listing the Administrative Agent as (x) lender loss payee for the property and casualty insurance policies of the Loan Parties, together with long-form lender loss payable, as appropriate, and (y) additional insured with respect to the liability insurance of the Loan Parties, together with additional insured endorsements, in each case to the extent required by Section</w:t>
      </w:r>
    </w:p>
    <w:p>
      <w:pPr>
        <w:ind w:left="120"/>
        <w:spacing w:after="0"/>
        <w:rPr>
          <w:rFonts w:ascii="Arial" w:cs="Arial" w:eastAsia="Arial" w:hAnsi="Arial"/>
          <w:sz w:val="17"/>
          <w:szCs w:val="17"/>
          <w:b w:val="1"/>
          <w:bCs w:val="1"/>
          <w:i w:val="1"/>
          <w:iCs w:val="1"/>
          <w:color w:val="auto"/>
        </w:rPr>
      </w:pPr>
      <w:r>
        <w:rPr>
          <w:rFonts w:ascii="Arial" w:cs="Arial" w:eastAsia="Arial" w:hAnsi="Arial"/>
          <w:sz w:val="18"/>
          <w:szCs w:val="18"/>
          <w:b w:val="1"/>
          <w:bCs w:val="1"/>
          <w:i w:val="1"/>
          <w:iCs w:val="1"/>
          <w:color w:val="auto"/>
        </w:rPr>
        <w:t>5.09 of the Credit Agreement.</w:t>
      </w:r>
    </w:p>
    <w:p>
      <w:pPr>
        <w:spacing w:after="0" w:line="206" w:lineRule="exact"/>
        <w:rPr>
          <w:rFonts w:ascii="Arial" w:cs="Arial" w:eastAsia="Arial" w:hAnsi="Arial"/>
          <w:sz w:val="17"/>
          <w:szCs w:val="17"/>
          <w:b w:val="1"/>
          <w:bCs w:val="1"/>
          <w:i w:val="1"/>
          <w:iCs w:val="1"/>
          <w:color w:val="auto"/>
        </w:rPr>
      </w:pPr>
    </w:p>
    <w:p>
      <w:pPr>
        <w:ind w:left="468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UCC DOCUMENTS</w:t>
      </w:r>
    </w:p>
    <w:p>
      <w:pPr>
        <w:spacing w:after="0" w:line="229" w:lineRule="exact"/>
        <w:rPr>
          <w:rFonts w:ascii="Arial" w:cs="Arial" w:eastAsia="Arial" w:hAnsi="Arial"/>
          <w:sz w:val="17"/>
          <w:szCs w:val="17"/>
          <w:b w:val="1"/>
          <w:bCs w:val="1"/>
          <w:i w:val="1"/>
          <w:iCs w:val="1"/>
          <w:color w:val="auto"/>
        </w:rPr>
      </w:pPr>
    </w:p>
    <w:p>
      <w:pPr>
        <w:ind w:left="1000" w:hanging="992"/>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UCC, tax lien and name variation search reports naming each Loan Party from the appropriate offices in relevant jurisdictions.</w:t>
      </w:r>
    </w:p>
    <w:p>
      <w:pPr>
        <w:spacing w:after="0" w:line="225" w:lineRule="exact"/>
        <w:rPr>
          <w:rFonts w:ascii="Arial" w:cs="Arial" w:eastAsia="Arial" w:hAnsi="Arial"/>
          <w:sz w:val="18"/>
          <w:szCs w:val="18"/>
          <w:color w:val="auto"/>
        </w:rPr>
      </w:pPr>
    </w:p>
    <w:p>
      <w:pPr>
        <w:ind w:firstLine="8"/>
        <w:spacing w:after="0" w:line="277"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UCC financing statements naming CSI Electrical Contractors, Inc. as debtor and the Administrative Agent as secured party as filed with the appropriate offices in the applicable jurisdictions.</w:t>
      </w:r>
    </w:p>
    <w:p>
      <w:pPr>
        <w:spacing w:after="0" w:line="166" w:lineRule="exact"/>
        <w:rPr>
          <w:rFonts w:ascii="Arial" w:cs="Arial" w:eastAsia="Arial" w:hAnsi="Arial"/>
          <w:sz w:val="18"/>
          <w:szCs w:val="18"/>
          <w:color w:val="auto"/>
        </w:rPr>
      </w:pPr>
    </w:p>
    <w:p>
      <w:pPr>
        <w:ind w:left="4300"/>
        <w:spacing w:after="0"/>
        <w:rPr>
          <w:rFonts w:ascii="Arial" w:cs="Arial" w:eastAsia="Arial" w:hAnsi="Arial"/>
          <w:sz w:val="18"/>
          <w:szCs w:val="18"/>
          <w:color w:val="auto"/>
        </w:rPr>
      </w:pPr>
      <w:r>
        <w:rPr>
          <w:rFonts w:ascii="Arial" w:cs="Arial" w:eastAsia="Arial" w:hAnsi="Arial"/>
          <w:sz w:val="18"/>
          <w:szCs w:val="18"/>
          <w:b w:val="1"/>
          <w:bCs w:val="1"/>
          <w:color w:val="auto"/>
        </w:rPr>
        <w:t>C.   CORPORATE DOCUMENTS</w:t>
      </w:r>
    </w:p>
    <w:p>
      <w:pPr>
        <w:spacing w:after="0" w:line="229" w:lineRule="exact"/>
        <w:rPr>
          <w:rFonts w:ascii="Arial" w:cs="Arial" w:eastAsia="Arial" w:hAnsi="Arial"/>
          <w:sz w:val="18"/>
          <w:szCs w:val="18"/>
          <w:color w:val="auto"/>
        </w:rPr>
      </w:pPr>
    </w:p>
    <w:p>
      <w:pPr>
        <w:jc w:val="both"/>
        <w:ind w:firstLine="8"/>
        <w:spacing w:after="0" w:line="314" w:lineRule="auto"/>
        <w:tabs>
          <w:tab w:leader="none" w:pos="1057" w:val="left"/>
        </w:tabs>
        <w:numPr>
          <w:ilvl w:val="0"/>
          <w:numId w:val="13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Certificate of the Secretary or an Assistant Secretary of each Loan Party certifying (i) that there have been no changes in the Certificate of Incorporation or other charter document of such Loan Party, as attached thereto and as certified as of a recent date by the Secretary of State (or analogous governmental entity) of the jurisdiction of its organization, since the date of the certification thereof by such governmental entity, (ii) the By-Laws or other applicable organizational document, as attached thereto, of such Loan Party as in effect on the date of such certification, (iii) resolutions of the Board of Directors or other governing body of such Loan Party authorizing the execution, delivery and performance of each Loan Document to which it is a party, and (iv) the names and true signatures of the incumbent officers of each Loan Party authorized to sign the Loan Documents to which it is a party, and (in the case of the Borrower) authorized to request a Borrowing or the issuance of a Letter of Credit under the Credit Agreement.</w:t>
      </w:r>
    </w:p>
    <w:p>
      <w:pPr>
        <w:spacing w:after="0" w:line="149" w:lineRule="exact"/>
        <w:rPr>
          <w:rFonts w:ascii="Arial" w:cs="Arial" w:eastAsia="Arial" w:hAnsi="Arial"/>
          <w:sz w:val="15"/>
          <w:szCs w:val="15"/>
          <w:b w:val="1"/>
          <w:bCs w:val="1"/>
          <w:i w:val="1"/>
          <w:iCs w:val="1"/>
          <w:color w:val="auto"/>
        </w:rPr>
      </w:pPr>
    </w:p>
    <w:p>
      <w:pPr>
        <w:ind w:left="1220" w:hanging="1212"/>
        <w:spacing w:after="0"/>
        <w:tabs>
          <w:tab w:leader="none" w:pos="1220" w:val="left"/>
        </w:tabs>
        <w:numPr>
          <w:ilvl w:val="0"/>
          <w:numId w:val="1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Good Standing Certificate for each Loan Party from the Secretary of State (or analogous governmental entity) of the jurisdiction of its</w:t>
      </w:r>
    </w:p>
    <w:p>
      <w:pPr>
        <w:spacing w:after="0" w:line="46" w:lineRule="exact"/>
        <w:rPr>
          <w:rFonts w:ascii="Arial" w:cs="Arial" w:eastAsia="Arial" w:hAnsi="Arial"/>
          <w:sz w:val="16"/>
          <w:szCs w:val="16"/>
          <w:b w:val="1"/>
          <w:bCs w:val="1"/>
          <w:i w:val="1"/>
          <w:iCs w:val="1"/>
          <w:color w:val="auto"/>
        </w:rPr>
      </w:pPr>
    </w:p>
    <w:p>
      <w:pPr>
        <w:spacing w:after="0"/>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organization.</w:t>
      </w:r>
    </w:p>
    <w:p>
      <w:pPr>
        <w:spacing w:after="0" w:line="206" w:lineRule="exact"/>
        <w:rPr>
          <w:rFonts w:ascii="Arial" w:cs="Arial" w:eastAsia="Arial" w:hAnsi="Arial"/>
          <w:sz w:val="16"/>
          <w:szCs w:val="16"/>
          <w:b w:val="1"/>
          <w:bCs w:val="1"/>
          <w:i w:val="1"/>
          <w:iCs w:val="1"/>
          <w:color w:val="auto"/>
        </w:rPr>
      </w:pPr>
    </w:p>
    <w:p>
      <w:pPr>
        <w:ind w:left="4680"/>
        <w:spacing w:after="0"/>
        <w:rPr>
          <w:rFonts w:ascii="Arial" w:cs="Arial" w:eastAsia="Arial" w:hAnsi="Arial"/>
          <w:sz w:val="16"/>
          <w:szCs w:val="16"/>
          <w:b w:val="1"/>
          <w:bCs w:val="1"/>
          <w:i w:val="1"/>
          <w:iCs w:val="1"/>
          <w:color w:val="auto"/>
        </w:rPr>
      </w:pPr>
      <w:r>
        <w:rPr>
          <w:rFonts w:ascii="Arial" w:cs="Arial" w:eastAsia="Arial" w:hAnsi="Arial"/>
          <w:sz w:val="18"/>
          <w:szCs w:val="18"/>
          <w:b w:val="1"/>
          <w:bCs w:val="1"/>
          <w:color w:val="auto"/>
        </w:rPr>
        <w:t>D.   LEGAL OPINIONS</w:t>
      </w:r>
    </w:p>
    <w:p>
      <w:pPr>
        <w:spacing w:after="0" w:line="229" w:lineRule="exact"/>
        <w:rPr>
          <w:rFonts w:ascii="Arial" w:cs="Arial" w:eastAsia="Arial" w:hAnsi="Arial"/>
          <w:sz w:val="16"/>
          <w:szCs w:val="16"/>
          <w:b w:val="1"/>
          <w:bCs w:val="1"/>
          <w:i w:val="1"/>
          <w:iCs w:val="1"/>
          <w:color w:val="auto"/>
        </w:rPr>
      </w:pPr>
    </w:p>
    <w:p>
      <w:pPr>
        <w:ind w:left="960" w:hanging="952"/>
        <w:spacing w:after="0"/>
        <w:tabs>
          <w:tab w:leader="none" w:pos="960" w:val="left"/>
        </w:tabs>
        <w:numPr>
          <w:ilvl w:val="0"/>
          <w:numId w:val="1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Opinion letter of Jones Day, counsel to the Loan Parties, addressed to the Administrative Agent and the Holders of Secured Obligations.</w:t>
      </w:r>
    </w:p>
    <w:p>
      <w:pPr>
        <w:spacing w:after="0" w:line="244" w:lineRule="exact"/>
        <w:rPr>
          <w:rFonts w:ascii="Arial" w:cs="Arial" w:eastAsia="Arial" w:hAnsi="Arial"/>
          <w:sz w:val="16"/>
          <w:szCs w:val="16"/>
          <w:b w:val="1"/>
          <w:bCs w:val="1"/>
          <w:i w:val="1"/>
          <w:iCs w:val="1"/>
          <w:color w:val="auto"/>
        </w:rPr>
      </w:pPr>
    </w:p>
    <w:p>
      <w:pPr>
        <w:ind w:left="3340"/>
        <w:spacing w:after="0"/>
        <w:rPr>
          <w:rFonts w:ascii="Arial" w:cs="Arial" w:eastAsia="Arial" w:hAnsi="Arial"/>
          <w:sz w:val="16"/>
          <w:szCs w:val="16"/>
          <w:b w:val="1"/>
          <w:bCs w:val="1"/>
          <w:i w:val="1"/>
          <w:iCs w:val="1"/>
          <w:color w:val="auto"/>
        </w:rPr>
      </w:pPr>
      <w:r>
        <w:rPr>
          <w:rFonts w:ascii="Arial" w:cs="Arial" w:eastAsia="Arial" w:hAnsi="Arial"/>
          <w:sz w:val="18"/>
          <w:szCs w:val="18"/>
          <w:b w:val="1"/>
          <w:bCs w:val="1"/>
          <w:color w:val="auto"/>
        </w:rPr>
        <w:t>E.   CLOSING CERTIFICATES AND MISCELLANEOUS</w:t>
      </w:r>
    </w:p>
    <w:p>
      <w:pPr>
        <w:spacing w:after="0" w:line="229" w:lineRule="exact"/>
        <w:rPr>
          <w:rFonts w:ascii="Arial" w:cs="Arial" w:eastAsia="Arial" w:hAnsi="Arial"/>
          <w:sz w:val="16"/>
          <w:szCs w:val="16"/>
          <w:b w:val="1"/>
          <w:bCs w:val="1"/>
          <w:i w:val="1"/>
          <w:iCs w:val="1"/>
          <w:color w:val="auto"/>
        </w:rPr>
      </w:pPr>
    </w:p>
    <w:p>
      <w:pPr>
        <w:ind w:right="20" w:firstLine="8"/>
        <w:spacing w:after="0" w:line="342" w:lineRule="auto"/>
        <w:tabs>
          <w:tab w:leader="none" w:pos="1070" w:val="left"/>
        </w:tabs>
        <w:numPr>
          <w:ilvl w:val="0"/>
          <w:numId w:val="1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 certificate, signed by the chief financial officer of the Borrower, certifying on the Effective Date that (i) no Default has occurred and is continuing and (ii) the representations and warranties contained in Article III of the Credit Agreement are true and correct as of such date.</w:t>
      </w:r>
    </w:p>
    <w:p>
      <w:pPr>
        <w:spacing w:after="0" w:line="123" w:lineRule="exact"/>
        <w:rPr>
          <w:rFonts w:ascii="Arial" w:cs="Arial" w:eastAsia="Arial" w:hAnsi="Arial"/>
          <w:sz w:val="16"/>
          <w:szCs w:val="16"/>
          <w:b w:val="1"/>
          <w:bCs w:val="1"/>
          <w:i w:val="1"/>
          <w:iCs w:val="1"/>
          <w:color w:val="auto"/>
        </w:rPr>
      </w:pPr>
    </w:p>
    <w:p>
      <w:pPr>
        <w:ind w:left="1000" w:hanging="992"/>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Post-filing UCC search reports reflecting the UCC financing statements referred to in Item 7 above to be of record.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jc w:val="center"/>
        <w:ind w:right="-20"/>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Subsidiary Guarantors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Huen Electric,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 S. Boulos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High Country Line Construction,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GSW Integrated Services,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Sturgeon Electric California,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MYR Transmission Services,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L. E. Myers Co.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Harlan Electric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Sturgeon Electric Company,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Great Southwestern Construction,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MYR Equipment,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MYR Real Estate Holdings,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CSI Electrical Contractors, Inc.</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EXHIBIT C-1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INCREASING LENDER SUPPLEMENT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INCREASING LENDER SUPPLEMENT, dated __________, 20___ (this “</w:t>
      </w:r>
      <w:r>
        <w:rPr>
          <w:rFonts w:ascii="Arial" w:cs="Arial" w:eastAsia="Arial" w:hAnsi="Arial"/>
          <w:sz w:val="16"/>
          <w:szCs w:val="16"/>
          <w:u w:val="single" w:color="auto"/>
          <w:color w:val="auto"/>
        </w:rPr>
        <w:t>Supplement</w:t>
      </w:r>
      <w:r>
        <w:rPr>
          <w:rFonts w:ascii="Arial" w:cs="Arial" w:eastAsia="Arial" w:hAnsi="Arial"/>
          <w:sz w:val="16"/>
          <w:szCs w:val="16"/>
          <w:color w:val="auto"/>
        </w:rPr>
        <w:t>”), by and among each of the signatories hereto, to</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Second Amended and Restated Credit Agreement, dated as of September 13, 2019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MYR Group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E T H</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of the Credit Agreement, the Borrower has the right, subject to the terms and conditions thereof, to effectuate from time to time an increase in the Aggregate Commitment and/or one or more tranches of Incremental Term Loans under the Credit Agreement by requesting one or more Lenders to increase the amount of its Commitment and/or to participate in such a tranche;</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WHEREAS, the Borrower has given notice to the Administrative Agent of its intention to [increase the Aggregate Commitment] [and] [enter into a tranche of Incremental Term Loans] pursuant to such </w:t>
      </w:r>
      <w:r>
        <w:rPr>
          <w:rFonts w:ascii="Arial" w:cs="Arial" w:eastAsia="Arial" w:hAnsi="Arial"/>
          <w:sz w:val="18"/>
          <w:szCs w:val="18"/>
          <w:u w:val="single" w:color="auto"/>
          <w:color w:val="auto"/>
        </w:rPr>
        <w:t>Section 2.04</w:t>
      </w:r>
      <w:r>
        <w:rPr>
          <w:rFonts w:ascii="Arial" w:cs="Arial" w:eastAsia="Arial" w:hAnsi="Arial"/>
          <w:sz w:val="18"/>
          <w:szCs w:val="18"/>
          <w:color w:val="auto"/>
        </w:rPr>
        <w:t>; and</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of the Credit Agreement, the undersigned Increasing Lender now desires to [increase the amount of its Commitment] [and] [participate in a tranche of Incremental Term Loans] under the Credit Agreement by executing and delivering to the Borrower and the Administrative Agent this Supplement;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225" w:lineRule="exact"/>
        <w:rPr>
          <w:sz w:val="20"/>
          <w:szCs w:val="20"/>
          <w:color w:val="auto"/>
        </w:rPr>
      </w:pPr>
    </w:p>
    <w:p>
      <w:pPr>
        <w:jc w:val="both"/>
        <w:ind w:firstLine="1305"/>
        <w:spacing w:after="0" w:line="286" w:lineRule="auto"/>
        <w:tabs>
          <w:tab w:leader="none" w:pos="187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undersigned Increasing Lender agrees, subject to the terms and conditions of the Credit Agreement, that on the date of this Supplement it shall [have its Commitment increased by $[__________], thereby making the aggregate amount of its total Commitments equal to $[__________]] [and] [participate in a tranche of Incremental Term Loans with a commitment amount equal to $[__________] with respect thereto].</w:t>
      </w:r>
    </w:p>
    <w:p>
      <w:pPr>
        <w:spacing w:after="0" w:line="165" w:lineRule="exact"/>
        <w:rPr>
          <w:rFonts w:ascii="Arial" w:cs="Arial" w:eastAsia="Arial" w:hAnsi="Arial"/>
          <w:sz w:val="17"/>
          <w:szCs w:val="17"/>
          <w:color w:val="auto"/>
        </w:rPr>
      </w:pPr>
    </w:p>
    <w:p>
      <w:pPr>
        <w:ind w:left="1760" w:hanging="455"/>
        <w:spacing w:after="0"/>
        <w:tabs>
          <w:tab w:leader="none" w:pos="17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Borrower hereby represents and warrants that no Default or Event of Default has occurred and is continuing on and as of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left="1760" w:hanging="455"/>
        <w:spacing w:after="0"/>
        <w:tabs>
          <w:tab w:leader="none" w:pos="1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25" w:lineRule="exact"/>
        <w:rPr>
          <w:rFonts w:ascii="Arial" w:cs="Arial" w:eastAsia="Arial" w:hAnsi="Arial"/>
          <w:sz w:val="18"/>
          <w:szCs w:val="18"/>
          <w:color w:val="auto"/>
        </w:rPr>
      </w:pPr>
    </w:p>
    <w:p>
      <w:pPr>
        <w:ind w:right="20" w:firstLine="1305"/>
        <w:spacing w:after="0" w:line="277" w:lineRule="auto"/>
        <w:tabs>
          <w:tab w:leader="none" w:pos="18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 but giving effect to federal laws applicable to national banks.</w:t>
      </w:r>
    </w:p>
    <w:p>
      <w:pPr>
        <w:spacing w:after="0" w:line="170" w:lineRule="exact"/>
        <w:rPr>
          <w:rFonts w:ascii="Arial" w:cs="Arial" w:eastAsia="Arial" w:hAnsi="Arial"/>
          <w:sz w:val="18"/>
          <w:szCs w:val="18"/>
          <w:color w:val="auto"/>
        </w:rPr>
      </w:pPr>
    </w:p>
    <w:p>
      <w:pPr>
        <w:ind w:firstLine="1305"/>
        <w:spacing w:after="0" w:line="308" w:lineRule="auto"/>
        <w:tabs>
          <w:tab w:leader="none" w:pos="184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0" w:name="page171"/>
    <w:bookmarkEnd w:id="170"/>
    <w:p>
      <w:pPr>
        <w:ind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INCREASING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MYR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t>EXHIBIT C-2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AUGMENTING LENDER SUPPLEMENT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AUGMENTING LENDER SUPPLEMENT, dated __________, 20___ (this “</w:t>
      </w:r>
      <w:r>
        <w:rPr>
          <w:rFonts w:ascii="Arial" w:cs="Arial" w:eastAsia="Arial" w:hAnsi="Arial"/>
          <w:sz w:val="16"/>
          <w:szCs w:val="16"/>
          <w:u w:val="single" w:color="auto"/>
          <w:color w:val="auto"/>
        </w:rPr>
        <w:t>Supplement</w:t>
      </w:r>
      <w:r>
        <w:rPr>
          <w:rFonts w:ascii="Arial" w:cs="Arial" w:eastAsia="Arial" w:hAnsi="Arial"/>
          <w:sz w:val="16"/>
          <w:szCs w:val="16"/>
          <w:color w:val="auto"/>
        </w:rPr>
        <w:t>”), to the Second Amended and Restated Credit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Agreement, dated as of September 13, 2019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MYR Group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and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E T H</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WHEREAS, the Credit Agreement provides in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thereof that any bank, financial institution or other entity may [extend Commitments] [and] [participate in tranches of Incremental Term Loans] under the Credit Agreement subject to the approval of the Borrower and the Administrative Agent, by executing and delivering to the Borrower and the Administrative Agent a supplement to the Credit Agreement in substantially the form of this Supplement;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undersigned Augmenting Lender was not an original party to the Credit Agreement but now desires to become a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225" w:lineRule="exact"/>
        <w:rPr>
          <w:sz w:val="20"/>
          <w:szCs w:val="20"/>
          <w:color w:val="auto"/>
        </w:rPr>
      </w:pPr>
    </w:p>
    <w:p>
      <w:pPr>
        <w:jc w:val="both"/>
        <w:ind w:firstLine="1305"/>
        <w:spacing w:after="0" w:line="286" w:lineRule="auto"/>
        <w:tabs>
          <w:tab w:leader="none" w:pos="181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 [Commitment with respect to Revolving Loans of $[__________]] [and] [a commitment with respect to Incremental Term Loans of $[__________]].</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undersigned Augmenting Lender (a) represents and warrants that it is legally authorized to enter into this Supplement;</w:t>
      </w:r>
    </w:p>
    <w:p>
      <w:pPr>
        <w:spacing w:after="0" w:line="34" w:lineRule="exact"/>
        <w:rPr>
          <w:rFonts w:ascii="Arial" w:cs="Arial" w:eastAsia="Arial" w:hAnsi="Arial"/>
          <w:sz w:val="17"/>
          <w:szCs w:val="17"/>
          <w:color w:val="auto"/>
        </w:rPr>
      </w:pPr>
    </w:p>
    <w:p>
      <w:pPr>
        <w:jc w:val="both"/>
        <w:ind w:firstLine="8"/>
        <w:spacing w:after="0" w:line="268" w:lineRule="auto"/>
        <w:tabs>
          <w:tab w:leader="none" w:pos="29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confirms that it has received a copy of the Credit Agreement, together with copies of the most recent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182" w:lineRule="exact"/>
        <w:rPr>
          <w:rFonts w:ascii="Arial" w:cs="Arial" w:eastAsia="Arial" w:hAnsi="Arial"/>
          <w:sz w:val="17"/>
          <w:szCs w:val="17"/>
          <w:color w:val="auto"/>
        </w:rPr>
      </w:pPr>
    </w:p>
    <w:p>
      <w:pPr>
        <w:ind w:left="1760" w:hanging="455"/>
        <w:spacing w:after="0"/>
        <w:tabs>
          <w:tab w:leader="none" w:pos="17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undersigned’s address for notices for the purposes of the Credit Agreement is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w:t>
      </w:r>
    </w:p>
    <w:p>
      <w:pPr>
        <w:spacing w:after="0" w:line="225" w:lineRule="exact"/>
        <w:rPr>
          <w:sz w:val="20"/>
          <w:szCs w:val="20"/>
          <w:color w:val="auto"/>
        </w:rPr>
      </w:pPr>
    </w:p>
    <w:p>
      <w:pPr>
        <w:ind w:left="1760" w:hanging="455"/>
        <w:spacing w:after="0"/>
        <w:tabs>
          <w:tab w:leader="none" w:pos="17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Borrower hereby represents and warrants that no Default or Event of Default has occurred and is continuing on and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2" w:name="page173"/>
    <w:bookmarkEnd w:id="172"/>
    <w:p>
      <w:pPr>
        <w:ind w:left="1740" w:hanging="455"/>
        <w:spacing w:after="0"/>
        <w:tabs>
          <w:tab w:leader="none" w:pos="17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25" w:lineRule="exact"/>
        <w:rPr>
          <w:rFonts w:ascii="Arial" w:cs="Arial" w:eastAsia="Arial" w:hAnsi="Arial"/>
          <w:sz w:val="18"/>
          <w:szCs w:val="18"/>
          <w:color w:val="auto"/>
        </w:rPr>
      </w:pPr>
    </w:p>
    <w:p>
      <w:pPr>
        <w:ind w:left="-20" w:right="20" w:firstLine="1305"/>
        <w:spacing w:after="0" w:line="277" w:lineRule="auto"/>
        <w:tabs>
          <w:tab w:leader="none" w:pos="18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 but giving effect to federal laws applicable to national banks.</w:t>
      </w:r>
    </w:p>
    <w:p>
      <w:pPr>
        <w:spacing w:after="0" w:line="170" w:lineRule="exact"/>
        <w:rPr>
          <w:rFonts w:ascii="Arial" w:cs="Arial" w:eastAsia="Arial" w:hAnsi="Arial"/>
          <w:sz w:val="18"/>
          <w:szCs w:val="18"/>
          <w:color w:val="auto"/>
        </w:rPr>
      </w:pPr>
    </w:p>
    <w:p>
      <w:pPr>
        <w:ind w:left="-20" w:firstLine="1305"/>
        <w:spacing w:after="0" w:line="308" w:lineRule="auto"/>
        <w:tabs>
          <w:tab w:leader="none" w:pos="182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73" w:name="page174"/>
    <w:bookmarkEnd w:id="173"/>
    <w:p>
      <w:pPr>
        <w:ind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AUGMENTING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MYR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CERTIFICATE</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The Lenders parties to the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Credit Agreement Described Below</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Compliance Certificate is furnished pursuant to that certain Second Amended and Restated Credit Agreement, dated as of September 13, 2019 (as amended, modified, renewed or extended from time to time, the “Agreement”) among MYR Group Inc. (the “Borrower”), the Lenders party thereto and JPMorgan Chase Bank, N.A., as Administrative Agent for the Lenders and as the Issuing Bank. Unless otherwise defined herein, capitalized terms used in this Compliance Certificate have the meanings ascribed thereto in the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CERTIFIES THAT:</w:t>
      </w:r>
    </w:p>
    <w:p>
      <w:pPr>
        <w:spacing w:after="0" w:line="225" w:lineRule="exact"/>
        <w:rPr>
          <w:sz w:val="20"/>
          <w:szCs w:val="20"/>
          <w:color w:val="auto"/>
        </w:rPr>
      </w:pPr>
    </w:p>
    <w:p>
      <w:pPr>
        <w:ind w:left="1100" w:hanging="444"/>
        <w:spacing w:after="0"/>
        <w:tabs>
          <w:tab w:leader="none" w:pos="11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am the duly elected __________ of the Borrower;</w:t>
      </w:r>
    </w:p>
    <w:p>
      <w:pPr>
        <w:spacing w:after="0" w:line="221" w:lineRule="exact"/>
        <w:rPr>
          <w:rFonts w:ascii="Arial" w:cs="Arial" w:eastAsia="Arial" w:hAnsi="Arial"/>
          <w:sz w:val="18"/>
          <w:szCs w:val="18"/>
          <w:color w:val="auto"/>
        </w:rPr>
      </w:pPr>
    </w:p>
    <w:p>
      <w:pPr>
        <w:jc w:val="both"/>
        <w:ind w:firstLine="656"/>
        <w:spacing w:after="0" w:line="266" w:lineRule="auto"/>
        <w:tabs>
          <w:tab w:leader="none" w:pos="112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 quarterly financial statements add:</w:t>
      </w:r>
      <w:r>
        <w:rPr>
          <w:rFonts w:ascii="Arial" w:cs="Arial" w:eastAsia="Arial" w:hAnsi="Arial"/>
          <w:sz w:val="18"/>
          <w:szCs w:val="18"/>
          <w:color w:val="auto"/>
        </w:rPr>
        <w:t xml:space="preserve"> The attached financial statements present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80" w:lineRule="exact"/>
        <w:rPr>
          <w:rFonts w:ascii="Arial" w:cs="Arial" w:eastAsia="Arial" w:hAnsi="Arial"/>
          <w:sz w:val="18"/>
          <w:szCs w:val="18"/>
          <w:color w:val="auto"/>
        </w:rPr>
      </w:pPr>
    </w:p>
    <w:p>
      <w:pPr>
        <w:jc w:val="both"/>
        <w:ind w:firstLine="656"/>
        <w:spacing w:after="0" w:line="259" w:lineRule="auto"/>
        <w:tabs>
          <w:tab w:leader="none" w:pos="116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no knowledge of (i) the existence of any condition or event which constitutes a Default during or at the end of the accounting period covered by the attached financial statements or as of the date of this Compliance Certificate or (ii) any change in GAAP or in the application thereof that would impact the covenant calculations under Section 6.12 of the Agreement that has occurred since the date of the audited financial statements referred to in Section 3.04 of the Agreement;</w:t>
      </w:r>
    </w:p>
    <w:p>
      <w:pPr>
        <w:spacing w:after="0" w:line="186" w:lineRule="exact"/>
        <w:rPr>
          <w:rFonts w:ascii="Arial" w:cs="Arial" w:eastAsia="Arial" w:hAnsi="Arial"/>
          <w:sz w:val="18"/>
          <w:szCs w:val="18"/>
          <w:color w:val="auto"/>
        </w:rPr>
      </w:pPr>
    </w:p>
    <w:p>
      <w:pPr>
        <w:ind w:right="20" w:firstLine="656"/>
        <w:spacing w:after="0" w:line="277" w:lineRule="auto"/>
        <w:tabs>
          <w:tab w:leader="none" w:pos="130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sets forth financial data and computations evidencing the Borrower’s compliance with Section 6.12 of the Agreement, all of which data and computations are true, complete and correct; and</w:t>
      </w:r>
    </w:p>
    <w:p>
      <w:pPr>
        <w:spacing w:after="0" w:line="170" w:lineRule="exact"/>
        <w:rPr>
          <w:rFonts w:ascii="Arial" w:cs="Arial" w:eastAsia="Arial" w:hAnsi="Arial"/>
          <w:sz w:val="18"/>
          <w:szCs w:val="18"/>
          <w:color w:val="auto"/>
        </w:rPr>
      </w:pPr>
    </w:p>
    <w:p>
      <w:pPr>
        <w:ind w:firstLine="656"/>
        <w:spacing w:after="0" w:line="277" w:lineRule="auto"/>
        <w:tabs>
          <w:tab w:leader="none" w:pos="112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sets forth the computations necessary to determine the Applicable Rate commencing on the Business Day this Compliance Certificate is delivered.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Described below are the exceptions, if any, to paragraph 3 by listing, in detail, the (i) nature of the condition or event, the period during which it has existed and the action which the Borrower has taken, is taking, or proposes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261620</wp:posOffset>
            </wp:positionV>
            <wp:extent cx="68351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681355</wp:posOffset>
            </wp:positionV>
            <wp:extent cx="68351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1101725</wp:posOffset>
            </wp:positionV>
            <wp:extent cx="68351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5" w:name="page176"/>
    <w:bookmarkEnd w:id="175"/>
    <w:p>
      <w:pPr>
        <w:ind w:firstLine="648"/>
        <w:spacing w:after="0" w:line="277" w:lineRule="auto"/>
        <w:rPr>
          <w:sz w:val="20"/>
          <w:szCs w:val="20"/>
          <w:color w:val="auto"/>
        </w:rPr>
      </w:pPr>
      <w:r>
        <w:rPr>
          <w:rFonts w:ascii="Arial" w:cs="Arial" w:eastAsia="Arial" w:hAnsi="Arial"/>
          <w:sz w:val="18"/>
          <w:szCs w:val="18"/>
          <w:color w:val="auto"/>
        </w:rPr>
        <w:t>The foregoing certifications, together with the computations set forth in Schedule I and Schedule II hereto and the financial statements delivered with this Compliance Certificate in support hereof, are made and delivered this ____ day of _____, ___.</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4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SCHEDULE I</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Compliance as of _________, ____ with</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Provisions of ____ and ____ of</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the Agreement</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SCHEDULE II</w:t>
      </w:r>
    </w:p>
    <w:p>
      <w:pPr>
        <w:spacing w:after="0" w:line="200" w:lineRule="exact"/>
        <w:rPr>
          <w:sz w:val="20"/>
          <w:szCs w:val="20"/>
          <w:color w:val="auto"/>
        </w:rPr>
      </w:pPr>
    </w:p>
    <w:p>
      <w:pPr>
        <w:spacing w:after="0" w:line="24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Borrower’s Applicable Rate Calculation</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30, 2019</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30, 2019</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right="960" w:hanging="652"/>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Quarterly Report on Form 10-Q for the quarter and nine months ended September 30, 2019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30, 2019</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Betty R. Johnson, Senior Vice President, Chief Financial Officer and Treasurer of MYR Group, Inc. (the “Company”), certify, pursuant to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660" w:right="960" w:hanging="652"/>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Quarterly Report on Form 10-Q for the quarter and nine months ended September 30, 2019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October 30, 2019</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decimal"/>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1)"/>
      <w:numFmt w:val="decimal"/>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1)"/>
      <w:numFmt w:val="lowerRoman"/>
      <w:start w:val="1"/>
    </w:lvl>
  </w:abstractNum>
  <w:abstractNum w:abstractNumId="11">
    <w:nsid w:val="8F2B15E"/>
    <w:multiLevelType w:val="hybridMultilevel"/>
    <w:lvl w:ilvl="0">
      <w:lvlJc w:val="left"/>
      <w:lvlText w:val="(%1)"/>
      <w:numFmt w:val="lowerRoman"/>
      <w:start w:val="1"/>
    </w:lvl>
  </w:abstractNum>
  <w:abstractNum w:abstractNumId="12">
    <w:nsid w:val="1A32234B"/>
    <w:multiLevelType w:val="hybridMultilevel"/>
    <w:lvl w:ilvl="0">
      <w:lvlJc w:val="left"/>
      <w:lvlText w:val="(%1)"/>
      <w:numFmt w:val="decimal"/>
      <w:start w:val="3"/>
    </w:lvl>
  </w:abstractNum>
  <w:abstractNum w:abstractNumId="13">
    <w:nsid w:val="3B0FD379"/>
    <w:multiLevelType w:val="hybridMultilevel"/>
    <w:lvl w:ilvl="0">
      <w:lvlJc w:val="left"/>
      <w:lvlText w:val="(%1)"/>
      <w:numFmt w:val="lowerLetter"/>
      <w:start w:val="1"/>
    </w:lvl>
  </w:abstractNum>
  <w:abstractNum w:abstractNumId="14">
    <w:nsid w:val="68EB2F63"/>
    <w:multiLevelType w:val="hybridMultilevel"/>
    <w:lvl w:ilvl="0">
      <w:lvlJc w:val="left"/>
      <w:lvlText w:val="(%1)"/>
      <w:numFmt w:val="lowerLetter"/>
      <w:start w:val="7"/>
    </w:lvl>
  </w:abstractNum>
  <w:abstractNum w:abstractNumId="15">
    <w:nsid w:val="4962813B"/>
    <w:multiLevelType w:val="hybridMultilevel"/>
    <w:lvl w:ilvl="0">
      <w:lvlJc w:val="left"/>
      <w:lvlText w:val="(%1)"/>
      <w:numFmt w:val="lowerLetter"/>
      <w:start w:val="1"/>
    </w:lvl>
  </w:abstractNum>
  <w:abstractNum w:abstractNumId="16">
    <w:nsid w:val="60B6DF70"/>
    <w:multiLevelType w:val="hybridMultilevel"/>
    <w:lvl w:ilvl="0">
      <w:lvlJc w:val="left"/>
      <w:lvlText w:val="(%1)"/>
      <w:numFmt w:val="lowerLetter"/>
      <w:start w:val="2"/>
    </w:lvl>
  </w:abstractNum>
  <w:abstractNum w:abstractNumId="17">
    <w:nsid w:val="6A5EE64"/>
    <w:multiLevelType w:val="hybridMultilevel"/>
    <w:lvl w:ilvl="0">
      <w:lvlJc w:val="left"/>
      <w:lvlText w:val="(%1)"/>
      <w:numFmt w:val="lowerLetter"/>
      <w:start w:val="2"/>
    </w:lvl>
  </w:abstractNum>
  <w:abstractNum w:abstractNumId="18">
    <w:nsid w:val="14330624"/>
    <w:multiLevelType w:val="hybridMultilevel"/>
    <w:lvl w:ilvl="0">
      <w:lvlJc w:val="left"/>
      <w:lvlText w:val="(%1)"/>
      <w:numFmt w:val="lowerLetter"/>
      <w:start w:val="4"/>
    </w:lvl>
  </w:abstractNum>
  <w:abstractNum w:abstractNumId="19">
    <w:nsid w:val="7FFFCA11"/>
    <w:multiLevelType w:val="hybridMultilevel"/>
    <w:lvl w:ilvl="0">
      <w:lvlJc w:val="left"/>
      <w:lvlText w:val="(%1)"/>
      <w:numFmt w:val="lowerRoman"/>
      <w:start w:val="1"/>
    </w:lvl>
  </w:abstractNum>
  <w:abstractNum w:abstractNumId="20">
    <w:nsid w:val="1A27709E"/>
    <w:multiLevelType w:val="hybridMultilevel"/>
    <w:lvl w:ilvl="0">
      <w:lvlJc w:val="left"/>
      <w:lvlText w:val="(%1)"/>
      <w:numFmt w:val="lowerLetter"/>
      <w:start w:val="1"/>
    </w:lvl>
  </w:abstractNum>
  <w:abstractNum w:abstractNumId="21">
    <w:nsid w:val="71EA1109"/>
    <w:multiLevelType w:val="hybridMultilevel"/>
    <w:lvl w:ilvl="0">
      <w:lvlJc w:val="left"/>
      <w:lvlText w:val="(%1)"/>
      <w:numFmt w:val="lowerLetter"/>
      <w:start w:val="2"/>
    </w:lvl>
  </w:abstractNum>
  <w:abstractNum w:abstractNumId="22">
    <w:nsid w:val="100F59DC"/>
    <w:multiLevelType w:val="hybridMultilevel"/>
    <w:lvl w:ilvl="0">
      <w:lvlJc w:val="left"/>
      <w:lvlText w:val="(%1)"/>
      <w:numFmt w:val="lowerLetter"/>
      <w:start w:val="4"/>
    </w:lvl>
  </w:abstractNum>
  <w:abstractNum w:abstractNumId="23">
    <w:nsid w:val="7FB7E0AA"/>
    <w:multiLevelType w:val="hybridMultilevel"/>
    <w:lvl w:ilvl="0">
      <w:lvlJc w:val="left"/>
      <w:lvlText w:val="(%1)"/>
      <w:numFmt w:val="lowerLetter"/>
      <w:start w:val="6"/>
    </w:lvl>
  </w:abstractNum>
  <w:abstractNum w:abstractNumId="24">
    <w:nsid w:val="6EB5BD4"/>
    <w:multiLevelType w:val="hybridMultilevel"/>
    <w:lvl w:ilvl="0">
      <w:lvlJc w:val="left"/>
      <w:lvlText w:val="(%1)"/>
      <w:numFmt w:val="lowerRoman"/>
      <w:start w:val="1"/>
    </w:lvl>
  </w:abstractNum>
  <w:abstractNum w:abstractNumId="25">
    <w:nsid w:val="6F6DD9AC"/>
    <w:multiLevelType w:val="hybridMultilevel"/>
    <w:lvl w:ilvl="0">
      <w:lvlJc w:val="left"/>
      <w:lvlText w:val="(%1)"/>
      <w:numFmt w:val="lowerRoman"/>
      <w:start w:val="1"/>
    </w:lvl>
  </w:abstractNum>
  <w:abstractNum w:abstractNumId="26">
    <w:nsid w:val="94211F2"/>
    <w:multiLevelType w:val="hybridMultilevel"/>
    <w:lvl w:ilvl="0">
      <w:lvlJc w:val="left"/>
      <w:lvlText w:val="(%1)"/>
      <w:numFmt w:val="lowerLetter"/>
      <w:start w:val="10"/>
    </w:lvl>
  </w:abstractNum>
  <w:abstractNum w:abstractNumId="27">
    <w:nsid w:val="885E1B"/>
    <w:multiLevelType w:val="hybridMultilevel"/>
    <w:lvl w:ilvl="0">
      <w:lvlJc w:val="left"/>
      <w:lvlText w:val="(%1)"/>
      <w:numFmt w:val="lowerLetter"/>
      <w:start w:val="11"/>
    </w:lvl>
  </w:abstractNum>
  <w:abstractNum w:abstractNumId="28">
    <w:nsid w:val="76272110"/>
    <w:multiLevelType w:val="hybridMultilevel"/>
    <w:lvl w:ilvl="0">
      <w:lvlJc w:val="left"/>
      <w:lvlText w:val="(%1)"/>
      <w:numFmt w:val="lowerLetter"/>
      <w:start w:val="2"/>
    </w:lvl>
  </w:abstractNum>
  <w:abstractNum w:abstractNumId="29">
    <w:nsid w:val="4C04A8AF"/>
    <w:multiLevelType w:val="hybridMultilevel"/>
    <w:lvl w:ilvl="0">
      <w:lvlJc w:val="left"/>
      <w:lvlText w:val="(%1)"/>
      <w:numFmt w:val="lowerLetter"/>
      <w:start w:val="2"/>
    </w:lvl>
  </w:abstractNum>
  <w:abstractNum w:abstractNumId="30">
    <w:nsid w:val="1716703B"/>
    <w:multiLevelType w:val="hybridMultilevel"/>
    <w:lvl w:ilvl="0">
      <w:lvlJc w:val="left"/>
      <w:lvlText w:val="(%1)"/>
      <w:numFmt w:val="lowerLetter"/>
      <w:start w:val="3"/>
    </w:lvl>
  </w:abstractNum>
  <w:abstractNum w:abstractNumId="31">
    <w:nsid w:val="14E17E33"/>
    <w:multiLevelType w:val="hybridMultilevel"/>
    <w:lvl w:ilvl="0">
      <w:lvlJc w:val="left"/>
      <w:lvlText w:val="%1"/>
      <w:numFmt w:val="lowerRoman"/>
      <w:start w:val="1"/>
    </w:lvl>
    <w:lvl w:ilvl="1">
      <w:lvlJc w:val="left"/>
      <w:lvlText w:val="(%2)"/>
      <w:numFmt w:val="lowerRoman"/>
      <w:start w:val="1"/>
    </w:lvl>
  </w:abstractNum>
  <w:abstractNum w:abstractNumId="32">
    <w:nsid w:val="3222E7CD"/>
    <w:multiLevelType w:val="hybridMultilevel"/>
    <w:lvl w:ilvl="0">
      <w:lvlJc w:val="left"/>
      <w:lvlText w:val="(%1)"/>
      <w:numFmt w:val="lowerRoman"/>
      <w:start w:val="3"/>
    </w:lvl>
    <w:lvl w:ilvl="1">
      <w:lvlJc w:val="left"/>
      <w:lvlText w:val="(%2)"/>
      <w:numFmt w:val="lowerRoman"/>
      <w:start w:val="2"/>
    </w:lvl>
  </w:abstractNum>
  <w:abstractNum w:abstractNumId="33">
    <w:nsid w:val="74DE0EE3"/>
    <w:multiLevelType w:val="hybridMultilevel"/>
    <w:lvl w:ilvl="0">
      <w:lvlJc w:val="left"/>
      <w:lvlText w:val="(%1)"/>
      <w:numFmt w:val="lowerLetter"/>
      <w:start w:val="4"/>
    </w:lvl>
  </w:abstractNum>
  <w:abstractNum w:abstractNumId="34">
    <w:nsid w:val="68EBC550"/>
    <w:multiLevelType w:val="hybridMultilevel"/>
    <w:lvl w:ilvl="0">
      <w:lvlJc w:val="left"/>
      <w:lvlText w:val="(%1)"/>
      <w:numFmt w:val="lowerRoman"/>
      <w:start w:val="1"/>
    </w:lvl>
  </w:abstractNum>
  <w:abstractNum w:abstractNumId="35">
    <w:nsid w:val="2DF6D648"/>
    <w:multiLevelType w:val="hybridMultilevel"/>
    <w:lvl w:ilvl="0">
      <w:lvlJc w:val="left"/>
      <w:lvlText w:val="(%1)"/>
      <w:numFmt w:val="lowerLetter"/>
      <w:start w:val="2"/>
    </w:lvl>
  </w:abstractNum>
  <w:abstractNum w:abstractNumId="36">
    <w:nsid w:val="46B7D447"/>
    <w:multiLevelType w:val="hybridMultilevel"/>
    <w:lvl w:ilvl="0">
      <w:lvlJc w:val="left"/>
      <w:lvlText w:val="%1"/>
      <w:numFmt w:val="lowerLetter"/>
      <w:start w:val="1"/>
    </w:lvl>
    <w:lvl w:ilvl="1">
      <w:lvlJc w:val="left"/>
      <w:lvlText w:val="(%2)"/>
      <w:numFmt w:val="lowerLetter"/>
      <w:start w:val="3"/>
    </w:lvl>
  </w:abstractNum>
  <w:abstractNum w:abstractNumId="37">
    <w:nsid w:val="4A2AC315"/>
    <w:multiLevelType w:val="hybridMultilevel"/>
    <w:lvl w:ilvl="0">
      <w:lvlJc w:val="left"/>
      <w:lvlText w:val="(%1)"/>
      <w:numFmt w:val="lowerLetter"/>
      <w:start w:val="3"/>
    </w:lvl>
    <w:lvl w:ilvl="1">
      <w:lvlJc w:val="left"/>
      <w:lvlText w:val="%2"/>
      <w:numFmt w:val="lowerLetter"/>
      <w:start w:val="1"/>
    </w:lvl>
  </w:abstractNum>
  <w:abstractNum w:abstractNumId="38">
    <w:nsid w:val="39EE015C"/>
    <w:multiLevelType w:val="hybridMultilevel"/>
    <w:lvl w:ilvl="0">
      <w:lvlJc w:val="left"/>
      <w:lvlText w:val="(%1)"/>
      <w:numFmt w:val="lowerLetter"/>
      <w:start w:val="2"/>
    </w:lvl>
  </w:abstractNum>
  <w:abstractNum w:abstractNumId="39">
    <w:nsid w:val="57FC4FBB"/>
    <w:multiLevelType w:val="hybridMultilevel"/>
    <w:lvl w:ilvl="0">
      <w:lvlJc w:val="left"/>
      <w:lvlText w:val="(%1)"/>
      <w:numFmt w:val="lowerLetter"/>
      <w:start w:val="1"/>
    </w:lvl>
  </w:abstractNum>
  <w:abstractNum w:abstractNumId="40">
    <w:nsid w:val="CC1016F"/>
    <w:multiLevelType w:val="hybridMultilevel"/>
    <w:lvl w:ilvl="0">
      <w:lvlJc w:val="left"/>
      <w:lvlText w:val="(%1)"/>
      <w:numFmt w:val="lowerLetter"/>
      <w:start w:val="2"/>
    </w:lvl>
  </w:abstractNum>
  <w:abstractNum w:abstractNumId="41">
    <w:nsid w:val="43F18422"/>
    <w:multiLevelType w:val="hybridMultilevel"/>
    <w:lvl w:ilvl="0">
      <w:lvlJc w:val="left"/>
      <w:lvlText w:val="(%1)"/>
      <w:numFmt w:val="lowerLetter"/>
      <w:start w:val="2"/>
    </w:lvl>
  </w:abstractNum>
  <w:abstractNum w:abstractNumId="42">
    <w:nsid w:val="60EF0119"/>
    <w:multiLevelType w:val="hybridMultilevel"/>
    <w:lvl w:ilvl="0">
      <w:lvlJc w:val="left"/>
      <w:lvlText w:val="(%1)"/>
      <w:numFmt w:val="lowerLetter"/>
      <w:start w:val="5"/>
    </w:lvl>
  </w:abstractNum>
  <w:abstractNum w:abstractNumId="43">
    <w:nsid w:val="26F324B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44">
    <w:nsid w:val="7F01579B"/>
    <w:multiLevelType w:val="hybridMultilevel"/>
    <w:lvl w:ilvl="0">
      <w:lvlJc w:val="left"/>
      <w:lvlText w:val="(%1)"/>
      <w:numFmt w:val="lowerLetter"/>
      <w:start w:val="3"/>
    </w:lvl>
  </w:abstractNum>
  <w:abstractNum w:abstractNumId="45">
    <w:nsid w:val="49DA307D"/>
    <w:multiLevelType w:val="hybridMultilevel"/>
    <w:lvl w:ilvl="0">
      <w:lvlJc w:val="left"/>
      <w:lvlText w:val="(%1)"/>
      <w:numFmt w:val="lowerRoman"/>
      <w:start w:val="1"/>
    </w:lvl>
  </w:abstractNum>
  <w:abstractNum w:abstractNumId="46">
    <w:nsid w:val="7055A5F5"/>
    <w:multiLevelType w:val="hybridMultilevel"/>
    <w:lvl w:ilvl="0">
      <w:lvlJc w:val="left"/>
      <w:lvlText w:val="(%1)"/>
      <w:numFmt w:val="lowerLetter"/>
      <w:start w:val="2"/>
    </w:lvl>
  </w:abstractNum>
  <w:abstractNum w:abstractNumId="47">
    <w:nsid w:val="5FB8370B"/>
    <w:multiLevelType w:val="hybridMultilevel"/>
    <w:lvl w:ilvl="0">
      <w:lvlJc w:val="left"/>
      <w:lvlText w:val="(%1)"/>
      <w:numFmt w:val="lowerLetter"/>
      <w:start w:val="2"/>
    </w:lvl>
  </w:abstractNum>
  <w:abstractNum w:abstractNumId="48">
    <w:nsid w:val="50801EE1"/>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35"/>
    </w:lvl>
  </w:abstractNum>
  <w:abstractNum w:abstractNumId="49">
    <w:nsid w:val="488AC1A"/>
    <w:multiLevelType w:val="hybridMultilevel"/>
    <w:lvl w:ilvl="0">
      <w:lvlJc w:val="left"/>
      <w:lvlText w:val="(%1)"/>
      <w:numFmt w:val="upperLetter"/>
      <w:start w:val="1"/>
    </w:lvl>
  </w:abstractNum>
  <w:abstractNum w:abstractNumId="50">
    <w:nsid w:val="5FB8011C"/>
    <w:multiLevelType w:val="hybridMultilevel"/>
    <w:lvl w:ilvl="0">
      <w:lvlJc w:val="left"/>
      <w:lvlText w:val="%1"/>
      <w:numFmt w:val="upperLetter"/>
      <w:start w:val="1"/>
    </w:lvl>
    <w:lvl w:ilvl="1">
      <w:lvlJc w:val="left"/>
      <w:lvlText w:val="(%2)"/>
      <w:numFmt w:val="upperLetter"/>
      <w:start w:val="2"/>
    </w:lvl>
  </w:abstractNum>
  <w:abstractNum w:abstractNumId="51">
    <w:nsid w:val="6AA78F7F"/>
    <w:multiLevelType w:val="hybridMultilevel"/>
    <w:lvl w:ilvl="0">
      <w:lvlJc w:val="left"/>
      <w:lvlText w:val="(%1)"/>
      <w:numFmt w:val="upperLetter"/>
      <w:start w:val="35"/>
    </w:lvl>
    <w:lvl w:ilvl="1">
      <w:lvlJc w:val="left"/>
      <w:lvlText w:val="(%2)"/>
      <w:numFmt w:val="upperLetter"/>
      <w:start w:val="4"/>
    </w:lvl>
  </w:abstractNum>
  <w:abstractNum w:abstractNumId="52">
    <w:nsid w:val="7672BD23"/>
    <w:multiLevelType w:val="hybridMultilevel"/>
    <w:lvl w:ilvl="0">
      <w:lvlJc w:val="left"/>
      <w:lvlText w:val="(%1)"/>
      <w:numFmt w:val="lowerLetter"/>
      <w:start w:val="6"/>
    </w:lvl>
  </w:abstractNum>
  <w:abstractNum w:abstractNumId="53">
    <w:nsid w:val="6FC75AF8"/>
    <w:multiLevelType w:val="hybridMultilevel"/>
    <w:lvl w:ilvl="0">
      <w:lvlJc w:val="left"/>
      <w:lvlText w:val="(%1)"/>
      <w:numFmt w:val="lowerLetter"/>
      <w:start w:val="8"/>
    </w:lvl>
  </w:abstractNum>
  <w:abstractNum w:abstractNumId="54">
    <w:nsid w:val="6A5F7029"/>
    <w:multiLevelType w:val="hybridMultilevel"/>
    <w:lvl w:ilvl="0">
      <w:lvlJc w:val="left"/>
      <w:lvlText w:val="(%1)"/>
      <w:numFmt w:val="lowerLetter"/>
      <w:start w:val="2"/>
    </w:lvl>
  </w:abstractNum>
  <w:abstractNum w:abstractNumId="55">
    <w:nsid w:val="7D5E18F8"/>
    <w:multiLevelType w:val="hybridMultilevel"/>
    <w:lvl w:ilvl="0">
      <w:lvlJc w:val="left"/>
      <w:lvlText w:val="(%1)"/>
      <w:numFmt w:val="lowerLetter"/>
      <w:start w:val="5"/>
    </w:lvl>
  </w:abstractNum>
  <w:abstractNum w:abstractNumId="56">
    <w:nsid w:val="5F3534A4"/>
    <w:multiLevelType w:val="hybridMultilevel"/>
    <w:lvl w:ilvl="0">
      <w:lvlJc w:val="left"/>
      <w:lvlText w:val="(%1)"/>
      <w:numFmt w:val="lowerLetter"/>
      <w:start w:val="9"/>
    </w:lvl>
    <w:lvl w:ilvl="1">
      <w:lvlJc w:val="left"/>
      <w:lvlText w:val="(%2)"/>
      <w:numFmt w:val="lowerLetter"/>
      <w:start w:val="2"/>
    </w:lvl>
  </w:abstractNum>
  <w:abstractNum w:abstractNumId="57">
    <w:nsid w:val="73A1821B"/>
    <w:multiLevelType w:val="hybridMultilevel"/>
    <w:lvl w:ilvl="0">
      <w:lvlJc w:val="left"/>
      <w:lvlText w:val="(%1)"/>
      <w:numFmt w:val="lowerLetter"/>
      <w:start w:val="1"/>
    </w:lvl>
  </w:abstractNum>
  <w:abstractNum w:abstractNumId="58">
    <w:nsid w:val="7DE67713"/>
    <w:multiLevelType w:val="hybridMultilevel"/>
    <w:lvl w:ilvl="0">
      <w:lvlJc w:val="left"/>
      <w:lvlText w:val="(%1)"/>
      <w:numFmt w:val="lowerLetter"/>
      <w:start w:val="3"/>
    </w:lvl>
  </w:abstractNum>
  <w:abstractNum w:abstractNumId="59">
    <w:nsid w:val="555C55B5"/>
    <w:multiLevelType w:val="hybridMultilevel"/>
    <w:lvl w:ilvl="0">
      <w:lvlJc w:val="left"/>
      <w:lvlText w:val="(%1)"/>
      <w:numFmt w:val="lowerRoman"/>
      <w:start w:val="1"/>
    </w:lvl>
  </w:abstractNum>
  <w:abstractNum w:abstractNumId="60">
    <w:nsid w:val="3FA62ACA"/>
    <w:multiLevelType w:val="hybridMultilevel"/>
    <w:lvl w:ilvl="0">
      <w:lvlJc w:val="left"/>
      <w:lvlText w:val="(%1)"/>
      <w:numFmt w:val="lowerLetter"/>
      <w:start w:val="5"/>
    </w:lvl>
  </w:abstractNum>
  <w:abstractNum w:abstractNumId="61">
    <w:nsid w:val="14FCE74E"/>
    <w:multiLevelType w:val="hybridMultilevel"/>
    <w:lvl w:ilvl="0">
      <w:lvlJc w:val="left"/>
      <w:lvlText w:val="(%1)"/>
      <w:numFmt w:val="lowerLetter"/>
      <w:start w:val="2"/>
    </w:lvl>
  </w:abstractNum>
  <w:abstractNum w:abstractNumId="62">
    <w:nsid w:val="6A3DD3E8"/>
    <w:multiLevelType w:val="hybridMultilevel"/>
    <w:lvl w:ilvl="0">
      <w:lvlJc w:val="left"/>
      <w:lvlText w:val="(%1)"/>
      <w:numFmt w:val="lowerLetter"/>
      <w:start w:val="2"/>
    </w:lvl>
  </w:abstractNum>
  <w:abstractNum w:abstractNumId="63">
    <w:nsid w:val="71C91298"/>
    <w:multiLevelType w:val="hybridMultilevel"/>
    <w:lvl w:ilvl="0">
      <w:lvlJc w:val="left"/>
      <w:lvlText w:val="(%1)"/>
      <w:numFmt w:val="lowerLetter"/>
      <w:start w:val="2"/>
    </w:lvl>
  </w:abstractNum>
  <w:abstractNum w:abstractNumId="64">
    <w:nsid w:val="9DAF632"/>
    <w:multiLevelType w:val="hybridMultilevel"/>
    <w:lvl w:ilvl="0">
      <w:lvlJc w:val="left"/>
      <w:lvlText w:val="(%1)"/>
      <w:numFmt w:val="lowerLetter"/>
      <w:start w:val="2"/>
    </w:lvl>
  </w:abstractNum>
  <w:abstractNum w:abstractNumId="65">
    <w:nsid w:val="53299938"/>
    <w:multiLevelType w:val="hybridMultilevel"/>
    <w:lvl w:ilvl="0">
      <w:lvlJc w:val="left"/>
      <w:lvlText w:val="(%1)"/>
      <w:numFmt w:val="lowerLetter"/>
      <w:start w:val="2"/>
    </w:lvl>
  </w:abstractNum>
  <w:abstractNum w:abstractNumId="66">
    <w:nsid w:val="1FBFE8E0"/>
    <w:multiLevelType w:val="hybridMultilevel"/>
    <w:lvl w:ilvl="0">
      <w:lvlJc w:val="left"/>
      <w:lvlText w:val="(%1)"/>
      <w:numFmt w:val="lowerLetter"/>
      <w:start w:val="1"/>
    </w:lvl>
  </w:abstractNum>
  <w:abstractNum w:abstractNumId="67">
    <w:nsid w:val="5092CA79"/>
    <w:multiLevelType w:val="hybridMultilevel"/>
    <w:lvl w:ilvl="0">
      <w:lvlJc w:val="left"/>
      <w:lvlText w:val="(%1)"/>
      <w:numFmt w:val="upperLetter"/>
      <w:start w:val="4"/>
    </w:lvl>
  </w:abstractNum>
  <w:abstractNum w:abstractNumId="68">
    <w:nsid w:val="1D545C4D"/>
    <w:multiLevelType w:val="hybridMultilevel"/>
    <w:lvl w:ilvl="0">
      <w:lvlJc w:val="left"/>
      <w:lvlText w:val="(%1)"/>
      <w:numFmt w:val="lowerLetter"/>
      <w:start w:val="1"/>
    </w:lvl>
  </w:abstractNum>
  <w:abstractNum w:abstractNumId="69">
    <w:nsid w:val="59ADEA3D"/>
    <w:multiLevelType w:val="hybridMultilevel"/>
    <w:lvl w:ilvl="0">
      <w:lvlJc w:val="left"/>
      <w:lvlText w:val="(%1)"/>
      <w:numFmt w:val="lowerLetter"/>
      <w:start w:val="2"/>
    </w:lvl>
  </w:abstractNum>
  <w:abstractNum w:abstractNumId="70">
    <w:nsid w:val="288F1A34"/>
    <w:multiLevelType w:val="hybridMultilevel"/>
    <w:lvl w:ilvl="0">
      <w:lvlJc w:val="left"/>
      <w:lvlText w:val="(%1)"/>
      <w:numFmt w:val="lowerLetter"/>
      <w:start w:val="1"/>
    </w:lvl>
  </w:abstractNum>
  <w:abstractNum w:abstractNumId="71">
    <w:nsid w:val="2A155DBC"/>
    <w:multiLevelType w:val="hybridMultilevel"/>
    <w:lvl w:ilvl="0">
      <w:lvlJc w:val="left"/>
      <w:lvlText w:val="(%1)"/>
      <w:numFmt w:val="lowerLetter"/>
      <w:start w:val="1"/>
    </w:lvl>
  </w:abstractNum>
  <w:abstractNum w:abstractNumId="72">
    <w:nsid w:val="1D9F6E5F"/>
    <w:multiLevelType w:val="hybridMultilevel"/>
    <w:lvl w:ilvl="0">
      <w:lvlJc w:val="left"/>
      <w:lvlText w:val="%1"/>
      <w:numFmt w:val="lowerLetter"/>
      <w:start w:val="1"/>
    </w:lvl>
    <w:lvl w:ilvl="1">
      <w:lvlJc w:val="left"/>
      <w:lvlText w:val="(%2)"/>
      <w:numFmt w:val="lowerLetter"/>
      <w:start w:val="3"/>
    </w:lvl>
  </w:abstractNum>
  <w:abstractNum w:abstractNumId="73">
    <w:nsid w:val="97E1B4E"/>
    <w:multiLevelType w:val="hybridMultilevel"/>
    <w:lvl w:ilvl="0">
      <w:lvlJc w:val="left"/>
      <w:lvlText w:val="(%1)"/>
      <w:numFmt w:val="lowerLetter"/>
      <w:start w:val="25"/>
    </w:lvl>
    <w:lvl w:ilvl="1">
      <w:lvlJc w:val="left"/>
      <w:lvlText w:val="%2"/>
      <w:numFmt w:val="lowerLetter"/>
      <w:start w:val="1"/>
    </w:lvl>
  </w:abstractNum>
  <w:abstractNum w:abstractNumId="74">
    <w:nsid w:val="51088277"/>
    <w:multiLevelType w:val="hybridMultilevel"/>
    <w:lvl w:ilvl="0">
      <w:lvlJc w:val="left"/>
      <w:lvlText w:val="(%1)"/>
      <w:numFmt w:val="lowerLetter"/>
      <w:start w:val="1"/>
    </w:lvl>
  </w:abstractNum>
  <w:abstractNum w:abstractNumId="75">
    <w:nsid w:val="1CA0C5FA"/>
    <w:multiLevelType w:val="hybridMultilevel"/>
    <w:lvl w:ilvl="0">
      <w:lvlJc w:val="left"/>
      <w:lvlText w:val="%1"/>
      <w:numFmt w:val="lowerLetter"/>
      <w:start w:val="1"/>
    </w:lvl>
    <w:lvl w:ilvl="1">
      <w:lvlJc w:val="left"/>
      <w:lvlText w:val="(%2)"/>
      <w:numFmt w:val="lowerLetter"/>
      <w:start w:val="2"/>
    </w:lvl>
  </w:abstractNum>
  <w:abstractNum w:abstractNumId="76">
    <w:nsid w:val="53584BCB"/>
    <w:multiLevelType w:val="hybridMultilevel"/>
    <w:lvl w:ilvl="0">
      <w:lvlJc w:val="left"/>
      <w:lvlText w:val="(%1)"/>
      <w:numFmt w:val="lowerLetter"/>
      <w:start w:val="25"/>
    </w:lvl>
    <w:lvl w:ilvl="1">
      <w:lvlJc w:val="left"/>
      <w:lvlText w:val="(%2)"/>
      <w:numFmt w:val="lowerLetter"/>
      <w:start w:val="3"/>
    </w:lvl>
  </w:abstractNum>
  <w:abstractNum w:abstractNumId="77">
    <w:nsid w:val="415E286C"/>
    <w:multiLevelType w:val="hybridMultilevel"/>
    <w:lvl w:ilvl="0">
      <w:lvlJc w:val="left"/>
      <w:lvlText w:val="(%1)"/>
      <w:numFmt w:val="lowerLetter"/>
      <w:start w:val="4"/>
    </w:lvl>
  </w:abstractNum>
  <w:abstractNum w:abstractNumId="78">
    <w:nsid w:val="7C58FD05"/>
    <w:multiLevelType w:val="hybridMultilevel"/>
    <w:lvl w:ilvl="0">
      <w:lvlJc w:val="left"/>
      <w:lvlText w:val="(%1)"/>
      <w:numFmt w:val="lowerLetter"/>
      <w:start w:val="1"/>
    </w:lvl>
  </w:abstractNum>
  <w:abstractNum w:abstractNumId="79">
    <w:nsid w:val="23D86AAC"/>
    <w:multiLevelType w:val="hybridMultilevel"/>
    <w:lvl w:ilvl="0">
      <w:lvlJc w:val="left"/>
      <w:lvlText w:val="(%1)"/>
      <w:numFmt w:val="lowerLetter"/>
      <w:start w:val="5"/>
    </w:lvl>
  </w:abstractNum>
  <w:abstractNum w:abstractNumId="80">
    <w:nsid w:val="45E6D486"/>
    <w:multiLevelType w:val="hybridMultilevel"/>
    <w:lvl w:ilvl="0">
      <w:lvlJc w:val="left"/>
      <w:lvlText w:val="(%1)"/>
      <w:numFmt w:val="lowerLetter"/>
      <w:start w:val="1"/>
    </w:lvl>
  </w:abstractNum>
  <w:abstractNum w:abstractNumId="81">
    <w:nsid w:val="5C10FE21"/>
    <w:multiLevelType w:val="hybridMultilevel"/>
    <w:lvl w:ilvl="0">
      <w:lvlJc w:val="left"/>
      <w:lvlText w:val="(%1)"/>
      <w:numFmt w:val="lowerLetter"/>
      <w:start w:val="4"/>
    </w:lvl>
  </w:abstractNum>
  <w:abstractNum w:abstractNumId="82">
    <w:nsid w:val="E7FFA2B"/>
    <w:multiLevelType w:val="hybridMultilevel"/>
    <w:lvl w:ilvl="0">
      <w:lvlJc w:val="left"/>
      <w:lvlText w:val="(%1)"/>
      <w:numFmt w:val="lowerRoman"/>
      <w:start w:val="4"/>
    </w:lvl>
    <w:lvl w:ilvl="1">
      <w:lvlJc w:val="left"/>
      <w:lvlText w:val="(%2)"/>
      <w:numFmt w:val="lowerLetter"/>
      <w:start w:val="2"/>
    </w:lvl>
  </w:abstractNum>
  <w:abstractNum w:abstractNumId="83">
    <w:nsid w:val="3C5991AA"/>
    <w:multiLevelType w:val="hybridMultilevel"/>
    <w:lvl w:ilvl="0">
      <w:lvlJc w:val="left"/>
      <w:lvlText w:val="(%1)"/>
      <w:numFmt w:val="lowerLetter"/>
      <w:start w:val="1"/>
    </w:lvl>
  </w:abstractNum>
  <w:abstractNum w:abstractNumId="84">
    <w:nsid w:val="4BD8591A"/>
    <w:multiLevelType w:val="hybridMultilevel"/>
    <w:lvl w:ilvl="0">
      <w:lvlJc w:val="left"/>
      <w:lvlText w:val="(%1)"/>
      <w:numFmt w:val="lowerLetter"/>
      <w:start w:val="8"/>
    </w:lvl>
  </w:abstractNum>
  <w:abstractNum w:abstractNumId="85">
    <w:nsid w:val="78DF6A55"/>
    <w:multiLevelType w:val="hybridMultilevel"/>
    <w:lvl w:ilvl="0">
      <w:lvlJc w:val="left"/>
      <w:lvlText w:val="(%1)"/>
      <w:numFmt w:val="lowerLetter"/>
      <w:start w:val="1"/>
    </w:lvl>
  </w:abstractNum>
  <w:abstractNum w:abstractNumId="86">
    <w:nsid w:val="39B7AAA2"/>
    <w:multiLevelType w:val="hybridMultilevel"/>
    <w:lvl w:ilvl="0">
      <w:lvlJc w:val="left"/>
      <w:lvlText w:val="(%1)"/>
      <w:numFmt w:val="lowerLetter"/>
      <w:start w:val="6"/>
    </w:lvl>
  </w:abstractNum>
  <w:abstractNum w:abstractNumId="87">
    <w:nsid w:val="2B0D8DBE"/>
    <w:multiLevelType w:val="hybridMultilevel"/>
    <w:lvl w:ilvl="0">
      <w:lvlJc w:val="left"/>
      <w:lvlText w:val="(%1)"/>
      <w:numFmt w:val="lowerLetter"/>
      <w:start w:val="2"/>
    </w:lvl>
    <w:lvl w:ilvl="1">
      <w:lvlJc w:val="left"/>
      <w:lvlText w:val="(%2)"/>
      <w:numFmt w:val="lowerRoman"/>
      <w:start w:val="1"/>
    </w:lvl>
  </w:abstractNum>
  <w:abstractNum w:abstractNumId="88">
    <w:nsid w:val="6C80EC70"/>
    <w:multiLevelType w:val="hybridMultilevel"/>
    <w:lvl w:ilvl="0">
      <w:lvlJc w:val="left"/>
      <w:lvlText w:val="(%1)"/>
      <w:numFmt w:val="lowerRoman"/>
      <w:start w:val="3"/>
    </w:lvl>
  </w:abstractNum>
  <w:abstractNum w:abstractNumId="89">
    <w:nsid w:val="379E21B5"/>
    <w:multiLevelType w:val="hybridMultilevel"/>
    <w:lvl w:ilvl="0">
      <w:lvlJc w:val="left"/>
      <w:lvlText w:val="(%1)"/>
      <w:numFmt w:val="lowerLetter"/>
      <w:start w:val="4"/>
    </w:lvl>
  </w:abstractNum>
  <w:abstractNum w:abstractNumId="90">
    <w:nsid w:val="69E373"/>
    <w:multiLevelType w:val="hybridMultilevel"/>
    <w:lvl w:ilvl="0">
      <w:lvlJc w:val="left"/>
      <w:lvlText w:val="(%1)"/>
      <w:numFmt w:val="lowerLetter"/>
      <w:start w:val="1"/>
    </w:lvl>
  </w:abstractNum>
  <w:abstractNum w:abstractNumId="91">
    <w:nsid w:val="2C27173B"/>
    <w:multiLevelType w:val="hybridMultilevel"/>
    <w:lvl w:ilvl="0">
      <w:lvlJc w:val="left"/>
      <w:lvlText w:val="(%1)"/>
      <w:numFmt w:val="lowerLetter"/>
      <w:start w:val="1"/>
    </w:lvl>
  </w:abstractNum>
  <w:abstractNum w:abstractNumId="92">
    <w:nsid w:val="4C9B0904"/>
    <w:multiLevelType w:val="hybridMultilevel"/>
    <w:lvl w:ilvl="0">
      <w:lvlJc w:val="left"/>
      <w:lvlText w:val="(%1)"/>
      <w:numFmt w:val="lowerLetter"/>
      <w:start w:val="1"/>
    </w:lvl>
  </w:abstractNum>
  <w:abstractNum w:abstractNumId="93">
    <w:nsid w:val="6AA7B75C"/>
    <w:multiLevelType w:val="hybridMultilevel"/>
    <w:lvl w:ilvl="0">
      <w:lvlJc w:val="left"/>
      <w:lvlText w:val="(%1)"/>
      <w:numFmt w:val="lowerLetter"/>
      <w:start w:val="9"/>
    </w:lvl>
  </w:abstractNum>
  <w:abstractNum w:abstractNumId="94">
    <w:nsid w:val="1DF029D3"/>
    <w:multiLevelType w:val="hybridMultilevel"/>
    <w:lvl w:ilvl="0">
      <w:lvlJc w:val="left"/>
      <w:lvlText w:val="(%1)"/>
      <w:numFmt w:val="lowerLetter"/>
      <w:start w:val="1"/>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1)"/>
      <w:numFmt w:val="lowerRoman"/>
      <w:start w:val="2"/>
    </w:lvl>
  </w:abstractNum>
  <w:abstractNum w:abstractNumId="97">
    <w:nsid w:val="3DB012B3"/>
    <w:multiLevelType w:val="hybridMultilevel"/>
    <w:lvl w:ilvl="0">
      <w:lvlJc w:val="left"/>
      <w:lvlText w:val="%1"/>
      <w:numFmt w:val="lowerLetter"/>
      <w:start w:val="1"/>
    </w:lvl>
    <w:lvl w:ilvl="1">
      <w:lvlJc w:val="left"/>
      <w:lvlText w:val="(%2)"/>
      <w:numFmt w:val="lowerRoman"/>
      <w:start w:val="1"/>
    </w:lvl>
  </w:abstractNum>
  <w:abstractNum w:abstractNumId="98">
    <w:nsid w:val="2708C9AF"/>
    <w:multiLevelType w:val="hybridMultilevel"/>
    <w:lvl w:ilvl="0">
      <w:lvlJc w:val="left"/>
      <w:lvlText w:val="(%1)"/>
      <w:numFmt w:val="lowerLetter"/>
      <w:start w:val="2"/>
    </w:lvl>
    <w:lvl w:ilvl="1">
      <w:lvlJc w:val="left"/>
      <w:lvlText w:val="%2"/>
      <w:numFmt w:val="lowerRoman"/>
      <w:start w:val="1"/>
    </w:lvl>
  </w:abstractNum>
  <w:abstractNum w:abstractNumId="99">
    <w:nsid w:val="5B25ACE2"/>
    <w:multiLevelType w:val="hybridMultilevel"/>
    <w:lvl w:ilvl="0">
      <w:lvlJc w:val="left"/>
      <w:lvlText w:val="(%1)"/>
      <w:numFmt w:val="lowerLetter"/>
      <w:start w:val="3"/>
    </w:lvl>
  </w:abstractNum>
  <w:abstractNum w:abstractNumId="100">
    <w:nsid w:val="175DFCF0"/>
    <w:multiLevelType w:val="hybridMultilevel"/>
    <w:lvl w:ilvl="0">
      <w:lvlJc w:val="left"/>
      <w:lvlText w:val="(%1)"/>
      <w:numFmt w:val="lowerLetter"/>
      <w:start w:val="1"/>
    </w:lvl>
  </w:abstractNum>
  <w:abstractNum w:abstractNumId="101">
    <w:nsid w:val="4F97E3E4"/>
    <w:multiLevelType w:val="hybridMultilevel"/>
    <w:lvl w:ilvl="0">
      <w:lvlJc w:val="left"/>
      <w:lvlText w:val="(%1)"/>
      <w:numFmt w:val="lowerLetter"/>
      <w:start w:val="4"/>
    </w:lvl>
  </w:abstractNum>
  <w:abstractNum w:abstractNumId="102">
    <w:nsid w:val="53B0A9E"/>
    <w:multiLevelType w:val="hybridMultilevel"/>
    <w:lvl w:ilvl="0">
      <w:lvlJc w:val="left"/>
      <w:lvlText w:val="(%1)"/>
      <w:numFmt w:val="lowerLetter"/>
      <w:start w:val="1"/>
    </w:lvl>
  </w:abstractNum>
  <w:abstractNum w:abstractNumId="103">
    <w:nsid w:val="34FD6B4F"/>
    <w:multiLevelType w:val="hybridMultilevel"/>
    <w:lvl w:ilvl="0">
      <w:lvlJc w:val="left"/>
      <w:lvlText w:val="(%1)"/>
      <w:numFmt w:val="lowerRoman"/>
      <w:start w:val="1"/>
    </w:lvl>
  </w:abstractNum>
  <w:abstractNum w:abstractNumId="104">
    <w:nsid w:val="5915FF32"/>
    <w:multiLevelType w:val="hybridMultilevel"/>
    <w:lvl w:ilvl="0">
      <w:lvlJc w:val="left"/>
      <w:lvlText w:val="(%1)"/>
      <w:numFmt w:val="lowerRoman"/>
      <w:start w:val="3"/>
    </w:lvl>
    <w:lvl w:ilvl="1">
      <w:lvlJc w:val="left"/>
      <w:lvlText w:val="(%2)"/>
      <w:numFmt w:val="upperLetter"/>
      <w:start w:val="2"/>
    </w:lvl>
    <w:lvl w:ilvl="2">
      <w:lvlJc w:val="left"/>
      <w:lvlText w:val="(%3)"/>
      <w:numFmt w:val="upperLetter"/>
      <w:start w:val="1"/>
    </w:lvl>
  </w:abstractNum>
  <w:abstractNum w:abstractNumId="105">
    <w:nsid w:val="56438D15"/>
    <w:multiLevelType w:val="hybridMultilevel"/>
    <w:lvl w:ilvl="0">
      <w:lvlJc w:val="left"/>
      <w:lvlText w:val="(%1)"/>
      <w:numFmt w:val="lowerLetter"/>
      <w:start w:val="2"/>
    </w:lvl>
  </w:abstractNum>
  <w:abstractNum w:abstractNumId="106">
    <w:nsid w:val="519E3149"/>
    <w:multiLevelType w:val="hybridMultilevel"/>
    <w:lvl w:ilvl="0">
      <w:lvlJc w:val="left"/>
      <w:lvlText w:val="(%1)"/>
      <w:numFmt w:val="lowerLetter"/>
      <w:start w:val="3"/>
    </w:lvl>
  </w:abstractNum>
  <w:abstractNum w:abstractNumId="107">
    <w:nsid w:val="2C6E4AFD"/>
    <w:multiLevelType w:val="hybridMultilevel"/>
    <w:lvl w:ilvl="0">
      <w:lvlJc w:val="left"/>
      <w:lvlText w:val="(%1)"/>
      <w:numFmt w:val="lowerLetter"/>
      <w:start w:val="2"/>
    </w:lvl>
  </w:abstractNum>
  <w:abstractNum w:abstractNumId="108">
    <w:nsid w:val="17A1B582"/>
    <w:multiLevelType w:val="hybridMultilevel"/>
    <w:lvl w:ilvl="0">
      <w:lvlJc w:val="left"/>
      <w:lvlText w:val="(%1)"/>
      <w:numFmt w:val="lowerLetter"/>
      <w:start w:val="3"/>
    </w:lvl>
  </w:abstractNum>
  <w:abstractNum w:abstractNumId="109">
    <w:nsid w:val="4DF72E4E"/>
    <w:multiLevelType w:val="hybridMultilevel"/>
    <w:lvl w:ilvl="0">
      <w:lvlJc w:val="left"/>
      <w:lvlText w:val="(%1)"/>
      <w:numFmt w:val="lowerLetter"/>
      <w:start w:val="6"/>
    </w:lvl>
  </w:abstractNum>
  <w:abstractNum w:abstractNumId="110">
    <w:nsid w:val="5046B5A9"/>
    <w:multiLevelType w:val="hybridMultilevel"/>
    <w:lvl w:ilvl="0">
      <w:lvlJc w:val="left"/>
      <w:lvlText w:val="(%1)"/>
      <w:numFmt w:val="lowerLetter"/>
      <w:start w:val="2"/>
    </w:lvl>
  </w:abstractNum>
  <w:abstractNum w:abstractNumId="111">
    <w:nsid w:val="5D888A08"/>
    <w:multiLevelType w:val="hybridMultilevel"/>
    <w:lvl w:ilvl="0">
      <w:lvlJc w:val="left"/>
      <w:lvlText w:val="(%1)"/>
      <w:numFmt w:val="lowerLetter"/>
      <w:start w:val="3"/>
    </w:lvl>
  </w:abstractNum>
  <w:abstractNum w:abstractNumId="112">
    <w:nsid w:val="2A082C70"/>
    <w:multiLevelType w:val="hybridMultilevel"/>
    <w:lvl w:ilvl="0">
      <w:lvlJc w:val="left"/>
      <w:lvlText w:val="(%1)"/>
      <w:numFmt w:val="lowerRoman"/>
      <w:start w:val="1"/>
    </w:lvl>
  </w:abstractNum>
  <w:abstractNum w:abstractNumId="113">
    <w:nsid w:val="5EC6AFD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4">
    <w:nsid w:val="19E21BB2"/>
    <w:multiLevelType w:val="hybridMultilevel"/>
    <w:lvl w:ilvl="0">
      <w:lvlJc w:val="left"/>
      <w:lvlText w:val="(%1)"/>
      <w:numFmt w:val="lowerRoman"/>
      <w:start w:val="3"/>
    </w:lvl>
  </w:abstractNum>
  <w:abstractNum w:abstractNumId="115">
    <w:nsid w:val="75E0858A"/>
    <w:multiLevelType w:val="hybridMultilevel"/>
    <w:lvl w:ilvl="0">
      <w:lvlJc w:val="left"/>
      <w:lvlText w:val="(%1)"/>
      <w:numFmt w:val="lowerLetter"/>
      <w:start w:val="3"/>
    </w:lvl>
    <w:lvl w:ilvl="1">
      <w:lvlJc w:val="left"/>
      <w:lvlText w:val="(%2)"/>
      <w:numFmt w:val="lowerLetter"/>
      <w:start w:val="35"/>
    </w:lvl>
  </w:abstractNum>
  <w:abstractNum w:abstractNumId="116">
    <w:nsid w:val="57A61A29"/>
    <w:multiLevelType w:val="hybridMultilevel"/>
    <w:lvl w:ilvl="0">
      <w:lvlJc w:val="left"/>
      <w:lvlText w:val="(%1)"/>
      <w:numFmt w:val="lowerLetter"/>
      <w:start w:val="2"/>
    </w:lvl>
  </w:abstractNum>
  <w:abstractNum w:abstractNumId="117">
    <w:nsid w:val="5399C654"/>
    <w:multiLevelType w:val="hybridMultilevel"/>
    <w:lvl w:ilvl="0">
      <w:lvlJc w:val="left"/>
      <w:lvlText w:val="(%1)"/>
      <w:numFmt w:val="lowerLetter"/>
      <w:start w:val="4"/>
    </w:lvl>
  </w:abstractNum>
  <w:abstractNum w:abstractNumId="118">
    <w:nsid w:val="20EE1348"/>
    <w:multiLevelType w:val="hybridMultilevel"/>
    <w:lvl w:ilvl="0">
      <w:lvlJc w:val="left"/>
      <w:lvlText w:val="(%1)"/>
      <w:numFmt w:val="lowerLetter"/>
      <w:start w:val="1"/>
    </w:lvl>
  </w:abstractNum>
  <w:abstractNum w:abstractNumId="119">
    <w:nsid w:val="4427069A"/>
    <w:multiLevelType w:val="hybridMultilevel"/>
    <w:lvl w:ilvl="0">
      <w:lvlJc w:val="left"/>
      <w:lvlText w:val="(%1)"/>
      <w:numFmt w:val="lowerLetter"/>
      <w:start w:val="2"/>
    </w:lvl>
  </w:abstractNum>
  <w:abstractNum w:abstractNumId="120">
    <w:nsid w:val="B37E80A"/>
    <w:multiLevelType w:val="hybridMultilevel"/>
    <w:lvl w:ilvl="0">
      <w:lvlJc w:val="left"/>
      <w:lvlText w:val="(%1)"/>
      <w:numFmt w:val="lowerLetter"/>
      <w:start w:val="1"/>
    </w:lvl>
    <w:lvl w:ilvl="1">
      <w:lvlJc w:val="left"/>
      <w:lvlText w:val="(%2)"/>
      <w:numFmt w:val="lowerRoman"/>
      <w:start w:val="1"/>
    </w:lvl>
  </w:abstractNum>
  <w:abstractNum w:abstractNumId="121">
    <w:nsid w:val="2157F6BC"/>
    <w:multiLevelType w:val="hybridMultilevel"/>
    <w:lvl w:ilvl="0">
      <w:lvlJc w:val="left"/>
      <w:lvlText w:val="%1."/>
      <w:numFmt w:val="decimal"/>
      <w:start w:val="1"/>
    </w:lvl>
  </w:abstractNum>
  <w:abstractNum w:abstractNumId="122">
    <w:nsid w:val="704E1DD5"/>
    <w:multiLevelType w:val="hybridMultilevel"/>
    <w:lvl w:ilvl="0">
      <w:lvlJc w:val="left"/>
      <w:lvlText w:val="%1."/>
      <w:numFmt w:val="decimal"/>
      <w:start w:val="6"/>
    </w:lvl>
  </w:abstractNum>
  <w:abstractNum w:abstractNumId="123">
    <w:nsid w:val="57D2F10E"/>
    <w:multiLevelType w:val="hybridMultilevel"/>
    <w:lvl w:ilvl="0">
      <w:lvlJc w:val="left"/>
      <w:lvlText w:val="1"/>
      <w:numFmt w:val="bullet"/>
      <w:start w:val="1"/>
    </w:lvl>
  </w:abstractNum>
  <w:abstractNum w:abstractNumId="124">
    <w:nsid w:val="BFFAE18"/>
    <w:multiLevelType w:val="hybridMultilevel"/>
    <w:lvl w:ilvl="0">
      <w:lvlJc w:val="left"/>
      <w:lvlText w:val="2"/>
      <w:numFmt w:val="bullet"/>
      <w:start w:val="1"/>
    </w:lvl>
  </w:abstractNum>
  <w:abstractNum w:abstractNumId="125">
    <w:nsid w:val="E3E47A8"/>
    <w:multiLevelType w:val="hybridMultilevel"/>
    <w:lvl w:ilvl="0">
      <w:lvlJc w:val="left"/>
      <w:lvlText w:val="3"/>
      <w:numFmt w:val="bullet"/>
      <w:start w:val="1"/>
    </w:lvl>
  </w:abstractNum>
  <w:abstractNum w:abstractNumId="126">
    <w:nsid w:val="2E48F044"/>
    <w:multiLevelType w:val="hybridMultilevel"/>
    <w:lvl w:ilvl="0">
      <w:lvlJc w:val="left"/>
      <w:lvlText w:val="%1."/>
      <w:numFmt w:val="decimal"/>
      <w:start w:val="1"/>
    </w:lvl>
  </w:abstractNum>
  <w:abstractNum w:abstractNumId="127">
    <w:nsid w:val="49D0FEAC"/>
    <w:multiLevelType w:val="hybridMultilevel"/>
    <w:lvl w:ilvl="0">
      <w:lvlJc w:val="left"/>
      <w:lvlText w:val="(%1)"/>
      <w:numFmt w:val="lowerRoman"/>
      <w:start w:val="2"/>
    </w:lvl>
  </w:abstractNum>
  <w:abstractNum w:abstractNumId="128">
    <w:nsid w:val="4BEE5A5B"/>
    <w:multiLevelType w:val="hybridMultilevel"/>
    <w:lvl w:ilvl="0">
      <w:lvlJc w:val="left"/>
      <w:lvlText w:val="4"/>
      <w:numFmt w:val="bullet"/>
      <w:start w:val="1"/>
    </w:lvl>
  </w:abstractNum>
  <w:abstractNum w:abstractNumId="129">
    <w:nsid w:val="5551B9F3"/>
    <w:multiLevelType w:val="hybridMultilevel"/>
    <w:lvl w:ilvl="0">
      <w:lvlJc w:val="left"/>
      <w:lvlText w:val="%1."/>
      <w:numFmt w:val="decimal"/>
      <w:start w:val="2"/>
    </w:lvl>
  </w:abstractNum>
  <w:abstractNum w:abstractNumId="130">
    <w:nsid w:val="24F6AB8E"/>
    <w:multiLevelType w:val="hybridMultilevel"/>
    <w:lvl w:ilvl="0">
      <w:lvlJc w:val="left"/>
      <w:lvlText w:val="%1"/>
      <w:numFmt w:val="decimal"/>
      <w:start w:val="1"/>
    </w:lvl>
    <w:lvl w:ilvl="1">
      <w:lvlJc w:val="left"/>
      <w:lvlText w:val="%2."/>
      <w:numFmt w:val="upperLetter"/>
      <w:start w:val="1"/>
    </w:lvl>
  </w:abstractNum>
  <w:abstractNum w:abstractNumId="131">
    <w:nsid w:val="634C574C"/>
    <w:multiLevelType w:val="hybridMultilevel"/>
    <w:lvl w:ilvl="0">
      <w:lvlJc w:val="left"/>
      <w:lvlText w:val="%1."/>
      <w:numFmt w:val="decimal"/>
      <w:start w:val="1"/>
    </w:lvl>
    <w:lvl w:ilvl="1">
      <w:lvlJc w:val="left"/>
      <w:lvlText w:val="%2"/>
      <w:numFmt w:val="upperLetter"/>
      <w:start w:val="1"/>
    </w:lvl>
  </w:abstractNum>
  <w:abstractNum w:abstractNumId="132">
    <w:nsid w:val="24E99DD7"/>
    <w:multiLevelType w:val="hybridMultilevel"/>
    <w:lvl w:ilvl="0">
      <w:lvlJc w:val="left"/>
      <w:lvlText w:val="%1."/>
      <w:numFmt w:val="decimal"/>
      <w:start w:val="2"/>
    </w:lvl>
  </w:abstractNum>
  <w:abstractNum w:abstractNumId="133">
    <w:nsid w:val="2A31B62D"/>
    <w:multiLevelType w:val="hybridMultilevel"/>
    <w:lvl w:ilvl="0">
      <w:lvlJc w:val="left"/>
      <w:lvlText w:val="1"/>
      <w:numFmt w:val="bullet"/>
      <w:start w:val="1"/>
    </w:lvl>
  </w:abstractNum>
  <w:abstractNum w:abstractNumId="134">
    <w:nsid w:val="1849C29B"/>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lvl w:ilvl="3">
      <w:lvlJc w:val="left"/>
      <w:lvlText w:val="%4"/>
      <w:numFmt w:val="upperLetter"/>
      <w:start w:val="1"/>
    </w:lvl>
    <w:lvl w:ilvl="4">
      <w:lvlJc w:val="left"/>
      <w:lvlText w:val="%5"/>
      <w:numFmt w:val="upperLetter"/>
      <w:start w:val="1"/>
    </w:lvl>
  </w:abstractNum>
  <w:abstractNum w:abstractNumId="135">
    <w:nsid w:val="7DFF9D09"/>
    <w:multiLevelType w:val="hybridMultilevel"/>
    <w:lvl w:ilvl="0">
      <w:lvlJc w:val="left"/>
      <w:lvlText w:val="%1."/>
      <w:numFmt w:val="decimal"/>
      <w:start w:val="1"/>
    </w:lvl>
  </w:abstractNum>
  <w:abstractNum w:abstractNumId="136">
    <w:nsid w:val="754342"/>
    <w:multiLevelType w:val="hybridMultilevel"/>
    <w:lvl w:ilvl="0">
      <w:lvlJc w:val="left"/>
      <w:lvlText w:val="%1"/>
      <w:numFmt w:val="lowerLetter"/>
      <w:start w:val="1"/>
    </w:lvl>
    <w:lvl w:ilvl="1">
      <w:lvlJc w:val="left"/>
      <w:lvlText w:val="%2."/>
      <w:numFmt w:val="decimal"/>
      <w:start w:val="1"/>
    </w:lvl>
  </w:abstractNum>
  <w:abstractNum w:abstractNumId="137">
    <w:nsid w:val="69E7F3E5"/>
    <w:multiLevelType w:val="hybridMultilevel"/>
    <w:lvl w:ilvl="0">
      <w:lvlJc w:val="left"/>
      <w:lvlText w:val="(%1)"/>
      <w:numFmt w:val="lowerLetter"/>
      <w:start w:val="2"/>
    </w:lvl>
    <w:lvl w:ilvl="1">
      <w:lvlJc w:val="left"/>
      <w:lvlText w:val="%2."/>
      <w:numFmt w:val="decimal"/>
      <w:start w:val="3"/>
    </w:lvl>
  </w:abstractNum>
  <w:abstractNum w:abstractNumId="138">
    <w:nsid w:val="2A6DE806"/>
    <w:multiLevelType w:val="hybridMultilevel"/>
    <w:lvl w:ilvl="0">
      <w:lvlJc w:val="left"/>
      <w:lvlText w:val="%1."/>
      <w:numFmt w:val="decimal"/>
      <w:start w:val="4"/>
    </w:lvl>
  </w:abstractNum>
  <w:abstractNum w:abstractNumId="139">
    <w:nsid w:val="1816F8C4"/>
    <w:multiLevelType w:val="hybridMultilevel"/>
    <w:lvl w:ilvl="0">
      <w:lvlJc w:val="left"/>
      <w:lvlText w:val="%1."/>
      <w:numFmt w:val="decimal"/>
      <w:start w:val="5"/>
    </w:lvl>
  </w:abstractNum>
  <w:abstractNum w:abstractNumId="140">
    <w:nsid w:val="37DF2233"/>
    <w:multiLevelType w:val="hybridMultilevel"/>
    <w:lvl w:ilvl="0">
      <w:lvlJc w:val="left"/>
      <w:lvlText w:val="%1."/>
      <w:numFmt w:val="decimal"/>
      <w:start w:val="1"/>
    </w:lvl>
  </w:abstractNum>
  <w:abstractNum w:abstractNumId="141">
    <w:nsid w:val="7AB49DAF"/>
    <w:multiLevelType w:val="hybridMultilevel"/>
    <w:lvl w:ilvl="0">
      <w:lvlJc w:val="left"/>
      <w:lvlText w:val="%1."/>
      <w:numFmt w:val="decimal"/>
      <w:start w:val="1"/>
    </w:lvl>
    <w:lvl w:ilvl="1">
      <w:lvlJc w:val="left"/>
      <w:lvlText w:val="%2)"/>
      <w:numFmt w:val="lowerLetter"/>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49" Type="http://schemas.openxmlformats.org/officeDocument/2006/relationships/hyperlink" Target="http://www.sec.gov/Archives/edgar/data/700923/000114420419036885/tv521718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2019-12-28T04:45:33Z</dcterms:created>
  <dcterms:modified xsi:type="dcterms:W3CDTF">2019-12-28T04:45:33Z</dcterms:modified>
</cp:coreProperties>
</file>