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72923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239395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32"/>
        <w:spacing w:after="0"/>
        <w:rPr>
          <w:sz w:val="20"/>
          <w:szCs w:val="20"/>
          <w:color w:val="auto"/>
        </w:rPr>
      </w:pPr>
      <w:r>
        <w:rPr>
          <w:rFonts w:ascii="Arial" w:cs="Arial" w:eastAsia="Arial" w:hAnsi="Arial"/>
          <w:sz w:val="14"/>
          <w:szCs w:val="14"/>
          <w:b w:val="1"/>
          <w:bCs w:val="1"/>
          <w:color w:val="auto"/>
        </w:rPr>
        <w:t>UNITED STATES</w:t>
      </w:r>
    </w:p>
    <w:p>
      <w:pPr>
        <w:spacing w:after="0" w:line="17"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68580</wp:posOffset>
            </wp:positionV>
            <wp:extent cx="14585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96"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75565</wp:posOffset>
            </wp:positionV>
            <wp:extent cx="14585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188"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ANNUAL REPORT PURSUANT TO SECTION 13 OR 15(d) OF THE SECURITIES EXCHANGE ACT OF 1934</w:t>
      </w:r>
    </w:p>
    <w:p>
      <w:pPr>
        <w:spacing w:after="0" w:line="36"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For the fiscal year ended December 31, 2019</w:t>
      </w:r>
    </w:p>
    <w:p>
      <w:pPr>
        <w:spacing w:after="0" w:line="72" w:lineRule="exact"/>
        <w:rPr>
          <w:sz w:val="24"/>
          <w:szCs w:val="24"/>
          <w:color w:val="auto"/>
        </w:rPr>
      </w:pPr>
    </w:p>
    <w:p>
      <w:pPr>
        <w:ind w:left="248" w:hanging="248"/>
        <w:spacing w:after="0"/>
        <w:tabs>
          <w:tab w:leader="none" w:pos="248" w:val="left"/>
        </w:tabs>
        <w:numPr>
          <w:ilvl w:val="0"/>
          <w:numId w:val="2"/>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TRANSITION REPORT PURSUANT TO SECTION 13 OR 15(d) OF THE SECURITIES EXCHANGE ACT OF 1934</w:t>
      </w:r>
    </w:p>
    <w:p>
      <w:pPr>
        <w:sectPr>
          <w:pgSz w:w="11900" w:h="16838" w:orient="portrait"/>
          <w:cols w:equalWidth="0" w:num="1">
            <w:col w:w="11468"/>
          </w:cols>
          <w:pgMar w:left="212" w:top="206" w:right="219" w:bottom="1440" w:gutter="0" w:footer="0" w:header="0"/>
        </w:sectPr>
      </w:pPr>
    </w:p>
    <w:p>
      <w:pPr>
        <w:spacing w:after="0" w:line="27" w:lineRule="exact"/>
        <w:rPr>
          <w:sz w:val="24"/>
          <w:szCs w:val="24"/>
          <w:color w:val="auto"/>
        </w:rPr>
      </w:pPr>
    </w:p>
    <w:p>
      <w:pPr>
        <w:ind w:left="4708"/>
        <w:spacing w:after="0"/>
        <w:rPr>
          <w:sz w:val="20"/>
          <w:szCs w:val="20"/>
          <w:color w:val="auto"/>
        </w:rPr>
      </w:pPr>
      <w:r>
        <w:rPr>
          <w:rFonts w:ascii="Arial" w:cs="Arial" w:eastAsia="Arial" w:hAnsi="Arial"/>
          <w:sz w:val="9"/>
          <w:szCs w:val="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to</w:t>
      </w:r>
    </w:p>
    <w:p>
      <w:pPr>
        <w:spacing w:after="0" w:line="88" w:lineRule="exact"/>
        <w:rPr>
          <w:sz w:val="24"/>
          <w:szCs w:val="24"/>
          <w:color w:val="auto"/>
        </w:rPr>
      </w:pPr>
    </w:p>
    <w:p>
      <w:pPr>
        <w:sectPr>
          <w:pgSz w:w="11900" w:h="16838" w:orient="portrait"/>
          <w:cols w:equalWidth="0" w:num="2">
            <w:col w:w="6108" w:space="580"/>
            <w:col w:w="4780"/>
          </w:cols>
          <w:pgMar w:left="212" w:top="206" w:right="219" w:bottom="1440" w:gutter="0" w:footer="0" w:header="0"/>
          <w:type w:val="continuous"/>
        </w:sectPr>
      </w:pPr>
    </w:p>
    <w:p>
      <w:pPr>
        <w:jc w:val="center"/>
        <w:ind w:right="-27"/>
        <w:spacing w:after="0"/>
        <w:rPr>
          <w:sz w:val="20"/>
          <w:szCs w:val="20"/>
          <w:color w:val="auto"/>
        </w:rPr>
      </w:pPr>
      <w:r>
        <w:rPr>
          <w:rFonts w:ascii="Arial" w:cs="Arial" w:eastAsia="Arial" w:hAnsi="Arial"/>
          <w:sz w:val="9"/>
          <w:szCs w:val="9"/>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106045</wp:posOffset>
            </wp:positionV>
            <wp:extent cx="14585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ectPr>
          <w:pgSz w:w="11900" w:h="16838" w:orient="portrait"/>
          <w:cols w:equalWidth="0" w:num="1">
            <w:col w:w="11468"/>
          </w:cols>
          <w:pgMar w:left="212" w:top="206" w:right="219" w:bottom="1440" w:gutter="0" w:footer="0" w:header="0"/>
          <w:type w:val="continuous"/>
        </w:sectPr>
      </w:pPr>
    </w:p>
    <w:p>
      <w:pPr>
        <w:spacing w:after="0" w:line="307" w:lineRule="exact"/>
        <w:rPr>
          <w:sz w:val="24"/>
          <w:szCs w:val="24"/>
          <w:color w:val="auto"/>
        </w:rPr>
      </w:pPr>
    </w:p>
    <w:tbl>
      <w:tblPr>
        <w:tblLayout w:type="fixed"/>
        <w:tblInd w:w="8" w:type="dxa"/>
        <w:tblCellMar>
          <w:top w:w="0" w:type="dxa"/>
          <w:left w:w="0" w:type="dxa"/>
          <w:bottom w:w="0" w:type="dxa"/>
          <w:right w:w="0" w:type="dxa"/>
        </w:tblCellMar>
      </w:tblPr>
      <w:tr>
        <w:trPr>
          <w:trHeight w:val="226"/>
        </w:trPr>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9"/>
                <w:szCs w:val="19"/>
                <w:b w:val="1"/>
                <w:bCs w:val="1"/>
                <w:color w:val="auto"/>
              </w:rPr>
              <w:t>MYR GROUP INC.</w:t>
            </w:r>
          </w:p>
        </w:tc>
        <w:tc>
          <w:tcPr>
            <w:tcW w:w="4400" w:type="dxa"/>
            <w:vAlign w:val="bottom"/>
          </w:tcPr>
          <w:p>
            <w:pPr>
              <w:spacing w:after="0"/>
              <w:rPr>
                <w:sz w:val="19"/>
                <w:szCs w:val="19"/>
                <w:color w:val="auto"/>
              </w:rPr>
            </w:pPr>
          </w:p>
        </w:tc>
      </w:tr>
      <w:tr>
        <w:trPr>
          <w:trHeight w:val="122"/>
        </w:trPr>
        <w:tc>
          <w:tcPr>
            <w:tcW w:w="3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0"/>
                <w:szCs w:val="10"/>
                <w:color w:val="auto"/>
                <w:w w:val="86"/>
              </w:rPr>
              <w:t>(Exact name of registrant as specified in its charter)</w:t>
            </w:r>
          </w:p>
        </w:tc>
        <w:tc>
          <w:tcPr>
            <w:tcW w:w="4400" w:type="dxa"/>
            <w:vAlign w:val="bottom"/>
          </w:tcPr>
          <w:p>
            <w:pPr>
              <w:spacing w:after="0"/>
              <w:rPr>
                <w:sz w:val="10"/>
                <w:szCs w:val="10"/>
                <w:color w:val="auto"/>
              </w:rPr>
            </w:pPr>
          </w:p>
        </w:tc>
      </w:tr>
      <w:tr>
        <w:trPr>
          <w:trHeight w:val="152"/>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178"/>
        </w:trPr>
        <w:tc>
          <w:tcPr>
            <w:tcW w:w="3520" w:type="dxa"/>
            <w:vAlign w:val="bottom"/>
            <w:gridSpan w:val="2"/>
          </w:tcPr>
          <w:p>
            <w:pPr>
              <w:jc w:val="center"/>
              <w:ind w:left="169"/>
              <w:spacing w:after="0"/>
              <w:rPr>
                <w:sz w:val="20"/>
                <w:szCs w:val="20"/>
                <w:color w:val="auto"/>
              </w:rPr>
            </w:pPr>
            <w:r>
              <w:rPr>
                <w:rFonts w:ascii="Arial" w:cs="Arial" w:eastAsia="Arial" w:hAnsi="Arial"/>
                <w:sz w:val="10"/>
                <w:szCs w:val="10"/>
                <w:b w:val="1"/>
                <w:bCs w:val="1"/>
                <w:color w:val="auto"/>
                <w:w w:val="95"/>
              </w:rPr>
              <w:t>Delaware</w:t>
            </w:r>
          </w:p>
        </w:tc>
        <w:tc>
          <w:tcPr>
            <w:tcW w:w="3360" w:type="dxa"/>
            <w:vAlign w:val="bottom"/>
            <w:gridSpan w:val="2"/>
          </w:tcPr>
          <w:p>
            <w:pPr>
              <w:jc w:val="center"/>
              <w:ind w:right="1124"/>
              <w:spacing w:after="0"/>
              <w:rPr>
                <w:sz w:val="20"/>
                <w:szCs w:val="20"/>
                <w:color w:val="auto"/>
              </w:rPr>
            </w:pPr>
            <w:r>
              <w:rPr>
                <w:rFonts w:ascii="Arial" w:cs="Arial" w:eastAsia="Arial" w:hAnsi="Arial"/>
                <w:sz w:val="10"/>
                <w:szCs w:val="10"/>
                <w:b w:val="1"/>
                <w:bCs w:val="1"/>
                <w:color w:val="auto"/>
                <w:w w:val="93"/>
              </w:rPr>
              <w:t>36-3158643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0" w:type="dxa"/>
            <w:vAlign w:val="bottom"/>
          </w:tcPr>
          <w:p>
            <w:pPr>
              <w:spacing w:after="0"/>
              <w:rPr>
                <w:sz w:val="15"/>
                <w:szCs w:val="15"/>
                <w:color w:val="auto"/>
              </w:rPr>
            </w:pPr>
          </w:p>
        </w:tc>
      </w:tr>
      <w:tr>
        <w:trPr>
          <w:trHeight w:val="108"/>
        </w:trPr>
        <w:tc>
          <w:tcPr>
            <w:tcW w:w="3520" w:type="dxa"/>
            <w:vAlign w:val="bottom"/>
            <w:gridSpan w:val="2"/>
          </w:tcPr>
          <w:p>
            <w:pPr>
              <w:jc w:val="center"/>
              <w:ind w:left="209"/>
              <w:spacing w:after="0" w:line="108" w:lineRule="exact"/>
              <w:rPr>
                <w:sz w:val="20"/>
                <w:szCs w:val="20"/>
                <w:color w:val="auto"/>
              </w:rPr>
            </w:pPr>
            <w:r>
              <w:rPr>
                <w:rFonts w:ascii="Arial" w:cs="Arial" w:eastAsia="Arial" w:hAnsi="Arial"/>
                <w:sz w:val="10"/>
                <w:szCs w:val="10"/>
                <w:color w:val="auto"/>
                <w:w w:val="94"/>
              </w:rPr>
              <w:t>(State or other jurisdiction of</w:t>
            </w:r>
          </w:p>
        </w:tc>
        <w:tc>
          <w:tcPr>
            <w:tcW w:w="3540" w:type="dxa"/>
            <w:vAlign w:val="bottom"/>
            <w:gridSpan w:val="4"/>
          </w:tcPr>
          <w:p>
            <w:pPr>
              <w:jc w:val="center"/>
              <w:ind w:right="1360"/>
              <w:spacing w:after="0" w:line="108" w:lineRule="exact"/>
              <w:rPr>
                <w:sz w:val="20"/>
                <w:szCs w:val="20"/>
                <w:color w:val="auto"/>
              </w:rPr>
            </w:pPr>
            <w:r>
              <w:rPr>
                <w:rFonts w:ascii="Arial" w:cs="Arial" w:eastAsia="Arial" w:hAnsi="Arial"/>
                <w:sz w:val="10"/>
                <w:szCs w:val="10"/>
                <w:color w:val="auto"/>
                <w:w w:val="95"/>
              </w:rPr>
              <w:t>(I.R.S. Employer</w:t>
            </w:r>
          </w:p>
        </w:tc>
        <w:tc>
          <w:tcPr>
            <w:tcW w:w="4400" w:type="dxa"/>
            <w:vAlign w:val="bottom"/>
          </w:tcPr>
          <w:p>
            <w:pPr>
              <w:spacing w:after="0"/>
              <w:rPr>
                <w:sz w:val="9"/>
                <w:szCs w:val="9"/>
                <w:color w:val="auto"/>
              </w:rPr>
            </w:pPr>
          </w:p>
        </w:tc>
      </w:tr>
      <w:tr>
        <w:trPr>
          <w:trHeight w:val="129"/>
        </w:trPr>
        <w:tc>
          <w:tcPr>
            <w:tcW w:w="3520" w:type="dxa"/>
            <w:vAlign w:val="bottom"/>
            <w:gridSpan w:val="2"/>
          </w:tcPr>
          <w:p>
            <w:pPr>
              <w:jc w:val="center"/>
              <w:ind w:left="209"/>
              <w:spacing w:after="0"/>
              <w:rPr>
                <w:sz w:val="20"/>
                <w:szCs w:val="20"/>
                <w:color w:val="auto"/>
              </w:rPr>
            </w:pPr>
            <w:r>
              <w:rPr>
                <w:rFonts w:ascii="Arial" w:cs="Arial" w:eastAsia="Arial" w:hAnsi="Arial"/>
                <w:sz w:val="10"/>
                <w:szCs w:val="10"/>
                <w:color w:val="auto"/>
                <w:w w:val="93"/>
              </w:rPr>
              <w:t>incorporation or organization)</w:t>
            </w:r>
          </w:p>
        </w:tc>
        <w:tc>
          <w:tcPr>
            <w:tcW w:w="3540" w:type="dxa"/>
            <w:vAlign w:val="bottom"/>
            <w:gridSpan w:val="4"/>
          </w:tcPr>
          <w:p>
            <w:pPr>
              <w:jc w:val="center"/>
              <w:ind w:right="1340"/>
              <w:spacing w:after="0"/>
              <w:rPr>
                <w:sz w:val="20"/>
                <w:szCs w:val="20"/>
                <w:color w:val="auto"/>
              </w:rPr>
            </w:pPr>
            <w:r>
              <w:rPr>
                <w:rFonts w:ascii="Arial" w:cs="Arial" w:eastAsia="Arial" w:hAnsi="Arial"/>
                <w:sz w:val="10"/>
                <w:szCs w:val="10"/>
                <w:color w:val="auto"/>
                <w:w w:val="97"/>
              </w:rPr>
              <w:t>Identification No.)</w:t>
            </w:r>
          </w:p>
        </w:tc>
        <w:tc>
          <w:tcPr>
            <w:tcW w:w="4400" w:type="dxa"/>
            <w:vAlign w:val="bottom"/>
          </w:tcPr>
          <w:p>
            <w:pPr>
              <w:spacing w:after="0"/>
              <w:rPr>
                <w:sz w:val="11"/>
                <w:szCs w:val="11"/>
                <w:color w:val="auto"/>
              </w:rPr>
            </w:pPr>
          </w:p>
        </w:tc>
      </w:tr>
      <w:tr>
        <w:trPr>
          <w:trHeight w:val="132"/>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9"/>
              </w:rPr>
              <w:t>1701 Golf Road, Suite 3-1012</w:t>
            </w:r>
          </w:p>
        </w:tc>
        <w:tc>
          <w:tcPr>
            <w:tcW w:w="4400" w:type="dxa"/>
            <w:vAlign w:val="bottom"/>
          </w:tcPr>
          <w:p>
            <w:pPr>
              <w:spacing w:after="0"/>
              <w:rPr>
                <w:sz w:val="11"/>
                <w:szCs w:val="11"/>
                <w:color w:val="auto"/>
              </w:rPr>
            </w:pPr>
          </w:p>
        </w:tc>
      </w:tr>
      <w:tr>
        <w:trPr>
          <w:trHeight w:val="114"/>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80" w:type="dxa"/>
            <w:vAlign w:val="bottom"/>
            <w:gridSpan w:val="3"/>
          </w:tcPr>
          <w:p>
            <w:pPr>
              <w:jc w:val="center"/>
              <w:ind w:right="200"/>
              <w:spacing w:after="0" w:line="114" w:lineRule="exact"/>
              <w:rPr>
                <w:sz w:val="20"/>
                <w:szCs w:val="20"/>
                <w:color w:val="auto"/>
              </w:rPr>
            </w:pPr>
            <w:r>
              <w:rPr>
                <w:rFonts w:ascii="Arial" w:cs="Arial" w:eastAsia="Arial" w:hAnsi="Arial"/>
                <w:sz w:val="11"/>
                <w:szCs w:val="11"/>
                <w:b w:val="1"/>
                <w:bCs w:val="1"/>
                <w:color w:val="auto"/>
                <w:w w:val="91"/>
              </w:rPr>
              <w:t>Rolling Meadows, IL 60008</w:t>
            </w:r>
          </w:p>
        </w:tc>
        <w:tc>
          <w:tcPr>
            <w:tcW w:w="4400" w:type="dxa"/>
            <w:vAlign w:val="bottom"/>
          </w:tcPr>
          <w:p>
            <w:pPr>
              <w:spacing w:after="0"/>
              <w:rPr>
                <w:sz w:val="9"/>
                <w:szCs w:val="9"/>
                <w:color w:val="auto"/>
              </w:rPr>
            </w:pPr>
          </w:p>
        </w:tc>
      </w:tr>
      <w:tr>
        <w:trPr>
          <w:trHeight w:val="122"/>
        </w:trPr>
        <w:tc>
          <w:tcPr>
            <w:tcW w:w="3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80" w:type="dxa"/>
            <w:vAlign w:val="bottom"/>
            <w:gridSpan w:val="3"/>
          </w:tcPr>
          <w:p>
            <w:pPr>
              <w:jc w:val="center"/>
              <w:ind w:right="160"/>
              <w:spacing w:after="0"/>
              <w:rPr>
                <w:sz w:val="20"/>
                <w:szCs w:val="20"/>
                <w:color w:val="auto"/>
              </w:rPr>
            </w:pPr>
            <w:r>
              <w:rPr>
                <w:rFonts w:ascii="Arial" w:cs="Arial" w:eastAsia="Arial" w:hAnsi="Arial"/>
                <w:sz w:val="10"/>
                <w:szCs w:val="10"/>
                <w:color w:val="auto"/>
                <w:w w:val="88"/>
              </w:rPr>
              <w:t>(Address of principal executive offices, including zip code)</w:t>
            </w:r>
          </w:p>
        </w:tc>
        <w:tc>
          <w:tcPr>
            <w:tcW w:w="4400" w:type="dxa"/>
            <w:vAlign w:val="bottom"/>
          </w:tcPr>
          <w:p>
            <w:pPr>
              <w:spacing w:after="0"/>
              <w:rPr>
                <w:sz w:val="10"/>
                <w:szCs w:val="10"/>
                <w:color w:val="auto"/>
              </w:rPr>
            </w:pPr>
          </w:p>
        </w:tc>
      </w:tr>
      <w:tr>
        <w:trPr>
          <w:trHeight w:val="158"/>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gridSpan w:val="2"/>
          </w:tcPr>
          <w:p>
            <w:pPr>
              <w:jc w:val="center"/>
              <w:ind w:left="988"/>
              <w:spacing w:after="0"/>
              <w:rPr>
                <w:sz w:val="20"/>
                <w:szCs w:val="20"/>
                <w:color w:val="auto"/>
              </w:rPr>
            </w:pPr>
            <w:r>
              <w:rPr>
                <w:rFonts w:ascii="Arial" w:cs="Arial" w:eastAsia="Arial" w:hAnsi="Arial"/>
                <w:sz w:val="11"/>
                <w:szCs w:val="11"/>
                <w:b w:val="1"/>
                <w:bCs w:val="1"/>
                <w:color w:val="auto"/>
                <w:w w:val="90"/>
              </w:rPr>
              <w:t>(847) 290-1891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122"/>
        </w:trPr>
        <w:tc>
          <w:tcPr>
            <w:tcW w:w="3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80" w:type="dxa"/>
            <w:vAlign w:val="bottom"/>
            <w:gridSpan w:val="3"/>
          </w:tcPr>
          <w:p>
            <w:pPr>
              <w:jc w:val="center"/>
              <w:ind w:right="160"/>
              <w:spacing w:after="0"/>
              <w:rPr>
                <w:sz w:val="20"/>
                <w:szCs w:val="20"/>
                <w:color w:val="auto"/>
              </w:rPr>
            </w:pPr>
            <w:r>
              <w:rPr>
                <w:rFonts w:ascii="Arial" w:cs="Arial" w:eastAsia="Arial" w:hAnsi="Arial"/>
                <w:sz w:val="10"/>
                <w:szCs w:val="10"/>
                <w:color w:val="auto"/>
                <w:w w:val="86"/>
              </w:rPr>
              <w:t>(Registrant’s telephone number, including area code)</w:t>
            </w:r>
          </w:p>
        </w:tc>
        <w:tc>
          <w:tcPr>
            <w:tcW w:w="4400" w:type="dxa"/>
            <w:vAlign w:val="bottom"/>
          </w:tcPr>
          <w:p>
            <w:pPr>
              <w:spacing w:after="0"/>
              <w:rPr>
                <w:sz w:val="10"/>
                <w:szCs w:val="10"/>
                <w:color w:val="auto"/>
              </w:rPr>
            </w:pPr>
          </w:p>
        </w:tc>
      </w:tr>
      <w:tr>
        <w:trPr>
          <w:trHeight w:val="80"/>
        </w:trPr>
        <w:tc>
          <w:tcPr>
            <w:tcW w:w="3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0" w:type="dxa"/>
            <w:vAlign w:val="bottom"/>
          </w:tcPr>
          <w:p>
            <w:pPr>
              <w:spacing w:after="0"/>
              <w:rPr>
                <w:sz w:val="6"/>
                <w:szCs w:val="6"/>
                <w:color w:val="auto"/>
              </w:rPr>
            </w:pPr>
          </w:p>
        </w:tc>
      </w:tr>
      <w:tr>
        <w:trPr>
          <w:trHeight w:val="201"/>
        </w:trPr>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gridSpan w:val="4"/>
          </w:tcPr>
          <w:p>
            <w:pPr>
              <w:ind w:left="960"/>
              <w:spacing w:after="0"/>
              <w:rPr>
                <w:sz w:val="20"/>
                <w:szCs w:val="20"/>
                <w:color w:val="auto"/>
              </w:rPr>
            </w:pPr>
            <w:r>
              <w:rPr>
                <w:rFonts w:ascii="Arial" w:cs="Arial" w:eastAsia="Arial" w:hAnsi="Arial"/>
                <w:sz w:val="11"/>
                <w:szCs w:val="11"/>
                <w:color w:val="auto"/>
                <w:w w:val="91"/>
              </w:rPr>
              <w:t>Securities registered pursuant to Section 12(b) of the Act:</w:t>
            </w:r>
          </w:p>
        </w:tc>
        <w:tc>
          <w:tcPr>
            <w:tcW w:w="4400" w:type="dxa"/>
            <w:vAlign w:val="bottom"/>
          </w:tcPr>
          <w:p>
            <w:pPr>
              <w:spacing w:after="0"/>
              <w:rPr>
                <w:sz w:val="17"/>
                <w:szCs w:val="17"/>
                <w:color w:val="auto"/>
              </w:rPr>
            </w:pPr>
          </w:p>
        </w:tc>
      </w:tr>
      <w:tr>
        <w:trPr>
          <w:trHeight w:val="229"/>
        </w:trPr>
        <w:tc>
          <w:tcPr>
            <w:tcW w:w="3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Title of each class</w:t>
            </w:r>
          </w:p>
        </w:tc>
        <w:tc>
          <w:tcPr>
            <w:tcW w:w="1060" w:type="dxa"/>
            <w:vAlign w:val="bottom"/>
          </w:tcPr>
          <w:p>
            <w:pPr>
              <w:spacing w:after="0"/>
              <w:rPr>
                <w:sz w:val="19"/>
                <w:szCs w:val="19"/>
                <w:color w:val="auto"/>
              </w:rPr>
            </w:pPr>
          </w:p>
        </w:tc>
        <w:tc>
          <w:tcPr>
            <w:tcW w:w="2480" w:type="dxa"/>
            <w:vAlign w:val="bottom"/>
            <w:gridSpan w:val="3"/>
          </w:tcPr>
          <w:p>
            <w:pPr>
              <w:jc w:val="center"/>
              <w:ind w:right="1200"/>
              <w:spacing w:after="0"/>
              <w:rPr>
                <w:sz w:val="20"/>
                <w:szCs w:val="20"/>
                <w:color w:val="auto"/>
              </w:rPr>
            </w:pPr>
            <w:r>
              <w:rPr>
                <w:rFonts w:ascii="Arial" w:cs="Arial" w:eastAsia="Arial" w:hAnsi="Arial"/>
                <w:sz w:val="10"/>
                <w:szCs w:val="10"/>
                <w:b w:val="1"/>
                <w:bCs w:val="1"/>
                <w:color w:val="auto"/>
                <w:w w:val="91"/>
              </w:rPr>
              <w:t>Trading Symbol(s)</w:t>
            </w:r>
          </w:p>
        </w:tc>
        <w:tc>
          <w:tcPr>
            <w:tcW w:w="4400" w:type="dxa"/>
            <w:vAlign w:val="bottom"/>
          </w:tcPr>
          <w:p>
            <w:pPr>
              <w:jc w:val="center"/>
              <w:spacing w:after="0"/>
              <w:rPr>
                <w:sz w:val="20"/>
                <w:szCs w:val="20"/>
                <w:color w:val="auto"/>
              </w:rPr>
            </w:pPr>
            <w:r>
              <w:rPr>
                <w:rFonts w:ascii="Arial" w:cs="Arial" w:eastAsia="Arial" w:hAnsi="Arial"/>
                <w:sz w:val="10"/>
                <w:szCs w:val="10"/>
                <w:b w:val="1"/>
                <w:bCs w:val="1"/>
                <w:color w:val="auto"/>
                <w:w w:val="88"/>
              </w:rPr>
              <w:t>Name of each exchange on which registered</w:t>
            </w:r>
          </w:p>
        </w:tc>
      </w:tr>
      <w:tr>
        <w:trPr>
          <w:trHeight w:val="96"/>
        </w:trPr>
        <w:tc>
          <w:tcPr>
            <w:tcW w:w="33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color w:val="auto"/>
                <w:w w:val="92"/>
              </w:rPr>
              <w:t>Common Stock, $0.01 par value</w:t>
            </w:r>
          </w:p>
        </w:tc>
        <w:tc>
          <w:tcPr>
            <w:tcW w:w="14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320" w:type="dxa"/>
            <w:vAlign w:val="bottom"/>
            <w:tcBorders>
              <w:top w:val="single" w:sz="8" w:color="auto"/>
            </w:tcBorders>
            <w:gridSpan w:val="2"/>
          </w:tcPr>
          <w:p>
            <w:pPr>
              <w:jc w:val="center"/>
              <w:ind w:right="1060"/>
              <w:spacing w:after="0" w:line="96" w:lineRule="exact"/>
              <w:rPr>
                <w:sz w:val="20"/>
                <w:szCs w:val="20"/>
                <w:color w:val="auto"/>
              </w:rPr>
            </w:pPr>
            <w:r>
              <w:rPr>
                <w:rFonts w:ascii="Arial" w:cs="Arial" w:eastAsia="Arial" w:hAnsi="Arial"/>
                <w:sz w:val="10"/>
                <w:szCs w:val="10"/>
                <w:color w:val="auto"/>
                <w:w w:val="99"/>
              </w:rPr>
              <w:t>MYRG</w:t>
            </w:r>
          </w:p>
        </w:tc>
        <w:tc>
          <w:tcPr>
            <w:tcW w:w="160" w:type="dxa"/>
            <w:vAlign w:val="bottom"/>
          </w:tcPr>
          <w:p>
            <w:pPr>
              <w:spacing w:after="0"/>
              <w:rPr>
                <w:sz w:val="8"/>
                <w:szCs w:val="8"/>
                <w:color w:val="auto"/>
              </w:rPr>
            </w:pPr>
          </w:p>
        </w:tc>
        <w:tc>
          <w:tcPr>
            <w:tcW w:w="440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color w:val="auto"/>
                <w:w w:val="95"/>
              </w:rPr>
              <w:t>The Nasdaq Stock Market LLC</w:t>
            </w:r>
          </w:p>
        </w:tc>
      </w:tr>
    </w:tbl>
    <w:p>
      <w:pPr>
        <w:ind w:left="8768"/>
        <w:spacing w:after="0"/>
        <w:rPr>
          <w:sz w:val="20"/>
          <w:szCs w:val="20"/>
          <w:color w:val="auto"/>
        </w:rPr>
      </w:pPr>
      <w:r>
        <w:rPr>
          <w:rFonts w:ascii="Arial" w:cs="Arial" w:eastAsia="Arial" w:hAnsi="Arial"/>
          <w:sz w:val="10"/>
          <w:szCs w:val="10"/>
          <w:color w:val="auto"/>
        </w:rPr>
        <w:t>(Nasdaq Global Market)</w:t>
      </w:r>
    </w:p>
    <w:p>
      <w:pPr>
        <w:spacing w:after="0" w:line="25" w:lineRule="exact"/>
        <w:rPr>
          <w:sz w:val="24"/>
          <w:szCs w:val="24"/>
          <w:color w:val="auto"/>
        </w:rPr>
      </w:pPr>
    </w:p>
    <w:p>
      <w:pPr>
        <w:ind w:left="4368"/>
        <w:spacing w:after="0"/>
        <w:rPr>
          <w:sz w:val="20"/>
          <w:szCs w:val="20"/>
          <w:color w:val="auto"/>
        </w:rPr>
      </w:pPr>
      <w:r>
        <w:rPr>
          <w:rFonts w:ascii="Arial" w:cs="Arial" w:eastAsia="Arial" w:hAnsi="Arial"/>
          <w:sz w:val="11"/>
          <w:szCs w:val="11"/>
          <w:color w:val="auto"/>
        </w:rPr>
        <w:t>Securities registered pursuant to Section 12(g) of the Act: None</w:t>
      </w:r>
    </w:p>
    <w:p>
      <w:pPr>
        <w:spacing w:after="0" w:line="21" w:lineRule="exact"/>
        <w:rPr>
          <w:sz w:val="24"/>
          <w:szCs w:val="24"/>
          <w:color w:val="auto"/>
        </w:rPr>
      </w:pPr>
    </w:p>
    <w:p>
      <w:pPr>
        <w:ind w:left="248"/>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51" w:lineRule="exact"/>
        <w:rPr>
          <w:sz w:val="24"/>
          <w:szCs w:val="24"/>
          <w:color w:val="auto"/>
        </w:rPr>
      </w:pPr>
    </w:p>
    <w:p>
      <w:pPr>
        <w:ind w:left="248"/>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54" w:lineRule="exact"/>
        <w:rPr>
          <w:sz w:val="24"/>
          <w:szCs w:val="24"/>
          <w:color w:val="auto"/>
        </w:rPr>
      </w:pPr>
    </w:p>
    <w:p>
      <w:pPr>
        <w:ind w:left="8" w:firstLine="240"/>
        <w:spacing w:after="0" w:line="125"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 w:lineRule="exact"/>
        <w:rPr>
          <w:sz w:val="24"/>
          <w:szCs w:val="24"/>
          <w:color w:val="auto"/>
        </w:rPr>
      </w:pPr>
    </w:p>
    <w:p>
      <w:pPr>
        <w:ind w:left="8" w:right="140" w:firstLine="240"/>
        <w:spacing w:after="0" w:line="125"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 w:lineRule="exact"/>
        <w:rPr>
          <w:sz w:val="24"/>
          <w:szCs w:val="24"/>
          <w:color w:val="auto"/>
        </w:rPr>
      </w:pPr>
    </w:p>
    <w:p>
      <w:pPr>
        <w:ind w:left="8" w:right="420" w:firstLine="240"/>
        <w:spacing w:after="0" w:line="251"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8"/>
          </w:cols>
          <w:pgMar w:left="212" w:top="206" w:right="219" w:bottom="1440" w:gutter="0" w:footer="0" w:header="0"/>
          <w:type w:val="continuous"/>
        </w:sectPr>
      </w:pPr>
    </w:p>
    <w:p>
      <w:pPr>
        <w:spacing w:after="0" w:line="1" w:lineRule="exact"/>
        <w:rPr>
          <w:sz w:val="24"/>
          <w:szCs w:val="24"/>
          <w:color w:val="auto"/>
        </w:rPr>
      </w:pPr>
    </w:p>
    <w:p>
      <w:pPr>
        <w:ind w:left="248"/>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85" w:lineRule="exact"/>
        <w:rPr>
          <w:sz w:val="20"/>
          <w:szCs w:val="20"/>
          <w:color w:val="auto"/>
        </w:rPr>
      </w:pPr>
      <w:r>
        <w:rPr>
          <w:rFonts w:ascii="Arial" w:cs="Arial" w:eastAsia="Arial" w:hAnsi="Arial"/>
          <w:sz w:val="9"/>
          <w:szCs w:val="9"/>
          <w:color w:val="auto"/>
        </w:rPr>
        <w:t xml:space="preserve">Accelerated filer </w:t>
      </w:r>
      <w:r>
        <w:rPr>
          <w:rFonts w:ascii="MS PGothic" w:cs="MS PGothic" w:eastAsia="MS PGothic" w:hAnsi="MS PGothic"/>
          <w:sz w:val="9"/>
          <w:szCs w:val="9"/>
          <w:color w:val="auto"/>
        </w:rPr>
        <w:t>☒</w:t>
      </w:r>
    </w:p>
    <w:p>
      <w:pPr>
        <w:spacing w:after="0" w:line="57" w:lineRule="exact"/>
        <w:rPr>
          <w:sz w:val="24"/>
          <w:szCs w:val="24"/>
          <w:color w:val="auto"/>
        </w:rPr>
      </w:pPr>
    </w:p>
    <w:p>
      <w:pPr>
        <w:sectPr>
          <w:pgSz w:w="11900" w:h="16838" w:orient="portrait"/>
          <w:cols w:equalWidth="0" w:num="2">
            <w:col w:w="3668" w:space="720"/>
            <w:col w:w="7080"/>
          </w:cols>
          <w:pgMar w:left="212" w:top="206" w:right="219" w:bottom="1440" w:gutter="0" w:footer="0" w:header="0"/>
          <w:type w:val="continuous"/>
        </w:sectPr>
      </w:pPr>
    </w:p>
    <w:p>
      <w:pPr>
        <w:ind w:left="248"/>
        <w:spacing w:after="0" w:line="104" w:lineRule="exact"/>
        <w:rPr>
          <w:sz w:val="20"/>
          <w:szCs w:val="20"/>
          <w:color w:val="auto"/>
        </w:rPr>
      </w:pPr>
      <w:r>
        <w:rPr>
          <w:rFonts w:ascii="Arial" w:cs="Arial" w:eastAsia="Arial" w:hAnsi="Arial"/>
          <w:sz w:val="9"/>
          <w:szCs w:val="9"/>
          <w:color w:val="auto"/>
        </w:rPr>
        <w:t xml:space="preserve">Non-accelerated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Arial" w:cs="Arial" w:eastAsia="Arial" w:hAnsi="Arial"/>
          <w:sz w:val="9"/>
          <w:szCs w:val="9"/>
          <w:color w:val="auto"/>
        </w:rPr>
        <w:t xml:space="preserve">Smaller reporting company </w:t>
      </w:r>
      <w:r>
        <w:rPr>
          <w:rFonts w:ascii="MS PGothic" w:cs="MS PGothic" w:eastAsia="MS PGothic" w:hAnsi="MS PGothic"/>
          <w:sz w:val="9"/>
          <w:szCs w:val="9"/>
          <w:color w:val="auto"/>
        </w:rPr>
        <w:t>☐</w:t>
      </w:r>
    </w:p>
    <w:p>
      <w:pPr>
        <w:spacing w:after="0" w:line="16"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Emerging growth company </w:t>
      </w:r>
      <w:r>
        <w:rPr>
          <w:rFonts w:ascii="MS PGothic" w:cs="MS PGothic" w:eastAsia="MS PGothic" w:hAnsi="MS PGothic"/>
          <w:sz w:val="9"/>
          <w:szCs w:val="9"/>
          <w:color w:val="auto"/>
        </w:rPr>
        <w:t>☐</w:t>
      </w:r>
    </w:p>
    <w:p>
      <w:pPr>
        <w:spacing w:after="0" w:line="49" w:lineRule="exact"/>
        <w:rPr>
          <w:sz w:val="24"/>
          <w:szCs w:val="24"/>
          <w:color w:val="auto"/>
        </w:rPr>
      </w:pPr>
    </w:p>
    <w:p>
      <w:pPr>
        <w:sectPr>
          <w:pgSz w:w="11900" w:h="16838" w:orient="portrait"/>
          <w:cols w:equalWidth="0" w:num="2">
            <w:col w:w="3668" w:space="720"/>
            <w:col w:w="7080"/>
          </w:cols>
          <w:pgMar w:left="212" w:top="206" w:right="219" w:bottom="1440" w:gutter="0" w:footer="0" w:header="0"/>
          <w:type w:val="continuous"/>
        </w:sectPr>
      </w:pPr>
    </w:p>
    <w:p>
      <w:pPr>
        <w:ind w:left="248" w:right="800"/>
        <w:spacing w:after="0" w:line="157"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3" w:lineRule="exact"/>
        <w:rPr>
          <w:sz w:val="24"/>
          <w:szCs w:val="24"/>
          <w:color w:val="auto"/>
        </w:rPr>
      </w:pPr>
    </w:p>
    <w:p>
      <w:pPr>
        <w:ind w:left="8" w:right="100" w:firstLine="240"/>
        <w:spacing w:after="0" w:line="302" w:lineRule="auto"/>
        <w:rPr>
          <w:sz w:val="20"/>
          <w:szCs w:val="20"/>
          <w:color w:val="auto"/>
        </w:rPr>
      </w:pPr>
      <w:r>
        <w:rPr>
          <w:rFonts w:ascii="Arial" w:cs="Arial" w:eastAsia="Arial" w:hAnsi="Arial"/>
          <w:sz w:val="9"/>
          <w:szCs w:val="9"/>
          <w:color w:val="auto"/>
        </w:rPr>
        <w:t>As of June 28, 2019 (the last business day of the registrant’s most recently completed second fiscal quarter), the aggregate market value of the outstanding common equity held by non-affiliates of the registrant was approximately $506.5 million,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spacing w:after="0" w:line="1" w:lineRule="exact"/>
        <w:rPr>
          <w:sz w:val="24"/>
          <w:szCs w:val="24"/>
          <w:color w:val="auto"/>
        </w:rPr>
      </w:pPr>
    </w:p>
    <w:p>
      <w:pPr>
        <w:ind w:left="248"/>
        <w:spacing w:after="0"/>
        <w:rPr>
          <w:sz w:val="20"/>
          <w:szCs w:val="20"/>
          <w:color w:val="auto"/>
        </w:rPr>
      </w:pPr>
      <w:r>
        <w:rPr>
          <w:rFonts w:ascii="Arial" w:cs="Arial" w:eastAsia="Arial" w:hAnsi="Arial"/>
          <w:sz w:val="10"/>
          <w:szCs w:val="10"/>
          <w:color w:val="auto"/>
        </w:rPr>
        <w:t>As of February 28, 2020 there were 16,657,072 shares of the registrant’s $0.01 par value common stock outstanding.</w:t>
      </w:r>
    </w:p>
    <w:p>
      <w:pPr>
        <w:spacing w:after="0" w:line="74"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DOCUMENTS INCORPORATED BY REFERENCE</w:t>
      </w:r>
    </w:p>
    <w:p>
      <w:pPr>
        <w:spacing w:after="0" w:line="36" w:lineRule="exact"/>
        <w:rPr>
          <w:sz w:val="24"/>
          <w:szCs w:val="24"/>
          <w:color w:val="auto"/>
        </w:rPr>
      </w:pPr>
    </w:p>
    <w:p>
      <w:pPr>
        <w:ind w:left="248"/>
        <w:spacing w:after="0"/>
        <w:rPr>
          <w:sz w:val="20"/>
          <w:szCs w:val="20"/>
          <w:color w:val="auto"/>
        </w:rPr>
      </w:pPr>
      <w:r>
        <w:rPr>
          <w:rFonts w:ascii="Arial" w:cs="Arial" w:eastAsia="Arial" w:hAnsi="Arial"/>
          <w:sz w:val="10"/>
          <w:szCs w:val="10"/>
          <w:color w:val="auto"/>
        </w:rPr>
        <w:t>Portions of the registrant’s definitive proxy statement to be filed with the Securities and Exchange Commission (the “SEC”) in connection with its 2020 annual meeting of stockholders to be held on April 23, 2020, are incorporated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64135</wp:posOffset>
            </wp:positionV>
            <wp:extent cx="72923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114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228600</wp:posOffset>
            </wp:positionV>
            <wp:extent cx="73177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8"/>
          </w:cols>
          <w:pgMar w:left="212" w:top="206" w:right="219" w:bottom="1440" w:gutter="0" w:footer="0" w:header="0"/>
          <w:type w:val="continuous"/>
        </w:sectPr>
      </w:pPr>
    </w:p>
    <w:bookmarkStart w:id="1" w:name="page2"/>
    <w:bookmarkEnd w:id="1"/>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80" w:type="dxa"/>
            <w:vAlign w:val="bottom"/>
            <w:gridSpan w:val="3"/>
          </w:tcPr>
          <w:p>
            <w:pPr>
              <w:jc w:val="center"/>
              <w:ind w:right="4640"/>
              <w:spacing w:after="0"/>
              <w:rPr>
                <w:sz w:val="20"/>
                <w:szCs w:val="20"/>
                <w:color w:val="auto"/>
              </w:rPr>
            </w:pPr>
            <w:r>
              <w:rPr>
                <w:rFonts w:ascii="Arial" w:cs="Arial" w:eastAsia="Arial" w:hAnsi="Arial"/>
                <w:sz w:val="12"/>
                <w:szCs w:val="12"/>
                <w:b w:val="1"/>
                <w:bCs w:val="1"/>
                <w:color w:val="auto"/>
              </w:rPr>
              <w:t>MYR GROUP INC.</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780" w:type="dxa"/>
            <w:vAlign w:val="bottom"/>
            <w:gridSpan w:val="4"/>
          </w:tcPr>
          <w:p>
            <w:pPr>
              <w:jc w:val="center"/>
              <w:ind w:right="3940"/>
              <w:spacing w:after="0"/>
              <w:rPr>
                <w:sz w:val="20"/>
                <w:szCs w:val="20"/>
                <w:color w:val="auto"/>
              </w:rPr>
            </w:pPr>
            <w:r>
              <w:rPr>
                <w:rFonts w:ascii="Arial" w:cs="Arial" w:eastAsia="Arial" w:hAnsi="Arial"/>
                <w:sz w:val="12"/>
                <w:szCs w:val="12"/>
                <w:b w:val="1"/>
                <w:bCs w:val="1"/>
                <w:color w:val="auto"/>
                <w:w w:val="99"/>
              </w:rPr>
              <w:t>ANNUAL REPORT ON FORM 10-K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780" w:type="dxa"/>
            <w:vAlign w:val="bottom"/>
            <w:gridSpan w:val="4"/>
          </w:tcPr>
          <w:p>
            <w:pPr>
              <w:jc w:val="center"/>
              <w:ind w:right="3920"/>
              <w:spacing w:after="0"/>
              <w:rPr>
                <w:sz w:val="20"/>
                <w:szCs w:val="20"/>
                <w:color w:val="auto"/>
              </w:rPr>
            </w:pPr>
            <w:r>
              <w:rPr>
                <w:rFonts w:ascii="Arial" w:cs="Arial" w:eastAsia="Arial" w:hAnsi="Arial"/>
                <w:sz w:val="12"/>
                <w:szCs w:val="12"/>
                <w:b w:val="1"/>
                <w:bCs w:val="1"/>
                <w:color w:val="auto"/>
                <w:w w:val="98"/>
              </w:rPr>
              <w:t>FOR THE YEAR ENDED DECEMBER 31, 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80" w:type="dxa"/>
            <w:vAlign w:val="bottom"/>
            <w:gridSpan w:val="3"/>
          </w:tcPr>
          <w:p>
            <w:pPr>
              <w:jc w:val="center"/>
              <w:ind w:right="4600"/>
              <w:spacing w:after="0"/>
              <w:rPr>
                <w:sz w:val="20"/>
                <w:szCs w:val="20"/>
                <w:color w:val="auto"/>
              </w:rPr>
            </w:pPr>
            <w:r>
              <w:rPr>
                <w:rFonts w:ascii="Arial" w:cs="Arial" w:eastAsia="Arial" w:hAnsi="Arial"/>
                <w:sz w:val="12"/>
                <w:szCs w:val="12"/>
                <w:b w:val="1"/>
                <w:bCs w:val="1"/>
                <w:color w:val="auto"/>
                <w:w w:val="98"/>
              </w:rPr>
              <w:t>TABLE OF CONTENTS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Page</w:t>
            </w:r>
          </w:p>
        </w:tc>
      </w:tr>
      <w:tr>
        <w:trPr>
          <w:trHeight w:val="169"/>
        </w:trPr>
        <w:tc>
          <w:tcPr>
            <w:tcW w:w="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PART I</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340" w:type="dxa"/>
            <w:vAlign w:val="bottom"/>
            <w:tcBorders>
              <w:bottom w:val="single" w:sz="8" w:color="0000EE"/>
            </w:tcBorders>
          </w:tcPr>
          <w:p>
            <w:pPr>
              <w:spacing w:after="0"/>
              <w:rPr>
                <w:rFonts w:ascii="Arial" w:cs="Arial" w:eastAsia="Arial" w:hAnsi="Arial"/>
                <w:sz w:val="12"/>
                <w:szCs w:val="12"/>
                <w:color w:val="0000EE"/>
                <w:w w:val="81"/>
              </w:rPr>
            </w:pPr>
            <w:hyperlink w:anchor="page3">
              <w:r>
                <w:rPr>
                  <w:rFonts w:ascii="Arial" w:cs="Arial" w:eastAsia="Arial" w:hAnsi="Arial"/>
                  <w:sz w:val="12"/>
                  <w:szCs w:val="12"/>
                  <w:color w:val="0000EE"/>
                  <w:w w:val="81"/>
                </w:rPr>
                <w:t>Item 1.</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0000EE"/>
            </w:tcBorders>
          </w:tcPr>
          <w:p>
            <w:pPr>
              <w:spacing w:after="0"/>
              <w:rPr>
                <w:rFonts w:ascii="Arial" w:cs="Arial" w:eastAsia="Arial" w:hAnsi="Arial"/>
                <w:sz w:val="12"/>
                <w:szCs w:val="12"/>
                <w:color w:val="0000EE"/>
                <w:w w:val="86"/>
              </w:rPr>
            </w:pPr>
            <w:hyperlink w:anchor="page3">
              <w:r>
                <w:rPr>
                  <w:rFonts w:ascii="Arial" w:cs="Arial" w:eastAsia="Arial" w:hAnsi="Arial"/>
                  <w:sz w:val="12"/>
                  <w:szCs w:val="12"/>
                  <w:color w:val="0000EE"/>
                  <w:w w:val="86"/>
                </w:rPr>
                <w:t>Business</w:t>
              </w:r>
            </w:hyperlink>
          </w:p>
        </w:tc>
        <w:tc>
          <w:tcPr>
            <w:tcW w:w="9980" w:type="dxa"/>
            <w:vAlign w:val="bottom"/>
            <w:gridSpan w:val="17"/>
          </w:tcPr>
          <w:p>
            <w:pPr>
              <w:spacing w:after="0"/>
              <w:rPr>
                <w:sz w:val="13"/>
                <w:szCs w:val="13"/>
                <w:color w:val="auto"/>
              </w:rPr>
            </w:pPr>
          </w:p>
        </w:tc>
        <w:tc>
          <w:tcPr>
            <w:tcW w:w="400" w:type="dxa"/>
            <w:vAlign w:val="bottom"/>
            <w:gridSpan w:val="3"/>
          </w:tcPr>
          <w:p>
            <w:pPr>
              <w:jc w:val="right"/>
              <w:ind w:right="1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3</w:t>
              </w:r>
            </w:hyperlink>
          </w:p>
        </w:tc>
      </w:tr>
      <w:tr>
        <w:trPr>
          <w:trHeight w:val="144"/>
        </w:trPr>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rPr>
                <w:rFonts w:ascii="Arial" w:cs="Arial" w:eastAsia="Arial" w:hAnsi="Arial"/>
                <w:sz w:val="12"/>
                <w:szCs w:val="12"/>
                <w:color w:val="0000EE"/>
                <w:w w:val="89"/>
              </w:rPr>
            </w:pPr>
            <w:hyperlink w:anchor="page12">
              <w:r>
                <w:rPr>
                  <w:rFonts w:ascii="Arial" w:cs="Arial" w:eastAsia="Arial" w:hAnsi="Arial"/>
                  <w:sz w:val="12"/>
                  <w:szCs w:val="12"/>
                  <w:color w:val="0000EE"/>
                  <w:w w:val="89"/>
                </w:rPr>
                <w:t>Item 1A.</w:t>
              </w:r>
            </w:hyperlink>
          </w:p>
        </w:tc>
        <w:tc>
          <w:tcPr>
            <w:tcW w:w="120" w:type="dxa"/>
            <w:vAlign w:val="bottom"/>
            <w:shd w:val="clear" w:color="auto" w:fill="CCEEFF"/>
          </w:tcPr>
          <w:p>
            <w:pPr>
              <w:spacing w:after="0"/>
              <w:rPr>
                <w:sz w:val="12"/>
                <w:szCs w:val="12"/>
                <w:color w:val="auto"/>
              </w:rPr>
            </w:pPr>
          </w:p>
        </w:tc>
        <w:tc>
          <w:tcPr>
            <w:tcW w:w="10420" w:type="dxa"/>
            <w:vAlign w:val="bottom"/>
            <w:gridSpan w:val="18"/>
            <w:shd w:val="clear" w:color="auto" w:fill="CCEEFF"/>
          </w:tcPr>
          <w:p>
            <w:pPr>
              <w:spacing w:after="0"/>
              <w:rPr>
                <w:rFonts w:ascii="Arial" w:cs="Arial" w:eastAsia="Arial" w:hAnsi="Arial"/>
                <w:sz w:val="12"/>
                <w:szCs w:val="12"/>
                <w:color w:val="0000EE"/>
              </w:rPr>
            </w:pPr>
            <w:hyperlink w:anchor="page12">
              <w:r>
                <w:rPr>
                  <w:rFonts w:ascii="Arial" w:cs="Arial" w:eastAsia="Arial" w:hAnsi="Arial"/>
                  <w:sz w:val="12"/>
                  <w:szCs w:val="12"/>
                  <w:color w:val="0000EE"/>
                </w:rPr>
                <w:t>Risk Factors</w:t>
              </w:r>
            </w:hyperlink>
          </w:p>
        </w:tc>
        <w:tc>
          <w:tcPr>
            <w:tcW w:w="280" w:type="dxa"/>
            <w:vAlign w:val="bottom"/>
            <w:gridSpan w:val="2"/>
            <w:shd w:val="clear" w:color="auto" w:fill="CCEEFF"/>
          </w:tcPr>
          <w:p>
            <w:pPr>
              <w:jc w:val="right"/>
              <w:spacing w:after="0"/>
              <w:rPr>
                <w:rFonts w:ascii="Arial" w:cs="Arial" w:eastAsia="Arial" w:hAnsi="Arial"/>
                <w:sz w:val="12"/>
                <w:szCs w:val="12"/>
                <w:color w:val="0000EE"/>
              </w:rPr>
            </w:pPr>
            <w:hyperlink w:anchor="page12">
              <w:r>
                <w:rPr>
                  <w:rFonts w:ascii="Arial" w:cs="Arial" w:eastAsia="Arial" w:hAnsi="Arial"/>
                  <w:sz w:val="12"/>
                  <w:szCs w:val="12"/>
                  <w:color w:val="0000EE"/>
                </w:rPr>
                <w:t>12</w:t>
              </w:r>
            </w:hyperlink>
          </w:p>
        </w:tc>
        <w:tc>
          <w:tcPr>
            <w:tcW w:w="120" w:type="dxa"/>
            <w:vAlign w:val="bottom"/>
            <w:shd w:val="clear" w:color="auto" w:fill="CCEEFF"/>
          </w:tcPr>
          <w:p>
            <w:pPr>
              <w:spacing w:after="0"/>
              <w:rPr>
                <w:sz w:val="12"/>
                <w:szCs w:val="12"/>
                <w:color w:val="auto"/>
              </w:rPr>
            </w:pPr>
          </w:p>
        </w:tc>
      </w:tr>
      <w:tr>
        <w:trPr>
          <w:trHeight w:val="27"/>
        </w:trPr>
        <w:tc>
          <w:tcPr>
            <w:tcW w:w="1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51"/>
        </w:trPr>
        <w:tc>
          <w:tcPr>
            <w:tcW w:w="120" w:type="dxa"/>
            <w:vAlign w:val="bottom"/>
          </w:tcPr>
          <w:p>
            <w:pPr>
              <w:spacing w:after="0"/>
              <w:rPr>
                <w:sz w:val="13"/>
                <w:szCs w:val="13"/>
                <w:color w:val="auto"/>
              </w:rPr>
            </w:pPr>
          </w:p>
        </w:tc>
        <w:tc>
          <w:tcPr>
            <w:tcW w:w="420" w:type="dxa"/>
            <w:vAlign w:val="bottom"/>
            <w:gridSpan w:val="2"/>
          </w:tcPr>
          <w:p>
            <w:pPr>
              <w:spacing w:after="0"/>
              <w:rPr>
                <w:rFonts w:ascii="Arial" w:cs="Arial" w:eastAsia="Arial" w:hAnsi="Arial"/>
                <w:sz w:val="12"/>
                <w:szCs w:val="12"/>
                <w:color w:val="0000EE"/>
                <w:w w:val="89"/>
              </w:rPr>
            </w:pPr>
            <w:hyperlink w:anchor="page29">
              <w:r>
                <w:rPr>
                  <w:rFonts w:ascii="Arial" w:cs="Arial" w:eastAsia="Arial" w:hAnsi="Arial"/>
                  <w:sz w:val="12"/>
                  <w:szCs w:val="12"/>
                  <w:color w:val="0000EE"/>
                  <w:w w:val="89"/>
                </w:rPr>
                <w:t>Item 1B.</w:t>
              </w:r>
            </w:hyperlink>
          </w:p>
        </w:tc>
        <w:tc>
          <w:tcPr>
            <w:tcW w:w="120" w:type="dxa"/>
            <w:vAlign w:val="bottom"/>
          </w:tcPr>
          <w:p>
            <w:pPr>
              <w:spacing w:after="0"/>
              <w:rPr>
                <w:sz w:val="13"/>
                <w:szCs w:val="13"/>
                <w:color w:val="auto"/>
              </w:rPr>
            </w:pPr>
          </w:p>
        </w:tc>
        <w:tc>
          <w:tcPr>
            <w:tcW w:w="10420" w:type="dxa"/>
            <w:vAlign w:val="bottom"/>
            <w:gridSpan w:val="18"/>
          </w:tcPr>
          <w:p>
            <w:pPr>
              <w:spacing w:after="0"/>
              <w:rPr>
                <w:rFonts w:ascii="Arial" w:cs="Arial" w:eastAsia="Arial" w:hAnsi="Arial"/>
                <w:sz w:val="12"/>
                <w:szCs w:val="12"/>
                <w:color w:val="0000EE"/>
              </w:rPr>
            </w:pPr>
            <w:hyperlink w:anchor="page29">
              <w:r>
                <w:rPr>
                  <w:rFonts w:ascii="Arial" w:cs="Arial" w:eastAsia="Arial" w:hAnsi="Arial"/>
                  <w:sz w:val="12"/>
                  <w:szCs w:val="12"/>
                  <w:color w:val="0000EE"/>
                </w:rPr>
                <w:t>Unresolved Staff Comments</w:t>
              </w:r>
            </w:hyperlink>
          </w:p>
        </w:tc>
        <w:tc>
          <w:tcPr>
            <w:tcW w:w="280" w:type="dxa"/>
            <w:vAlign w:val="bottom"/>
            <w:gridSpan w:val="2"/>
          </w:tcPr>
          <w:p>
            <w:pPr>
              <w:jc w:val="right"/>
              <w:spacing w:after="0"/>
              <w:rPr>
                <w:rFonts w:ascii="Arial" w:cs="Arial" w:eastAsia="Arial" w:hAnsi="Arial"/>
                <w:sz w:val="12"/>
                <w:szCs w:val="12"/>
                <w:color w:val="0000EE"/>
              </w:rPr>
            </w:pPr>
            <w:hyperlink w:anchor="page29">
              <w:r>
                <w:rPr>
                  <w:rFonts w:ascii="Arial" w:cs="Arial" w:eastAsia="Arial" w:hAnsi="Arial"/>
                  <w:sz w:val="12"/>
                  <w:szCs w:val="12"/>
                  <w:color w:val="0000EE"/>
                </w:rPr>
                <w:t>29</w:t>
              </w:r>
            </w:hyperlink>
          </w:p>
        </w:tc>
        <w:tc>
          <w:tcPr>
            <w:tcW w:w="120" w:type="dxa"/>
            <w:vAlign w:val="bottom"/>
          </w:tcPr>
          <w:p>
            <w:pPr>
              <w:spacing w:after="0"/>
              <w:rPr>
                <w:sz w:val="13"/>
                <w:szCs w:val="13"/>
                <w:color w:val="auto"/>
              </w:rPr>
            </w:pP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top w:val="single" w:sz="8" w:color="0000EE"/>
              <w:bottom w:val="single" w:sz="8" w:color="0000EE"/>
            </w:tcBorders>
            <w:shd w:val="clear" w:color="auto" w:fill="CCEEFF"/>
          </w:tcPr>
          <w:p>
            <w:pPr>
              <w:spacing w:after="0"/>
              <w:rPr>
                <w:rFonts w:ascii="Arial" w:cs="Arial" w:eastAsia="Arial" w:hAnsi="Arial"/>
                <w:sz w:val="12"/>
                <w:szCs w:val="12"/>
                <w:color w:val="0000EE"/>
                <w:w w:val="81"/>
              </w:rPr>
            </w:pPr>
            <w:hyperlink w:anchor="page29">
              <w:r>
                <w:rPr>
                  <w:rFonts w:ascii="Arial" w:cs="Arial" w:eastAsia="Arial" w:hAnsi="Arial"/>
                  <w:sz w:val="12"/>
                  <w:szCs w:val="12"/>
                  <w:color w:val="0000EE"/>
                  <w:w w:val="81"/>
                </w:rPr>
                <w:t>Item 2.</w:t>
              </w:r>
            </w:hyperlink>
          </w:p>
        </w:tc>
        <w:tc>
          <w:tcPr>
            <w:tcW w:w="80" w:type="dxa"/>
            <w:vAlign w:val="bottom"/>
            <w:tcBorders>
              <w:top w:val="single" w:sz="8" w:color="0000EE"/>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top w:val="single" w:sz="8" w:color="0000EE"/>
              <w:bottom w:val="single" w:sz="8" w:color="0000EE"/>
            </w:tcBorders>
            <w:gridSpan w:val="2"/>
            <w:shd w:val="clear" w:color="auto" w:fill="CCEEFF"/>
          </w:tcPr>
          <w:p>
            <w:pPr>
              <w:spacing w:after="0"/>
              <w:rPr>
                <w:rFonts w:ascii="Arial" w:cs="Arial" w:eastAsia="Arial" w:hAnsi="Arial"/>
                <w:sz w:val="12"/>
                <w:szCs w:val="12"/>
                <w:color w:val="0000EE"/>
                <w:w w:val="87"/>
              </w:rPr>
            </w:pPr>
            <w:hyperlink w:anchor="page29">
              <w:r>
                <w:rPr>
                  <w:rFonts w:ascii="Arial" w:cs="Arial" w:eastAsia="Arial" w:hAnsi="Arial"/>
                  <w:sz w:val="12"/>
                  <w:szCs w:val="12"/>
                  <w:color w:val="0000EE"/>
                  <w:w w:val="87"/>
                </w:rPr>
                <w:t>Properties</w:t>
              </w:r>
            </w:hyperlink>
          </w:p>
        </w:tc>
        <w:tc>
          <w:tcPr>
            <w:tcW w:w="860" w:type="dxa"/>
            <w:vAlign w:val="bottom"/>
            <w:tcBorders>
              <w:top w:val="single" w:sz="8" w:color="0000EE"/>
              <w:bottom w:val="single" w:sz="8" w:color="CCEEFF"/>
            </w:tcBorders>
            <w:gridSpan w:val="6"/>
            <w:shd w:val="clear" w:color="auto" w:fill="CCEEFF"/>
          </w:tcPr>
          <w:p>
            <w:pPr>
              <w:spacing w:after="0"/>
              <w:rPr>
                <w:sz w:val="13"/>
                <w:szCs w:val="13"/>
                <w:color w:val="auto"/>
              </w:rPr>
            </w:pPr>
          </w:p>
        </w:tc>
        <w:tc>
          <w:tcPr>
            <w:tcW w:w="9060" w:type="dxa"/>
            <w:vAlign w:val="bottom"/>
            <w:tcBorders>
              <w:bottom w:val="single" w:sz="8" w:color="CCEEFF"/>
            </w:tcBorders>
            <w:gridSpan w:val="10"/>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0000EE"/>
              <w:bottom w:val="single" w:sz="8" w:color="0000EE"/>
            </w:tcBorders>
            <w:shd w:val="clear" w:color="auto" w:fill="CCEEFF"/>
          </w:tcPr>
          <w:p>
            <w:pPr>
              <w:jc w:val="right"/>
              <w:spacing w:after="0"/>
              <w:rPr>
                <w:rFonts w:ascii="Arial" w:cs="Arial" w:eastAsia="Arial" w:hAnsi="Arial"/>
                <w:sz w:val="12"/>
                <w:szCs w:val="12"/>
                <w:color w:val="0000EE"/>
                <w:w w:val="74"/>
              </w:rPr>
            </w:pPr>
            <w:hyperlink w:anchor="page29">
              <w:r>
                <w:rPr>
                  <w:rFonts w:ascii="Arial" w:cs="Arial" w:eastAsia="Arial" w:hAnsi="Arial"/>
                  <w:sz w:val="12"/>
                  <w:szCs w:val="12"/>
                  <w:color w:val="0000EE"/>
                  <w:w w:val="74"/>
                </w:rPr>
                <w:t>29</w:t>
              </w:r>
            </w:hyperlink>
          </w:p>
        </w:tc>
        <w:tc>
          <w:tcPr>
            <w:tcW w:w="120" w:type="dxa"/>
            <w:vAlign w:val="bottom"/>
            <w:tcBorders>
              <w:bottom w:val="single" w:sz="8" w:color="CCEEFF"/>
            </w:tcBorders>
            <w:shd w:val="clear" w:color="auto" w:fill="CCEEFF"/>
          </w:tcPr>
          <w:p>
            <w:pPr>
              <w:spacing w:after="0"/>
              <w:rPr>
                <w:sz w:val="13"/>
                <w:szCs w:val="13"/>
                <w:color w:val="auto"/>
              </w:rPr>
            </w:pPr>
          </w:p>
        </w:tc>
      </w:tr>
      <w:tr>
        <w:trPr>
          <w:trHeight w:val="151"/>
        </w:trPr>
        <w:tc>
          <w:tcPr>
            <w:tcW w:w="120" w:type="dxa"/>
            <w:vAlign w:val="bottom"/>
          </w:tcPr>
          <w:p>
            <w:pPr>
              <w:spacing w:after="0"/>
              <w:rPr>
                <w:sz w:val="13"/>
                <w:szCs w:val="13"/>
                <w:color w:val="auto"/>
              </w:rPr>
            </w:pPr>
          </w:p>
        </w:tc>
        <w:tc>
          <w:tcPr>
            <w:tcW w:w="340" w:type="dxa"/>
            <w:vAlign w:val="bottom"/>
            <w:tcBorders>
              <w:bottom w:val="single" w:sz="8" w:color="0000EE"/>
            </w:tcBorders>
          </w:tcPr>
          <w:p>
            <w:pPr>
              <w:spacing w:after="0"/>
              <w:rPr>
                <w:rFonts w:ascii="Arial" w:cs="Arial" w:eastAsia="Arial" w:hAnsi="Arial"/>
                <w:sz w:val="12"/>
                <w:szCs w:val="12"/>
                <w:color w:val="0000EE"/>
                <w:w w:val="81"/>
              </w:rPr>
            </w:pPr>
            <w:hyperlink w:anchor="page29">
              <w:r>
                <w:rPr>
                  <w:rFonts w:ascii="Arial" w:cs="Arial" w:eastAsia="Arial" w:hAnsi="Arial"/>
                  <w:sz w:val="12"/>
                  <w:szCs w:val="12"/>
                  <w:color w:val="0000EE"/>
                  <w:w w:val="81"/>
                </w:rPr>
                <w:t>Item 3.</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0000EE"/>
            </w:tcBorders>
            <w:gridSpan w:val="5"/>
          </w:tcPr>
          <w:p>
            <w:pPr>
              <w:spacing w:after="0"/>
              <w:rPr>
                <w:rFonts w:ascii="Arial" w:cs="Arial" w:eastAsia="Arial" w:hAnsi="Arial"/>
                <w:sz w:val="12"/>
                <w:szCs w:val="12"/>
                <w:color w:val="0000EE"/>
                <w:w w:val="88"/>
              </w:rPr>
            </w:pPr>
            <w:hyperlink w:anchor="page29">
              <w:r>
                <w:rPr>
                  <w:rFonts w:ascii="Arial" w:cs="Arial" w:eastAsia="Arial" w:hAnsi="Arial"/>
                  <w:sz w:val="12"/>
                  <w:szCs w:val="12"/>
                  <w:color w:val="0000EE"/>
                  <w:w w:val="88"/>
                </w:rPr>
                <w:t>Legal Proceedings</w:t>
              </w:r>
            </w:hyperlink>
          </w:p>
        </w:tc>
        <w:tc>
          <w:tcPr>
            <w:tcW w:w="9520" w:type="dxa"/>
            <w:vAlign w:val="bottom"/>
            <w:gridSpan w:val="13"/>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29">
              <w:r>
                <w:rPr>
                  <w:rFonts w:ascii="Arial" w:cs="Arial" w:eastAsia="Arial" w:hAnsi="Arial"/>
                  <w:sz w:val="12"/>
                  <w:szCs w:val="12"/>
                  <w:color w:val="0000EE"/>
                  <w:w w:val="74"/>
                </w:rPr>
                <w:t>29</w:t>
              </w:r>
            </w:hyperlink>
          </w:p>
        </w:tc>
        <w:tc>
          <w:tcPr>
            <w:tcW w:w="120" w:type="dxa"/>
            <w:vAlign w:val="bottom"/>
          </w:tcPr>
          <w:p>
            <w:pPr>
              <w:spacing w:after="0"/>
              <w:rPr>
                <w:sz w:val="13"/>
                <w:szCs w:val="13"/>
                <w:color w:val="auto"/>
              </w:rPr>
            </w:pPr>
          </w:p>
        </w:tc>
      </w:tr>
      <w:tr>
        <w:trPr>
          <w:trHeight w:val="144"/>
        </w:trPr>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rFonts w:ascii="Arial" w:cs="Arial" w:eastAsia="Arial" w:hAnsi="Arial"/>
                <w:sz w:val="12"/>
                <w:szCs w:val="12"/>
                <w:color w:val="0000EE"/>
                <w:w w:val="81"/>
              </w:rPr>
            </w:pPr>
            <w:hyperlink w:anchor="page29">
              <w:r>
                <w:rPr>
                  <w:rFonts w:ascii="Arial" w:cs="Arial" w:eastAsia="Arial" w:hAnsi="Arial"/>
                  <w:sz w:val="12"/>
                  <w:szCs w:val="12"/>
                  <w:color w:val="0000EE"/>
                  <w:w w:val="81"/>
                </w:rPr>
                <w:t>Item 4.</w:t>
              </w:r>
            </w:hyperlink>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20" w:type="dxa"/>
            <w:vAlign w:val="bottom"/>
            <w:gridSpan w:val="18"/>
            <w:shd w:val="clear" w:color="auto" w:fill="CCEEFF"/>
          </w:tcPr>
          <w:p>
            <w:pPr>
              <w:spacing w:after="0"/>
              <w:rPr>
                <w:rFonts w:ascii="Arial" w:cs="Arial" w:eastAsia="Arial" w:hAnsi="Arial"/>
                <w:sz w:val="12"/>
                <w:szCs w:val="12"/>
                <w:color w:val="0000EE"/>
              </w:rPr>
            </w:pPr>
            <w:hyperlink w:anchor="page29">
              <w:r>
                <w:rPr>
                  <w:rFonts w:ascii="Arial" w:cs="Arial" w:eastAsia="Arial" w:hAnsi="Arial"/>
                  <w:sz w:val="12"/>
                  <w:szCs w:val="12"/>
                  <w:color w:val="0000EE"/>
                </w:rPr>
                <w:t>Mine Safety Disclosures</w:t>
              </w:r>
            </w:hyperlink>
          </w:p>
        </w:tc>
        <w:tc>
          <w:tcPr>
            <w:tcW w:w="280" w:type="dxa"/>
            <w:vAlign w:val="bottom"/>
            <w:gridSpan w:val="2"/>
            <w:shd w:val="clear" w:color="auto" w:fill="CCEEFF"/>
          </w:tcPr>
          <w:p>
            <w:pPr>
              <w:jc w:val="right"/>
              <w:spacing w:after="0"/>
              <w:rPr>
                <w:rFonts w:ascii="Arial" w:cs="Arial" w:eastAsia="Arial" w:hAnsi="Arial"/>
                <w:sz w:val="12"/>
                <w:szCs w:val="12"/>
                <w:color w:val="0000EE"/>
              </w:rPr>
            </w:pPr>
            <w:hyperlink w:anchor="page29">
              <w:r>
                <w:rPr>
                  <w:rFonts w:ascii="Arial" w:cs="Arial" w:eastAsia="Arial" w:hAnsi="Arial"/>
                  <w:sz w:val="12"/>
                  <w:szCs w:val="12"/>
                  <w:color w:val="0000EE"/>
                </w:rPr>
                <w:t>29</w:t>
              </w:r>
            </w:hyperlink>
          </w:p>
        </w:tc>
        <w:tc>
          <w:tcPr>
            <w:tcW w:w="120" w:type="dxa"/>
            <w:vAlign w:val="bottom"/>
            <w:shd w:val="clear" w:color="auto" w:fill="CCEEFF"/>
          </w:tcPr>
          <w:p>
            <w:pPr>
              <w:spacing w:after="0"/>
              <w:rPr>
                <w:sz w:val="12"/>
                <w:szCs w:val="12"/>
                <w:color w:val="auto"/>
              </w:rPr>
            </w:pPr>
          </w:p>
        </w:tc>
      </w:tr>
      <w:tr>
        <w:trPr>
          <w:trHeight w:val="27"/>
        </w:trPr>
        <w:tc>
          <w:tcPr>
            <w:tcW w:w="1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43"/>
        </w:trPr>
        <w:tc>
          <w:tcPr>
            <w:tcW w:w="540" w:type="dxa"/>
            <w:vAlign w:val="bottom"/>
            <w:gridSpan w:val="3"/>
          </w:tcPr>
          <w:p>
            <w:pPr>
              <w:spacing w:after="0"/>
              <w:rPr>
                <w:sz w:val="20"/>
                <w:szCs w:val="20"/>
                <w:color w:val="auto"/>
              </w:rPr>
            </w:pPr>
            <w:r>
              <w:rPr>
                <w:rFonts w:ascii="Arial" w:cs="Arial" w:eastAsia="Arial" w:hAnsi="Arial"/>
                <w:sz w:val="12"/>
                <w:szCs w:val="12"/>
                <w:color w:val="auto"/>
              </w:rPr>
              <w:t>PART II</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0000EE"/>
            </w:tcBorders>
            <w:shd w:val="clear" w:color="auto" w:fill="CCEEFF"/>
          </w:tcPr>
          <w:p>
            <w:pPr>
              <w:spacing w:after="0" w:line="136" w:lineRule="exact"/>
              <w:rPr>
                <w:rFonts w:ascii="Arial" w:cs="Arial" w:eastAsia="Arial" w:hAnsi="Arial"/>
                <w:sz w:val="12"/>
                <w:szCs w:val="12"/>
                <w:color w:val="0000EE"/>
                <w:w w:val="81"/>
              </w:rPr>
            </w:pPr>
            <w:hyperlink w:anchor="page30">
              <w:r>
                <w:rPr>
                  <w:rFonts w:ascii="Arial" w:cs="Arial" w:eastAsia="Arial" w:hAnsi="Arial"/>
                  <w:sz w:val="12"/>
                  <w:szCs w:val="12"/>
                  <w:color w:val="0000EE"/>
                  <w:w w:val="81"/>
                </w:rPr>
                <w:t>Item 5.</w:t>
              </w:r>
            </w:hyperlink>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0" w:type="dxa"/>
            <w:vAlign w:val="bottom"/>
            <w:tcBorders>
              <w:bottom w:val="single" w:sz="8" w:color="0000EE"/>
            </w:tcBorders>
            <w:gridSpan w:val="17"/>
            <w:shd w:val="clear" w:color="auto" w:fill="CCEEFF"/>
          </w:tcPr>
          <w:p>
            <w:pPr>
              <w:spacing w:after="0" w:line="136" w:lineRule="exact"/>
              <w:rPr>
                <w:rFonts w:ascii="Arial" w:cs="Arial" w:eastAsia="Arial" w:hAnsi="Arial"/>
                <w:sz w:val="12"/>
                <w:szCs w:val="12"/>
                <w:color w:val="0000EE"/>
                <w:w w:val="90"/>
              </w:rPr>
            </w:pPr>
            <w:hyperlink w:anchor="page30">
              <w:r>
                <w:rPr>
                  <w:rFonts w:ascii="Arial" w:cs="Arial" w:eastAsia="Arial" w:hAnsi="Arial"/>
                  <w:sz w:val="12"/>
                  <w:szCs w:val="12"/>
                  <w:color w:val="0000EE"/>
                  <w:w w:val="90"/>
                </w:rPr>
                <w:t>Market for Registrant’s Common Equity, Related Stockholder Matters and Issuer Purchases of Equity Securities</w:t>
              </w:r>
            </w:hyperlink>
          </w:p>
        </w:tc>
        <w:tc>
          <w:tcPr>
            <w:tcW w:w="5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0000EE"/>
            </w:tcBorders>
            <w:shd w:val="clear" w:color="auto" w:fill="CCEEFF"/>
          </w:tcPr>
          <w:p>
            <w:pPr>
              <w:jc w:val="right"/>
              <w:spacing w:after="0" w:line="136" w:lineRule="exact"/>
              <w:rPr>
                <w:rFonts w:ascii="Arial" w:cs="Arial" w:eastAsia="Arial" w:hAnsi="Arial"/>
                <w:sz w:val="12"/>
                <w:szCs w:val="12"/>
                <w:color w:val="0000EE"/>
                <w:w w:val="74"/>
              </w:rPr>
            </w:pPr>
            <w:hyperlink w:anchor="page30">
              <w:r>
                <w:rPr>
                  <w:rFonts w:ascii="Arial" w:cs="Arial" w:eastAsia="Arial" w:hAnsi="Arial"/>
                  <w:sz w:val="12"/>
                  <w:szCs w:val="12"/>
                  <w:color w:val="0000EE"/>
                  <w:w w:val="74"/>
                </w:rPr>
                <w:t>30</w:t>
              </w:r>
            </w:hyperlink>
          </w:p>
        </w:tc>
        <w:tc>
          <w:tcPr>
            <w:tcW w:w="120" w:type="dxa"/>
            <w:vAlign w:val="bottom"/>
            <w:tcBorders>
              <w:bottom w:val="single" w:sz="8" w:color="CCEEFF"/>
            </w:tcBorders>
            <w:shd w:val="clear" w:color="auto" w:fill="CCEEFF"/>
          </w:tcPr>
          <w:p>
            <w:pPr>
              <w:spacing w:after="0"/>
              <w:rPr>
                <w:sz w:val="13"/>
                <w:szCs w:val="13"/>
                <w:color w:val="auto"/>
              </w:rPr>
            </w:pPr>
          </w:p>
        </w:tc>
      </w:tr>
      <w:tr>
        <w:trPr>
          <w:trHeight w:val="144"/>
        </w:trPr>
        <w:tc>
          <w:tcPr>
            <w:tcW w:w="120" w:type="dxa"/>
            <w:vAlign w:val="bottom"/>
          </w:tcPr>
          <w:p>
            <w:pPr>
              <w:spacing w:after="0"/>
              <w:rPr>
                <w:sz w:val="12"/>
                <w:szCs w:val="12"/>
                <w:color w:val="auto"/>
              </w:rPr>
            </w:pPr>
          </w:p>
        </w:tc>
        <w:tc>
          <w:tcPr>
            <w:tcW w:w="340" w:type="dxa"/>
            <w:vAlign w:val="bottom"/>
          </w:tcPr>
          <w:p>
            <w:pPr>
              <w:spacing w:after="0"/>
              <w:rPr>
                <w:rFonts w:ascii="Arial" w:cs="Arial" w:eastAsia="Arial" w:hAnsi="Arial"/>
                <w:sz w:val="12"/>
                <w:szCs w:val="12"/>
                <w:color w:val="0000EE"/>
                <w:w w:val="81"/>
              </w:rPr>
            </w:pPr>
            <w:hyperlink w:anchor="page32">
              <w:r>
                <w:rPr>
                  <w:rFonts w:ascii="Arial" w:cs="Arial" w:eastAsia="Arial" w:hAnsi="Arial"/>
                  <w:sz w:val="12"/>
                  <w:szCs w:val="12"/>
                  <w:color w:val="0000EE"/>
                  <w:w w:val="81"/>
                </w:rPr>
                <w:t>Item 6.</w:t>
              </w:r>
            </w:hyperlink>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20" w:type="dxa"/>
            <w:vAlign w:val="bottom"/>
            <w:gridSpan w:val="18"/>
          </w:tcPr>
          <w:p>
            <w:pPr>
              <w:spacing w:after="0"/>
              <w:rPr>
                <w:rFonts w:ascii="Arial" w:cs="Arial" w:eastAsia="Arial" w:hAnsi="Arial"/>
                <w:sz w:val="12"/>
                <w:szCs w:val="12"/>
                <w:color w:val="0000EE"/>
              </w:rPr>
            </w:pPr>
            <w:hyperlink w:anchor="page32">
              <w:r>
                <w:rPr>
                  <w:rFonts w:ascii="Arial" w:cs="Arial" w:eastAsia="Arial" w:hAnsi="Arial"/>
                  <w:sz w:val="12"/>
                  <w:szCs w:val="12"/>
                  <w:color w:val="0000EE"/>
                </w:rPr>
                <w:t>Selected Financial Data</w:t>
              </w:r>
            </w:hyperlink>
          </w:p>
        </w:tc>
        <w:tc>
          <w:tcPr>
            <w:tcW w:w="280" w:type="dxa"/>
            <w:vAlign w:val="bottom"/>
            <w:gridSpan w:val="2"/>
          </w:tcPr>
          <w:p>
            <w:pPr>
              <w:jc w:val="right"/>
              <w:spacing w:after="0"/>
              <w:rPr>
                <w:rFonts w:ascii="Arial" w:cs="Arial" w:eastAsia="Arial" w:hAnsi="Arial"/>
                <w:sz w:val="12"/>
                <w:szCs w:val="12"/>
                <w:color w:val="0000EE"/>
              </w:rPr>
            </w:pPr>
            <w:hyperlink w:anchor="page32">
              <w:r>
                <w:rPr>
                  <w:rFonts w:ascii="Arial" w:cs="Arial" w:eastAsia="Arial" w:hAnsi="Arial"/>
                  <w:sz w:val="12"/>
                  <w:szCs w:val="12"/>
                  <w:color w:val="0000EE"/>
                </w:rPr>
                <w:t>32</w:t>
              </w:r>
            </w:hyperlink>
          </w:p>
        </w:tc>
        <w:tc>
          <w:tcPr>
            <w:tcW w:w="120" w:type="dxa"/>
            <w:vAlign w:val="bottom"/>
          </w:tcPr>
          <w:p>
            <w:pPr>
              <w:spacing w:after="0"/>
              <w:rPr>
                <w:sz w:val="12"/>
                <w:szCs w:val="12"/>
                <w:color w:val="auto"/>
              </w:rPr>
            </w:pPr>
          </w:p>
        </w:tc>
      </w:tr>
      <w:tr>
        <w:trPr>
          <w:trHeight w:val="27"/>
        </w:trPr>
        <w:tc>
          <w:tcPr>
            <w:tcW w:w="1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0000EE"/>
            </w:tcBorders>
            <w:shd w:val="clear" w:color="auto" w:fill="CCEEFF"/>
          </w:tcPr>
          <w:p>
            <w:pPr>
              <w:spacing w:after="0" w:line="135" w:lineRule="exact"/>
              <w:rPr>
                <w:rFonts w:ascii="Arial" w:cs="Arial" w:eastAsia="Arial" w:hAnsi="Arial"/>
                <w:sz w:val="12"/>
                <w:szCs w:val="12"/>
                <w:color w:val="0000EE"/>
                <w:w w:val="81"/>
              </w:rPr>
            </w:pPr>
            <w:hyperlink w:anchor="page36">
              <w:r>
                <w:rPr>
                  <w:rFonts w:ascii="Arial" w:cs="Arial" w:eastAsia="Arial" w:hAnsi="Arial"/>
                  <w:sz w:val="12"/>
                  <w:szCs w:val="12"/>
                  <w:color w:val="0000EE"/>
                  <w:w w:val="81"/>
                </w:rPr>
                <w:t>Item 7.</w:t>
              </w:r>
            </w:hyperlink>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340" w:type="dxa"/>
            <w:vAlign w:val="bottom"/>
            <w:tcBorders>
              <w:bottom w:val="single" w:sz="8" w:color="0000EE"/>
              <w:right w:val="single" w:sz="8" w:color="CCEEFF"/>
            </w:tcBorders>
            <w:gridSpan w:val="15"/>
            <w:shd w:val="clear" w:color="auto" w:fill="CCEEFF"/>
          </w:tcPr>
          <w:p>
            <w:pPr>
              <w:spacing w:after="0" w:line="135" w:lineRule="exact"/>
              <w:rPr>
                <w:rFonts w:ascii="Arial" w:cs="Arial" w:eastAsia="Arial" w:hAnsi="Arial"/>
                <w:sz w:val="12"/>
                <w:szCs w:val="12"/>
                <w:color w:val="0000EE"/>
                <w:w w:val="91"/>
              </w:rPr>
            </w:pPr>
            <w:hyperlink w:anchor="page36">
              <w:r>
                <w:rPr>
                  <w:rFonts w:ascii="Arial" w:cs="Arial" w:eastAsia="Arial" w:hAnsi="Arial"/>
                  <w:sz w:val="12"/>
                  <w:szCs w:val="12"/>
                  <w:color w:val="0000EE"/>
                  <w:w w:val="91"/>
                </w:rPr>
                <w:t>Management’s Discussion and Analysis of Financial Condition and Results of Operations</w:t>
              </w:r>
            </w:hyperlink>
          </w:p>
        </w:tc>
        <w:tc>
          <w:tcPr>
            <w:tcW w:w="6080" w:type="dxa"/>
            <w:vAlign w:val="bottom"/>
            <w:tcBorders>
              <w:bottom w:val="single" w:sz="8" w:color="CCEEFF"/>
            </w:tcBorders>
            <w:gridSpan w:val="3"/>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0000EE"/>
            </w:tcBorders>
            <w:shd w:val="clear" w:color="auto" w:fill="CCEEFF"/>
          </w:tcPr>
          <w:p>
            <w:pPr>
              <w:jc w:val="right"/>
              <w:spacing w:after="0" w:line="135" w:lineRule="exact"/>
              <w:rPr>
                <w:rFonts w:ascii="Arial" w:cs="Arial" w:eastAsia="Arial" w:hAnsi="Arial"/>
                <w:sz w:val="12"/>
                <w:szCs w:val="12"/>
                <w:color w:val="0000EE"/>
                <w:w w:val="74"/>
              </w:rPr>
            </w:pPr>
            <w:hyperlink w:anchor="page36">
              <w:r>
                <w:rPr>
                  <w:rFonts w:ascii="Arial" w:cs="Arial" w:eastAsia="Arial" w:hAnsi="Arial"/>
                  <w:sz w:val="12"/>
                  <w:szCs w:val="12"/>
                  <w:color w:val="0000EE"/>
                  <w:w w:val="74"/>
                </w:rPr>
                <w:t>36</w:t>
              </w:r>
            </w:hyperlink>
          </w:p>
        </w:tc>
        <w:tc>
          <w:tcPr>
            <w:tcW w:w="120" w:type="dxa"/>
            <w:vAlign w:val="bottom"/>
            <w:tcBorders>
              <w:bottom w:val="single" w:sz="8" w:color="CCEEFF"/>
            </w:tcBorders>
            <w:shd w:val="clear" w:color="auto" w:fill="CCEEFF"/>
          </w:tcPr>
          <w:p>
            <w:pPr>
              <w:spacing w:after="0"/>
              <w:rPr>
                <w:sz w:val="13"/>
                <w:szCs w:val="13"/>
                <w:color w:val="auto"/>
              </w:rPr>
            </w:pPr>
          </w:p>
        </w:tc>
      </w:tr>
      <w:tr>
        <w:trPr>
          <w:trHeight w:val="151"/>
        </w:trPr>
        <w:tc>
          <w:tcPr>
            <w:tcW w:w="120" w:type="dxa"/>
            <w:vAlign w:val="bottom"/>
          </w:tcPr>
          <w:p>
            <w:pPr>
              <w:spacing w:after="0"/>
              <w:rPr>
                <w:sz w:val="13"/>
                <w:szCs w:val="13"/>
                <w:color w:val="auto"/>
              </w:rPr>
            </w:pPr>
          </w:p>
        </w:tc>
        <w:tc>
          <w:tcPr>
            <w:tcW w:w="420" w:type="dxa"/>
            <w:vAlign w:val="bottom"/>
            <w:tcBorders>
              <w:bottom w:val="single" w:sz="8" w:color="0000EE"/>
            </w:tcBorders>
            <w:gridSpan w:val="2"/>
          </w:tcPr>
          <w:p>
            <w:pPr>
              <w:spacing w:after="0"/>
              <w:rPr>
                <w:rFonts w:ascii="Arial" w:cs="Arial" w:eastAsia="Arial" w:hAnsi="Arial"/>
                <w:sz w:val="12"/>
                <w:szCs w:val="12"/>
                <w:color w:val="0000EE"/>
                <w:w w:val="89"/>
              </w:rPr>
            </w:pPr>
            <w:hyperlink w:anchor="page54">
              <w:r>
                <w:rPr>
                  <w:rFonts w:ascii="Arial" w:cs="Arial" w:eastAsia="Arial" w:hAnsi="Arial"/>
                  <w:sz w:val="12"/>
                  <w:szCs w:val="12"/>
                  <w:color w:val="0000EE"/>
                  <w:w w:val="89"/>
                </w:rPr>
                <w:t>Item 7A.</w:t>
              </w:r>
            </w:hyperlink>
          </w:p>
        </w:tc>
        <w:tc>
          <w:tcPr>
            <w:tcW w:w="120" w:type="dxa"/>
            <w:vAlign w:val="bottom"/>
          </w:tcPr>
          <w:p>
            <w:pPr>
              <w:spacing w:after="0"/>
              <w:rPr>
                <w:sz w:val="13"/>
                <w:szCs w:val="13"/>
                <w:color w:val="auto"/>
              </w:rPr>
            </w:pPr>
          </w:p>
        </w:tc>
        <w:tc>
          <w:tcPr>
            <w:tcW w:w="2920" w:type="dxa"/>
            <w:vAlign w:val="bottom"/>
            <w:tcBorders>
              <w:bottom w:val="single" w:sz="8" w:color="0000EE"/>
            </w:tcBorders>
            <w:gridSpan w:val="13"/>
          </w:tcPr>
          <w:p>
            <w:pPr>
              <w:spacing w:after="0"/>
              <w:rPr>
                <w:rFonts w:ascii="Arial" w:cs="Arial" w:eastAsia="Arial" w:hAnsi="Arial"/>
                <w:sz w:val="12"/>
                <w:szCs w:val="12"/>
                <w:color w:val="0000EE"/>
                <w:w w:val="92"/>
              </w:rPr>
            </w:pPr>
            <w:hyperlink w:anchor="page54">
              <w:r>
                <w:rPr>
                  <w:rFonts w:ascii="Arial" w:cs="Arial" w:eastAsia="Arial" w:hAnsi="Arial"/>
                  <w:sz w:val="12"/>
                  <w:szCs w:val="12"/>
                  <w:color w:val="0000EE"/>
                  <w:w w:val="92"/>
                </w:rPr>
                <w:t>Quantitative and Qualitative Disclosures About Market Risk</w:t>
              </w:r>
            </w:hyperlink>
          </w:p>
        </w:tc>
        <w:tc>
          <w:tcPr>
            <w:tcW w:w="750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54">
              <w:r>
                <w:rPr>
                  <w:rFonts w:ascii="Arial" w:cs="Arial" w:eastAsia="Arial" w:hAnsi="Arial"/>
                  <w:sz w:val="12"/>
                  <w:szCs w:val="12"/>
                  <w:color w:val="0000EE"/>
                  <w:w w:val="74"/>
                </w:rPr>
                <w:t>54</w:t>
              </w:r>
            </w:hyperlink>
          </w:p>
        </w:tc>
        <w:tc>
          <w:tcPr>
            <w:tcW w:w="120" w:type="dxa"/>
            <w:vAlign w:val="bottom"/>
          </w:tcPr>
          <w:p>
            <w:pPr>
              <w:spacing w:after="0"/>
              <w:rPr>
                <w:sz w:val="13"/>
                <w:szCs w:val="13"/>
                <w:color w:val="auto"/>
              </w:rPr>
            </w:pPr>
          </w:p>
        </w:tc>
      </w:tr>
      <w:tr>
        <w:trPr>
          <w:trHeight w:val="144"/>
        </w:trPr>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rFonts w:ascii="Arial" w:cs="Arial" w:eastAsia="Arial" w:hAnsi="Arial"/>
                <w:sz w:val="12"/>
                <w:szCs w:val="12"/>
                <w:color w:val="0000EE"/>
                <w:w w:val="81"/>
              </w:rPr>
            </w:pPr>
            <w:hyperlink w:anchor="page55">
              <w:r>
                <w:rPr>
                  <w:rFonts w:ascii="Arial" w:cs="Arial" w:eastAsia="Arial" w:hAnsi="Arial"/>
                  <w:sz w:val="12"/>
                  <w:szCs w:val="12"/>
                  <w:color w:val="0000EE"/>
                  <w:w w:val="81"/>
                </w:rPr>
                <w:t>Item 8.</w:t>
              </w:r>
            </w:hyperlink>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20" w:type="dxa"/>
            <w:vAlign w:val="bottom"/>
            <w:gridSpan w:val="18"/>
            <w:shd w:val="clear" w:color="auto" w:fill="CCEEFF"/>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Financial Statements and Supplementary Data</w:t>
              </w:r>
            </w:hyperlink>
          </w:p>
        </w:tc>
        <w:tc>
          <w:tcPr>
            <w:tcW w:w="280" w:type="dxa"/>
            <w:vAlign w:val="bottom"/>
            <w:gridSpan w:val="2"/>
            <w:shd w:val="clear" w:color="auto" w:fill="CCEEFF"/>
          </w:tcPr>
          <w:p>
            <w:pPr>
              <w:jc w:val="right"/>
              <w:spacing w:after="0"/>
              <w:rPr>
                <w:rFonts w:ascii="Arial" w:cs="Arial" w:eastAsia="Arial" w:hAnsi="Arial"/>
                <w:sz w:val="12"/>
                <w:szCs w:val="12"/>
                <w:color w:val="0000EE"/>
              </w:rPr>
            </w:pPr>
            <w:hyperlink w:anchor="page55">
              <w:r>
                <w:rPr>
                  <w:rFonts w:ascii="Arial" w:cs="Arial" w:eastAsia="Arial" w:hAnsi="Arial"/>
                  <w:sz w:val="12"/>
                  <w:szCs w:val="12"/>
                  <w:color w:val="0000EE"/>
                </w:rPr>
                <w:t>55</w:t>
              </w:r>
            </w:hyperlink>
          </w:p>
        </w:tc>
        <w:tc>
          <w:tcPr>
            <w:tcW w:w="120" w:type="dxa"/>
            <w:vAlign w:val="bottom"/>
            <w:shd w:val="clear" w:color="auto" w:fill="CCEEFF"/>
          </w:tcPr>
          <w:p>
            <w:pPr>
              <w:spacing w:after="0"/>
              <w:rPr>
                <w:sz w:val="12"/>
                <w:szCs w:val="12"/>
                <w:color w:val="auto"/>
              </w:rPr>
            </w:pPr>
          </w:p>
        </w:tc>
      </w:tr>
      <w:tr>
        <w:trPr>
          <w:trHeight w:val="27"/>
        </w:trPr>
        <w:tc>
          <w:tcPr>
            <w:tcW w:w="1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35"/>
        </w:trPr>
        <w:tc>
          <w:tcPr>
            <w:tcW w:w="120" w:type="dxa"/>
            <w:vAlign w:val="bottom"/>
          </w:tcPr>
          <w:p>
            <w:pPr>
              <w:spacing w:after="0"/>
              <w:rPr>
                <w:sz w:val="11"/>
                <w:szCs w:val="11"/>
                <w:color w:val="auto"/>
              </w:rPr>
            </w:pPr>
          </w:p>
        </w:tc>
        <w:tc>
          <w:tcPr>
            <w:tcW w:w="340" w:type="dxa"/>
            <w:vAlign w:val="bottom"/>
          </w:tcPr>
          <w:p>
            <w:pPr>
              <w:spacing w:after="0" w:line="135" w:lineRule="exact"/>
              <w:rPr>
                <w:rFonts w:ascii="Arial" w:cs="Arial" w:eastAsia="Arial" w:hAnsi="Arial"/>
                <w:sz w:val="12"/>
                <w:szCs w:val="12"/>
                <w:color w:val="0000EE"/>
                <w:w w:val="81"/>
              </w:rPr>
            </w:pPr>
            <w:hyperlink w:anchor="page98">
              <w:r>
                <w:rPr>
                  <w:rFonts w:ascii="Arial" w:cs="Arial" w:eastAsia="Arial" w:hAnsi="Arial"/>
                  <w:sz w:val="12"/>
                  <w:szCs w:val="12"/>
                  <w:color w:val="0000EE"/>
                  <w:w w:val="81"/>
                </w:rPr>
                <w:t>Item 9.</w:t>
              </w:r>
            </w:hyperlink>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20" w:type="dxa"/>
            <w:vAlign w:val="bottom"/>
            <w:gridSpan w:val="18"/>
          </w:tcPr>
          <w:p>
            <w:pPr>
              <w:spacing w:after="0" w:line="135" w:lineRule="exact"/>
              <w:rPr>
                <w:rFonts w:ascii="Arial" w:cs="Arial" w:eastAsia="Arial" w:hAnsi="Arial"/>
                <w:sz w:val="12"/>
                <w:szCs w:val="12"/>
                <w:color w:val="0000EE"/>
              </w:rPr>
            </w:pPr>
            <w:hyperlink w:anchor="page98">
              <w:r>
                <w:rPr>
                  <w:rFonts w:ascii="Arial" w:cs="Arial" w:eastAsia="Arial" w:hAnsi="Arial"/>
                  <w:sz w:val="12"/>
                  <w:szCs w:val="12"/>
                  <w:color w:val="0000EE"/>
                </w:rPr>
                <w:t>Changes in and Disagreements With Accountants on Accounting and Financial Disclosure</w:t>
              </w:r>
            </w:hyperlink>
          </w:p>
        </w:tc>
        <w:tc>
          <w:tcPr>
            <w:tcW w:w="280" w:type="dxa"/>
            <w:vAlign w:val="bottom"/>
            <w:gridSpan w:val="2"/>
          </w:tcPr>
          <w:p>
            <w:pPr>
              <w:jc w:val="right"/>
              <w:spacing w:after="0" w:line="135" w:lineRule="exact"/>
              <w:rPr>
                <w:rFonts w:ascii="Arial" w:cs="Arial" w:eastAsia="Arial" w:hAnsi="Arial"/>
                <w:sz w:val="12"/>
                <w:szCs w:val="12"/>
                <w:color w:val="0000EE"/>
              </w:rPr>
            </w:pPr>
            <w:hyperlink w:anchor="page98">
              <w:r>
                <w:rPr>
                  <w:rFonts w:ascii="Arial" w:cs="Arial" w:eastAsia="Arial" w:hAnsi="Arial"/>
                  <w:sz w:val="12"/>
                  <w:szCs w:val="12"/>
                  <w:color w:val="0000EE"/>
                </w:rPr>
                <w:t>98</w:t>
              </w:r>
            </w:hyperlink>
          </w:p>
        </w:tc>
        <w:tc>
          <w:tcPr>
            <w:tcW w:w="120" w:type="dxa"/>
            <w:vAlign w:val="bottom"/>
          </w:tcPr>
          <w:p>
            <w:pPr>
              <w:spacing w:after="0"/>
              <w:rPr>
                <w:sz w:val="11"/>
                <w:szCs w:val="11"/>
                <w:color w:val="auto"/>
              </w:rPr>
            </w:pPr>
          </w:p>
        </w:tc>
      </w:tr>
      <w:tr>
        <w:trPr>
          <w:trHeight w:val="28"/>
        </w:trPr>
        <w:tc>
          <w:tcPr>
            <w:tcW w:w="1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59"/>
        </w:trPr>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spacing w:after="0"/>
              <w:rPr>
                <w:rFonts w:ascii="Arial" w:cs="Arial" w:eastAsia="Arial" w:hAnsi="Arial"/>
                <w:sz w:val="12"/>
                <w:szCs w:val="12"/>
                <w:color w:val="0000EE"/>
                <w:w w:val="89"/>
              </w:rPr>
            </w:pPr>
            <w:hyperlink w:anchor="page98">
              <w:r>
                <w:rPr>
                  <w:rFonts w:ascii="Arial" w:cs="Arial" w:eastAsia="Arial" w:hAnsi="Arial"/>
                  <w:sz w:val="12"/>
                  <w:szCs w:val="12"/>
                  <w:color w:val="0000EE"/>
                  <w:w w:val="89"/>
                </w:rPr>
                <w:t>Item 9A.</w:t>
              </w:r>
            </w:hyperlink>
          </w:p>
        </w:tc>
        <w:tc>
          <w:tcPr>
            <w:tcW w:w="120" w:type="dxa"/>
            <w:vAlign w:val="bottom"/>
            <w:shd w:val="clear" w:color="auto" w:fill="CCEEFF"/>
          </w:tcPr>
          <w:p>
            <w:pPr>
              <w:spacing w:after="0"/>
              <w:rPr>
                <w:sz w:val="13"/>
                <w:szCs w:val="13"/>
                <w:color w:val="auto"/>
              </w:rPr>
            </w:pPr>
          </w:p>
        </w:tc>
        <w:tc>
          <w:tcPr>
            <w:tcW w:w="10420" w:type="dxa"/>
            <w:vAlign w:val="bottom"/>
            <w:gridSpan w:val="18"/>
            <w:shd w:val="clear" w:color="auto" w:fill="CCEEFF"/>
          </w:tcPr>
          <w:p>
            <w:pPr>
              <w:spacing w:after="0"/>
              <w:rPr>
                <w:rFonts w:ascii="Arial" w:cs="Arial" w:eastAsia="Arial" w:hAnsi="Arial"/>
                <w:sz w:val="12"/>
                <w:szCs w:val="12"/>
                <w:color w:val="0000EE"/>
              </w:rPr>
            </w:pPr>
            <w:hyperlink w:anchor="page98">
              <w:r>
                <w:rPr>
                  <w:rFonts w:ascii="Arial" w:cs="Arial" w:eastAsia="Arial" w:hAnsi="Arial"/>
                  <w:sz w:val="12"/>
                  <w:szCs w:val="12"/>
                  <w:color w:val="0000EE"/>
                </w:rPr>
                <w:t>Controls and Procedures</w:t>
              </w:r>
            </w:hyperlink>
          </w:p>
        </w:tc>
        <w:tc>
          <w:tcPr>
            <w:tcW w:w="280" w:type="dxa"/>
            <w:vAlign w:val="bottom"/>
            <w:gridSpan w:val="2"/>
            <w:shd w:val="clear" w:color="auto" w:fill="CCEEFF"/>
          </w:tcPr>
          <w:p>
            <w:pPr>
              <w:jc w:val="right"/>
              <w:spacing w:after="0"/>
              <w:rPr>
                <w:rFonts w:ascii="Arial" w:cs="Arial" w:eastAsia="Arial" w:hAnsi="Arial"/>
                <w:sz w:val="12"/>
                <w:szCs w:val="12"/>
                <w:color w:val="0000EE"/>
              </w:rPr>
            </w:pPr>
            <w:hyperlink w:anchor="page98">
              <w:r>
                <w:rPr>
                  <w:rFonts w:ascii="Arial" w:cs="Arial" w:eastAsia="Arial" w:hAnsi="Arial"/>
                  <w:sz w:val="12"/>
                  <w:szCs w:val="12"/>
                  <w:color w:val="0000EE"/>
                </w:rPr>
                <w:t>98</w:t>
              </w:r>
            </w:hyperlink>
          </w:p>
        </w:tc>
        <w:tc>
          <w:tcPr>
            <w:tcW w:w="120" w:type="dxa"/>
            <w:vAlign w:val="bottom"/>
            <w:shd w:val="clear" w:color="auto" w:fill="CCEEFF"/>
          </w:tcPr>
          <w:p>
            <w:pPr>
              <w:spacing w:after="0"/>
              <w:rPr>
                <w:sz w:val="13"/>
                <w:szCs w:val="13"/>
                <w:color w:val="auto"/>
              </w:rPr>
            </w:pPr>
          </w:p>
        </w:tc>
      </w:tr>
      <w:tr>
        <w:trPr>
          <w:trHeight w:val="144"/>
        </w:trPr>
        <w:tc>
          <w:tcPr>
            <w:tcW w:w="120" w:type="dxa"/>
            <w:vAlign w:val="bottom"/>
            <w:tcBorders>
              <w:top w:val="single" w:sz="8" w:color="CCEEFF"/>
            </w:tcBorders>
          </w:tcPr>
          <w:p>
            <w:pPr>
              <w:spacing w:after="0"/>
              <w:rPr>
                <w:sz w:val="12"/>
                <w:szCs w:val="12"/>
                <w:color w:val="auto"/>
              </w:rPr>
            </w:pPr>
          </w:p>
        </w:tc>
        <w:tc>
          <w:tcPr>
            <w:tcW w:w="420" w:type="dxa"/>
            <w:vAlign w:val="bottom"/>
            <w:tcBorders>
              <w:top w:val="single" w:sz="8" w:color="0000EE"/>
            </w:tcBorders>
            <w:gridSpan w:val="2"/>
          </w:tcPr>
          <w:p>
            <w:pPr>
              <w:spacing w:after="0"/>
              <w:rPr>
                <w:rFonts w:ascii="Arial" w:cs="Arial" w:eastAsia="Arial" w:hAnsi="Arial"/>
                <w:sz w:val="12"/>
                <w:szCs w:val="12"/>
                <w:color w:val="0000EE"/>
                <w:w w:val="89"/>
              </w:rPr>
            </w:pPr>
            <w:hyperlink w:anchor="page99">
              <w:r>
                <w:rPr>
                  <w:rFonts w:ascii="Arial" w:cs="Arial" w:eastAsia="Arial" w:hAnsi="Arial"/>
                  <w:sz w:val="12"/>
                  <w:szCs w:val="12"/>
                  <w:color w:val="0000EE"/>
                  <w:w w:val="89"/>
                </w:rPr>
                <w:t>Item 9B.</w:t>
              </w:r>
            </w:hyperlink>
          </w:p>
        </w:tc>
        <w:tc>
          <w:tcPr>
            <w:tcW w:w="120" w:type="dxa"/>
            <w:vAlign w:val="bottom"/>
            <w:tcBorders>
              <w:top w:val="single" w:sz="8" w:color="CCEEFF"/>
            </w:tcBorders>
          </w:tcPr>
          <w:p>
            <w:pPr>
              <w:spacing w:after="0"/>
              <w:rPr>
                <w:sz w:val="12"/>
                <w:szCs w:val="12"/>
                <w:color w:val="auto"/>
              </w:rPr>
            </w:pPr>
          </w:p>
        </w:tc>
        <w:tc>
          <w:tcPr>
            <w:tcW w:w="1140" w:type="dxa"/>
            <w:vAlign w:val="bottom"/>
            <w:tcBorders>
              <w:top w:val="single" w:sz="8" w:color="0000EE"/>
            </w:tcBorders>
            <w:gridSpan w:val="7"/>
          </w:tcPr>
          <w:p>
            <w:pPr>
              <w:spacing w:after="0"/>
              <w:rPr>
                <w:rFonts w:ascii="Arial" w:cs="Arial" w:eastAsia="Arial" w:hAnsi="Arial"/>
                <w:sz w:val="12"/>
                <w:szCs w:val="12"/>
                <w:color w:val="0000EE"/>
              </w:rPr>
            </w:pPr>
            <w:hyperlink w:anchor="page99">
              <w:r>
                <w:rPr>
                  <w:rFonts w:ascii="Arial" w:cs="Arial" w:eastAsia="Arial" w:hAnsi="Arial"/>
                  <w:sz w:val="12"/>
                  <w:szCs w:val="12"/>
                  <w:color w:val="0000EE"/>
                </w:rPr>
                <w:t>Other Information</w:t>
              </w:r>
            </w:hyperlink>
          </w:p>
        </w:tc>
        <w:tc>
          <w:tcPr>
            <w:tcW w:w="9280" w:type="dxa"/>
            <w:vAlign w:val="bottom"/>
            <w:tcBorders>
              <w:top w:val="single" w:sz="8" w:color="CCEEFF"/>
            </w:tcBorders>
            <w:gridSpan w:val="11"/>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0000EE"/>
            </w:tcBorders>
          </w:tcPr>
          <w:p>
            <w:pPr>
              <w:jc w:val="right"/>
              <w:spacing w:after="0"/>
              <w:rPr>
                <w:rFonts w:ascii="Arial" w:cs="Arial" w:eastAsia="Arial" w:hAnsi="Arial"/>
                <w:sz w:val="12"/>
                <w:szCs w:val="12"/>
                <w:color w:val="0000EE"/>
                <w:w w:val="74"/>
              </w:rPr>
            </w:pPr>
            <w:hyperlink w:anchor="page99">
              <w:r>
                <w:rPr>
                  <w:rFonts w:ascii="Arial" w:cs="Arial" w:eastAsia="Arial" w:hAnsi="Arial"/>
                  <w:sz w:val="12"/>
                  <w:szCs w:val="12"/>
                  <w:color w:val="0000EE"/>
                  <w:w w:val="74"/>
                </w:rPr>
                <w:t>99</w:t>
              </w:r>
            </w:hyperlink>
          </w:p>
        </w:tc>
        <w:tc>
          <w:tcPr>
            <w:tcW w:w="120" w:type="dxa"/>
            <w:vAlign w:val="bottom"/>
            <w:tcBorders>
              <w:top w:val="single" w:sz="8" w:color="CCEEFF"/>
            </w:tcBorders>
          </w:tcPr>
          <w:p>
            <w:pPr>
              <w:spacing w:after="0"/>
              <w:rPr>
                <w:sz w:val="12"/>
                <w:szCs w:val="12"/>
                <w:color w:val="auto"/>
              </w:rPr>
            </w:pPr>
          </w:p>
        </w:tc>
      </w:tr>
      <w:tr>
        <w:trPr>
          <w:trHeight w:val="27"/>
        </w:trPr>
        <w:tc>
          <w:tcPr>
            <w:tcW w:w="1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PART III</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44"/>
        </w:trPr>
        <w:tc>
          <w:tcPr>
            <w:tcW w:w="120" w:type="dxa"/>
            <w:vAlign w:val="bottom"/>
          </w:tcPr>
          <w:p>
            <w:pPr>
              <w:spacing w:after="0"/>
              <w:rPr>
                <w:sz w:val="12"/>
                <w:szCs w:val="12"/>
                <w:color w:val="auto"/>
              </w:rPr>
            </w:pPr>
          </w:p>
        </w:tc>
        <w:tc>
          <w:tcPr>
            <w:tcW w:w="340" w:type="dxa"/>
            <w:vAlign w:val="bottom"/>
          </w:tcPr>
          <w:p>
            <w:pPr>
              <w:spacing w:after="0"/>
              <w:rPr>
                <w:rFonts w:ascii="Arial" w:cs="Arial" w:eastAsia="Arial" w:hAnsi="Arial"/>
                <w:sz w:val="11"/>
                <w:szCs w:val="11"/>
                <w:color w:val="0000EE"/>
                <w:w w:val="75"/>
              </w:rPr>
            </w:pPr>
            <w:hyperlink w:anchor="page100">
              <w:r>
                <w:rPr>
                  <w:rFonts w:ascii="Arial" w:cs="Arial" w:eastAsia="Arial" w:hAnsi="Arial"/>
                  <w:sz w:val="11"/>
                  <w:szCs w:val="11"/>
                  <w:color w:val="0000EE"/>
                  <w:w w:val="75"/>
                </w:rPr>
                <w:t>Item 10.</w:t>
              </w:r>
            </w:hyperlink>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12"/>
          </w:tcPr>
          <w:p>
            <w:pPr>
              <w:spacing w:after="0"/>
              <w:rPr>
                <w:rFonts w:ascii="Arial" w:cs="Arial" w:eastAsia="Arial" w:hAnsi="Arial"/>
                <w:sz w:val="12"/>
                <w:szCs w:val="12"/>
                <w:color w:val="0000EE"/>
                <w:w w:val="90"/>
              </w:rPr>
            </w:pPr>
            <w:hyperlink w:anchor="page100">
              <w:r>
                <w:rPr>
                  <w:rFonts w:ascii="Arial" w:cs="Arial" w:eastAsia="Arial" w:hAnsi="Arial"/>
                  <w:sz w:val="12"/>
                  <w:szCs w:val="12"/>
                  <w:color w:val="0000EE"/>
                  <w:w w:val="90"/>
                </w:rPr>
                <w:t>Directors, Executive Officers and Corporate Governance</w:t>
              </w:r>
            </w:hyperlink>
          </w:p>
        </w:tc>
        <w:tc>
          <w:tcPr>
            <w:tcW w:w="7680" w:type="dxa"/>
            <w:vAlign w:val="bottom"/>
            <w:gridSpan w:val="6"/>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jc w:val="right"/>
              <w:ind w:right="120"/>
              <w:spacing w:after="0"/>
              <w:rPr>
                <w:rFonts w:ascii="Arial" w:cs="Arial" w:eastAsia="Arial" w:hAnsi="Arial"/>
                <w:sz w:val="8"/>
                <w:szCs w:val="8"/>
                <w:color w:val="0000EE"/>
                <w:w w:val="74"/>
              </w:rPr>
            </w:pPr>
            <w:hyperlink w:anchor="page100">
              <w:r>
                <w:rPr>
                  <w:rFonts w:ascii="Arial" w:cs="Arial" w:eastAsia="Arial" w:hAnsi="Arial"/>
                  <w:sz w:val="8"/>
                  <w:szCs w:val="8"/>
                  <w:color w:val="0000EE"/>
                  <w:w w:val="74"/>
                </w:rPr>
                <w:t>100</w:t>
              </w:r>
            </w:hyperlink>
          </w:p>
        </w:tc>
      </w:tr>
      <w:tr>
        <w:trPr>
          <w:trHeight w:val="27"/>
        </w:trPr>
        <w:tc>
          <w:tcPr>
            <w:tcW w:w="1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44"/>
        </w:trPr>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rFonts w:ascii="Arial" w:cs="Arial" w:eastAsia="Arial" w:hAnsi="Arial"/>
                <w:sz w:val="11"/>
                <w:szCs w:val="11"/>
                <w:color w:val="0000EE"/>
                <w:w w:val="75"/>
              </w:rPr>
            </w:pPr>
            <w:hyperlink w:anchor="page100">
              <w:r>
                <w:rPr>
                  <w:rFonts w:ascii="Arial" w:cs="Arial" w:eastAsia="Arial" w:hAnsi="Arial"/>
                  <w:sz w:val="11"/>
                  <w:szCs w:val="11"/>
                  <w:color w:val="0000EE"/>
                  <w:w w:val="75"/>
                </w:rPr>
                <w:t>Item 11.</w:t>
              </w:r>
            </w:hyperlink>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12"/>
            <w:shd w:val="clear" w:color="auto" w:fill="CCEEFF"/>
          </w:tcPr>
          <w:p>
            <w:pPr>
              <w:spacing w:after="0"/>
              <w:rPr>
                <w:rFonts w:ascii="Arial" w:cs="Arial" w:eastAsia="Arial" w:hAnsi="Arial"/>
                <w:sz w:val="12"/>
                <w:szCs w:val="12"/>
                <w:color w:val="0000EE"/>
              </w:rPr>
            </w:pPr>
            <w:hyperlink w:anchor="page100">
              <w:r>
                <w:rPr>
                  <w:rFonts w:ascii="Arial" w:cs="Arial" w:eastAsia="Arial" w:hAnsi="Arial"/>
                  <w:sz w:val="12"/>
                  <w:szCs w:val="12"/>
                  <w:color w:val="0000EE"/>
                </w:rPr>
                <w:t>Executive Compensation</w:t>
              </w:r>
            </w:hyperlink>
          </w:p>
        </w:tc>
        <w:tc>
          <w:tcPr>
            <w:tcW w:w="7680" w:type="dxa"/>
            <w:vAlign w:val="bottom"/>
            <w:gridSpan w:val="6"/>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rPr>
                <w:rFonts w:ascii="Arial" w:cs="Arial" w:eastAsia="Arial" w:hAnsi="Arial"/>
                <w:sz w:val="8"/>
                <w:szCs w:val="8"/>
                <w:color w:val="0000EE"/>
                <w:w w:val="74"/>
              </w:rPr>
            </w:pPr>
            <w:hyperlink w:anchor="page100">
              <w:r>
                <w:rPr>
                  <w:rFonts w:ascii="Arial" w:cs="Arial" w:eastAsia="Arial" w:hAnsi="Arial"/>
                  <w:sz w:val="8"/>
                  <w:szCs w:val="8"/>
                  <w:color w:val="0000EE"/>
                  <w:w w:val="74"/>
                </w:rPr>
                <w:t>100</w:t>
              </w:r>
            </w:hyperlink>
          </w:p>
        </w:tc>
      </w:tr>
      <w:tr>
        <w:trPr>
          <w:trHeight w:val="27"/>
        </w:trPr>
        <w:tc>
          <w:tcPr>
            <w:tcW w:w="1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35"/>
        </w:trPr>
        <w:tc>
          <w:tcPr>
            <w:tcW w:w="120" w:type="dxa"/>
            <w:vAlign w:val="bottom"/>
          </w:tcPr>
          <w:p>
            <w:pPr>
              <w:spacing w:after="0"/>
              <w:rPr>
                <w:sz w:val="11"/>
                <w:szCs w:val="11"/>
                <w:color w:val="auto"/>
              </w:rPr>
            </w:pPr>
          </w:p>
        </w:tc>
        <w:tc>
          <w:tcPr>
            <w:tcW w:w="340" w:type="dxa"/>
            <w:vAlign w:val="bottom"/>
          </w:tcPr>
          <w:p>
            <w:pPr>
              <w:spacing w:after="0"/>
              <w:rPr>
                <w:rFonts w:ascii="Arial" w:cs="Arial" w:eastAsia="Arial" w:hAnsi="Arial"/>
                <w:sz w:val="11"/>
                <w:szCs w:val="11"/>
                <w:color w:val="0000EE"/>
                <w:w w:val="75"/>
              </w:rPr>
            </w:pPr>
            <w:hyperlink w:anchor="page100">
              <w:r>
                <w:rPr>
                  <w:rFonts w:ascii="Arial" w:cs="Arial" w:eastAsia="Arial" w:hAnsi="Arial"/>
                  <w:sz w:val="11"/>
                  <w:szCs w:val="11"/>
                  <w:color w:val="0000EE"/>
                  <w:w w:val="75"/>
                </w:rPr>
                <w:t>Item 12.</w:t>
              </w:r>
            </w:hyperlink>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20" w:type="dxa"/>
            <w:vAlign w:val="bottom"/>
            <w:gridSpan w:val="18"/>
          </w:tcPr>
          <w:p>
            <w:pPr>
              <w:spacing w:after="0" w:line="135" w:lineRule="exact"/>
              <w:rPr>
                <w:rFonts w:ascii="Arial" w:cs="Arial" w:eastAsia="Arial" w:hAnsi="Arial"/>
                <w:sz w:val="12"/>
                <w:szCs w:val="12"/>
                <w:color w:val="0000EE"/>
              </w:rPr>
            </w:pPr>
            <w:hyperlink w:anchor="page100">
              <w:r>
                <w:rPr>
                  <w:rFonts w:ascii="Arial" w:cs="Arial" w:eastAsia="Arial" w:hAnsi="Arial"/>
                  <w:sz w:val="12"/>
                  <w:szCs w:val="12"/>
                  <w:color w:val="0000EE"/>
                </w:rPr>
                <w:t>Security Ownership of Certain Beneficial Owners and Management and Related Stockholder Matters</w:t>
              </w:r>
            </w:hyperlink>
          </w:p>
        </w:tc>
        <w:tc>
          <w:tcPr>
            <w:tcW w:w="400" w:type="dxa"/>
            <w:vAlign w:val="bottom"/>
            <w:gridSpan w:val="3"/>
          </w:tcPr>
          <w:p>
            <w:pPr>
              <w:jc w:val="right"/>
              <w:ind w:right="120"/>
              <w:spacing w:after="0" w:line="135" w:lineRule="exact"/>
              <w:rPr>
                <w:rFonts w:ascii="Arial" w:cs="Arial" w:eastAsia="Arial" w:hAnsi="Arial"/>
                <w:sz w:val="12"/>
                <w:szCs w:val="12"/>
                <w:color w:val="0000EE"/>
              </w:rPr>
            </w:pPr>
            <w:hyperlink w:anchor="page100">
              <w:r>
                <w:rPr>
                  <w:rFonts w:ascii="Arial" w:cs="Arial" w:eastAsia="Arial" w:hAnsi="Arial"/>
                  <w:sz w:val="12"/>
                  <w:szCs w:val="12"/>
                  <w:color w:val="0000EE"/>
                </w:rPr>
                <w:t>100</w:t>
              </w:r>
            </w:hyperlink>
          </w:p>
        </w:tc>
      </w:tr>
      <w:tr>
        <w:trPr>
          <w:trHeight w:val="28"/>
        </w:trPr>
        <w:tc>
          <w:tcPr>
            <w:tcW w:w="1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52"/>
        </w:trPr>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rFonts w:ascii="Arial" w:cs="Arial" w:eastAsia="Arial" w:hAnsi="Arial"/>
                <w:sz w:val="11"/>
                <w:szCs w:val="11"/>
                <w:color w:val="0000EE"/>
                <w:w w:val="75"/>
              </w:rPr>
            </w:pPr>
            <w:hyperlink w:anchor="page101">
              <w:r>
                <w:rPr>
                  <w:rFonts w:ascii="Arial" w:cs="Arial" w:eastAsia="Arial" w:hAnsi="Arial"/>
                  <w:sz w:val="11"/>
                  <w:szCs w:val="11"/>
                  <w:color w:val="0000EE"/>
                  <w:w w:val="75"/>
                </w:rPr>
                <w:t>Item 13.</w:t>
              </w:r>
            </w:hyperlink>
          </w:p>
        </w:tc>
        <w:tc>
          <w:tcPr>
            <w:tcW w:w="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60" w:type="dxa"/>
            <w:vAlign w:val="bottom"/>
            <w:gridSpan w:val="16"/>
            <w:shd w:val="clear" w:color="auto" w:fill="CCEEFF"/>
          </w:tcPr>
          <w:p>
            <w:pPr>
              <w:spacing w:after="0"/>
              <w:rPr>
                <w:rFonts w:ascii="Arial" w:cs="Arial" w:eastAsia="Arial" w:hAnsi="Arial"/>
                <w:sz w:val="12"/>
                <w:szCs w:val="12"/>
                <w:color w:val="0000EE"/>
              </w:rPr>
            </w:pPr>
            <w:hyperlink w:anchor="page101">
              <w:r>
                <w:rPr>
                  <w:rFonts w:ascii="Arial" w:cs="Arial" w:eastAsia="Arial" w:hAnsi="Arial"/>
                  <w:sz w:val="12"/>
                  <w:szCs w:val="12"/>
                  <w:color w:val="0000EE"/>
                </w:rPr>
                <w:t>Certain Relationships and Related Transactions, and Director Independence</w:t>
              </w:r>
            </w:hyperlink>
          </w:p>
        </w:tc>
        <w:tc>
          <w:tcPr>
            <w:tcW w:w="5560" w:type="dxa"/>
            <w:vAlign w:val="bottom"/>
            <w:gridSpan w:val="2"/>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gridSpan w:val="2"/>
            <w:shd w:val="clear" w:color="auto" w:fill="CCEEFF"/>
          </w:tcPr>
          <w:p>
            <w:pPr>
              <w:jc w:val="right"/>
              <w:ind w:right="120"/>
              <w:spacing w:after="0"/>
              <w:rPr>
                <w:rFonts w:ascii="Arial" w:cs="Arial" w:eastAsia="Arial" w:hAnsi="Arial"/>
                <w:sz w:val="8"/>
                <w:szCs w:val="8"/>
                <w:color w:val="0000EE"/>
                <w:w w:val="74"/>
              </w:rPr>
            </w:pPr>
            <w:hyperlink w:anchor="page101">
              <w:r>
                <w:rPr>
                  <w:rFonts w:ascii="Arial" w:cs="Arial" w:eastAsia="Arial" w:hAnsi="Arial"/>
                  <w:sz w:val="8"/>
                  <w:szCs w:val="8"/>
                  <w:color w:val="0000EE"/>
                  <w:w w:val="74"/>
                </w:rPr>
                <w:t>101</w:t>
              </w:r>
            </w:hyperlink>
          </w:p>
        </w:tc>
      </w:tr>
      <w:tr>
        <w:trPr>
          <w:trHeight w:val="27"/>
        </w:trPr>
        <w:tc>
          <w:tcPr>
            <w:tcW w:w="1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70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44"/>
        </w:trPr>
        <w:tc>
          <w:tcPr>
            <w:tcW w:w="120" w:type="dxa"/>
            <w:vAlign w:val="bottom"/>
          </w:tcPr>
          <w:p>
            <w:pPr>
              <w:spacing w:after="0"/>
              <w:rPr>
                <w:sz w:val="12"/>
                <w:szCs w:val="12"/>
                <w:color w:val="auto"/>
              </w:rPr>
            </w:pPr>
          </w:p>
        </w:tc>
        <w:tc>
          <w:tcPr>
            <w:tcW w:w="340" w:type="dxa"/>
            <w:vAlign w:val="bottom"/>
          </w:tcPr>
          <w:p>
            <w:pPr>
              <w:spacing w:after="0"/>
              <w:rPr>
                <w:rFonts w:ascii="Arial" w:cs="Arial" w:eastAsia="Arial" w:hAnsi="Arial"/>
                <w:sz w:val="11"/>
                <w:szCs w:val="11"/>
                <w:color w:val="0000EE"/>
                <w:w w:val="75"/>
              </w:rPr>
            </w:pPr>
            <w:hyperlink w:anchor="page101">
              <w:r>
                <w:rPr>
                  <w:rFonts w:ascii="Arial" w:cs="Arial" w:eastAsia="Arial" w:hAnsi="Arial"/>
                  <w:sz w:val="11"/>
                  <w:szCs w:val="11"/>
                  <w:color w:val="0000EE"/>
                  <w:w w:val="75"/>
                </w:rPr>
                <w:t>Item 14.</w:t>
              </w:r>
            </w:hyperlink>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9"/>
          </w:tcPr>
          <w:p>
            <w:pPr>
              <w:spacing w:after="0"/>
              <w:rPr>
                <w:rFonts w:ascii="Arial" w:cs="Arial" w:eastAsia="Arial" w:hAnsi="Arial"/>
                <w:sz w:val="12"/>
                <w:szCs w:val="12"/>
                <w:color w:val="0000EE"/>
                <w:w w:val="89"/>
              </w:rPr>
            </w:pPr>
            <w:hyperlink w:anchor="page101">
              <w:r>
                <w:rPr>
                  <w:rFonts w:ascii="Arial" w:cs="Arial" w:eastAsia="Arial" w:hAnsi="Arial"/>
                  <w:sz w:val="12"/>
                  <w:szCs w:val="12"/>
                  <w:color w:val="0000EE"/>
                  <w:w w:val="89"/>
                </w:rPr>
                <w:t>Principal Accounting Fees and Services</w:t>
              </w:r>
            </w:hyperlink>
          </w:p>
        </w:tc>
        <w:tc>
          <w:tcPr>
            <w:tcW w:w="1720" w:type="dxa"/>
            <w:vAlign w:val="bottom"/>
            <w:gridSpan w:val="5"/>
          </w:tcPr>
          <w:p>
            <w:pPr>
              <w:spacing w:after="0"/>
              <w:rPr>
                <w:sz w:val="12"/>
                <w:szCs w:val="12"/>
                <w:color w:val="auto"/>
              </w:rPr>
            </w:pPr>
          </w:p>
        </w:tc>
        <w:tc>
          <w:tcPr>
            <w:tcW w:w="6780" w:type="dxa"/>
            <w:vAlign w:val="bottom"/>
            <w:gridSpan w:val="4"/>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jc w:val="right"/>
              <w:ind w:right="120"/>
              <w:spacing w:after="0"/>
              <w:rPr>
                <w:rFonts w:ascii="Arial" w:cs="Arial" w:eastAsia="Arial" w:hAnsi="Arial"/>
                <w:sz w:val="8"/>
                <w:szCs w:val="8"/>
                <w:color w:val="0000EE"/>
                <w:w w:val="74"/>
              </w:rPr>
            </w:pPr>
            <w:hyperlink w:anchor="page101">
              <w:r>
                <w:rPr>
                  <w:rFonts w:ascii="Arial" w:cs="Arial" w:eastAsia="Arial" w:hAnsi="Arial"/>
                  <w:sz w:val="8"/>
                  <w:szCs w:val="8"/>
                  <w:color w:val="0000EE"/>
                  <w:w w:val="74"/>
                </w:rPr>
                <w:t>101</w:t>
              </w:r>
            </w:hyperlink>
          </w:p>
        </w:tc>
      </w:tr>
      <w:tr>
        <w:trPr>
          <w:trHeight w:val="27"/>
        </w:trPr>
        <w:tc>
          <w:tcPr>
            <w:tcW w:w="1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PART IV</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44"/>
        </w:trPr>
        <w:tc>
          <w:tcPr>
            <w:tcW w:w="120" w:type="dxa"/>
            <w:vAlign w:val="bottom"/>
          </w:tcPr>
          <w:p>
            <w:pPr>
              <w:spacing w:after="0"/>
              <w:rPr>
                <w:sz w:val="12"/>
                <w:szCs w:val="12"/>
                <w:color w:val="auto"/>
              </w:rPr>
            </w:pPr>
          </w:p>
        </w:tc>
        <w:tc>
          <w:tcPr>
            <w:tcW w:w="340" w:type="dxa"/>
            <w:vAlign w:val="bottom"/>
          </w:tcPr>
          <w:p>
            <w:pPr>
              <w:spacing w:after="0"/>
              <w:rPr>
                <w:rFonts w:ascii="Arial" w:cs="Arial" w:eastAsia="Arial" w:hAnsi="Arial"/>
                <w:sz w:val="11"/>
                <w:szCs w:val="11"/>
                <w:color w:val="0000EE"/>
                <w:w w:val="75"/>
              </w:rPr>
            </w:pPr>
            <w:hyperlink w:anchor="page102">
              <w:r>
                <w:rPr>
                  <w:rFonts w:ascii="Arial" w:cs="Arial" w:eastAsia="Arial" w:hAnsi="Arial"/>
                  <w:sz w:val="11"/>
                  <w:szCs w:val="11"/>
                  <w:color w:val="0000EE"/>
                  <w:w w:val="75"/>
                </w:rPr>
                <w:t>Item 15.</w:t>
              </w:r>
            </w:hyperlink>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10"/>
          </w:tcPr>
          <w:p>
            <w:pPr>
              <w:spacing w:after="0"/>
              <w:rPr>
                <w:rFonts w:ascii="Arial" w:cs="Arial" w:eastAsia="Arial" w:hAnsi="Arial"/>
                <w:sz w:val="12"/>
                <w:szCs w:val="12"/>
                <w:color w:val="0000EE"/>
                <w:w w:val="89"/>
              </w:rPr>
            </w:pPr>
            <w:hyperlink w:anchor="page102">
              <w:r>
                <w:rPr>
                  <w:rFonts w:ascii="Arial" w:cs="Arial" w:eastAsia="Arial" w:hAnsi="Arial"/>
                  <w:sz w:val="12"/>
                  <w:szCs w:val="12"/>
                  <w:color w:val="0000EE"/>
                  <w:w w:val="89"/>
                </w:rPr>
                <w:t>Exhibits and Financial Statement Schedules</w:t>
              </w:r>
            </w:hyperlink>
          </w:p>
        </w:tc>
        <w:tc>
          <w:tcPr>
            <w:tcW w:w="8300" w:type="dxa"/>
            <w:vAlign w:val="bottom"/>
            <w:gridSpan w:val="8"/>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jc w:val="right"/>
              <w:ind w:right="120"/>
              <w:spacing w:after="0"/>
              <w:rPr>
                <w:rFonts w:ascii="Arial" w:cs="Arial" w:eastAsia="Arial" w:hAnsi="Arial"/>
                <w:sz w:val="8"/>
                <w:szCs w:val="8"/>
                <w:color w:val="0000EE"/>
                <w:w w:val="74"/>
              </w:rPr>
            </w:pPr>
            <w:hyperlink w:anchor="page102">
              <w:r>
                <w:rPr>
                  <w:rFonts w:ascii="Arial" w:cs="Arial" w:eastAsia="Arial" w:hAnsi="Arial"/>
                  <w:sz w:val="8"/>
                  <w:szCs w:val="8"/>
                  <w:color w:val="0000EE"/>
                  <w:w w:val="74"/>
                </w:rPr>
                <w:t>102</w:t>
              </w:r>
            </w:hyperlink>
          </w:p>
        </w:tc>
      </w:tr>
      <w:tr>
        <w:trPr>
          <w:trHeight w:val="27"/>
        </w:trPr>
        <w:tc>
          <w:tcPr>
            <w:tcW w:w="1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44"/>
        </w:trPr>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rFonts w:ascii="Arial" w:cs="Arial" w:eastAsia="Arial" w:hAnsi="Arial"/>
                <w:sz w:val="11"/>
                <w:szCs w:val="11"/>
                <w:color w:val="0000EE"/>
                <w:w w:val="75"/>
              </w:rPr>
            </w:pPr>
            <w:hyperlink w:anchor="page102">
              <w:r>
                <w:rPr>
                  <w:rFonts w:ascii="Arial" w:cs="Arial" w:eastAsia="Arial" w:hAnsi="Arial"/>
                  <w:sz w:val="11"/>
                  <w:szCs w:val="11"/>
                  <w:color w:val="0000EE"/>
                  <w:w w:val="75"/>
                </w:rPr>
                <w:t>Item 16.</w:t>
              </w:r>
            </w:hyperlink>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6"/>
            <w:shd w:val="clear" w:color="auto" w:fill="CCEEFF"/>
          </w:tcPr>
          <w:p>
            <w:pPr>
              <w:spacing w:after="0"/>
              <w:rPr>
                <w:rFonts w:ascii="Arial" w:cs="Arial" w:eastAsia="Arial" w:hAnsi="Arial"/>
                <w:sz w:val="12"/>
                <w:szCs w:val="12"/>
                <w:color w:val="0000EE"/>
                <w:w w:val="91"/>
              </w:rPr>
            </w:pPr>
            <w:hyperlink w:anchor="page102">
              <w:r>
                <w:rPr>
                  <w:rFonts w:ascii="Arial" w:cs="Arial" w:eastAsia="Arial" w:hAnsi="Arial"/>
                  <w:sz w:val="12"/>
                  <w:szCs w:val="12"/>
                  <w:color w:val="0000EE"/>
                  <w:w w:val="91"/>
                </w:rPr>
                <w:t>Form 10-K Summary</w:t>
              </w:r>
            </w:hyperlink>
          </w:p>
        </w:tc>
        <w:tc>
          <w:tcPr>
            <w:tcW w:w="1080" w:type="dxa"/>
            <w:vAlign w:val="bottom"/>
            <w:gridSpan w:val="4"/>
            <w:shd w:val="clear" w:color="auto" w:fill="CCEEFF"/>
          </w:tcPr>
          <w:p>
            <w:pPr>
              <w:spacing w:after="0"/>
              <w:rPr>
                <w:sz w:val="12"/>
                <w:szCs w:val="12"/>
                <w:color w:val="auto"/>
              </w:rPr>
            </w:pPr>
          </w:p>
        </w:tc>
        <w:tc>
          <w:tcPr>
            <w:tcW w:w="8300" w:type="dxa"/>
            <w:vAlign w:val="bottom"/>
            <w:gridSpan w:val="8"/>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rPr>
                <w:rFonts w:ascii="Arial" w:cs="Arial" w:eastAsia="Arial" w:hAnsi="Arial"/>
                <w:sz w:val="8"/>
                <w:szCs w:val="8"/>
                <w:color w:val="0000EE"/>
                <w:w w:val="74"/>
              </w:rPr>
            </w:pPr>
            <w:hyperlink w:anchor="page102">
              <w:r>
                <w:rPr>
                  <w:rFonts w:ascii="Arial" w:cs="Arial" w:eastAsia="Arial" w:hAnsi="Arial"/>
                  <w:sz w:val="8"/>
                  <w:szCs w:val="8"/>
                  <w:color w:val="0000EE"/>
                  <w:w w:val="74"/>
                </w:rPr>
                <w:t>102</w:t>
              </w:r>
            </w:hyperlink>
          </w:p>
        </w:tc>
      </w:tr>
      <w:tr>
        <w:trPr>
          <w:trHeight w:val="27"/>
        </w:trPr>
        <w:tc>
          <w:tcPr>
            <w:tcW w:w="1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-2858770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 w:name="page3"/>
    <w:bookmarkEnd w:id="2"/>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FORWARD-LOOKING STATEMENTS</w:t>
      </w:r>
    </w:p>
    <w:p>
      <w:pPr>
        <w:spacing w:after="0" w:line="100" w:lineRule="exact"/>
        <w:rPr>
          <w:sz w:val="20"/>
          <w:szCs w:val="20"/>
          <w:color w:val="auto"/>
        </w:rPr>
      </w:pPr>
    </w:p>
    <w:p>
      <w:pPr>
        <w:ind w:firstLine="240"/>
        <w:spacing w:after="0" w:line="253" w:lineRule="auto"/>
        <w:rPr>
          <w:sz w:val="20"/>
          <w:szCs w:val="20"/>
          <w:color w:val="auto"/>
        </w:rPr>
      </w:pPr>
      <w:r>
        <w:rPr>
          <w:rFonts w:ascii="Arial" w:cs="Arial" w:eastAsia="Arial" w:hAnsi="Arial"/>
          <w:sz w:val="12"/>
          <w:szCs w:val="12"/>
          <w:color w:val="auto"/>
        </w:rPr>
        <w:t>Statements in this Annual Report on Form 10-K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“unlikely,” “possible,” “potential,” “should” or other words that convey the uncertainty of future events or outcomes. The forward-looking statements in this Annual Report on Form 10-K speak only as of the date of this Annual Report on Form 10</w:t>
      </w:r>
      <w:r>
        <w:rPr>
          <w:rFonts w:ascii="Arial" w:cs="Arial" w:eastAsia="Arial" w:hAnsi="Arial"/>
          <w:sz w:val="12"/>
          <w:szCs w:val="12"/>
          <w:b w:val="1"/>
          <w:bCs w:val="1"/>
          <w:color w:val="auto"/>
        </w:rPr>
        <w:t>-</w:t>
      </w:r>
      <w:r>
        <w:rPr>
          <w:rFonts w:ascii="Arial" w:cs="Arial" w:eastAsia="Arial" w:hAnsi="Arial"/>
          <w:sz w:val="12"/>
          <w:szCs w:val="12"/>
          <w:color w:val="auto"/>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in Item 1A — “Risk Factors” of this report, and in any risk factors or cautionary statements contained in our other filings with the SEC, may cause our actual results, performance or achievements to differ materially from any future results, performance or achievements expressed or implied by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3" w:name="page4"/>
    <w:bookmarkEnd w:id="3"/>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09" w:lineRule="exact"/>
        <w:rPr>
          <w:sz w:val="20"/>
          <w:szCs w:val="20"/>
          <w:color w:val="auto"/>
        </w:rPr>
      </w:pPr>
    </w:p>
    <w:p>
      <w:pPr>
        <w:ind w:right="20" w:firstLine="240"/>
        <w:spacing w:after="0" w:line="255" w:lineRule="auto"/>
        <w:rPr>
          <w:sz w:val="20"/>
          <w:szCs w:val="20"/>
          <w:color w:val="auto"/>
        </w:rPr>
      </w:pPr>
      <w:r>
        <w:rPr>
          <w:rFonts w:ascii="Arial" w:cs="Arial" w:eastAsia="Arial" w:hAnsi="Arial"/>
          <w:sz w:val="12"/>
          <w:szCs w:val="12"/>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 owned subsidiaries, including: The L. E. Myers Co.; Harlan Electric Company; Great Southwestern Construction, Inc.; Sturgeon Electric Company, Inc.; MYR Transmission Services, Inc.; E.S. Boulos Company; Western Pacific Enterprises Ltd.; High Country Line Construction, Inc.; MYR Transmission Services Canada, Ltd.; Northern Transmission Services, Ltd.; Sturgeon Electric California, LLC; GSW Integrated Services, LLC; Huen Electric, Inc. and CSI Electrical Contractors, Inc. We primarily provide electrical construction services through a network of local offices located throughout the United States and western Canada. We provide a broad range of services, including design, engineering, procurement, construction, upgrade, maintenance and repair services, with a particular focus on construction, maintenance and repair.</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principal executive offices are located at 1701 Golf Road, Suite 3-1012, Rolling Meadows, Illinois 60008. The telephone number of our principal executive offices is (847) 290-1891.</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Reportable Segments</w:t>
      </w:r>
    </w:p>
    <w:p>
      <w:pPr>
        <w:spacing w:after="0" w:line="109" w:lineRule="exact"/>
        <w:rPr>
          <w:sz w:val="20"/>
          <w:szCs w:val="20"/>
          <w:color w:val="auto"/>
        </w:rPr>
      </w:pPr>
    </w:p>
    <w:p>
      <w:pPr>
        <w:ind w:right="100" w:firstLine="240"/>
        <w:spacing w:after="0" w:line="298" w:lineRule="auto"/>
        <w:rPr>
          <w:sz w:val="20"/>
          <w:szCs w:val="20"/>
          <w:color w:val="auto"/>
        </w:rPr>
      </w:pPr>
      <w:r>
        <w:rPr>
          <w:rFonts w:ascii="Arial" w:cs="Arial" w:eastAsia="Arial" w:hAnsi="Arial"/>
          <w:sz w:val="11"/>
          <w:szCs w:val="11"/>
          <w:color w:val="auto"/>
        </w:rPr>
        <w:t>Through our subsidiaries, we are a leading specialty contractor serving the electric utility infrastructure, commercial and industrial construction markets in the United States and western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w:t>
      </w:r>
    </w:p>
    <w:p>
      <w:pPr>
        <w:spacing w:after="0" w:line="60" w:lineRule="exact"/>
        <w:rPr>
          <w:sz w:val="20"/>
          <w:szCs w:val="20"/>
          <w:color w:val="auto"/>
        </w:rPr>
      </w:pPr>
    </w:p>
    <w:p>
      <w:pPr>
        <w:ind w:right="280" w:firstLine="240"/>
        <w:spacing w:after="0" w:line="257" w:lineRule="auto"/>
        <w:rPr>
          <w:sz w:val="20"/>
          <w:szCs w:val="20"/>
          <w:color w:val="auto"/>
        </w:rPr>
      </w:pPr>
      <w:r>
        <w:rPr>
          <w:rFonts w:ascii="Arial" w:cs="Arial" w:eastAsia="Arial" w:hAnsi="Arial"/>
          <w:sz w:val="12"/>
          <w:szCs w:val="12"/>
          <w:i w:val="1"/>
          <w:iCs w:val="1"/>
          <w:color w:val="auto"/>
        </w:rPr>
        <w:t xml:space="preserve">Transmission and Distribution segment </w:t>
      </w:r>
      <w:r>
        <w:rPr>
          <w:rFonts w:ascii="Arial" w:cs="Arial" w:eastAsia="Arial" w:hAnsi="Arial"/>
          <w:sz w:val="12"/>
          <w:szCs w:val="12"/>
          <w:color w:val="auto"/>
        </w:rPr>
        <w:t>We have operated in the transmission and distribution industry since 1891. We are one of the largest U.S. contractors servicing the T&amp;D sector of the electric utility industry. We provide a</w:t>
      </w:r>
      <w:r>
        <w:rPr>
          <w:rFonts w:ascii="Arial" w:cs="Arial" w:eastAsia="Arial" w:hAnsi="Arial"/>
          <w:sz w:val="12"/>
          <w:szCs w:val="12"/>
          <w:i w:val="1"/>
          <w:iCs w:val="1"/>
          <w:color w:val="auto"/>
        </w:rPr>
        <w:t xml:space="preserve"> </w:t>
      </w:r>
      <w:r>
        <w:rPr>
          <w:rFonts w:ascii="Arial" w:cs="Arial" w:eastAsia="Arial" w:hAnsi="Arial"/>
          <w:sz w:val="12"/>
          <w:szCs w:val="12"/>
          <w:color w:val="auto"/>
        </w:rPr>
        <w:t>broad range of services on electric transmission and distribution networks and substation facilities, which include design, engineering, procurement, construction, upgrade, maintenance and repair services, with a particular focus on construction, maintenance and repair, to customers in the electric utility industry throughout the United States and western Canada. Our T&amp;D services include the construction and maintenance of high voltage transmission lines, substations, lower voltage underground and overhead distribution systems, renewable power facilities and limited gas construction services. We also provide emergency restoration services in response to hurricane, ice or other storm-related damage.</w:t>
      </w:r>
    </w:p>
    <w:p>
      <w:pPr>
        <w:spacing w:after="0" w:line="72" w:lineRule="exact"/>
        <w:rPr>
          <w:sz w:val="20"/>
          <w:szCs w:val="20"/>
          <w:color w:val="auto"/>
        </w:rPr>
      </w:pPr>
    </w:p>
    <w:p>
      <w:pPr>
        <w:ind w:right="100" w:firstLine="240"/>
        <w:spacing w:after="0" w:line="263" w:lineRule="auto"/>
        <w:rPr>
          <w:sz w:val="20"/>
          <w:szCs w:val="20"/>
          <w:color w:val="auto"/>
        </w:rPr>
      </w:pPr>
      <w:r>
        <w:rPr>
          <w:rFonts w:ascii="Arial" w:cs="Arial" w:eastAsia="Arial" w:hAnsi="Arial"/>
          <w:sz w:val="12"/>
          <w:szCs w:val="12"/>
          <w:color w:val="auto"/>
        </w:rPr>
        <w:t>In our T&amp;D segment, we generally serve the electric utility industry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spacing w:after="0" w:line="78" w:lineRule="exact"/>
        <w:rPr>
          <w:sz w:val="20"/>
          <w:szCs w:val="20"/>
          <w:color w:val="auto"/>
        </w:rPr>
      </w:pPr>
    </w:p>
    <w:p>
      <w:pPr>
        <w:ind w:firstLine="240"/>
        <w:spacing w:after="0" w:line="259" w:lineRule="auto"/>
        <w:rPr>
          <w:sz w:val="20"/>
          <w:szCs w:val="20"/>
          <w:color w:val="auto"/>
        </w:rPr>
      </w:pPr>
      <w:r>
        <w:rPr>
          <w:rFonts w:ascii="Arial" w:cs="Arial" w:eastAsia="Arial" w:hAnsi="Arial"/>
          <w:sz w:val="12"/>
          <w:szCs w:val="12"/>
          <w:i w:val="1"/>
          <w:iCs w:val="1"/>
          <w:color w:val="auto"/>
        </w:rPr>
        <w:t xml:space="preserve">Commercial and Industrial segment </w:t>
      </w:r>
      <w:r>
        <w:rPr>
          <w:rFonts w:ascii="Arial" w:cs="Arial" w:eastAsia="Arial" w:hAnsi="Arial"/>
          <w:sz w:val="12"/>
          <w:szCs w:val="12"/>
          <w:color w:val="auto"/>
        </w:rPr>
        <w:t>We have provided electrical contracting services for commercial and industrial construction since 1912. Our C&amp;I segment provides services such as the design, installation, maintenance and repair</w:t>
      </w:r>
      <w:r>
        <w:rPr>
          <w:rFonts w:ascii="Arial" w:cs="Arial" w:eastAsia="Arial" w:hAnsi="Arial"/>
          <w:sz w:val="12"/>
          <w:szCs w:val="12"/>
          <w:i w:val="1"/>
          <w:iCs w:val="1"/>
          <w:color w:val="auto"/>
        </w:rPr>
        <w:t xml:space="preserve"> </w:t>
      </w:r>
      <w:r>
        <w:rPr>
          <w:rFonts w:ascii="Arial" w:cs="Arial" w:eastAsia="Arial" w:hAnsi="Arial"/>
          <w:sz w:val="12"/>
          <w:szCs w:val="12"/>
          <w:color w:val="auto"/>
        </w:rPr>
        <w:t>of commercial and industrial wiring, the installation of traffic networks and the installation of bridge, roadway and tunnel lighting in the United States and western Canada. We concentrate our efforts on projects where our technical and project management expertise are critical to successful and timely execution.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4" w:name="page5"/>
    <w:bookmarkEnd w:id="4"/>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60" w:firstLine="240"/>
        <w:spacing w:after="0" w:line="261" w:lineRule="auto"/>
        <w:rPr>
          <w:sz w:val="20"/>
          <w:szCs w:val="20"/>
          <w:color w:val="auto"/>
        </w:rPr>
      </w:pPr>
      <w:r>
        <w:rPr>
          <w:rFonts w:ascii="Arial" w:cs="Arial" w:eastAsia="Arial" w:hAnsi="Arial"/>
          <w:sz w:val="12"/>
          <w:szCs w:val="12"/>
          <w:color w:val="auto"/>
        </w:rPr>
        <w:t>In our C&amp;I segment, we generally provide our electric construction and maintenance services as a subcontractor to general contractors, but also contract directly with facility owners. We have a diverse customer base with many long-standing relationships.</w:t>
      </w:r>
    </w:p>
    <w:p>
      <w:pPr>
        <w:spacing w:after="0" w:line="60" w:lineRule="exact"/>
        <w:rPr>
          <w:sz w:val="20"/>
          <w:szCs w:val="20"/>
          <w:color w:val="auto"/>
        </w:rPr>
      </w:pPr>
    </w:p>
    <w:p>
      <w:pPr>
        <w:ind w:right="160" w:firstLine="240"/>
        <w:spacing w:after="0" w:line="261" w:lineRule="auto"/>
        <w:rPr>
          <w:sz w:val="20"/>
          <w:szCs w:val="20"/>
          <w:color w:val="auto"/>
        </w:rPr>
      </w:pPr>
      <w:r>
        <w:rPr>
          <w:rFonts w:ascii="Arial" w:cs="Arial" w:eastAsia="Arial" w:hAnsi="Arial"/>
          <w:sz w:val="12"/>
          <w:szCs w:val="12"/>
          <w:color w:val="auto"/>
        </w:rPr>
        <w:t>Additional financial information related to our business segments is provided under “Item 7. Management’s Discussion and Analysis of Financial Condition and Results of Operations” and in Note 16 — Segment Information to our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T&amp;D customers include many of the leading companies in the electric utility industry. These customers include investor-owned utilities, cooperatives, private developers, government-funded utilities, independent power</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producers, independent transmission companies, industrial facility owners and other contractors. Our C&amp;I customer base includes general contractors, commercial and industrial facility owners, governmental agencies and developers.</w:t>
      </w:r>
    </w:p>
    <w:p>
      <w:pPr>
        <w:spacing w:after="0" w:line="98" w:lineRule="exact"/>
        <w:rPr>
          <w:sz w:val="20"/>
          <w:szCs w:val="20"/>
          <w:color w:val="auto"/>
        </w:rPr>
      </w:pPr>
    </w:p>
    <w:p>
      <w:pPr>
        <w:ind w:firstLine="240"/>
        <w:spacing w:after="0" w:line="241" w:lineRule="auto"/>
        <w:rPr>
          <w:sz w:val="20"/>
          <w:szCs w:val="20"/>
          <w:color w:val="auto"/>
        </w:rPr>
      </w:pPr>
      <w:r>
        <w:rPr>
          <w:rFonts w:ascii="Arial" w:cs="Arial" w:eastAsia="Arial" w:hAnsi="Arial"/>
          <w:sz w:val="12"/>
          <w:szCs w:val="12"/>
          <w:color w:val="auto"/>
        </w:rPr>
        <w:t>We have long-standing relationships with many of our customers, and we cultivate these relationships at all levels of our organization from senior management to project supervisors.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and emphasis on safety and customer service contribute to obtaining new contracts with both existing and new customers.</w:t>
      </w:r>
    </w:p>
    <w:p>
      <w:pPr>
        <w:spacing w:after="0" w:line="73" w:lineRule="exact"/>
        <w:rPr>
          <w:sz w:val="20"/>
          <w:szCs w:val="20"/>
          <w:color w:val="auto"/>
        </w:rPr>
      </w:pPr>
    </w:p>
    <w:p>
      <w:pPr>
        <w:ind w:right="120" w:firstLine="240"/>
        <w:spacing w:after="0" w:line="261" w:lineRule="auto"/>
        <w:rPr>
          <w:sz w:val="20"/>
          <w:szCs w:val="20"/>
          <w:color w:val="auto"/>
        </w:rPr>
      </w:pPr>
      <w:r>
        <w:rPr>
          <w:rFonts w:ascii="Arial" w:cs="Arial" w:eastAsia="Arial" w:hAnsi="Arial"/>
          <w:sz w:val="12"/>
          <w:szCs w:val="12"/>
          <w:color w:val="auto"/>
        </w:rPr>
        <w:t>For the years ended December 31, 2019, 2018 and 2017, our top 10 customers accounted for 30.8%, 32.9%, and 40.4%, of our revenues, respectively. For the years ended December 31, 2019 and 2018, no single customer accounted for more than 10.0% of annual revenues. For the year ended December 31, 2017, one T&amp;D customer accounted for 10.7% of our revenues.</w:t>
      </w:r>
    </w:p>
    <w:p>
      <w:pPr>
        <w:spacing w:after="0" w:line="69" w:lineRule="exact"/>
        <w:rPr>
          <w:sz w:val="20"/>
          <w:szCs w:val="20"/>
          <w:color w:val="auto"/>
        </w:rPr>
      </w:pPr>
    </w:p>
    <w:p>
      <w:pPr>
        <w:ind w:right="220" w:firstLine="240"/>
        <w:spacing w:after="0" w:line="261" w:lineRule="auto"/>
        <w:rPr>
          <w:sz w:val="20"/>
          <w:szCs w:val="20"/>
          <w:color w:val="auto"/>
        </w:rPr>
      </w:pPr>
      <w:r>
        <w:rPr>
          <w:rFonts w:ascii="Arial" w:cs="Arial" w:eastAsia="Arial" w:hAnsi="Arial"/>
          <w:sz w:val="12"/>
          <w:szCs w:val="12"/>
          <w:color w:val="auto"/>
        </w:rPr>
        <w:t>For the years ended December 31, 2019, 2018 and 2017, revenues derived from T&amp;D customers accounted for 54.8%, 58.3% and 62.7% of our total revenues, respectively, and revenues derived from C&amp;I customers accounted for 45.2%, 41.7% and 37.3% of our total revenues,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Types of Service Arrangements and Bidding Process</w:t>
      </w:r>
    </w:p>
    <w:p>
      <w:pPr>
        <w:spacing w:after="0" w:line="109" w:lineRule="exact"/>
        <w:rPr>
          <w:sz w:val="20"/>
          <w:szCs w:val="20"/>
          <w:color w:val="auto"/>
        </w:rPr>
      </w:pPr>
    </w:p>
    <w:p>
      <w:pPr>
        <w:jc w:val="both"/>
        <w:ind w:right="180" w:firstLine="240"/>
        <w:spacing w:after="0" w:line="248" w:lineRule="auto"/>
        <w:rPr>
          <w:sz w:val="20"/>
          <w:szCs w:val="20"/>
          <w:color w:val="auto"/>
        </w:rPr>
      </w:pPr>
      <w:r>
        <w:rPr>
          <w:rFonts w:ascii="Arial" w:cs="Arial" w:eastAsia="Arial" w:hAnsi="Arial"/>
          <w:sz w:val="12"/>
          <w:szCs w:val="12"/>
          <w:color w:val="auto"/>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Although there is considerable variation in the terms of the contracts we undertake, our contracts are primarily structured as:</w:t>
      </w:r>
    </w:p>
    <w:p>
      <w:pPr>
        <w:spacing w:after="0" w:line="41" w:lineRule="exact"/>
        <w:rPr>
          <w:sz w:val="20"/>
          <w:szCs w:val="20"/>
          <w:color w:val="auto"/>
        </w:rPr>
      </w:pPr>
    </w:p>
    <w:p>
      <w:pPr>
        <w:ind w:left="360" w:hanging="1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fixed-price agreements, under which we agree to perform the defined scope for a fixed amount;</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unit-price agreements, under which we agree to perform the work at a fixed price per unit of work as specified in the agreement;</w:t>
      </w:r>
    </w:p>
    <w:p>
      <w:pPr>
        <w:spacing w:after="0" w:line="78" w:lineRule="exact"/>
        <w:rPr>
          <w:rFonts w:ascii="Arial" w:cs="Arial" w:eastAsia="Arial" w:hAnsi="Arial"/>
          <w:sz w:val="12"/>
          <w:szCs w:val="12"/>
          <w:color w:val="auto"/>
        </w:rPr>
      </w:pPr>
    </w:p>
    <w:p>
      <w:pPr>
        <w:ind w:left="360" w:right="580" w:hanging="128"/>
        <w:spacing w:after="0" w:line="276" w:lineRule="auto"/>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time-and-equipment and time-and-materials contracts, under which we agree to perform the work at negotiated hourly billing rates for labor and equipment and for other expenses, including materials, as incurred at rates agreed to in the contract; and</w:t>
      </w:r>
    </w:p>
    <w:p>
      <w:pPr>
        <w:spacing w:after="0" w:line="33" w:lineRule="exact"/>
        <w:rPr>
          <w:rFonts w:ascii="Arial" w:cs="Arial" w:eastAsia="Arial" w:hAnsi="Arial"/>
          <w:sz w:val="12"/>
          <w:szCs w:val="12"/>
          <w:color w:val="auto"/>
        </w:rPr>
      </w:pPr>
    </w:p>
    <w:p>
      <w:pPr>
        <w:ind w:left="360" w:hanging="128"/>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cost-plus contracts, where we are paid for our costs plus a negotiated margin.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occasion, time-and-equipment, time-and-materials, cost-plus and shared savings contracts require us to include a guaranteed not-to-exceed maximum price.</w:t>
      </w:r>
    </w:p>
    <w:p>
      <w:pPr>
        <w:spacing w:after="0" w:line="96" w:lineRule="exact"/>
        <w:rPr>
          <w:sz w:val="20"/>
          <w:szCs w:val="20"/>
          <w:color w:val="auto"/>
        </w:rPr>
      </w:pPr>
    </w:p>
    <w:p>
      <w:pPr>
        <w:ind w:right="80" w:firstLine="240"/>
        <w:spacing w:after="0" w:line="261" w:lineRule="auto"/>
        <w:rPr>
          <w:sz w:val="20"/>
          <w:szCs w:val="20"/>
          <w:color w:val="auto"/>
        </w:rPr>
      </w:pPr>
      <w:r>
        <w:rPr>
          <w:rFonts w:ascii="Arial" w:cs="Arial" w:eastAsia="Arial" w:hAnsi="Arial"/>
          <w:sz w:val="12"/>
          <w:szCs w:val="12"/>
          <w:color w:val="auto"/>
        </w:rPr>
        <w:t>Fixed-price and unit-price contracts typically have higher potential margins; however, they hold a greater risk in terms of profitability because cost overruns may not be recoverable. Time-and-equipment, time-and-materials and cost-plus contracts have less margin upside, but generally have a lower risk of cost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5" w:name="page6"/>
    <w:bookmarkEnd w:id="5"/>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overruns. Work in our T&amp;D segment is generally completed under fixed-price, time-and-materials, time-and-equipment, unit-price and cost-plus agreements. Work in our C&amp;I segment is typically performed under fixed-price, time-and-materials, cost-plus, and unit-price agreements. Fixed-price contracts accounted for 61.3% of total revenue for the year ended December 31, 2019, including 49.7% of our total revenue for our T&amp;D segment and 75.2% of our total revenue for our C&amp;I segment.</w:t>
      </w:r>
    </w:p>
    <w:p>
      <w:pPr>
        <w:spacing w:after="0" w:line="69" w:lineRule="exact"/>
        <w:rPr>
          <w:sz w:val="20"/>
          <w:szCs w:val="20"/>
          <w:color w:val="auto"/>
        </w:rPr>
      </w:pPr>
    </w:p>
    <w:p>
      <w:pPr>
        <w:ind w:firstLine="240"/>
        <w:spacing w:after="0" w:line="298" w:lineRule="auto"/>
        <w:rPr>
          <w:sz w:val="20"/>
          <w:szCs w:val="20"/>
          <w:color w:val="auto"/>
        </w:rPr>
      </w:pPr>
      <w:r>
        <w:rPr>
          <w:rFonts w:ascii="Arial" w:cs="Arial" w:eastAsia="Arial" w:hAnsi="Arial"/>
          <w:sz w:val="11"/>
          <w:szCs w:val="11"/>
          <w:color w:val="auto"/>
        </w:rPr>
        <w:t>Our EPC contracts are typically fixed-price and may be entered into through joint ventures.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firm or general contractor. When acting as a subcontractor for an EPC project, we typically provide construction services only, although we may also perform both the construction and procurement functions.</w:t>
      </w:r>
    </w:p>
    <w:p>
      <w:pPr>
        <w:spacing w:after="0" w:line="60" w:lineRule="exact"/>
        <w:rPr>
          <w:sz w:val="20"/>
          <w:szCs w:val="20"/>
          <w:color w:val="auto"/>
        </w:rPr>
      </w:pPr>
    </w:p>
    <w:p>
      <w:pPr>
        <w:ind w:right="40" w:firstLine="240"/>
        <w:spacing w:after="0" w:line="290" w:lineRule="auto"/>
        <w:rPr>
          <w:sz w:val="20"/>
          <w:szCs w:val="20"/>
          <w:color w:val="auto"/>
        </w:rPr>
      </w:pPr>
      <w:r>
        <w:rPr>
          <w:rFonts w:ascii="Arial" w:cs="Arial" w:eastAsia="Arial" w:hAnsi="Arial"/>
          <w:sz w:val="11"/>
          <w:szCs w:val="11"/>
          <w:color w:val="auto"/>
        </w:rPr>
        <w:t>Our T&amp;D segment also provides services under MSAs that cover maintenance, upgrade and extension services, as well as new construction. Work performed under MSAs is typically billed on a unit-price, time-and-materials or time-and-equipment basis. MSAs are typically one to three years in duration; however, most of our contracts, including MSAs, may be terminated by our customers on short notice, typically 30 to 90 days, even if we are not in default under the contract. Under MSAs, customers generally agree to contract with us for certain services in a specified geographic region. A majority of our MSAs do not include obligations to assign specific volumes of work to us nor do they grant us exclusivity, although in some cases certain work under the MSA may be subject to our right of first refusal. Many of our contracts, including MSAs, are open to public bid at expiration and generally attract numerous bidders.</w:t>
      </w:r>
    </w:p>
    <w:p>
      <w:pPr>
        <w:spacing w:after="0" w:line="64" w:lineRule="exact"/>
        <w:rPr>
          <w:sz w:val="20"/>
          <w:szCs w:val="20"/>
          <w:color w:val="auto"/>
        </w:rPr>
      </w:pPr>
    </w:p>
    <w:p>
      <w:pPr>
        <w:ind w:right="280" w:firstLine="240"/>
        <w:spacing w:after="0" w:line="276" w:lineRule="auto"/>
        <w:rPr>
          <w:sz w:val="20"/>
          <w:szCs w:val="20"/>
          <w:color w:val="auto"/>
        </w:rPr>
      </w:pPr>
      <w:r>
        <w:rPr>
          <w:rFonts w:ascii="Arial" w:cs="Arial" w:eastAsia="Arial" w:hAnsi="Arial"/>
          <w:sz w:val="12"/>
          <w:szCs w:val="12"/>
          <w:color w:val="auto"/>
        </w:rPr>
        <w:t>A portion of the work we perform requires financial assurances in the form of performance and payment bonds, letters of credit or other guarantees at the time of execution of the contract. Many of our contracts include retention provisions of up to 10%, which are generally withheld from each progress payment as retainage until the contract work has been completed and approved.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Materials</w:t>
      </w:r>
    </w:p>
    <w:p>
      <w:pPr>
        <w:spacing w:after="0" w:line="100" w:lineRule="exact"/>
        <w:rPr>
          <w:sz w:val="20"/>
          <w:szCs w:val="20"/>
          <w:color w:val="auto"/>
        </w:rPr>
      </w:pPr>
    </w:p>
    <w:p>
      <w:pPr>
        <w:ind w:right="140" w:firstLine="240"/>
        <w:spacing w:after="0" w:line="276" w:lineRule="auto"/>
        <w:rPr>
          <w:sz w:val="20"/>
          <w:szCs w:val="20"/>
          <w:color w:val="auto"/>
        </w:rPr>
      </w:pPr>
      <w:r>
        <w:rPr>
          <w:rFonts w:ascii="Arial" w:cs="Arial" w:eastAsia="Arial" w:hAnsi="Arial"/>
          <w:sz w:val="12"/>
          <w:szCs w:val="12"/>
          <w:color w:val="auto"/>
        </w:rPr>
        <w:t>In many cases, our T&amp;D customers are responsible for supplying materials on projects; however, under certain contracts, we may agree to provide all or a portion of the required materials. For our C&amp;I contracts, we usually procure the necessary materials and supplies. We are not dependent on specific suppliers for materials or supplies.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Subcontracting</w:t>
      </w:r>
    </w:p>
    <w:p>
      <w:pPr>
        <w:spacing w:after="0" w:line="109" w:lineRule="exact"/>
        <w:rPr>
          <w:sz w:val="20"/>
          <w:szCs w:val="20"/>
          <w:color w:val="auto"/>
        </w:rPr>
      </w:pPr>
    </w:p>
    <w:p>
      <w:pPr>
        <w:ind w:right="80" w:firstLine="240"/>
        <w:spacing w:after="0" w:line="263" w:lineRule="auto"/>
        <w:rPr>
          <w:sz w:val="20"/>
          <w:szCs w:val="20"/>
          <w:color w:val="auto"/>
        </w:rPr>
      </w:pPr>
      <w:r>
        <w:rPr>
          <w:rFonts w:ascii="Arial" w:cs="Arial" w:eastAsia="Arial" w:hAnsi="Arial"/>
          <w:sz w:val="12"/>
          <w:szCs w:val="12"/>
          <w:color w:val="auto"/>
        </w:rPr>
        <w:t>We are the prime contractor for the majority of our T&amp;D projects, however, we occasionally perform work as a subcontractor, and we may elect to do so from time-to-time on larger projects in order to manage our execution risk. We are a subcontractor to a general contractor for the majority of our C&amp;I projects, but may contract directly with facility owners. We may utilize subcontractors to perform portions of our contracts and to manage workflow, particularly for design, engineering, and procurement under both segments.</w:t>
      </w:r>
    </w:p>
    <w:p>
      <w:pPr>
        <w:spacing w:after="0" w:line="78" w:lineRule="exact"/>
        <w:rPr>
          <w:sz w:val="20"/>
          <w:szCs w:val="20"/>
          <w:color w:val="auto"/>
        </w:rPr>
      </w:pPr>
    </w:p>
    <w:p>
      <w:pPr>
        <w:ind w:right="120" w:firstLine="240"/>
        <w:spacing w:after="0" w:line="259" w:lineRule="auto"/>
        <w:rPr>
          <w:sz w:val="20"/>
          <w:szCs w:val="20"/>
          <w:color w:val="auto"/>
        </w:rPr>
      </w:pPr>
      <w:r>
        <w:rPr>
          <w:rFonts w:ascii="Arial" w:cs="Arial" w:eastAsia="Arial" w:hAnsi="Arial"/>
          <w:sz w:val="12"/>
          <w:szCs w:val="12"/>
          <w:color w:val="auto"/>
        </w:rPr>
        <w:t>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On larger projects, we may require performance and payment bonding from subcontractors, where we deem appropriate, based on the risk involved. When we perform work as a subcontractor we are often only paid after the general or prime contractor is paid.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business is highly competitive in both our T&amp;D and C&amp;I segments. Competition in both of our business segments is primarily based on the price of the construction services and upon the reputation for</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6" w:name="page7"/>
    <w:bookmarkEnd w:id="6"/>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safety, quality and reliability of the contractor. The competition we encounter can vary depending upon the type and location of construction services.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believe that the principal competitive factors that customers consider in our industry are:</w:t>
      </w:r>
    </w:p>
    <w:p>
      <w:pPr>
        <w:spacing w:after="0" w:line="78" w:lineRule="exact"/>
        <w:rPr>
          <w:sz w:val="20"/>
          <w:szCs w:val="20"/>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price and flexible contract terms;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safety programs and safety performance;</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technical expertise and experience;</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management team experience;</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reputation and relationships with the customer;</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geographic presence and breadth of service offerings;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willingness to accept risk;</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quality of service execution;</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specialized equipment, tooling and centralized fleet structure;</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availability of qualified and licensed personnel;</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adequate financial resources and bonding capacity;</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technological capabilities; and</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weather-damage restoration abilities and reputation.</w:t>
      </w:r>
    </w:p>
    <w:p>
      <w:pPr>
        <w:spacing w:after="0" w:line="105" w:lineRule="exact"/>
        <w:rPr>
          <w:sz w:val="20"/>
          <w:szCs w:val="20"/>
          <w:color w:val="auto"/>
        </w:rPr>
      </w:pPr>
    </w:p>
    <w:p>
      <w:pPr>
        <w:ind w:firstLine="240"/>
        <w:spacing w:after="0" w:line="276" w:lineRule="auto"/>
        <w:rPr>
          <w:sz w:val="20"/>
          <w:szCs w:val="20"/>
          <w:color w:val="auto"/>
        </w:rPr>
      </w:pPr>
      <w:r>
        <w:rPr>
          <w:rFonts w:ascii="Arial" w:cs="Arial" w:eastAsia="Arial" w:hAnsi="Arial"/>
          <w:sz w:val="12"/>
          <w:szCs w:val="12"/>
          <w:color w:val="auto"/>
        </w:rPr>
        <w:t>While we believe our customers consider a number of factors when selecting a service provider, most of their work is awarded through a bid process where price is always a principal factor. See “Risk Factors — Our industry is highly competitive. Increased competition can place downward pressure on contract prices and profit margins and may limit the number of projects that we are awarded.”</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T&amp;D Competition</w:t>
      </w:r>
    </w:p>
    <w:p>
      <w:pPr>
        <w:spacing w:after="0" w:line="105" w:lineRule="exact"/>
        <w:rPr>
          <w:sz w:val="20"/>
          <w:szCs w:val="20"/>
          <w:color w:val="auto"/>
        </w:rPr>
      </w:pPr>
    </w:p>
    <w:p>
      <w:pPr>
        <w:ind w:right="120" w:firstLine="240"/>
        <w:spacing w:after="0" w:line="263" w:lineRule="auto"/>
        <w:rPr>
          <w:sz w:val="20"/>
          <w:szCs w:val="20"/>
          <w:color w:val="auto"/>
        </w:rPr>
      </w:pPr>
      <w:r>
        <w:rPr>
          <w:rFonts w:ascii="Arial" w:cs="Arial" w:eastAsia="Arial" w:hAnsi="Arial"/>
          <w:sz w:val="12"/>
          <w:szCs w:val="12"/>
          <w:color w:val="auto"/>
        </w:rPr>
        <w:t>Our T&amp;D segment competes with a number of companies in the local market where we operate, ranging from small local independent companies to large national firms. There are many national or large regional firms that compete with us for T&amp;D contracts including, among others, Asplundh Construction Corp., Davis H. Elliot Company, Inc., Henkels &amp; McCoy, Inc., MasTec, Inc., Michels Corporation, Pike Corporation, Power Line Services, Inc., Primoris Services Corporation and Quanta Services, Inc.</w:t>
      </w:r>
    </w:p>
    <w:p>
      <w:pPr>
        <w:spacing w:after="0" w:line="69" w:lineRule="exact"/>
        <w:rPr>
          <w:sz w:val="20"/>
          <w:szCs w:val="20"/>
          <w:color w:val="auto"/>
        </w:rPr>
      </w:pPr>
    </w:p>
    <w:p>
      <w:pPr>
        <w:ind w:right="140" w:firstLine="240"/>
        <w:spacing w:after="0" w:line="257" w:lineRule="auto"/>
        <w:rPr>
          <w:sz w:val="20"/>
          <w:szCs w:val="20"/>
          <w:color w:val="auto"/>
        </w:rPr>
      </w:pPr>
      <w:r>
        <w:rPr>
          <w:rFonts w:ascii="Arial" w:cs="Arial" w:eastAsia="Arial" w:hAnsi="Arial"/>
          <w:sz w:val="12"/>
          <w:szCs w:val="12"/>
          <w:color w:val="auto"/>
        </w:rPr>
        <w:t>There are a number of barriers to entry into the transmission markets, including the cost of equipment and tooling necessary to perform transmission work, availability of qualified labor, scope of typical transmission projects and technical, managerial and supervisory skills necessary to complete the job. Larger transmission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transmission infrastructure project varies greatly depending on a number of factors, including the size of the project, its location and the bidder qualification requirements imposed upon contractors by the customer. Some of our competitors restrict their operations to one geographic area while others operate nationally and internationally.</w:t>
      </w:r>
    </w:p>
    <w:p>
      <w:pPr>
        <w:spacing w:after="0" w:line="81" w:lineRule="exact"/>
        <w:rPr>
          <w:sz w:val="20"/>
          <w:szCs w:val="20"/>
          <w:color w:val="auto"/>
        </w:rPr>
      </w:pPr>
    </w:p>
    <w:p>
      <w:pPr>
        <w:ind w:right="20" w:firstLine="240"/>
        <w:spacing w:after="0" w:line="323" w:lineRule="auto"/>
        <w:rPr>
          <w:sz w:val="20"/>
          <w:szCs w:val="20"/>
          <w:color w:val="auto"/>
        </w:rPr>
      </w:pPr>
      <w:r>
        <w:rPr>
          <w:rFonts w:ascii="Arial" w:cs="Arial" w:eastAsia="Arial" w:hAnsi="Arial"/>
          <w:sz w:val="11"/>
          <w:szCs w:val="11"/>
          <w:color w:val="auto"/>
        </w:rPr>
        <w:t>Compared to the transmission markets, there are fewer significant barriers to entry into the distribution markets in which we operate. As a result, any organization that has adequate financial resources and access to technical expertise can compete for distribution projects. Instead of outsourcing, some of our T&amp;D customers also employ personnel internally to perform similar types of distribution services that we provide.</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C&amp;I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C&amp;I segment predominately competes with a number of regional or local firms and with subsidiaries of national firms. There are few significant barriers to entry in the C&amp;I markets, and there are a number of</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7" w:name="page8"/>
    <w:bookmarkEnd w:id="7"/>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small companies that compete for C&amp;I business. The size, location and technical requirements of the project will impact which competitors we will encounter when bidding on any particular project.</w:t>
      </w:r>
    </w:p>
    <w:p>
      <w:pPr>
        <w:spacing w:after="0" w:line="87" w:lineRule="exact"/>
        <w:rPr>
          <w:sz w:val="20"/>
          <w:szCs w:val="20"/>
          <w:color w:val="auto"/>
        </w:rPr>
      </w:pPr>
    </w:p>
    <w:p>
      <w:pPr>
        <w:ind w:right="20" w:firstLine="240"/>
        <w:spacing w:after="0" w:line="268" w:lineRule="auto"/>
        <w:rPr>
          <w:sz w:val="20"/>
          <w:szCs w:val="20"/>
          <w:color w:val="auto"/>
        </w:rPr>
      </w:pPr>
      <w:r>
        <w:rPr>
          <w:rFonts w:ascii="Arial" w:cs="Arial" w:eastAsia="Arial" w:hAnsi="Arial"/>
          <w:sz w:val="11"/>
          <w:szCs w:val="11"/>
          <w:color w:val="auto"/>
        </w:rPr>
        <w:t>A major competitive factor in our C&amp;I segment is the individual relationships that we and our competitors have developed with general contractors who typically manage the bid process, along with the willingness to be an exclusive partner with the general contractor on pursuits requiring the complete finance, design and construction services for the project. Additionally, the equipment requirements for C&amp;I work are generally not as significant as that of T&amp;D construction. Since C&amp;I construction typically involves the purchase of materials, the financial resources to meet the materials procurement and equipment requirements of a particular project may impact the competition that we encounter. We differentiate ourselves from our competitors by bidding for larger and more technically complex projects, which we believe many of our smaller competitors may not be capable of executing effectively or profitably. We believe that we have a favorable competitive position in the markets that we serve due in part to our strong operating history and strong local market share as well as our reputation and relationships with our customers.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Project Bonding Requirements and Parent Guarantees</w:t>
      </w:r>
    </w:p>
    <w:p>
      <w:pPr>
        <w:spacing w:after="0" w:line="109" w:lineRule="exact"/>
        <w:rPr>
          <w:sz w:val="20"/>
          <w:szCs w:val="20"/>
          <w:color w:val="auto"/>
        </w:rPr>
      </w:pPr>
    </w:p>
    <w:p>
      <w:pPr>
        <w:ind w:right="60" w:firstLine="240"/>
        <w:spacing w:after="0" w:line="264" w:lineRule="auto"/>
        <w:rPr>
          <w:sz w:val="20"/>
          <w:szCs w:val="20"/>
          <w:color w:val="auto"/>
        </w:rPr>
      </w:pPr>
      <w:r>
        <w:rPr>
          <w:rFonts w:ascii="Arial" w:cs="Arial" w:eastAsia="Arial" w:hAnsi="Arial"/>
          <w:sz w:val="11"/>
          <w:szCs w:val="11"/>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pay subcontractors and vendors, the customer may demand that the surety make payments or provide services under the bond. We are required to reimburse the surety for its expenses incurred in performing its obligations under the bond. We believe that the strength of our balance sheet, as well as our strong and long-standing relationship with our sureties, enhances our ability to obtain adequate financing and bonds. These bonds are typically issued at the face value of the contract awarded. As of December 31, 2019, we had approximately $270.0 million in original face amount of bonds outstanding for projects in our T&amp;D segment and approximately $632.1 million for projects in our C&amp;I segment. Our estimated remaining cost to complete these bonded projects for both segments was approximately $399.2 million as of December 31, 2019. As of December 31, 2018, we had approximately $221.3 million in original face amount of bonds outstanding for projects in our T&amp;D segment and approximately $393.6 million for projects in our C&amp;I segment. The ability to post bonds provides us with a competitive advantage over smaller or less financially secure competitors.</w:t>
      </w:r>
    </w:p>
    <w:p>
      <w:pPr>
        <w:spacing w:after="0" w:line="71" w:lineRule="exact"/>
        <w:rPr>
          <w:sz w:val="20"/>
          <w:szCs w:val="20"/>
          <w:color w:val="auto"/>
        </w:rPr>
      </w:pPr>
    </w:p>
    <w:p>
      <w:pPr>
        <w:ind w:right="200" w:firstLine="240"/>
        <w:spacing w:after="0" w:line="323" w:lineRule="auto"/>
        <w:rPr>
          <w:sz w:val="20"/>
          <w:szCs w:val="20"/>
          <w:color w:val="auto"/>
        </w:rPr>
      </w:pPr>
      <w:r>
        <w:rPr>
          <w:rFonts w:ascii="Arial" w:cs="Arial" w:eastAsia="Arial" w:hAnsi="Arial"/>
          <w:sz w:val="11"/>
          <w:szCs w:val="11"/>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Backlog</w:t>
      </w:r>
    </w:p>
    <w:p>
      <w:pPr>
        <w:spacing w:after="0" w:line="100" w:lineRule="exact"/>
        <w:rPr>
          <w:sz w:val="20"/>
          <w:szCs w:val="20"/>
          <w:color w:val="auto"/>
        </w:rPr>
      </w:pPr>
    </w:p>
    <w:p>
      <w:pPr>
        <w:ind w:firstLine="240"/>
        <w:spacing w:after="0" w:line="254" w:lineRule="auto"/>
        <w:rPr>
          <w:sz w:val="20"/>
          <w:szCs w:val="20"/>
          <w:color w:val="auto"/>
        </w:rPr>
      </w:pPr>
      <w:r>
        <w:rPr>
          <w:rFonts w:ascii="Arial" w:cs="Arial" w:eastAsia="Arial" w:hAnsi="Arial"/>
          <w:sz w:val="12"/>
          <w:szCs w:val="12"/>
          <w:color w:val="auto"/>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backlog includes projects that have a written award, a letter of intent, a notice to proceed or an agreed upon work order to perform work on mutually accepted terms and conditions. Additionally, the difference between our backlog and remaining performance obligations is due to the portion of our MSAs that is excluded, under certain contract types, from our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 w:name="page9"/>
    <w:bookmarkEnd w:id="8"/>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48" w:lineRule="auto"/>
        <w:rPr>
          <w:sz w:val="20"/>
          <w:szCs w:val="20"/>
          <w:color w:val="auto"/>
        </w:rPr>
      </w:pPr>
      <w:r>
        <w:rPr>
          <w:rFonts w:ascii="Arial" w:cs="Arial" w:eastAsia="Arial" w:hAnsi="Arial"/>
          <w:sz w:val="12"/>
          <w:szCs w:val="12"/>
          <w:color w:val="auto"/>
        </w:rPr>
        <w:t>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11 — Revenue Recognition in the accompanying notes to our Consolidated Financial Statements. See also “Item 1A. Risk Factors — Backlog may not be realized or may not result in profits and may not accurately represent future revenue.”</w:t>
      </w:r>
    </w:p>
    <w:p>
      <w:pPr>
        <w:spacing w:after="0" w:line="68" w:lineRule="exact"/>
        <w:rPr>
          <w:sz w:val="20"/>
          <w:szCs w:val="20"/>
          <w:color w:val="auto"/>
        </w:rPr>
      </w:pPr>
    </w:p>
    <w:p>
      <w:pPr>
        <w:ind w:right="60" w:firstLine="240"/>
        <w:spacing w:after="0" w:line="266" w:lineRule="auto"/>
        <w:rPr>
          <w:sz w:val="20"/>
          <w:szCs w:val="20"/>
          <w:color w:val="auto"/>
        </w:rPr>
      </w:pPr>
      <w:r>
        <w:rPr>
          <w:rFonts w:ascii="Arial" w:cs="Arial" w:eastAsia="Arial" w:hAnsi="Arial"/>
          <w:sz w:val="11"/>
          <w:szCs w:val="11"/>
          <w:color w:val="auto"/>
        </w:rPr>
        <w:t>Certain projects that we undertake are not completed in one accounting period. Revenue on construction contracts is recognized over the contract term based on costs incurred under the cost-to-cost method.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While our contracts typically include labor, equipment and indirect costs, the amount of subcontractor and material costs on any individual contract can vary considerably.</w:t>
      </w:r>
    </w:p>
    <w:p>
      <w:pPr>
        <w:spacing w:after="0" w:line="69" w:lineRule="exact"/>
        <w:rPr>
          <w:sz w:val="20"/>
          <w:szCs w:val="20"/>
          <w:color w:val="auto"/>
        </w:rPr>
      </w:pPr>
    </w:p>
    <w:p>
      <w:pPr>
        <w:ind w:right="120" w:firstLine="240"/>
        <w:spacing w:after="0" w:line="248" w:lineRule="auto"/>
        <w:rPr>
          <w:sz w:val="20"/>
          <w:szCs w:val="20"/>
          <w:color w:val="auto"/>
        </w:rPr>
      </w:pPr>
      <w:r>
        <w:rPr>
          <w:rFonts w:ascii="Arial" w:cs="Arial" w:eastAsia="Arial" w:hAnsi="Arial"/>
          <w:sz w:val="12"/>
          <w:szCs w:val="12"/>
          <w:color w:val="auto"/>
        </w:rPr>
        <w:t>There can be no assurance as to the accuracy of our customers’ requirements or of our estimates of existing and future needs under MSAs, or of the values of our cost or time-dependent contracts and, therefore, our current backlog may not be realized as part of our future revenues. Subject to the foregoing discussions, the following table summarizes our estimate of backlog that we believe to be firm as of the dates shown and the backlog that we reasonably estimate will not be recognized within the next twelve months: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Backlog at December 31, 2019</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18"/>
        </w:trPr>
        <w:tc>
          <w:tcPr>
            <w:tcW w:w="6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7"/>
              </w:rPr>
              <w:t>Amount estimated</w:t>
            </w: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08"/>
        </w:trPr>
        <w:tc>
          <w:tcPr>
            <w:tcW w:w="6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0" w:type="dxa"/>
            <w:vAlign w:val="bottom"/>
            <w:gridSpan w:val="4"/>
          </w:tcPr>
          <w:p>
            <w:pPr>
              <w:jc w:val="center"/>
              <w:ind w:right="140"/>
              <w:spacing w:after="0" w:line="108" w:lineRule="exact"/>
              <w:rPr>
                <w:sz w:val="20"/>
                <w:szCs w:val="20"/>
                <w:color w:val="auto"/>
              </w:rPr>
            </w:pPr>
            <w:r>
              <w:rPr>
                <w:rFonts w:ascii="Arial" w:cs="Arial" w:eastAsia="Arial" w:hAnsi="Arial"/>
                <w:sz w:val="10"/>
                <w:szCs w:val="10"/>
                <w:b w:val="1"/>
                <w:bCs w:val="1"/>
                <w:color w:val="auto"/>
                <w:w w:val="83"/>
              </w:rPr>
              <w:t>to not be recognized</w:t>
            </w:r>
          </w:p>
        </w:tc>
        <w:tc>
          <w:tcPr>
            <w:tcW w:w="1760" w:type="dxa"/>
            <w:vAlign w:val="bottom"/>
            <w:gridSpan w:val="3"/>
          </w:tcPr>
          <w:p>
            <w:pPr>
              <w:jc w:val="right"/>
              <w:ind w:right="560"/>
              <w:spacing w:after="0" w:line="108" w:lineRule="exact"/>
              <w:rPr>
                <w:sz w:val="20"/>
                <w:szCs w:val="20"/>
                <w:color w:val="auto"/>
              </w:rPr>
            </w:pPr>
            <w:r>
              <w:rPr>
                <w:rFonts w:ascii="Arial" w:cs="Arial" w:eastAsia="Arial" w:hAnsi="Arial"/>
                <w:sz w:val="10"/>
                <w:szCs w:val="10"/>
                <w:b w:val="1"/>
                <w:bCs w:val="1"/>
                <w:color w:val="auto"/>
              </w:rPr>
              <w:t>Total backlog at</w:t>
            </w:r>
          </w:p>
        </w:tc>
      </w:tr>
      <w:tr>
        <w:trPr>
          <w:trHeight w:val="132"/>
        </w:trPr>
        <w:tc>
          <w:tcPr>
            <w:tcW w:w="620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8"/>
              </w:rPr>
              <w:t>within 12 months</w:t>
            </w:r>
          </w:p>
        </w:tc>
        <w:tc>
          <w:tcPr>
            <w:tcW w:w="160" w:type="dxa"/>
            <w:vAlign w:val="bottom"/>
            <w:tcBorders>
              <w:bottom w:val="single" w:sz="8" w:color="CCEEFF"/>
            </w:tcBorders>
          </w:tcPr>
          <w:p>
            <w:pPr>
              <w:spacing w:after="0"/>
              <w:rPr>
                <w:sz w:val="11"/>
                <w:szCs w:val="11"/>
                <w:color w:val="auto"/>
              </w:rPr>
            </w:pPr>
          </w:p>
        </w:tc>
        <w:tc>
          <w:tcPr>
            <w:tcW w:w="17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0"/>
                <w:szCs w:val="10"/>
                <w:b w:val="1"/>
                <w:bCs w:val="1"/>
                <w:color w:val="auto"/>
              </w:rPr>
              <w:t>December 31, 2018</w:t>
            </w:r>
          </w:p>
        </w:tc>
      </w:tr>
      <w:tr>
        <w:trPr>
          <w:trHeight w:val="169"/>
        </w:trPr>
        <w:tc>
          <w:tcPr>
            <w:tcW w:w="668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T&amp;D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469,898</w:t>
            </w:r>
          </w:p>
        </w:tc>
        <w:tc>
          <w:tcPr>
            <w:tcW w:w="12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45,678</w:t>
            </w: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494,922</w:t>
            </w:r>
          </w:p>
        </w:tc>
      </w:tr>
      <w:tr>
        <w:trPr>
          <w:trHeight w:val="176"/>
        </w:trPr>
        <w:tc>
          <w:tcPr>
            <w:tcW w:w="6680" w:type="dxa"/>
            <w:vAlign w:val="bottom"/>
            <w:gridSpan w:val="3"/>
          </w:tcPr>
          <w:p>
            <w:pPr>
              <w:ind w:left="560"/>
              <w:spacing w:after="0"/>
              <w:rPr>
                <w:sz w:val="20"/>
                <w:szCs w:val="20"/>
                <w:color w:val="auto"/>
              </w:rPr>
            </w:pPr>
            <w:r>
              <w:rPr>
                <w:rFonts w:ascii="Arial" w:cs="Arial" w:eastAsia="Arial" w:hAnsi="Arial"/>
                <w:sz w:val="12"/>
                <w:szCs w:val="12"/>
                <w:color w:val="auto"/>
              </w:rPr>
              <w:t>C&amp;I</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89"/>
              </w:rPr>
              <w:t>1,029,305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260,837</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2"/>
                <w:szCs w:val="12"/>
                <w:color w:val="auto"/>
              </w:rPr>
              <w:t>651,715</w:t>
            </w:r>
          </w:p>
        </w:tc>
      </w:tr>
      <w:tr>
        <w:trPr>
          <w:trHeight w:val="20"/>
        </w:trPr>
        <w:tc>
          <w:tcPr>
            <w:tcW w:w="6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169"/>
        </w:trPr>
        <w:tc>
          <w:tcPr>
            <w:tcW w:w="668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1,499,203</w:t>
            </w:r>
          </w:p>
        </w:tc>
        <w:tc>
          <w:tcPr>
            <w:tcW w:w="12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w w:val="87"/>
              </w:rPr>
              <w:t>306,515</w:t>
            </w: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1,146,637</w:t>
            </w:r>
          </w:p>
        </w:tc>
        <w:tc>
          <w:tcPr>
            <w:tcW w:w="620" w:type="dxa"/>
            <w:vAlign w:val="bottom"/>
            <w:shd w:val="clear" w:color="auto" w:fill="CCEEFF"/>
          </w:tcPr>
          <w:p>
            <w:pPr>
              <w:spacing w:after="0"/>
              <w:rPr>
                <w:sz w:val="14"/>
                <w:szCs w:val="14"/>
                <w:color w:val="auto"/>
              </w:rPr>
            </w:pPr>
          </w:p>
        </w:tc>
      </w:tr>
      <w:tr>
        <w:trPr>
          <w:trHeight w:val="32"/>
        </w:trPr>
        <w:tc>
          <w:tcPr>
            <w:tcW w:w="6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-365125</wp:posOffset>
            </wp:positionV>
            <wp:extent cx="914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-365125</wp:posOffset>
            </wp:positionV>
            <wp:extent cx="914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-365125</wp:posOffset>
            </wp:positionV>
            <wp:extent cx="914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571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24" w:lineRule="exact"/>
        <w:rPr>
          <w:sz w:val="20"/>
          <w:szCs w:val="20"/>
          <w:color w:val="auto"/>
        </w:rPr>
      </w:pPr>
    </w:p>
    <w:p>
      <w:pPr>
        <w:ind w:right="220" w:firstLine="240"/>
        <w:spacing w:after="0" w:line="261" w:lineRule="auto"/>
        <w:rPr>
          <w:sz w:val="20"/>
          <w:szCs w:val="20"/>
          <w:color w:val="auto"/>
        </w:rPr>
      </w:pPr>
      <w:r>
        <w:rPr>
          <w:rFonts w:ascii="Arial" w:cs="Arial" w:eastAsia="Arial" w:hAnsi="Arial"/>
          <w:sz w:val="12"/>
          <w:szCs w:val="12"/>
          <w:color w:val="auto"/>
        </w:rPr>
        <w:t>Changes in backlog from period to period are primarily the result of fluctuations in the timing of acquisitions, awards and revenue recognition of contracts. Our backlog as of December 31, 2019 included our proportionate share of unconsolidated joint venture backlog totaling $17.2 million.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Trade Names and Intellectual Property</w:t>
      </w:r>
    </w:p>
    <w:p>
      <w:pPr>
        <w:spacing w:after="0" w:line="109" w:lineRule="exact"/>
        <w:rPr>
          <w:sz w:val="20"/>
          <w:szCs w:val="20"/>
          <w:color w:val="auto"/>
        </w:rPr>
      </w:pPr>
    </w:p>
    <w:p>
      <w:pPr>
        <w:ind w:right="100" w:firstLine="240"/>
        <w:spacing w:after="0" w:line="241" w:lineRule="auto"/>
        <w:rPr>
          <w:sz w:val="20"/>
          <w:szCs w:val="20"/>
          <w:color w:val="auto"/>
        </w:rPr>
      </w:pPr>
      <w:r>
        <w:rPr>
          <w:rFonts w:ascii="Arial" w:cs="Arial" w:eastAsia="Arial" w:hAnsi="Arial"/>
          <w:sz w:val="12"/>
          <w:szCs w:val="12"/>
          <w:color w:val="auto"/>
        </w:rPr>
        <w:t>We operate in the United States under a number of trade names, including: The L. E. Myers Co.; Harlan Electric Company; Great Southwestern Construction, Inc.; Sturgeon Electric Company, Inc.; MYR Transmission Services, Inc.; E.S. Boulos Company; High Country Line Construction, Inc.; Sturgeon Electric California, LLC; GSW Integrated Services, LLC; Huen Electric, Inc.; and CSI Electrical Contractors, Inc. We operate in Canada under the following trade names: MYR Transmission Services Canada, Ltd.; Northern Transmission Services, Ltd and Western Pacific Enterprises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Equipment</w:t>
      </w:r>
    </w:p>
    <w:p>
      <w:pPr>
        <w:spacing w:after="0" w:line="109" w:lineRule="exact"/>
        <w:rPr>
          <w:sz w:val="20"/>
          <w:szCs w:val="20"/>
          <w:color w:val="auto"/>
        </w:rPr>
      </w:pPr>
    </w:p>
    <w:p>
      <w:pPr>
        <w:ind w:right="320" w:firstLine="240"/>
        <w:spacing w:after="0" w:line="276" w:lineRule="auto"/>
        <w:rPr>
          <w:sz w:val="20"/>
          <w:szCs w:val="20"/>
          <w:color w:val="auto"/>
        </w:rPr>
      </w:pPr>
      <w:r>
        <w:rPr>
          <w:rFonts w:ascii="Arial" w:cs="Arial" w:eastAsia="Arial" w:hAnsi="Arial"/>
          <w:sz w:val="12"/>
          <w:szCs w:val="12"/>
          <w:color w:val="auto"/>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 w:name="page10"/>
    <w:bookmarkEnd w:id="9"/>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cranes and specialty construction equipment, such as wire pullers and wire tensioning machines. We also rely on specialized tooling, including stringing blocks, wire grips and presses. The standardization of our trucks and trailers allows us to streamline training, maintenance and parts costs. We operate a centralized fleet facility, as well as 21 regional maintenance shops throughout the United States that, are staffed with over 150 mechanics and equipment managers who service our fleet. Our ability to internally service our fleet in various markets often allows us to reduce repair costs and the time equipment is out of service by eliminating both the need to 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spacing w:after="0" w:line="57" w:lineRule="exact"/>
        <w:rPr>
          <w:sz w:val="20"/>
          <w:szCs w:val="20"/>
          <w:color w:val="auto"/>
        </w:rPr>
      </w:pPr>
    </w:p>
    <w:p>
      <w:pPr>
        <w:ind w:right="140" w:firstLine="240"/>
        <w:spacing w:after="0" w:line="286" w:lineRule="auto"/>
        <w:rPr>
          <w:sz w:val="20"/>
          <w:szCs w:val="20"/>
          <w:color w:val="auto"/>
        </w:rPr>
      </w:pPr>
      <w:r>
        <w:rPr>
          <w:rFonts w:ascii="Arial" w:cs="Arial" w:eastAsia="Arial" w:hAnsi="Arial"/>
          <w:sz w:val="11"/>
          <w:szCs w:val="11"/>
          <w:color w:val="auto"/>
        </w:rPr>
        <w:t>Our United States based fleet of equipment is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that provide our business units with appropriate pricing levels to estimate their bids for new projects more accurately. The fleet management group works with our business units in prioritizing the use of our fleet assets. The fleet management group also manages the procurement and disposition of equipment and short-term rentals. All of these factors are critical in allowing us to operate efficiently and meet our customers’ needs. Equipment needs in Canada are managed by our Canadian operating subsidiaries.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operations are subject to various laws and regulations including:</w:t>
      </w:r>
    </w:p>
    <w:p>
      <w:pPr>
        <w:spacing w:after="0" w:line="78" w:lineRule="exact"/>
        <w:rPr>
          <w:sz w:val="20"/>
          <w:szCs w:val="20"/>
          <w:color w:val="auto"/>
        </w:rPr>
      </w:pPr>
    </w:p>
    <w:p>
      <w:pPr>
        <w:ind w:left="360" w:hanging="128"/>
        <w:spacing w:after="0"/>
        <w:tabs>
          <w:tab w:leader="none" w:pos="36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licensing, permitting and inspection requirements applicable to electricians and engineers;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regulations relating to worker safety and environmental protection;</w:t>
      </w:r>
    </w:p>
    <w:p>
      <w:pPr>
        <w:spacing w:after="0" w:line="87" w:lineRule="exact"/>
        <w:rPr>
          <w:rFonts w:ascii="Arial" w:cs="Arial" w:eastAsia="Arial" w:hAnsi="Arial"/>
          <w:sz w:val="12"/>
          <w:szCs w:val="12"/>
          <w:color w:val="auto"/>
        </w:rPr>
      </w:pPr>
    </w:p>
    <w:p>
      <w:pPr>
        <w:ind w:left="360" w:hanging="128"/>
        <w:spacing w:after="0"/>
        <w:tabs>
          <w:tab w:leader="none" w:pos="36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licensing, permitting and inspection requirements applicable to construction projects;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5"/>
        </w:numPr>
        <w:rPr>
          <w:rFonts w:ascii="Arial" w:cs="Arial" w:eastAsia="Arial" w:hAnsi="Arial"/>
          <w:sz w:val="12"/>
          <w:szCs w:val="12"/>
          <w:color w:val="auto"/>
        </w:rPr>
      </w:pPr>
      <w:r>
        <w:rPr>
          <w:rFonts w:ascii="Arial" w:cs="Arial" w:eastAsia="Arial" w:hAnsi="Arial"/>
          <w:sz w:val="12"/>
          <w:szCs w:val="12"/>
          <w:color w:val="auto"/>
        </w:rPr>
        <w:t>building and electrical codes;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5"/>
        </w:numPr>
        <w:rPr>
          <w:rFonts w:ascii="Arial" w:cs="Arial" w:eastAsia="Arial" w:hAnsi="Arial"/>
          <w:sz w:val="12"/>
          <w:szCs w:val="12"/>
          <w:color w:val="auto"/>
        </w:rPr>
      </w:pPr>
      <w:r>
        <w:rPr>
          <w:rFonts w:ascii="Arial" w:cs="Arial" w:eastAsia="Arial" w:hAnsi="Arial"/>
          <w:sz w:val="12"/>
          <w:szCs w:val="12"/>
          <w:color w:val="auto"/>
        </w:rPr>
        <w:t>special bidding and procurement requirements on government projects; and</w:t>
      </w:r>
    </w:p>
    <w:p>
      <w:pPr>
        <w:spacing w:after="0" w:line="87" w:lineRule="exact"/>
        <w:rPr>
          <w:rFonts w:ascii="Arial" w:cs="Arial" w:eastAsia="Arial" w:hAnsi="Arial"/>
          <w:sz w:val="12"/>
          <w:szCs w:val="12"/>
          <w:color w:val="auto"/>
        </w:rPr>
      </w:pPr>
    </w:p>
    <w:p>
      <w:pPr>
        <w:ind w:left="360" w:hanging="128"/>
        <w:spacing w:after="0"/>
        <w:tabs>
          <w:tab w:leader="none" w:pos="360" w:val="left"/>
        </w:tabs>
        <w:numPr>
          <w:ilvl w:val="0"/>
          <w:numId w:val="5"/>
        </w:numPr>
        <w:rPr>
          <w:rFonts w:ascii="Arial" w:cs="Arial" w:eastAsia="Arial" w:hAnsi="Arial"/>
          <w:sz w:val="12"/>
          <w:szCs w:val="12"/>
          <w:color w:val="auto"/>
        </w:rPr>
      </w:pPr>
      <w:r>
        <w:rPr>
          <w:rFonts w:ascii="Arial" w:cs="Arial" w:eastAsia="Arial" w:hAnsi="Arial"/>
          <w:sz w:val="12"/>
          <w:szCs w:val="12"/>
          <w:color w:val="auto"/>
        </w:rPr>
        <w:t>local laws and government acts regulating work on protected sites.</w:t>
      </w:r>
    </w:p>
    <w:p>
      <w:pPr>
        <w:spacing w:after="0" w:line="96" w:lineRule="exact"/>
        <w:rPr>
          <w:sz w:val="20"/>
          <w:szCs w:val="20"/>
          <w:color w:val="auto"/>
        </w:rPr>
      </w:pPr>
    </w:p>
    <w:p>
      <w:pPr>
        <w:ind w:right="280" w:firstLine="240"/>
        <w:spacing w:after="0" w:line="276" w:lineRule="auto"/>
        <w:rPr>
          <w:sz w:val="20"/>
          <w:szCs w:val="20"/>
          <w:color w:val="auto"/>
        </w:rPr>
      </w:pPr>
      <w:r>
        <w:rPr>
          <w:rFonts w:ascii="Arial" w:cs="Arial" w:eastAsia="Arial" w:hAnsi="Arial"/>
          <w:sz w:val="12"/>
          <w:szCs w:val="12"/>
          <w:color w:val="auto"/>
        </w:rPr>
        <w:t>We believe that we are in compliance with applicable regulatory requirements and we believe that we have all material licenses required to conduct our operations. Our failure to comply with applicable regulations could result in project delays, cost overruns, remediation costs, substantial fines and revocation of our operating licenses.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w:t>
      </w:r>
    </w:p>
    <w:p>
      <w:pPr>
        <w:spacing w:after="0" w:line="109" w:lineRule="exact"/>
        <w:rPr>
          <w:sz w:val="20"/>
          <w:szCs w:val="20"/>
          <w:color w:val="auto"/>
        </w:rPr>
      </w:pPr>
    </w:p>
    <w:p>
      <w:pPr>
        <w:ind w:firstLine="240"/>
        <w:spacing w:after="0" w:line="283" w:lineRule="auto"/>
        <w:rPr>
          <w:sz w:val="20"/>
          <w:szCs w:val="20"/>
          <w:color w:val="auto"/>
        </w:rPr>
      </w:pPr>
      <w:r>
        <w:rPr>
          <w:rFonts w:ascii="Arial" w:cs="Arial" w:eastAsia="Arial" w:hAnsi="Arial"/>
          <w:sz w:val="11"/>
          <w:szCs w:val="11"/>
          <w:color w:val="auto"/>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financial condition, results of operations and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0" w:name="page11"/>
    <w:bookmarkEnd w:id="10"/>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120" w:firstLine="240"/>
        <w:spacing w:after="0" w:line="261" w:lineRule="auto"/>
        <w:rPr>
          <w:sz w:val="20"/>
          <w:szCs w:val="20"/>
          <w:color w:val="auto"/>
        </w:rPr>
      </w:pPr>
      <w:r>
        <w:rPr>
          <w:rFonts w:ascii="Arial" w:cs="Arial" w:eastAsia="Arial" w:hAnsi="Arial"/>
          <w:sz w:val="12"/>
          <w:szCs w:val="12"/>
          <w:color w:val="auto"/>
        </w:rPr>
        <w:t>We believe that we are in substantial compliance with environmental laws and regulations and that any obligations related to environmental matters should not have a material effect on our financial condition, results of operations or cash flows.</w:t>
      </w:r>
    </w:p>
    <w:p>
      <w:pPr>
        <w:spacing w:after="0" w:line="60" w:lineRule="exact"/>
        <w:rPr>
          <w:sz w:val="20"/>
          <w:szCs w:val="20"/>
          <w:color w:val="auto"/>
        </w:rPr>
      </w:pPr>
    </w:p>
    <w:p>
      <w:pPr>
        <w:ind w:right="100" w:firstLine="240"/>
        <w:spacing w:after="0" w:line="243" w:lineRule="auto"/>
        <w:rPr>
          <w:sz w:val="20"/>
          <w:szCs w:val="20"/>
          <w:color w:val="auto"/>
        </w:rPr>
      </w:pPr>
      <w:r>
        <w:rPr>
          <w:rFonts w:ascii="Arial" w:cs="Arial" w:eastAsia="Arial" w:hAnsi="Arial"/>
          <w:sz w:val="12"/>
          <w:szCs w:val="12"/>
          <w:color w:val="auto"/>
        </w:rPr>
        <w:t>Additionally, there are significant environmental regulations under consideration to encourage the use of clean energy technologies and regulate emissions of greenhouse gases to address climate change. We regularly monitor the various proposals in this regard. Although the impact of climate change regulations on our business will depend on the specifics of governmental policies, legislation, and regulation, we believe that we will be well-positioned to adapt our business to meet new regulations. See “Item 1A. Risk Factors — Our failure to comply with environmental and other laws and regulations could result in significant liabilities” and “Item 1A. Risk Factors — We are subject to risks associated with climate change.”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Cyclical Nature of Business and Seasonality</w:t>
      </w:r>
    </w:p>
    <w:p>
      <w:pPr>
        <w:spacing w:after="0" w:line="109" w:lineRule="exact"/>
        <w:rPr>
          <w:sz w:val="20"/>
          <w:szCs w:val="20"/>
          <w:color w:val="auto"/>
        </w:rPr>
      </w:pPr>
    </w:p>
    <w:p>
      <w:pPr>
        <w:ind w:right="100" w:firstLine="240"/>
        <w:spacing w:after="0" w:line="261" w:lineRule="auto"/>
        <w:rPr>
          <w:sz w:val="20"/>
          <w:szCs w:val="20"/>
          <w:color w:val="auto"/>
        </w:rPr>
      </w:pPr>
      <w:r>
        <w:rPr>
          <w:rFonts w:ascii="Arial" w:cs="Arial" w:eastAsia="Arial" w:hAnsi="Arial"/>
          <w:sz w:val="12"/>
          <w:szCs w:val="12"/>
          <w:color w:val="auto"/>
        </w:rPr>
        <w:t>The demand for construction and maintenance services from our customers is cyclical, particularly in our T&amp;D segment, in nature and vulnerable to downturns in the industries we serve as well as the economy in general. As a result, our volume of business could be adversely affected by declines or delays in new projects in various geographic regions.</w:t>
      </w:r>
    </w:p>
    <w:p>
      <w:pPr>
        <w:spacing w:after="0" w:line="69" w:lineRule="exact"/>
        <w:rPr>
          <w:sz w:val="20"/>
          <w:szCs w:val="20"/>
          <w:color w:val="auto"/>
        </w:rPr>
      </w:pPr>
    </w:p>
    <w:p>
      <w:pPr>
        <w:ind w:right="60" w:firstLine="240"/>
        <w:spacing w:after="0" w:line="308" w:lineRule="auto"/>
        <w:rPr>
          <w:sz w:val="20"/>
          <w:szCs w:val="20"/>
          <w:color w:val="auto"/>
        </w:rPr>
      </w:pPr>
      <w:r>
        <w:rPr>
          <w:rFonts w:ascii="Arial" w:cs="Arial" w:eastAsia="Arial" w:hAnsi="Arial"/>
          <w:sz w:val="10"/>
          <w:szCs w:val="10"/>
          <w:color w:val="auto"/>
        </w:rPr>
        <w:t>Although our revenues are primarily driven by spending patterns in our customers’ industries, our revenues and results of operations can be subject to seasonal and other variations. These variations are influenced by weather, daylight hours, availability of system outages from utilities and holidays. For example,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and system availability; however, extended periods of rain and other severe weather can affect the deployment of our crews and the efficiency of our operations.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00" w:lineRule="exact"/>
        <w:rPr>
          <w:sz w:val="20"/>
          <w:szCs w:val="20"/>
          <w:color w:val="auto"/>
        </w:rPr>
      </w:pPr>
    </w:p>
    <w:p>
      <w:pPr>
        <w:ind w:firstLine="240"/>
        <w:spacing w:after="0" w:line="264" w:lineRule="auto"/>
        <w:rPr>
          <w:sz w:val="20"/>
          <w:szCs w:val="20"/>
          <w:color w:val="auto"/>
        </w:rPr>
      </w:pPr>
      <w:r>
        <w:rPr>
          <w:rFonts w:ascii="Arial" w:cs="Arial" w:eastAsia="Arial" w:hAnsi="Arial"/>
          <w:sz w:val="11"/>
          <w:szCs w:val="11"/>
          <w:color w:val="auto"/>
        </w:rPr>
        <w:t>We seek to attract and retain highly qualified craft employees by providing a superior work environment through our emphasis on safety, competitive compensation, and high-quality fleet of equipment. The number of individuals we employ varies significantly throughout the year, typically with lower staffing levels at year end and through the winter months when fewer projects are active. The number of craft employees fluctuates depending on the number and size of projects at any particular time. As of December 31, 2019, we had approximately 7,100 employees, consisting of approximately 1,300 salaried employees, including executive officers, district managers, project managers, superintendents, estimators, office managers, administrative staff, clerical personnel and approximately 5,800 craft employees. Approximately 90%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 parties to such local agreements, but instead these agreements are entered into by and between the IBEW local unions and the National Electrical Contractors Association (“NECA”), of which the majority of our subsidiaries are members. On occasion, we also employ individuals who are members of other trade unions pursuant to multi-employer, multi-union project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about our Executive Officers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Age on</w:t>
            </w:r>
          </w:p>
        </w:tc>
        <w:tc>
          <w:tcPr>
            <w:tcW w:w="6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2"/>
        </w:trPr>
        <w:tc>
          <w:tcPr>
            <w:tcW w:w="292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Name</w:t>
            </w:r>
          </w:p>
        </w:tc>
        <w:tc>
          <w:tcPr>
            <w:tcW w:w="16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March 4, 2020</w:t>
            </w:r>
          </w:p>
        </w:tc>
        <w:tc>
          <w:tcPr>
            <w:tcW w:w="160" w:type="dxa"/>
            <w:vAlign w:val="bottom"/>
            <w:tcBorders>
              <w:bottom w:val="single" w:sz="8" w:color="CCEEFF"/>
            </w:tcBorders>
          </w:tcPr>
          <w:p>
            <w:pPr>
              <w:spacing w:after="0"/>
              <w:rPr>
                <w:sz w:val="11"/>
                <w:szCs w:val="11"/>
                <w:color w:val="auto"/>
              </w:rPr>
            </w:pPr>
          </w:p>
        </w:tc>
        <w:tc>
          <w:tcPr>
            <w:tcW w:w="6940" w:type="dxa"/>
            <w:vAlign w:val="bottom"/>
            <w:tcBorders>
              <w:bottom w:val="single" w:sz="8" w:color="auto"/>
            </w:tcBorders>
          </w:tcPr>
          <w:p>
            <w:pPr>
              <w:ind w:left="3300"/>
              <w:spacing w:after="0"/>
              <w:rPr>
                <w:sz w:val="20"/>
                <w:szCs w:val="20"/>
                <w:color w:val="auto"/>
              </w:rPr>
            </w:pPr>
            <w:r>
              <w:rPr>
                <w:rFonts w:ascii="Arial" w:cs="Arial" w:eastAsia="Arial" w:hAnsi="Arial"/>
                <w:sz w:val="10"/>
                <w:szCs w:val="10"/>
                <w:b w:val="1"/>
                <w:bCs w:val="1"/>
                <w:color w:val="auto"/>
              </w:rPr>
              <w:t>Position</w:t>
            </w:r>
          </w:p>
        </w:tc>
        <w:tc>
          <w:tcPr>
            <w:tcW w:w="20" w:type="dxa"/>
            <w:vAlign w:val="bottom"/>
            <w:tcBorders>
              <w:bottom w:val="single" w:sz="8" w:color="CCEEFF"/>
            </w:tcBorders>
          </w:tcPr>
          <w:p>
            <w:pPr>
              <w:spacing w:after="0"/>
              <w:rPr>
                <w:sz w:val="11"/>
                <w:szCs w:val="11"/>
                <w:color w:val="auto"/>
              </w:rPr>
            </w:pPr>
          </w:p>
        </w:tc>
      </w:tr>
      <w:tr>
        <w:trPr>
          <w:trHeight w:val="151"/>
        </w:trPr>
        <w:tc>
          <w:tcPr>
            <w:tcW w:w="30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Richard S. Swartz.</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56</w:t>
            </w:r>
          </w:p>
        </w:tc>
        <w:tc>
          <w:tcPr>
            <w:tcW w:w="160" w:type="dxa"/>
            <w:vAlign w:val="bottom"/>
            <w:shd w:val="clear" w:color="auto" w:fill="CCEEFF"/>
          </w:tcPr>
          <w:p>
            <w:pPr>
              <w:spacing w:after="0"/>
              <w:rPr>
                <w:sz w:val="13"/>
                <w:szCs w:val="13"/>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President and Chief Executive Officer</w:t>
            </w:r>
          </w:p>
        </w:tc>
      </w:tr>
      <w:tr>
        <w:trPr>
          <w:trHeight w:val="153"/>
        </w:trPr>
        <w:tc>
          <w:tcPr>
            <w:tcW w:w="3080" w:type="dxa"/>
            <w:vAlign w:val="bottom"/>
            <w:gridSpan w:val="2"/>
          </w:tcPr>
          <w:p>
            <w:pPr>
              <w:ind w:left="540"/>
              <w:spacing w:after="0"/>
              <w:rPr>
                <w:sz w:val="20"/>
                <w:szCs w:val="20"/>
                <w:color w:val="auto"/>
              </w:rPr>
            </w:pPr>
            <w:r>
              <w:rPr>
                <w:rFonts w:ascii="Arial" w:cs="Arial" w:eastAsia="Arial" w:hAnsi="Arial"/>
                <w:sz w:val="12"/>
                <w:szCs w:val="12"/>
                <w:color w:val="auto"/>
              </w:rPr>
              <w:t>Betty R. Johnson</w:t>
            </w: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61</w:t>
            </w:r>
          </w:p>
        </w:tc>
        <w:tc>
          <w:tcPr>
            <w:tcW w:w="160" w:type="dxa"/>
            <w:vAlign w:val="bottom"/>
          </w:tcPr>
          <w:p>
            <w:pPr>
              <w:spacing w:after="0"/>
              <w:rPr>
                <w:sz w:val="13"/>
                <w:szCs w:val="13"/>
                <w:color w:val="auto"/>
              </w:rPr>
            </w:pPr>
          </w:p>
        </w:tc>
        <w:tc>
          <w:tcPr>
            <w:tcW w:w="6960" w:type="dxa"/>
            <w:vAlign w:val="bottom"/>
            <w:gridSpan w:val="2"/>
          </w:tcPr>
          <w:p>
            <w:pPr>
              <w:spacing w:after="0"/>
              <w:rPr>
                <w:sz w:val="20"/>
                <w:szCs w:val="20"/>
                <w:color w:val="auto"/>
              </w:rPr>
            </w:pPr>
            <w:r>
              <w:rPr>
                <w:rFonts w:ascii="Arial" w:cs="Arial" w:eastAsia="Arial" w:hAnsi="Arial"/>
                <w:sz w:val="12"/>
                <w:szCs w:val="12"/>
                <w:color w:val="auto"/>
              </w:rPr>
              <w:t>Senior Vice President, Chief Financial Officer and Treasurer</w:t>
            </w:r>
          </w:p>
        </w:tc>
      </w:tr>
      <w:tr>
        <w:trPr>
          <w:trHeight w:val="153"/>
        </w:trPr>
        <w:tc>
          <w:tcPr>
            <w:tcW w:w="30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Tod M. Cooper</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55</w:t>
            </w:r>
          </w:p>
        </w:tc>
        <w:tc>
          <w:tcPr>
            <w:tcW w:w="160" w:type="dxa"/>
            <w:vAlign w:val="bottom"/>
            <w:shd w:val="clear" w:color="auto" w:fill="CCEEFF"/>
          </w:tcPr>
          <w:p>
            <w:pPr>
              <w:spacing w:after="0"/>
              <w:rPr>
                <w:sz w:val="13"/>
                <w:szCs w:val="13"/>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Senior Vice President, Chief Operating Officer T&amp;D</w:t>
            </w:r>
          </w:p>
        </w:tc>
      </w:tr>
      <w:tr>
        <w:trPr>
          <w:trHeight w:val="153"/>
        </w:trPr>
        <w:tc>
          <w:tcPr>
            <w:tcW w:w="3080" w:type="dxa"/>
            <w:vAlign w:val="bottom"/>
            <w:gridSpan w:val="2"/>
          </w:tcPr>
          <w:p>
            <w:pPr>
              <w:ind w:left="540"/>
              <w:spacing w:after="0"/>
              <w:rPr>
                <w:sz w:val="20"/>
                <w:szCs w:val="20"/>
                <w:color w:val="auto"/>
              </w:rPr>
            </w:pPr>
            <w:r>
              <w:rPr>
                <w:rFonts w:ascii="Arial" w:cs="Arial" w:eastAsia="Arial" w:hAnsi="Arial"/>
                <w:sz w:val="12"/>
                <w:szCs w:val="12"/>
                <w:color w:val="auto"/>
              </w:rPr>
              <w:t>William F. Fry</w:t>
            </w: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45</w:t>
            </w:r>
          </w:p>
        </w:tc>
        <w:tc>
          <w:tcPr>
            <w:tcW w:w="160" w:type="dxa"/>
            <w:vAlign w:val="bottom"/>
          </w:tcPr>
          <w:p>
            <w:pPr>
              <w:spacing w:after="0"/>
              <w:rPr>
                <w:sz w:val="13"/>
                <w:szCs w:val="13"/>
                <w:color w:val="auto"/>
              </w:rPr>
            </w:pPr>
          </w:p>
        </w:tc>
        <w:tc>
          <w:tcPr>
            <w:tcW w:w="6960" w:type="dxa"/>
            <w:vAlign w:val="bottom"/>
            <w:gridSpan w:val="2"/>
          </w:tcPr>
          <w:p>
            <w:pPr>
              <w:spacing w:after="0"/>
              <w:rPr>
                <w:sz w:val="20"/>
                <w:szCs w:val="20"/>
                <w:color w:val="auto"/>
              </w:rPr>
            </w:pPr>
            <w:r>
              <w:rPr>
                <w:rFonts w:ascii="Arial" w:cs="Arial" w:eastAsia="Arial" w:hAnsi="Arial"/>
                <w:sz w:val="12"/>
                <w:szCs w:val="12"/>
                <w:color w:val="auto"/>
              </w:rPr>
              <w:t>Vice President, Chief Legal Officer and Secretary</w:t>
            </w:r>
          </w:p>
        </w:tc>
      </w:tr>
      <w:tr>
        <w:trPr>
          <w:trHeight w:val="153"/>
        </w:trPr>
        <w:tc>
          <w:tcPr>
            <w:tcW w:w="30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Jeffrey J. Waneka</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58</w:t>
            </w:r>
          </w:p>
        </w:tc>
        <w:tc>
          <w:tcPr>
            <w:tcW w:w="160" w:type="dxa"/>
            <w:vAlign w:val="bottom"/>
            <w:shd w:val="clear" w:color="auto" w:fill="CCEEFF"/>
          </w:tcPr>
          <w:p>
            <w:pPr>
              <w:spacing w:after="0"/>
              <w:rPr>
                <w:sz w:val="13"/>
                <w:szCs w:val="13"/>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Senior Vice President, Chief Operating Officer C&amp;I</w:t>
            </w:r>
          </w:p>
        </w:tc>
      </w:tr>
      <w:tr>
        <w:trPr>
          <w:trHeight w:val="405"/>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tcPr>
          <w:p>
            <w:pPr>
              <w:ind w:left="1160"/>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24"/>
                <w:szCs w:val="24"/>
                <w:color w:val="auto"/>
              </w:rPr>
            </w:pPr>
          </w:p>
        </w:tc>
      </w:tr>
      <w:tr>
        <w:trPr>
          <w:trHeight w:val="261"/>
        </w:trPr>
        <w:tc>
          <w:tcPr>
            <w:tcW w:w="292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8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69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-925830</wp:posOffset>
            </wp:positionV>
            <wp:extent cx="57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-925830</wp:posOffset>
            </wp:positionV>
            <wp:extent cx="914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-925830</wp:posOffset>
            </wp:positionV>
            <wp:extent cx="914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 w:name="page12"/>
    <w:bookmarkEnd w:id="11"/>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firstLine="240"/>
        <w:spacing w:after="0" w:line="259" w:lineRule="auto"/>
        <w:rPr>
          <w:sz w:val="20"/>
          <w:szCs w:val="20"/>
          <w:color w:val="auto"/>
        </w:rPr>
      </w:pPr>
      <w:r>
        <w:rPr>
          <w:rFonts w:ascii="Arial" w:cs="Arial" w:eastAsia="Arial" w:hAnsi="Arial"/>
          <w:sz w:val="12"/>
          <w:szCs w:val="12"/>
          <w:i w:val="1"/>
          <w:iCs w:val="1"/>
          <w:color w:val="auto"/>
        </w:rPr>
        <w:t xml:space="preserve">Richard S. Swartz, </w:t>
      </w:r>
      <w:r>
        <w:rPr>
          <w:rFonts w:ascii="Arial" w:cs="Arial" w:eastAsia="Arial" w:hAnsi="Arial"/>
          <w:sz w:val="12"/>
          <w:szCs w:val="12"/>
          <w:color w:val="auto"/>
        </w:rPr>
        <w:t>has served as a member of our board of directors since April 2019 and was appointed president and chief executive officer on January 1, 2017. Prior to his current role, he served as executive vice president and chief</w:t>
      </w:r>
      <w:r>
        <w:rPr>
          <w:rFonts w:ascii="Arial" w:cs="Arial" w:eastAsia="Arial" w:hAnsi="Arial"/>
          <w:sz w:val="12"/>
          <w:szCs w:val="12"/>
          <w:i w:val="1"/>
          <w:iCs w:val="1"/>
          <w:color w:val="auto"/>
        </w:rPr>
        <w:t xml:space="preserve"> </w:t>
      </w:r>
      <w:r>
        <w:rPr>
          <w:rFonts w:ascii="Arial" w:cs="Arial" w:eastAsia="Arial" w:hAnsi="Arial"/>
          <w:sz w:val="12"/>
          <w:szCs w:val="12"/>
          <w:color w:val="auto"/>
        </w:rPr>
        <w:t>operating officer from September 2016 to December 2016 and as senior vice president and chief operating officer from May 2011 to September 2016. Mr. Swartz served as senior vice president from August 2009 to May 2011, and as a group vice president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spacing w:after="0" w:line="71" w:lineRule="exact"/>
        <w:rPr>
          <w:sz w:val="20"/>
          <w:szCs w:val="20"/>
          <w:color w:val="auto"/>
        </w:rPr>
      </w:pPr>
    </w:p>
    <w:p>
      <w:pPr>
        <w:ind w:right="80" w:firstLine="240"/>
        <w:spacing w:after="0" w:line="257" w:lineRule="auto"/>
        <w:rPr>
          <w:sz w:val="20"/>
          <w:szCs w:val="20"/>
          <w:color w:val="auto"/>
        </w:rPr>
      </w:pPr>
      <w:r>
        <w:rPr>
          <w:rFonts w:ascii="Arial" w:cs="Arial" w:eastAsia="Arial" w:hAnsi="Arial"/>
          <w:sz w:val="12"/>
          <w:szCs w:val="12"/>
          <w:i w:val="1"/>
          <w:iCs w:val="1"/>
          <w:color w:val="auto"/>
        </w:rPr>
        <w:t xml:space="preserve">Betty R. Johnson </w:t>
      </w:r>
      <w:r>
        <w:rPr>
          <w:rFonts w:ascii="Arial" w:cs="Arial" w:eastAsia="Arial" w:hAnsi="Arial"/>
          <w:sz w:val="12"/>
          <w:szCs w:val="12"/>
          <w:color w:val="auto"/>
        </w:rPr>
        <w:t>joined us as senior vice president, chief financial officer and treasurer on October 19, 2015. Prior to joining us, Ms. Johnson served as the chief financial officer of Faith Technologies, Inc., a privately held electrical,</w:t>
      </w:r>
      <w:r>
        <w:rPr>
          <w:rFonts w:ascii="Arial" w:cs="Arial" w:eastAsia="Arial" w:hAnsi="Arial"/>
          <w:sz w:val="12"/>
          <w:szCs w:val="12"/>
          <w:i w:val="1"/>
          <w:iCs w:val="1"/>
          <w:color w:val="auto"/>
        </w:rPr>
        <w:t xml:space="preserve"> </w:t>
      </w:r>
      <w:r>
        <w:rPr>
          <w:rFonts w:ascii="Arial" w:cs="Arial" w:eastAsia="Arial" w:hAnsi="Arial"/>
          <w:sz w:val="12"/>
          <w:szCs w:val="12"/>
          <w:color w:val="auto"/>
        </w:rPr>
        <w:t>engineering and technology systems contractor in 2015. From 2009 to 2014, Ms. Johnson served as the vice president of global finance and chief financial officer of Sloan Valve Company. Prior to this, Ms. Johnson was executive vice president and chief financial officer with Block and Company, Inc. from 2003 to 2009. From 1999 to 2003 she served as the vice president-operations/finance with Encompass Services Corporation. Ms. Johnson served as our controller from 1992 to 1998 and vice president and controller from 1998 to 1999. Ms. Johnson served as a member of our board of directors from 2007 until accepting her current position with us in 2015. Ms. Johnson also currently serves on the board of directors of Atkore International Group Inc., a publicly-traded manufacturer of electrical products company.</w:t>
      </w:r>
    </w:p>
    <w:p>
      <w:pPr>
        <w:spacing w:after="0" w:line="81" w:lineRule="exact"/>
        <w:rPr>
          <w:sz w:val="20"/>
          <w:szCs w:val="20"/>
          <w:color w:val="auto"/>
        </w:rPr>
      </w:pPr>
    </w:p>
    <w:p>
      <w:pPr>
        <w:ind w:right="120" w:firstLine="240"/>
        <w:spacing w:after="0" w:line="263" w:lineRule="auto"/>
        <w:rPr>
          <w:sz w:val="20"/>
          <w:szCs w:val="20"/>
          <w:color w:val="auto"/>
        </w:rPr>
      </w:pPr>
      <w:r>
        <w:rPr>
          <w:rFonts w:ascii="Arial" w:cs="Arial" w:eastAsia="Arial" w:hAnsi="Arial"/>
          <w:sz w:val="12"/>
          <w:szCs w:val="12"/>
          <w:i w:val="1"/>
          <w:iCs w:val="1"/>
          <w:color w:val="auto"/>
        </w:rPr>
        <w:t xml:space="preserve">Tod M. Cooper </w:t>
      </w:r>
      <w:r>
        <w:rPr>
          <w:rFonts w:ascii="Arial" w:cs="Arial" w:eastAsia="Arial" w:hAnsi="Arial"/>
          <w:sz w:val="12"/>
          <w:szCs w:val="12"/>
          <w:color w:val="auto"/>
        </w:rPr>
        <w:t>was appointed senior vice president and chief operating officer T&amp;D on January 1, 2017. Prior to his current role, he served as senior vice president from August 2013. Mr. Cooper served as group vice president, east</w:t>
      </w:r>
      <w:r>
        <w:rPr>
          <w:rFonts w:ascii="Arial" w:cs="Arial" w:eastAsia="Arial" w:hAnsi="Arial"/>
          <w:sz w:val="12"/>
          <w:szCs w:val="12"/>
          <w:i w:val="1"/>
          <w:iCs w:val="1"/>
          <w:color w:val="auto"/>
        </w:rPr>
        <w:t xml:space="preserve"> </w:t>
      </w:r>
      <w:r>
        <w:rPr>
          <w:rFonts w:ascii="Arial" w:cs="Arial" w:eastAsia="Arial" w:hAnsi="Arial"/>
          <w:sz w:val="12"/>
          <w:szCs w:val="12"/>
          <w:color w:val="auto"/>
        </w:rPr>
        <w:t>from 2009 to 2013 and vice president T&amp;D, east from 2006 to 2009. Mr. Cooper has held a number of additional positions since joining us in 1989, including business development manager, regional manager, district manager, and estimator.</w:t>
      </w:r>
    </w:p>
    <w:p>
      <w:pPr>
        <w:spacing w:after="0" w:line="78" w:lineRule="exact"/>
        <w:rPr>
          <w:sz w:val="20"/>
          <w:szCs w:val="20"/>
          <w:color w:val="auto"/>
        </w:rPr>
      </w:pPr>
    </w:p>
    <w:p>
      <w:pPr>
        <w:ind w:right="60" w:firstLine="240"/>
        <w:spacing w:after="0" w:line="340" w:lineRule="auto"/>
        <w:rPr>
          <w:sz w:val="20"/>
          <w:szCs w:val="20"/>
          <w:color w:val="auto"/>
        </w:rPr>
      </w:pPr>
      <w:r>
        <w:rPr>
          <w:rFonts w:ascii="Arial" w:cs="Arial" w:eastAsia="Arial" w:hAnsi="Arial"/>
          <w:sz w:val="10"/>
          <w:szCs w:val="10"/>
          <w:i w:val="1"/>
          <w:iCs w:val="1"/>
          <w:color w:val="auto"/>
        </w:rPr>
        <w:t xml:space="preserve">William F. Fry </w:t>
      </w:r>
      <w:r>
        <w:rPr>
          <w:rFonts w:ascii="Arial" w:cs="Arial" w:eastAsia="Arial" w:hAnsi="Arial"/>
          <w:sz w:val="10"/>
          <w:szCs w:val="10"/>
          <w:color w:val="auto"/>
        </w:rPr>
        <w:t>joined us as vice president, chief legal officer and secretary on January 21, 2019. Prior to joining us, Mr. Fry served as vice president — legal for Team Inc., a specialty industrial service, engineering and manufacturing</w:t>
      </w:r>
      <w:r>
        <w:rPr>
          <w:rFonts w:ascii="Arial" w:cs="Arial" w:eastAsia="Arial" w:hAnsi="Arial"/>
          <w:sz w:val="10"/>
          <w:szCs w:val="10"/>
          <w:i w:val="1"/>
          <w:iCs w:val="1"/>
          <w:color w:val="auto"/>
        </w:rPr>
        <w:t xml:space="preserve"> </w:t>
      </w:r>
      <w:r>
        <w:rPr>
          <w:rFonts w:ascii="Arial" w:cs="Arial" w:eastAsia="Arial" w:hAnsi="Arial"/>
          <w:sz w:val="10"/>
          <w:szCs w:val="10"/>
          <w:color w:val="auto"/>
        </w:rPr>
        <w:t>company from 2016. Mr. Fry was general counsel, secretary, vice president &amp; chief compliance officer of Furmanite Corporation, a provider of specialized technical services and product solutions, from 2012 to 2016, prior to its merger with Team Inc. Prior to joining Furmanite Corporation, Mr. Fry worked for American Tank &amp; Vessel, Inc., a specialty engineering and construction company, in various roles from 2006 to 2012, ultimately serving as their general counsel.</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 xml:space="preserve">Jeffrey J. Waneka </w:t>
      </w:r>
      <w:r>
        <w:rPr>
          <w:rFonts w:ascii="Arial" w:cs="Arial" w:eastAsia="Arial" w:hAnsi="Arial"/>
          <w:sz w:val="11"/>
          <w:szCs w:val="11"/>
          <w:color w:val="auto"/>
        </w:rPr>
        <w:t>was appointed senior vice president and chief operating officer C&amp;I on January 1, 2017. Prior to his current role, he served as president of our subsidiary company, Sturgeon Electric Company, Inc., from</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February 2015 to December 2016. Mr. Waneka served as group vice president, C&amp;I from 2014 to 2015 and vice president, C&amp;I from 2009 to 2014. Mr. Waneka has held a number of additional positions since joining the Company in 1991,</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including regional manager, director business development and district manager.</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Website Access to Company Reports</w:t>
      </w:r>
    </w:p>
    <w:p>
      <w:pPr>
        <w:spacing w:after="0" w:line="109" w:lineRule="exact"/>
        <w:rPr>
          <w:sz w:val="20"/>
          <w:szCs w:val="20"/>
          <w:color w:val="auto"/>
        </w:rPr>
      </w:pPr>
    </w:p>
    <w:p>
      <w:pPr>
        <w:ind w:right="20" w:firstLine="240"/>
        <w:spacing w:after="0" w:line="263" w:lineRule="auto"/>
        <w:rPr>
          <w:sz w:val="20"/>
          <w:szCs w:val="20"/>
          <w:color w:val="auto"/>
        </w:rPr>
      </w:pPr>
      <w:r>
        <w:rPr>
          <w:rFonts w:ascii="Arial" w:cs="Arial" w:eastAsia="Arial" w:hAnsi="Arial"/>
          <w:sz w:val="12"/>
          <w:szCs w:val="12"/>
          <w:color w:val="auto"/>
        </w:rPr>
        <w:t xml:space="preserve">Our website address is </w:t>
      </w:r>
      <w:r>
        <w:rPr>
          <w:rFonts w:ascii="Arial" w:cs="Arial" w:eastAsia="Arial" w:hAnsi="Arial"/>
          <w:sz w:val="12"/>
          <w:szCs w:val="12"/>
          <w:i w:val="1"/>
          <w:iCs w:val="1"/>
          <w:color w:val="auto"/>
        </w:rPr>
        <w:t>www.myrgroup.com</w:t>
      </w:r>
      <w:r>
        <w:rPr>
          <w:rFonts w:ascii="Arial" w:cs="Arial" w:eastAsia="Arial" w:hAnsi="Arial"/>
          <w:sz w:val="12"/>
          <w:szCs w:val="12"/>
          <w:color w:val="auto"/>
        </w:rPr>
        <w:t>. Our annual reports on Form 10-K, quarterly reports on Form 10-Q, current reports on Form 8-K, and amendments to those reports filed or furnished pursuant to Section 13(a) or 15(d) of the Exchange Act will be available free of charge through our website as soon as reasonably practicable after they are electronically filed with, or furnished to, the SEC. The information on our website is not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2" w:name="page13"/>
    <w:bookmarkEnd w:id="12"/>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00" w:lineRule="exact"/>
        <w:rPr>
          <w:sz w:val="20"/>
          <w:szCs w:val="20"/>
          <w:color w:val="auto"/>
        </w:rPr>
      </w:pPr>
    </w:p>
    <w:p>
      <w:pPr>
        <w:ind w:firstLine="240"/>
        <w:spacing w:after="0" w:line="243" w:lineRule="auto"/>
        <w:rPr>
          <w:sz w:val="20"/>
          <w:szCs w:val="20"/>
          <w:color w:val="auto"/>
        </w:rPr>
      </w:pPr>
      <w:r>
        <w:rPr>
          <w:rFonts w:ascii="Arial" w:cs="Arial" w:eastAsia="Arial" w:hAnsi="Arial"/>
          <w:sz w:val="12"/>
          <w:szCs w:val="12"/>
          <w:i w:val="1"/>
          <w:iCs w:val="1"/>
          <w:color w:val="auto"/>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Additional risks we do not yet know of, or that we currently think are immaterial, may also affect our business operations. If any of the events or circumstances described in the following risks actually occurs, our business, financial condition or results of operations could be affected and our stock price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operating results may vary significantly from period to period.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0"/>
          <w:szCs w:val="10"/>
          <w:color w:val="auto"/>
        </w:rPr>
        <w:t>Our business can be highly cyclical and subject to seasonal and other variations that can result in significant differences in operating results from period to period. Additionally, our results may be materially and adversely affected by:</w:t>
      </w:r>
    </w:p>
    <w:p>
      <w:pPr>
        <w:spacing w:after="0" w:line="92" w:lineRule="exact"/>
        <w:rPr>
          <w:sz w:val="20"/>
          <w:szCs w:val="20"/>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timing and volume of work under contract;</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increased competition and changes in the competitive marketplace for our services;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spending patterns of customers and governments;</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safety performance and reputation;</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increased costs of performance of our services caused by adverse weather conditions;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cost overruns on fixed-price and unit-price contracts;</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amount of subcontractor and material costs in our projects;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decreased equipment utilization;</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permitting, regulatory or customer-caused delays on projects;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1"/>
          <w:szCs w:val="11"/>
          <w:color w:val="auto"/>
        </w:rPr>
      </w:pPr>
      <w:r>
        <w:rPr>
          <w:rFonts w:ascii="Arial" w:cs="Arial" w:eastAsia="Arial" w:hAnsi="Arial"/>
          <w:sz w:val="11"/>
          <w:szCs w:val="11"/>
          <w:color w:val="auto"/>
        </w:rPr>
        <w:t>disputes with customers relating to payment terms under our contracts and change orders, and our ability to successfully negotiate and obtain payment or reimbursement under our contracts and change orders;</w:t>
      </w:r>
    </w:p>
    <w:p>
      <w:pPr>
        <w:spacing w:after="0" w:line="89" w:lineRule="exact"/>
        <w:rPr>
          <w:rFonts w:ascii="Arial" w:cs="Arial" w:eastAsia="Arial" w:hAnsi="Arial"/>
          <w:sz w:val="11"/>
          <w:szCs w:val="11"/>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variations in the margins of projects performed during any particular reporting period;</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 change in the demand for our services;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 change in the mix of our customers, contracts and business;</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payment risk associated with the financial condition of our customers;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increases in design and construction costs that we are unable to pass through to our customers;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termination or expiration of existing agreements;</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regional and general economic conditions and the condition of the financial markets;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losses experienced in our operations not otherwise covered by insurance;</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timing and integration of acquisitions and the magnitude of the related acquisition and integration costs;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costs we incur to support growth internally or otherwise;</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availability of qualified labor for specific projects;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liabilities associated with participation in joint ventures related to third party failures;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significant fluctuations in foreign currency exchange rates;</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bonding requirements applicable to existing and new agreements;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costs associated with our multi-employer pension plan obligations;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availability of equipment;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3" w:name="page14"/>
    <w:bookmarkEnd w:id="13"/>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360" w:hanging="128"/>
        <w:spacing w:after="0"/>
        <w:tabs>
          <w:tab w:leader="none" w:pos="36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supply chain interruptions, including as a result of natural disasters, weather, labor disputes, pandemic outbreak of disease, fire or explosions and power outages;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impairment of goodwill or intangible assets; and</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7"/>
        </w:numPr>
        <w:rPr>
          <w:rFonts w:ascii="Arial" w:cs="Arial" w:eastAsia="Arial" w:hAnsi="Arial"/>
          <w:sz w:val="12"/>
          <w:szCs w:val="12"/>
          <w:color w:val="auto"/>
        </w:rPr>
      </w:pPr>
      <w:r>
        <w:rPr>
          <w:rFonts w:ascii="Arial" w:cs="Arial" w:eastAsia="Arial" w:hAnsi="Arial"/>
          <w:sz w:val="12"/>
          <w:szCs w:val="12"/>
          <w:color w:val="auto"/>
        </w:rPr>
        <w:t>warranty claims.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Accordingly, our operating results in any particular reporting period may not be indicative of the results that can be expected for any other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industry is highly competitive. Increased competition can place downward pressure on contract prices and profit margins and may limit the number of projects that we are awarded.</w:t>
      </w:r>
    </w:p>
    <w:p>
      <w:pPr>
        <w:spacing w:after="0" w:line="96" w:lineRule="exact"/>
        <w:rPr>
          <w:sz w:val="20"/>
          <w:szCs w:val="20"/>
          <w:color w:val="auto"/>
        </w:rPr>
      </w:pPr>
    </w:p>
    <w:p>
      <w:pPr>
        <w:ind w:firstLine="240"/>
        <w:spacing w:after="0" w:line="281" w:lineRule="auto"/>
        <w:rPr>
          <w:sz w:val="20"/>
          <w:szCs w:val="20"/>
          <w:color w:val="auto"/>
        </w:rPr>
      </w:pPr>
      <w:r>
        <w:rPr>
          <w:rFonts w:ascii="Arial" w:cs="Arial" w:eastAsia="Arial" w:hAnsi="Arial"/>
          <w:sz w:val="11"/>
          <w:szCs w:val="11"/>
          <w:color w:val="auto"/>
        </w:rPr>
        <w:t>Our industry is fragmented and we compete with other companies, ranging from small, independent firms servicing local markets to larger firms servicing regional, national and international markets. Relatively few barriers prevent entry into the C&amp;I market and the distribution market. As a result, any organization that has adequate financial resources and access to technical expertise may become one of our competitors in those areas. Competition in the industry depends on a number of factors, including price of the construction services and the reputation for safety, quality and reliability of the contractor. Some of our competitors, including our competitors in the transmission market,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In addition, we also may face competition from in-house service organizations of our existing or prospective customers. Electric utility companies often employ personnel to internally perform some of the same types of services we do. If we are unable to compete successfully in our markets, our operating results could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unsuccessful in generating internal growth, which could impact the projects available to the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ability to generate internal growth will be affected by, among other factors, our ability to:</w:t>
      </w:r>
    </w:p>
    <w:p>
      <w:pPr>
        <w:spacing w:after="0" w:line="78" w:lineRule="exact"/>
        <w:rPr>
          <w:sz w:val="20"/>
          <w:szCs w:val="20"/>
          <w:color w:val="auto"/>
        </w:rPr>
      </w:pPr>
    </w:p>
    <w:p>
      <w:pPr>
        <w:ind w:left="360" w:hanging="128"/>
        <w:spacing w:after="0"/>
        <w:tabs>
          <w:tab w:leader="none" w:pos="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attract new customers;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increase the number of projects performed for existing customers;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hire and retain qualified personnel;</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successfully bid new projects;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expand geographically; and</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adapt the range of services we offer to customers to address their evolving construction needs.</w:t>
      </w:r>
    </w:p>
    <w:p>
      <w:pPr>
        <w:spacing w:after="0" w:line="105" w:lineRule="exact"/>
        <w:rPr>
          <w:sz w:val="20"/>
          <w:szCs w:val="20"/>
          <w:color w:val="auto"/>
        </w:rPr>
      </w:pPr>
    </w:p>
    <w:p>
      <w:pPr>
        <w:ind w:firstLine="240"/>
        <w:spacing w:after="0" w:line="263" w:lineRule="auto"/>
        <w:rPr>
          <w:sz w:val="20"/>
          <w:szCs w:val="20"/>
          <w:color w:val="auto"/>
        </w:rPr>
      </w:pPr>
      <w:r>
        <w:rPr>
          <w:rFonts w:ascii="Arial" w:cs="Arial" w:eastAsia="Arial" w:hAnsi="Arial"/>
          <w:sz w:val="12"/>
          <w:szCs w:val="12"/>
          <w:color w:val="auto"/>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to support internal growth. If we are unsuccessful, we may not be able to achieve internal growth, expand our operations or grow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Negative economic and market conditions, as well as regulatory and environmental requirements, may adversely impact our customers’ future spending and, as a result, our operations and growth.</w:t>
      </w:r>
    </w:p>
    <w:p>
      <w:pPr>
        <w:spacing w:after="0" w:line="96" w:lineRule="exact"/>
        <w:rPr>
          <w:sz w:val="20"/>
          <w:szCs w:val="20"/>
          <w:color w:val="auto"/>
        </w:rPr>
      </w:pPr>
    </w:p>
    <w:p>
      <w:pPr>
        <w:ind w:right="220" w:firstLine="240"/>
        <w:spacing w:after="0" w:line="323" w:lineRule="auto"/>
        <w:rPr>
          <w:sz w:val="20"/>
          <w:szCs w:val="20"/>
          <w:color w:val="auto"/>
        </w:rPr>
      </w:pPr>
      <w:r>
        <w:rPr>
          <w:rFonts w:ascii="Arial" w:cs="Arial" w:eastAsia="Arial" w:hAnsi="Arial"/>
          <w:sz w:val="11"/>
          <w:szCs w:val="11"/>
          <w:color w:val="auto"/>
        </w:rPr>
        <w:t>The demand for infrastructure construction and maintenance services from our customers has been, and will likely continue to be, cyclical in nature and vulnerable to downturns in the industries we serve as well as the economy in general. Stagnant or declining economic conditions have adversely impacted the demand for our services in the past and resulted in the delay, reduction or cancellation of certain projects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4" w:name="page15"/>
    <w:bookmarkEnd w:id="14"/>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spacing w:after="0" w:line="241" w:lineRule="auto"/>
        <w:rPr>
          <w:sz w:val="20"/>
          <w:szCs w:val="20"/>
          <w:color w:val="auto"/>
        </w:rPr>
      </w:pPr>
      <w:r>
        <w:rPr>
          <w:rFonts w:ascii="Arial" w:cs="Arial" w:eastAsia="Arial" w:hAnsi="Arial"/>
          <w:sz w:val="12"/>
          <w:szCs w:val="12"/>
          <w:color w:val="auto"/>
        </w:rPr>
        <w:t>may adversely affect us in the future. Unfavorable economic conditions could also cause our customers to outsource less work. Additionally, many of our customers finance their projects through the incurrence of debt or the issuance of equity. A reduction in cash flow or the lack of availability of debt or equity financing may result in a reduction in our customers’ spending for our services and may also impact the ability of our customers to pay amounts owed to us, which could have a material adverse effect on our operations and our ability to grow at historical levels, or at all. A prolonged economic downturn or recession could adversely affect our customers and their ability or willingness to fund capital expenditures in the future or pay for past services. Material fluctuations in energy markets could have an adverse impact on our customers’ spending patterns. Consolidation, competition, capital constraints or negative economic conditions in the electric power industry may also result in reduced spending by, or the loss of, one or more of our customers.</w:t>
      </w:r>
    </w:p>
    <w:p>
      <w:pPr>
        <w:spacing w:after="0" w:line="73" w:lineRule="exact"/>
        <w:rPr>
          <w:sz w:val="20"/>
          <w:szCs w:val="20"/>
          <w:color w:val="auto"/>
        </w:rPr>
      </w:pPr>
    </w:p>
    <w:p>
      <w:pPr>
        <w:ind w:right="180" w:firstLine="240"/>
        <w:spacing w:after="0" w:line="281" w:lineRule="auto"/>
        <w:rPr>
          <w:sz w:val="20"/>
          <w:szCs w:val="20"/>
          <w:color w:val="auto"/>
        </w:rPr>
      </w:pPr>
      <w:r>
        <w:rPr>
          <w:rFonts w:ascii="Arial" w:cs="Arial" w:eastAsia="Arial" w:hAnsi="Arial"/>
          <w:sz w:val="11"/>
          <w:szCs w:val="11"/>
          <w:color w:val="auto"/>
        </w:rPr>
        <w:t>Because the vast majority of our T&amp;D revenue is derived from the electric utility industry, regulatory and environmental requirements affecting that industry could adversely affect our results of operations.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 or at all.</w:t>
      </w:r>
    </w:p>
    <w:p>
      <w:pPr>
        <w:spacing w:after="0" w:line="60" w:lineRule="exact"/>
        <w:rPr>
          <w:sz w:val="20"/>
          <w:szCs w:val="20"/>
          <w:color w:val="auto"/>
        </w:rPr>
      </w:pPr>
    </w:p>
    <w:p>
      <w:pPr>
        <w:jc w:val="both"/>
        <w:ind w:right="20" w:firstLine="240"/>
        <w:spacing w:after="0" w:line="321" w:lineRule="auto"/>
        <w:rPr>
          <w:sz w:val="20"/>
          <w:szCs w:val="20"/>
          <w:color w:val="auto"/>
        </w:rPr>
      </w:pPr>
      <w:r>
        <w:rPr>
          <w:rFonts w:ascii="Arial" w:cs="Arial" w:eastAsia="Arial" w:hAnsi="Arial"/>
          <w:sz w:val="10"/>
          <w:szCs w:val="10"/>
          <w:color w:val="auto"/>
        </w:rPr>
        <w:t>In addition, recent changes to U.S. policies related to global trade and tariffs, as well as retaliatory trade measures implemented by other countries, have resulted in uncertainty surrounding the future of the global economy. Increases in the cost of imported raw materials or finished goods as a result of the tariffs or trade policies may impact customer spending, and reductions in customer spending could lead to fewer project awards and more competition We cannot predict the outcome of these changing trade policies or other unanticipated political conditions, nor can we predict the timing or strength of any economic recovery or downturn worldwide or its impact on our customers’ markets.</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19" w:lineRule="exact"/>
        <w:rPr>
          <w:sz w:val="20"/>
          <w:szCs w:val="20"/>
          <w:color w:val="auto"/>
        </w:rPr>
      </w:pPr>
    </w:p>
    <w:p>
      <w:pPr>
        <w:ind w:firstLine="240"/>
        <w:spacing w:after="0" w:line="279" w:lineRule="auto"/>
        <w:rPr>
          <w:sz w:val="20"/>
          <w:szCs w:val="20"/>
          <w:color w:val="auto"/>
        </w:rPr>
      </w:pPr>
      <w:r>
        <w:rPr>
          <w:rFonts w:ascii="Arial" w:cs="Arial" w:eastAsia="Arial" w:hAnsi="Arial"/>
          <w:sz w:val="11"/>
          <w:szCs w:val="11"/>
          <w:color w:val="auto"/>
        </w:rPr>
        <w:t>Many projects involve challenging engineering, procurement and construction phases that may occur over several years. We may encounter difficulties that impact our ability to complete the project in accordance with the original delivery schedule. These difficulties may be the result of delays in designs, engineering information or materials provided by the customer or a third party, delays or difficulties in equipment and material delivery, schedule changes, delays from our customer’s failure to timely obtain permits or rights-of-way or meet other regulatory requirements, weather-related delays, delays caused by difficult worksite environments, delays caused by inefficiencies and not achieving expected labor performance, and other factors, some of which are beyond our control. In addition, for some projects, we contract with third-party subcontractors to assist us with the completion of contracts. Any delay or failure by suppliers or by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renewable energy projects, or other facilities. We may not be able to recover the costs we incur that are caused by delays. Certain contracts have guarantee or bonus provisions regarding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and we may not be able to replace such projects with similar projects or at all. Such delays or cancellations may impact our reputation or relationships with customers and adversely affect our ability to secure new contracts. Larger projects, in particular, present additional performance risks due to the more complex work involved.</w:t>
      </w:r>
    </w:p>
    <w:p>
      <w:pPr>
        <w:spacing w:after="0" w:line="61" w:lineRule="exact"/>
        <w:rPr>
          <w:sz w:val="20"/>
          <w:szCs w:val="20"/>
          <w:color w:val="auto"/>
        </w:rPr>
      </w:pPr>
    </w:p>
    <w:p>
      <w:pPr>
        <w:ind w:right="220" w:firstLine="240"/>
        <w:spacing w:after="0" w:line="323" w:lineRule="auto"/>
        <w:rPr>
          <w:sz w:val="20"/>
          <w:szCs w:val="20"/>
          <w:color w:val="auto"/>
        </w:rPr>
      </w:pPr>
      <w:r>
        <w:rPr>
          <w:rFonts w:ascii="Arial" w:cs="Arial" w:eastAsia="Arial" w:hAnsi="Arial"/>
          <w:sz w:val="11"/>
          <w:szCs w:val="11"/>
          <w:color w:val="auto"/>
        </w:rPr>
        <w:t>Our customers may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60"/>
        <w:spacing w:after="0" w:line="241" w:lineRule="auto"/>
        <w:rPr>
          <w:sz w:val="20"/>
          <w:szCs w:val="20"/>
          <w:color w:val="auto"/>
        </w:rPr>
      </w:pPr>
      <w:r>
        <w:rPr>
          <w:rFonts w:ascii="Arial" w:cs="Arial" w:eastAsia="Arial" w:hAnsi="Arial"/>
          <w:sz w:val="12"/>
          <w:szCs w:val="12"/>
          <w:color w:val="auto"/>
        </w:rPr>
        <w:t>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customer-requested change orders or failure by the customer to timely deliver items, such as engineering drawings or materials. Litigation or arbitration of claims for compensation may be lengthy and costly, and it is often difficult to predict when and for how much the claims will be resolved. A failure to obtain adequate compensation for these matters could require us to record a reduction to amounts of revenue and gross profit recognized in prior periods under the percentage-of-completion accounting method. Any such adjustments could be substantial. We may also be required to invest significant working capital to fund cost overruns while the resolution of change orders or claims is pending, which could adversely affect our liquidity and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revenues may be exposed to potential risk if a project is terminated or canceled, if our customers encounter financial difficulties or if we encounter disputes with our customers.</w:t>
      </w:r>
    </w:p>
    <w:p>
      <w:pPr>
        <w:spacing w:after="0" w:line="87" w:lineRule="exact"/>
        <w:rPr>
          <w:sz w:val="20"/>
          <w:szCs w:val="20"/>
          <w:color w:val="auto"/>
        </w:rPr>
      </w:pPr>
    </w:p>
    <w:p>
      <w:pPr>
        <w:ind w:right="60" w:firstLine="240"/>
        <w:spacing w:after="0" w:line="268" w:lineRule="auto"/>
        <w:rPr>
          <w:sz w:val="20"/>
          <w:szCs w:val="20"/>
          <w:color w:val="auto"/>
        </w:rPr>
      </w:pPr>
      <w:r>
        <w:rPr>
          <w:rFonts w:ascii="Arial" w:cs="Arial" w:eastAsia="Arial" w:hAnsi="Arial"/>
          <w:sz w:val="11"/>
          <w:szCs w:val="11"/>
          <w:color w:val="auto"/>
        </w:rPr>
        <w:t>Our contracts often require us to satisfy or achieve certain milestones to receive payment for the work performed, or in the case of cost-reimbursable contracts, provide support for billings in advance of receiving payment. As a result, we may incur significant costs or perform significant amounts of work prior to receipt of payment.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addition, many of our customers for large projects are project-specific entities that do not have significant assets other than their interests in the project and may encounter financial difficulties relating to their businesses. It may be difficult to collect amounts owed to us by these customers. If we are unable to collect amounts owed to us, this would have an adverse effect on our financial condition, results of operations and cash flows.</w:t>
      </w:r>
    </w:p>
    <w:p>
      <w:pPr>
        <w:spacing w:after="0" w:line="68" w:lineRule="exact"/>
        <w:rPr>
          <w:sz w:val="20"/>
          <w:szCs w:val="20"/>
          <w:color w:val="auto"/>
        </w:rPr>
      </w:pPr>
    </w:p>
    <w:p>
      <w:pPr>
        <w:ind w:right="40" w:firstLine="240"/>
        <w:spacing w:after="0" w:line="243" w:lineRule="auto"/>
        <w:rPr>
          <w:sz w:val="20"/>
          <w:szCs w:val="20"/>
          <w:color w:val="auto"/>
        </w:rPr>
      </w:pPr>
      <w:r>
        <w:rPr>
          <w:rFonts w:ascii="Arial" w:cs="Arial" w:eastAsia="Arial" w:hAnsi="Arial"/>
          <w:sz w:val="12"/>
          <w:szCs w:val="12"/>
          <w:color w:val="auto"/>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not be recovered until the claim is resolved. In some instances, these claims can be the subject of lengthy legal proceedings, and it is difficult to accurately predict when they will be fully resolved. A failure to promptly recover on these types of claims could have a negative impact on our financial condition, results of operations and cash flows. Additionally, any such claims may harm our future relationships with our customers.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labor intensive and we may be unable to attract and retain qualified personnel.</w:t>
      </w:r>
    </w:p>
    <w:p>
      <w:pPr>
        <w:spacing w:after="0" w:line="105" w:lineRule="exact"/>
        <w:rPr>
          <w:sz w:val="20"/>
          <w:szCs w:val="20"/>
          <w:color w:val="auto"/>
        </w:rPr>
      </w:pPr>
    </w:p>
    <w:p>
      <w:pPr>
        <w:ind w:firstLine="240"/>
        <w:spacing w:after="0" w:line="264" w:lineRule="auto"/>
        <w:rPr>
          <w:sz w:val="20"/>
          <w:szCs w:val="20"/>
          <w:color w:val="auto"/>
        </w:rPr>
      </w:pPr>
      <w:r>
        <w:rPr>
          <w:rFonts w:ascii="Arial" w:cs="Arial" w:eastAsia="Arial" w:hAnsi="Arial"/>
          <w:sz w:val="11"/>
          <w:szCs w:val="11"/>
          <w:color w:val="auto"/>
        </w:rPr>
        <w:t>Our ability to maintain our productivity and our operating results may be limited by our ability to employ, train and retain skilled personnel necessary to meet our requirements. We may not be able to maintain an adequate skilled labor force necessary to operate efficiently and to support our growth strategy. We have from time to time experienced shortages of certain types of qualified personnel, such as linemen, field supervisors, project managers and engineers, in certain regions. In addition, our projects are sometimes located in remote areas, which can make recruitment and deployment of our personnel challenging. During periods with large volumes of storm restoration services work, linemen are frequently recruited across geographic regions to satisfy demand. Many linemen are willing to travel to earn premium wages for such work, which from time to time makes it difficult for us to retain these workers for ongoing projects when storm conditions persist. The supply of experienced linemen, field supervisors, project managers, engineers and other skilled workers may not be sufficient to meet current or expected demand. The commencement of new, large-scale infrastructure projects or increased demand for infrastructure improvements, as well as the shrinking electric utility workforce, may reduce the pool of skilled workers available to us. Labor shortages could impair our ability to maintain our business or grow our revenues. If we are unable to hire personnel with the requisite skills, we may also be forced to incur significant training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timing of new contracts and termination of existing contracts may result in unpredictable fluctuations in our cash flows and financial results.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 substantial portion of our revenues are derived from project-based work that is awarded through a competitive bid process. It is generally very difficult to predict the timing and geographic distribution of the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 w:name="page17"/>
    <w:bookmarkEnd w:id="16"/>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66" w:lineRule="auto"/>
        <w:rPr>
          <w:sz w:val="20"/>
          <w:szCs w:val="20"/>
          <w:color w:val="auto"/>
        </w:rPr>
      </w:pPr>
      <w:r>
        <w:rPr>
          <w:rFonts w:ascii="Arial" w:cs="Arial" w:eastAsia="Arial" w:hAnsi="Arial"/>
          <w:sz w:val="11"/>
          <w:szCs w:val="11"/>
          <w:color w:val="auto"/>
        </w:rPr>
        <w:t>projects that we will be awarded. The selection of, timing of, or failure to obtain projects, delays in awards of 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whether, or when, work will begin. This can present 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spacing w:after="0" w:line="60" w:lineRule="exact"/>
        <w:rPr>
          <w:sz w:val="20"/>
          <w:szCs w:val="20"/>
          <w:color w:val="auto"/>
        </w:rPr>
      </w:pPr>
    </w:p>
    <w:p>
      <w:pPr>
        <w:ind w:right="240" w:firstLine="240"/>
        <w:spacing w:after="0" w:line="273" w:lineRule="auto"/>
        <w:rPr>
          <w:sz w:val="20"/>
          <w:szCs w:val="20"/>
          <w:color w:val="auto"/>
        </w:rPr>
      </w:pPr>
      <w:r>
        <w:rPr>
          <w:rFonts w:ascii="Arial" w:cs="Arial" w:eastAsia="Arial" w:hAnsi="Arial"/>
          <w:sz w:val="11"/>
          <w:szCs w:val="11"/>
          <w:color w:val="auto"/>
        </w:rPr>
        <w:t>Many of our contracts may be canceled upon short notice, typically 30 to 90 days, even if we are not in default under the contract, and we may be unsuccessful in replacing our contracts if they are canceled. We could experience a decrease in our revenue, net income and liquidity if contracts are canceled and if we are unable to replace canceled, completed or expired contracts.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 to competitive bid at the expiration of their terms. There can be no assurance that we will be the successful bidder on our existing contracts that come up for re-bid.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During the ordinary course of our business, we may become subject to lawsuits or indemnity claims, which could materially and adversely affect our business and results of operations.</w:t>
      </w:r>
    </w:p>
    <w:p>
      <w:pPr>
        <w:spacing w:after="0" w:line="96" w:lineRule="exact"/>
        <w:rPr>
          <w:sz w:val="20"/>
          <w:szCs w:val="20"/>
          <w:color w:val="auto"/>
        </w:rPr>
      </w:pPr>
    </w:p>
    <w:p>
      <w:pPr>
        <w:ind w:right="20" w:firstLine="240"/>
        <w:spacing w:after="0" w:line="263" w:lineRule="auto"/>
        <w:rPr>
          <w:sz w:val="20"/>
          <w:szCs w:val="20"/>
          <w:color w:val="auto"/>
        </w:rPr>
      </w:pPr>
      <w:r>
        <w:rPr>
          <w:rFonts w:ascii="Arial" w:cs="Arial" w:eastAsia="Arial" w:hAnsi="Arial"/>
          <w:sz w:val="11"/>
          <w:szCs w:val="11"/>
          <w:color w:val="auto"/>
        </w:rPr>
        <w:t>We have in the past been, and may in the future be, named as a defendant in lawsuits, claims and other legal proceedings that arise in the ordinary course of our business. These actions may seek, among other things, compensation for alleged personal injury, workers’ compensation, employment discrimination, sexual harassment, workplace misconduct and other employment-related damages, breach of contract, property damage, environmental liabilities, multiemployer pension plan withdrawal liabilities, punitive damages, consequential damages, and civil penalties or other losses or injunctive or declaratory relief. In addition, we generally indemnify our customers for claims related to the services we provide and actions we take under our contracts, and, in some instances, we may be allocated risk through our contract terms for actions by our customers, subcontractors or other third parties. Because our services in certain instances may be integral to the operation and performance of our customers’ infrastructure, we have been and may become subject to lawsuits or claims for any failure of the systems that we work on, even if our services are not the cause of such failures, and we could be subject to civil and criminal liabilities to the extent that our services contributed to any property damage, personal injury or system failure. Insurance coverage may not be available or may be insufficient for these lawsuits, claims or legal proceedings. The outcome of any of these lawsuits, claims or legal proceedings could result in significant costs and diversion of management’s attention from our business. Payments of significant amounts, even if reserved, could materially and adversely affect our business, reputation, financial condition, results of operations and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incur liabilities and suffer negative financial or reputational impacts relating to occupational health and safety matters.</w:t>
      </w:r>
    </w:p>
    <w:p>
      <w:pPr>
        <w:spacing w:after="0" w:line="96" w:lineRule="exact"/>
        <w:rPr>
          <w:sz w:val="20"/>
          <w:szCs w:val="20"/>
          <w:color w:val="auto"/>
        </w:rPr>
      </w:pPr>
    </w:p>
    <w:p>
      <w:pPr>
        <w:ind w:right="20" w:firstLine="240"/>
        <w:spacing w:after="0" w:line="241" w:lineRule="auto"/>
        <w:rPr>
          <w:sz w:val="20"/>
          <w:szCs w:val="20"/>
          <w:color w:val="auto"/>
        </w:rPr>
      </w:pPr>
      <w:r>
        <w:rPr>
          <w:rFonts w:ascii="Arial" w:cs="Arial" w:eastAsia="Arial" w:hAnsi="Arial"/>
          <w:sz w:val="12"/>
          <w:szCs w:val="12"/>
          <w:color w:val="auto"/>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Furthermore, we perform a significant amount of services for customers that operate electrical power infrastructure assets in locations and climates that are more susceptible to wildfires or other natural disasters. These hazards can cause personal injury or loss of life, severe damage to or destruction of property and equipment and other consequential damages and could lead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43" w:lineRule="auto"/>
        <w:rPr>
          <w:sz w:val="20"/>
          <w:szCs w:val="20"/>
          <w:color w:val="auto"/>
        </w:rPr>
      </w:pPr>
      <w:r>
        <w:rPr>
          <w:rFonts w:ascii="Arial" w:cs="Arial" w:eastAsia="Arial" w:hAnsi="Arial"/>
          <w:sz w:val="12"/>
          <w:szCs w:val="12"/>
          <w:color w:val="auto"/>
        </w:rPr>
        <w:t>to suspension of operations, large monetary claims and, in extreme cases, criminal liability. Members of our workforce have suffered serious injuries or fatalities in the past and may suffer additional serious injuries or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spacing w:after="0" w:line="72" w:lineRule="exact"/>
        <w:rPr>
          <w:sz w:val="20"/>
          <w:szCs w:val="20"/>
          <w:color w:val="auto"/>
        </w:rPr>
      </w:pPr>
    </w:p>
    <w:p>
      <w:pPr>
        <w:ind w:right="400" w:firstLine="240"/>
        <w:spacing w:after="0" w:line="261" w:lineRule="auto"/>
        <w:rPr>
          <w:sz w:val="20"/>
          <w:szCs w:val="20"/>
          <w:color w:val="auto"/>
        </w:rPr>
      </w:pPr>
      <w:r>
        <w:rPr>
          <w:rFonts w:ascii="Arial" w:cs="Arial" w:eastAsia="Arial" w:hAnsi="Arial"/>
          <w:sz w:val="12"/>
          <w:szCs w:val="12"/>
          <w:color w:val="auto"/>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Backlog may not be realized or may not result in profits and may not accurately represent future revenue.</w:t>
      </w:r>
    </w:p>
    <w:p>
      <w:pPr>
        <w:spacing w:after="0" w:line="105" w:lineRule="exact"/>
        <w:rPr>
          <w:sz w:val="20"/>
          <w:szCs w:val="20"/>
          <w:color w:val="auto"/>
        </w:rPr>
      </w:pPr>
    </w:p>
    <w:p>
      <w:pPr>
        <w:ind w:right="20" w:firstLine="240"/>
        <w:spacing w:after="0"/>
        <w:rPr>
          <w:sz w:val="20"/>
          <w:szCs w:val="20"/>
          <w:color w:val="auto"/>
        </w:rPr>
      </w:pPr>
      <w:r>
        <w:rPr>
          <w:rFonts w:ascii="Arial" w:cs="Arial" w:eastAsia="Arial" w:hAnsi="Arial"/>
          <w:sz w:val="12"/>
          <w:szCs w:val="12"/>
          <w:color w:val="auto"/>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as to our customers’ requirements or our estimates of backlog. See “Item 1. Business — Backlog” for a discussion on how we calculate backlog for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growth could outpace the capability of our internal resources and limit our ability to support growth.</w:t>
      </w:r>
    </w:p>
    <w:p>
      <w:pPr>
        <w:spacing w:after="0" w:line="96" w:lineRule="exact"/>
        <w:rPr>
          <w:sz w:val="20"/>
          <w:szCs w:val="20"/>
          <w:color w:val="auto"/>
        </w:rPr>
      </w:pPr>
    </w:p>
    <w:p>
      <w:pPr>
        <w:ind w:right="100" w:firstLine="240"/>
        <w:spacing w:after="0" w:line="361" w:lineRule="auto"/>
        <w:rPr>
          <w:sz w:val="20"/>
          <w:szCs w:val="20"/>
          <w:color w:val="auto"/>
        </w:rPr>
      </w:pPr>
      <w:r>
        <w:rPr>
          <w:rFonts w:ascii="Arial" w:cs="Arial" w:eastAsia="Arial" w:hAnsi="Arial"/>
          <w:sz w:val="10"/>
          <w:szCs w:val="10"/>
          <w:color w:val="auto"/>
        </w:rPr>
        <w:t>Our internal resources, including our workforce, specialized equipment and financial resources, may not be adequate to support our operations as they expand, particularly if we are awarded a significant number of large projects in a short time period. A large project may require hiring additional qualified personnel, such as linemen, field supervisors, project managers, engineers and safety personnel, the supply of which may not be sufficient to meet our demands.</w:t>
      </w:r>
    </w:p>
    <w:p>
      <w:pPr>
        <w:spacing w:after="0" w:line="14" w:lineRule="exact"/>
        <w:rPr>
          <w:sz w:val="20"/>
          <w:szCs w:val="20"/>
          <w:color w:val="auto"/>
        </w:rPr>
      </w:pPr>
    </w:p>
    <w:p>
      <w:pPr>
        <w:ind w:firstLine="240"/>
        <w:spacing w:after="0" w:line="248" w:lineRule="auto"/>
        <w:rPr>
          <w:sz w:val="20"/>
          <w:szCs w:val="20"/>
          <w:color w:val="auto"/>
        </w:rPr>
      </w:pPr>
      <w:r>
        <w:rPr>
          <w:rFonts w:ascii="Arial" w:cs="Arial" w:eastAsia="Arial" w:hAnsi="Arial"/>
          <w:sz w:val="12"/>
          <w:szCs w:val="12"/>
          <w:color w:val="auto"/>
        </w:rPr>
        <w:t>Often large transmission projects require specialized equipment. To the extent that we are unable to buy or build equipment necessary for a project, either due to a lack of available funding or equipment shortages in the marketplace, we may be forced to rent equipment on a short-term basis or to find alternative ways to perform the work without the benefit of equipment ideally suited for the job, which could increase the costs of completing the project. Furthermore, we may be unable to buy or rent the specialty equipment and tooling we require due to the limited number of manufacturers and distributors in the marketplace.</w:t>
      </w:r>
    </w:p>
    <w:p>
      <w:pPr>
        <w:spacing w:after="0" w:line="77" w:lineRule="exact"/>
        <w:rPr>
          <w:sz w:val="20"/>
          <w:szCs w:val="20"/>
          <w:color w:val="auto"/>
        </w:rPr>
      </w:pPr>
    </w:p>
    <w:p>
      <w:pPr>
        <w:ind w:right="540" w:firstLine="240"/>
        <w:spacing w:after="0" w:line="261" w:lineRule="auto"/>
        <w:rPr>
          <w:sz w:val="20"/>
          <w:szCs w:val="20"/>
          <w:color w:val="auto"/>
        </w:rPr>
      </w:pPr>
      <w:r>
        <w:rPr>
          <w:rFonts w:ascii="Arial" w:cs="Arial" w:eastAsia="Arial" w:hAnsi="Arial"/>
          <w:sz w:val="12"/>
          <w:szCs w:val="12"/>
          <w:color w:val="auto"/>
        </w:rPr>
        <w:t>Larger projects may require substantial financial resources to meet the cash flow, bonding or letter of credit requirements imposed upon contractors by the customer. Future growth also could impose additional demands and responsibilities on members of our senior management.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dependence on suppliers, subcontractors and equipment manufacturers could expose us to the risk of loss in our operations.</w:t>
      </w:r>
    </w:p>
    <w:p>
      <w:pPr>
        <w:spacing w:after="0" w:line="96" w:lineRule="exact"/>
        <w:rPr>
          <w:sz w:val="20"/>
          <w:szCs w:val="20"/>
          <w:color w:val="auto"/>
        </w:rPr>
      </w:pPr>
    </w:p>
    <w:p>
      <w:pPr>
        <w:ind w:right="100" w:firstLine="240"/>
        <w:spacing w:after="0" w:line="248" w:lineRule="auto"/>
        <w:rPr>
          <w:sz w:val="20"/>
          <w:szCs w:val="20"/>
          <w:color w:val="auto"/>
        </w:rPr>
      </w:pPr>
      <w:r>
        <w:rPr>
          <w:rFonts w:ascii="Arial" w:cs="Arial" w:eastAsia="Arial" w:hAnsi="Arial"/>
          <w:sz w:val="12"/>
          <w:szCs w:val="12"/>
          <w:color w:val="auto"/>
        </w:rPr>
        <w:t>On certain projects, we rely on suppliers to obtain the necessary materials and subcontractors to perform portions of our services. We also rely on equipment manufacturers to provide us with the equipment required to conduct our operations. Although we are not dependent on any single supplier, subcontractor or equipment manufacturer, any substantial limitation on the availability of required suppliers, subcontractors or equipment manufacturers could negatively impact our operations. The risk of a lack of available suppliers, subcontractors or equipment manufacturers may be heightened as a result of market and economic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8" w:name="page19"/>
    <w:bookmarkEnd w:id="18"/>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conditions. In addition, we may experience difficulties in acquiring equipment or materials due to supply chain interruptions, including as a result of natural disasters, weather, labor disputes, pandemic outbreak of disease, fire or explosions and power outages. To the extent we cannot engage subcontractors or acquire equipment or materials, we could experience losses in the performance of our operations. Additionally, successful completion of our contracts may depend on whether our subcontractors successfully fulfill their contractual obligations. If our subcontractors fail to perform their contractual obligations as a result of financial or other difficulties, or if our subcontractors fail to meet the expected completion dates or quality standards, we may be required to incur additional costs or provide additional services in order to make up such shortfall and we may suffer damage to our reputation.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participation in joint ventures and other projects with third parties may expose us to liability for failures of our partners.</w:t>
      </w:r>
    </w:p>
    <w:p>
      <w:pPr>
        <w:spacing w:after="0" w:line="96" w:lineRule="exact"/>
        <w:rPr>
          <w:sz w:val="20"/>
          <w:szCs w:val="20"/>
          <w:color w:val="auto"/>
        </w:rPr>
      </w:pPr>
    </w:p>
    <w:p>
      <w:pPr>
        <w:ind w:right="40" w:firstLine="240"/>
        <w:spacing w:after="0" w:line="257" w:lineRule="auto"/>
        <w:rPr>
          <w:sz w:val="20"/>
          <w:szCs w:val="20"/>
          <w:color w:val="auto"/>
        </w:rPr>
      </w:pPr>
      <w:r>
        <w:rPr>
          <w:rFonts w:ascii="Arial" w:cs="Arial" w:eastAsia="Arial" w:hAnsi="Arial"/>
          <w:sz w:val="12"/>
          <w:szCs w:val="12"/>
          <w:color w:val="auto"/>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inability to successfully execute or integrate acquisitions or joint ventures may have an adverse impact on our growth strategy and business.</w:t>
      </w:r>
    </w:p>
    <w:p>
      <w:pPr>
        <w:spacing w:after="0" w:line="105" w:lineRule="exact"/>
        <w:rPr>
          <w:sz w:val="20"/>
          <w:szCs w:val="20"/>
          <w:color w:val="auto"/>
        </w:rPr>
      </w:pPr>
    </w:p>
    <w:p>
      <w:pPr>
        <w:ind w:right="20" w:firstLine="240"/>
        <w:spacing w:after="0" w:line="286" w:lineRule="auto"/>
        <w:rPr>
          <w:sz w:val="20"/>
          <w:szCs w:val="20"/>
          <w:color w:val="auto"/>
        </w:rPr>
      </w:pPr>
      <w:r>
        <w:rPr>
          <w:rFonts w:ascii="Arial" w:cs="Arial" w:eastAsia="Arial" w:hAnsi="Arial"/>
          <w:sz w:val="11"/>
          <w:szCs w:val="11"/>
          <w:color w:val="auto"/>
        </w:rPr>
        <w:t>From time to time, our business strategy may include expanding our presence in the industries we serve through strategic acquisitions of companies or entry into joint ventures that complement or diversify our business. The number of acquisition targets that meet our criteria may be limited. We may also face competition for acquisition opportunities, and other potential acquirers may offer more favorable terms or have greater financial resources available for potential acquisitions. This competition may further limit our acquisition opportunities and our ability to grow through acquisitions or could raise the prices of acquisitions and make them less accretive, or possibly not accretive, to us. Failure to consummate future acquisitions could negatively affect our future growth strategies. Additionally, the acquisitions we pursue may involve significant cash expenditures, the incurrence or assumption of debt or burdensome regulatory requirements, and any acquisition may ultimately have a negative impact on our business, financial condition, results of operations and cash flows.</w:t>
      </w:r>
    </w:p>
    <w:p>
      <w:pPr>
        <w:spacing w:after="0" w:line="66" w:lineRule="exact"/>
        <w:rPr>
          <w:sz w:val="20"/>
          <w:szCs w:val="20"/>
          <w:color w:val="auto"/>
        </w:rPr>
      </w:pPr>
    </w:p>
    <w:p>
      <w:pPr>
        <w:ind w:right="40" w:firstLine="240"/>
        <w:spacing w:after="0" w:line="286" w:lineRule="auto"/>
        <w:rPr>
          <w:sz w:val="20"/>
          <w:szCs w:val="20"/>
          <w:color w:val="auto"/>
        </w:rPr>
      </w:pPr>
      <w:r>
        <w:rPr>
          <w:rFonts w:ascii="Arial" w:cs="Arial" w:eastAsia="Arial" w:hAnsi="Arial"/>
          <w:sz w:val="11"/>
          <w:szCs w:val="11"/>
          <w:color w:val="auto"/>
        </w:rPr>
        <w:t>We may not realize the anticipated benefits and synergies of an acquisition, and our attempts at integrating an acquired business may not be successful. Acquisitions or joint ventures may expose us to operational and financial challenges and risks, including the disruption of our ongoing business and significant diversion of resources and management’s attention from our existing business; reductions of cash and other resources available for operations and other uses, exposure to risks specific to the acquired businesses, services, or technologies to which we are not currently exposed; the failure to retain key personnel or customers of an acquired business; difficulties integrating new operations and personnel; failure of acquired companies to achieve the results we expect; the assumption of unknown liabilities of the acquired business for which there are inadequate reserves and the potential impairment of acquired intangible assets. Our ability to grow and maintain our competitive position may be affected by our ability to successfully integrate any businesses acquired.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Legislative or regulatory actions relating to electricity transmission and renewable energy may impact demand for our services.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Current and potential legislative or regulatory actions may impact demand for our services. Certain legislation or regulations require utilities to meet reliability standards and encourage installation of new</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electric transmission and renewable energy generation facilities. However, it is unclear whether these initiatives will create sufficient incentives for projects or result in increased demand for our services.</w:t>
      </w:r>
    </w:p>
    <w:p>
      <w:pPr>
        <w:spacing w:after="0" w:line="87" w:lineRule="exact"/>
        <w:rPr>
          <w:sz w:val="20"/>
          <w:szCs w:val="20"/>
          <w:color w:val="auto"/>
        </w:rPr>
      </w:pPr>
    </w:p>
    <w:p>
      <w:pPr>
        <w:ind w:right="60" w:firstLine="240"/>
        <w:spacing w:after="0" w:line="273" w:lineRule="auto"/>
        <w:rPr>
          <w:sz w:val="20"/>
          <w:szCs w:val="20"/>
          <w:color w:val="auto"/>
        </w:rPr>
      </w:pPr>
      <w:r>
        <w:rPr>
          <w:rFonts w:ascii="Arial" w:cs="Arial" w:eastAsia="Arial" w:hAnsi="Arial"/>
          <w:sz w:val="11"/>
          <w:szCs w:val="11"/>
          <w:color w:val="auto"/>
        </w:rPr>
        <w:t>While many states have mandates in place that require specified percentages of electricity to be generated from renewable sources, states could reduce those mandates or make them optional, which could reduce, delay or eliminate renewable energy development in the affected states. Additionally, renewable energy is generally more expensive to produce and may require additional power generation sources as backup. The locations of renewable energy projects are often remote and may not be viable unless new or expanded transmission infrastructure to transport the electricity to demand centers is economically feasible. Furthermore, funding for renewable energy initiatives may not be available. These factors could result in fewer renewable energy projects and a delay in the construction of these projects and the related infrastructure, which could negatively impact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use of percentage-of-completion accounting could result in a reduction or reversal of previously recognized profits.</w:t>
      </w:r>
    </w:p>
    <w:p>
      <w:pPr>
        <w:spacing w:after="0" w:line="96" w:lineRule="exact"/>
        <w:rPr>
          <w:sz w:val="20"/>
          <w:szCs w:val="20"/>
          <w:color w:val="auto"/>
        </w:rPr>
      </w:pPr>
    </w:p>
    <w:p>
      <w:pPr>
        <w:ind w:right="20" w:firstLine="240"/>
        <w:spacing w:after="0" w:line="297" w:lineRule="auto"/>
        <w:rPr>
          <w:sz w:val="20"/>
          <w:szCs w:val="20"/>
          <w:color w:val="auto"/>
        </w:rPr>
      </w:pPr>
      <w:r>
        <w:rPr>
          <w:rFonts w:ascii="Arial" w:cs="Arial" w:eastAsia="Arial" w:hAnsi="Arial"/>
          <w:sz w:val="10"/>
          <w:szCs w:val="10"/>
          <w:color w:val="auto"/>
        </w:rPr>
        <w:t>As discussed in “Item 7. Management’s Discussion and Analysis of Financial Condition and Results from Operations — Critical Accounting Policies” and in the notes to our Financial Statements, a significant portion of our revenues is recognized over the contract term based on costs incurred under the cost-to-cost method. This method is used because management believes costs incurred best represent the amount of work completed and remaining on our projects and is the most common basis for computing percentage of completion in our industry.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 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w:t>
      </w:r>
    </w:p>
    <w:p>
      <w:pPr>
        <w:spacing w:after="0" w:line="101"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b w:val="1"/>
          <w:bCs w:val="1"/>
          <w:i w:val="1"/>
          <w:iCs w:val="1"/>
          <w:color w:val="auto"/>
        </w:rPr>
        <w:t>Our insurance has limits and exclusions that may not fully indemnify us against certain claims or losses, and the unavailability or cancellation of third party insurance coverages would increase our overall risk exposure and could disrupt our operations.</w:t>
      </w:r>
    </w:p>
    <w:p>
      <w:pPr>
        <w:spacing w:after="0" w:line="69" w:lineRule="exact"/>
        <w:rPr>
          <w:sz w:val="20"/>
          <w:szCs w:val="20"/>
          <w:color w:val="auto"/>
        </w:rPr>
      </w:pPr>
    </w:p>
    <w:p>
      <w:pPr>
        <w:ind w:firstLine="240"/>
        <w:spacing w:after="0" w:line="320" w:lineRule="auto"/>
        <w:rPr>
          <w:sz w:val="20"/>
          <w:szCs w:val="20"/>
          <w:color w:val="auto"/>
        </w:rPr>
      </w:pPr>
      <w:r>
        <w:rPr>
          <w:rFonts w:ascii="Arial" w:cs="Arial" w:eastAsia="Arial" w:hAnsi="Arial"/>
          <w:sz w:val="10"/>
          <w:szCs w:val="10"/>
          <w:color w:val="auto"/>
        </w:rPr>
        <w:t>We maintain insurance coverages from third party insurers as part of our overall risk management strategy because some of our contracts require us to maintain specific insurance coverage limits. Although we maintain insurance policies with respect to automobile liability, general liability, workers’ compensation, our employee group health program, and other types of coverages, these policies are subject to high deductibles, and we are self-insured up to the amount of those deductibles. Insurance losses are accrued based upon our estimates of the ultimate liability for claims reported and an estimate of claims incurred but not yet reported. Insurance liabilities are difficult to assess and estimate due to unknown factors, including the severity of an injury, the determination of our liability in proportion to other parties, the number of incidents not reported and the effectiveness of our safety programs, and as a result, our actual losses may exceed our estimates. Therefore, there can be no assurance that our current or past insurance coverages will be sufficient or effective under all circumstances or against all claims and liabilities to which we may be subject.</w:t>
      </w:r>
    </w:p>
    <w:p>
      <w:pPr>
        <w:spacing w:after="0" w:line="44" w:lineRule="exact"/>
        <w:rPr>
          <w:sz w:val="20"/>
          <w:szCs w:val="20"/>
          <w:color w:val="auto"/>
        </w:rPr>
      </w:pPr>
    </w:p>
    <w:p>
      <w:pPr>
        <w:ind w:right="220" w:firstLine="240"/>
        <w:spacing w:after="0" w:line="290" w:lineRule="auto"/>
        <w:rPr>
          <w:sz w:val="20"/>
          <w:szCs w:val="20"/>
          <w:color w:val="auto"/>
        </w:rPr>
      </w:pPr>
      <w:r>
        <w:rPr>
          <w:rFonts w:ascii="Arial" w:cs="Arial" w:eastAsia="Arial" w:hAnsi="Arial"/>
          <w:sz w:val="11"/>
          <w:szCs w:val="11"/>
          <w:color w:val="auto"/>
        </w:rPr>
        <w:t>We generally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affordable at the required limits. In addition, insurers may fail, cancel our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 If our risk exposure increases as a result of adverse changes in our insurance coverages, we could be subject to increased liabilities that could negatively affect our results of operations and financial condition.</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20" w:name="page21"/>
    <w:bookmarkEnd w:id="20"/>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firstLine="240"/>
        <w:spacing w:after="0" w:line="263" w:lineRule="auto"/>
        <w:rPr>
          <w:sz w:val="20"/>
          <w:szCs w:val="20"/>
          <w:color w:val="auto"/>
        </w:rPr>
      </w:pPr>
      <w:r>
        <w:rPr>
          <w:rFonts w:ascii="Arial" w:cs="Arial" w:eastAsia="Arial" w:hAnsi="Arial"/>
          <w:sz w:val="11"/>
          <w:szCs w:val="11"/>
          <w:color w:val="auto"/>
        </w:rPr>
        <w:t>In addition, we perform work in hazardous environments and our employees are exposed to a number of hazards. Incidents can occur, regardless of fault, that may be catastrophic and adversely impact our employees and third parties by causing serious personal injury, loss of life, damage to property or the environment, and interruption of operations. Furthermore, we perform a significant amount of services for customers that operate electrical power infrastructure assets in locations and climates that are more susceptible to wildfires or other natural disasters. In locations or environments where claims have been higher than normal, insurance may become difficult or impossible to obtain. Our contracts may require us to indemnify our customers, project owners and others for injury, damage or loss arising out of our presence at our customers’ location, regardless of fault, or the performance of our work and provide for warranties for materials and workmanship. We may also be required to name the customer and others as an additional insured under our insurance policies. We maintain limited insurance coverage against these and other risks associated with our business. This insurance may not protect us against liability for certain events, including events involving pollution, professional liability, losses resulting from business interruption or acts of terrorism or damages from breach of contract by us. We cannot guarantee that our insurance will be adequate in risk coverage or policy limits to cover all losses or liabilities that we may incur. Any future damages caused by our services that are not covered by insurance or are in excess of policy limits could have a material adverse effect on our results of operations, financial position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actual costs may be greater than expected in performing our fixed-price and unit-price contracts.</w:t>
      </w:r>
    </w:p>
    <w:p>
      <w:pPr>
        <w:spacing w:after="0" w:line="96" w:lineRule="exact"/>
        <w:rPr>
          <w:sz w:val="20"/>
          <w:szCs w:val="20"/>
          <w:color w:val="auto"/>
        </w:rPr>
      </w:pPr>
    </w:p>
    <w:p>
      <w:pPr>
        <w:ind w:firstLine="240"/>
        <w:spacing w:after="0" w:line="243" w:lineRule="auto"/>
        <w:rPr>
          <w:sz w:val="20"/>
          <w:szCs w:val="20"/>
          <w:color w:val="auto"/>
        </w:rPr>
      </w:pPr>
      <w:r>
        <w:rPr>
          <w:rFonts w:ascii="Arial" w:cs="Arial" w:eastAsia="Arial" w:hAnsi="Arial"/>
          <w:sz w:val="12"/>
          <w:szCs w:val="12"/>
          <w:color w:val="auto"/>
        </w:rPr>
        <w:t>We currently generate, and expect to continue to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spacing w:after="0" w:line="54" w:lineRule="exact"/>
        <w:rPr>
          <w:sz w:val="20"/>
          <w:szCs w:val="20"/>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failure to properly estimate costs of engineering, material, equipment or labor;</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inefficient labor performance;</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unanticipated technical problems with the materials or services being supplied by us, which may require us to incur additional costs to remedy the problem;</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project modifications that create unanticipated costs;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the costs of equipment, materials, labor or subcontractors;</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failure of our suppliers or subcontractors to perform;</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difficulties in our customers obtaining required governmental permits or approvals;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site conditions that differ from those assumed in the original bid;</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availability and skill level of workers in the geographic location of the project;</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 increase in the cost of fuel or other resources;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local laws and regulations;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delays caused by local weather conditions, third parties or customers; and</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quality issues requiring rework.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results are based upon estimates and assumptions that may differ from actual results.</w:t>
      </w:r>
    </w:p>
    <w:p>
      <w:pPr>
        <w:spacing w:after="0" w:line="105" w:lineRule="exact"/>
        <w:rPr>
          <w:sz w:val="20"/>
          <w:szCs w:val="20"/>
          <w:color w:val="auto"/>
        </w:rPr>
      </w:pPr>
    </w:p>
    <w:p>
      <w:pPr>
        <w:jc w:val="both"/>
        <w:ind w:right="40" w:firstLine="240"/>
        <w:spacing w:after="0" w:line="248" w:lineRule="auto"/>
        <w:rPr>
          <w:sz w:val="20"/>
          <w:szCs w:val="20"/>
          <w:color w:val="auto"/>
        </w:rPr>
      </w:pPr>
      <w:r>
        <w:rPr>
          <w:rFonts w:ascii="Arial" w:cs="Arial" w:eastAsia="Arial" w:hAnsi="Arial"/>
          <w:sz w:val="12"/>
          <w:szCs w:val="12"/>
          <w:color w:val="auto"/>
        </w:rPr>
        <w:t>In preparing our financial statements in conformity with generally accepted accounting principles in the United States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cannot be calculated with a high degree of precision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168275</wp:posOffset>
            </wp:positionV>
            <wp:extent cx="73177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21" w:name="page22"/>
    <w:bookmarkEnd w:id="21"/>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from data available or is not capable of being readily calculated. In some cases, these estimates are particularly difficult to determine, and we must exercise significant judgment.</w:t>
      </w:r>
    </w:p>
    <w:p>
      <w:pPr>
        <w:spacing w:after="0" w:line="87" w:lineRule="exact"/>
        <w:rPr>
          <w:sz w:val="20"/>
          <w:szCs w:val="20"/>
          <w:color w:val="auto"/>
        </w:rPr>
      </w:pPr>
    </w:p>
    <w:p>
      <w:pPr>
        <w:ind w:right="80" w:firstLine="240"/>
        <w:spacing w:after="0" w:line="273" w:lineRule="auto"/>
        <w:rPr>
          <w:sz w:val="20"/>
          <w:szCs w:val="20"/>
          <w:color w:val="auto"/>
        </w:rPr>
      </w:pPr>
      <w:r>
        <w:rPr>
          <w:rFonts w:ascii="Arial" w:cs="Arial" w:eastAsia="Arial" w:hAnsi="Arial"/>
          <w:sz w:val="11"/>
          <w:szCs w:val="11"/>
          <w:color w:val="auto"/>
        </w:rPr>
        <w:t>The most significant estimates we use are related to costs to complete contracts, pending change orders and claims, shared savings, insurance reserves, income tax reserves, estimates surrounding stock-based compensation, the recoverability of goodwill and intangibles, and accounts receivable reserves. We also may use estimates in our assessment of the useful lives of property and equipment, the valuation allowance on deferred taxes and income tax estimates. From time to time, we may publicly provide earnings or other forms of guidance, which reflect our predictions about future revenue, operating costs and capital structure, among other factors. These predictions may be impacted by estimates, as well as other factors that are beyond our control and may not turn out to be correct. Actual results for all estimates could differ materially from the estimates and assumptions that we use.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a major customer may have an adverse effect on us.</w:t>
      </w:r>
    </w:p>
    <w:p>
      <w:pPr>
        <w:spacing w:after="0" w:line="105" w:lineRule="exact"/>
        <w:rPr>
          <w:sz w:val="20"/>
          <w:szCs w:val="20"/>
          <w:color w:val="auto"/>
        </w:rPr>
      </w:pPr>
    </w:p>
    <w:p>
      <w:pPr>
        <w:ind w:right="160" w:firstLine="240"/>
        <w:spacing w:after="0" w:line="248" w:lineRule="auto"/>
        <w:rPr>
          <w:sz w:val="20"/>
          <w:szCs w:val="20"/>
          <w:color w:val="auto"/>
        </w:rPr>
      </w:pPr>
      <w:r>
        <w:rPr>
          <w:rFonts w:ascii="Arial" w:cs="Arial" w:eastAsia="Arial" w:hAnsi="Arial"/>
          <w:sz w:val="12"/>
          <w:szCs w:val="12"/>
          <w:color w:val="auto"/>
        </w:rPr>
        <w:t>Our customer base is highly concentrated, with our top ten customers accounting for 30.8% of our revenue in 2019. Much of our success depends on developing and maintaining relationships with our major customers. Our revenue could significantly decline if we lose one or more of our significant customers. In addition, revenues generated from contracts with significant customers may vary from period-to-period depending on the timing and volume of work ordered by such customers in a given period and as a result of competition from the in-house service organizations of our customers.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extend trade credit to customers for purchases of our services, and may have difficulty collecting receivables from them.</w:t>
      </w:r>
    </w:p>
    <w:p>
      <w:pPr>
        <w:spacing w:after="0" w:line="96" w:lineRule="exact"/>
        <w:rPr>
          <w:sz w:val="20"/>
          <w:szCs w:val="20"/>
          <w:color w:val="auto"/>
        </w:rPr>
      </w:pPr>
    </w:p>
    <w:p>
      <w:pPr>
        <w:ind w:right="20" w:firstLine="240"/>
        <w:spacing w:after="0" w:line="280" w:lineRule="auto"/>
        <w:rPr>
          <w:sz w:val="20"/>
          <w:szCs w:val="20"/>
          <w:color w:val="auto"/>
        </w:rPr>
      </w:pPr>
      <w:r>
        <w:rPr>
          <w:rFonts w:ascii="Arial" w:cs="Arial" w:eastAsia="Arial" w:hAnsi="Arial"/>
          <w:sz w:val="11"/>
          <w:szCs w:val="11"/>
          <w:color w:val="auto"/>
        </w:rPr>
        <w:t>We grant trade credit, generally without collateral, to our customers for the purchase of our services. We have in the past, and may in the future, have difficulty collecting receivables from customers, particularly those experiencing financial difficulties. Our customers in the T&amp;D segment include investor-owned utilities, cooperatives, private developers, government-funded utilities, independent power producers, independent transmission companies, industrial facility owners and other contractors. Our customers in the C&amp;I segment include general contractors, commercial and industrial facility owners, governmental agencies and developers located in our regional markets. Our customers also include special purpose entities that own T&amp;D projects which do not have the financial resources of traditional transmission utility operators. Consequently, we are subject to potential credit risk related to changes in business and economic factors. Due to our work on large construction projects, a few customers sometimes may comprise a large portion of our receivable balance at any point in time. If any of our major customers experience financial difficulties, we could experience reduced cash flows and losses in excess of current allowances provided. In addition, material changes in any of our customers’ revenues or cash flows could affect our ability to collect amounts due from them. Slowing economic conditions in the industries we serve, economic downturns or bankruptcies could also impair the financial condition of one or more of our customers and hinder their ability to pay us on a timely basis. Further, to the extent a customer files for bankruptcy protection, certain payments made to us prior to the filing of the bankruptcy petition may be voided and required to be returned to the customer’s bankruptcy estate.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failure to comply with environmental and other laws and regulations could result in significant liabilities.</w:t>
      </w:r>
    </w:p>
    <w:p>
      <w:pPr>
        <w:spacing w:after="0" w:line="96" w:lineRule="exact"/>
        <w:rPr>
          <w:sz w:val="20"/>
          <w:szCs w:val="20"/>
          <w:color w:val="auto"/>
        </w:rPr>
      </w:pPr>
    </w:p>
    <w:p>
      <w:pPr>
        <w:ind w:firstLine="240"/>
        <w:spacing w:after="0" w:line="286" w:lineRule="auto"/>
        <w:rPr>
          <w:sz w:val="20"/>
          <w:szCs w:val="20"/>
          <w:color w:val="auto"/>
        </w:rPr>
      </w:pPr>
      <w:r>
        <w:rPr>
          <w:rFonts w:ascii="Arial" w:cs="Arial" w:eastAsia="Arial" w:hAnsi="Arial"/>
          <w:sz w:val="11"/>
          <w:szCs w:val="11"/>
          <w:color w:val="auto"/>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22" w:name="page23"/>
    <w:bookmarkEnd w:id="22"/>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penalties and damages under certain environmental laws and regulations, which could materially and adversely affect our business and results of operations.</w:t>
      </w:r>
    </w:p>
    <w:p>
      <w:pPr>
        <w:spacing w:after="0" w:line="87" w:lineRule="exact"/>
        <w:rPr>
          <w:sz w:val="20"/>
          <w:szCs w:val="20"/>
          <w:color w:val="auto"/>
        </w:rPr>
      </w:pPr>
    </w:p>
    <w:p>
      <w:pPr>
        <w:ind w:firstLine="240"/>
        <w:spacing w:after="0" w:line="281" w:lineRule="auto"/>
        <w:rPr>
          <w:sz w:val="20"/>
          <w:szCs w:val="20"/>
          <w:color w:val="auto"/>
        </w:rPr>
      </w:pPr>
      <w:r>
        <w:rPr>
          <w:rFonts w:ascii="Arial" w:cs="Arial" w:eastAsia="Arial" w:hAnsi="Arial"/>
          <w:sz w:val="11"/>
          <w:szCs w:val="11"/>
          <w:color w:val="auto"/>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financial condition and results of operations.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spacing w:after="0" w:line="60" w:lineRule="exact"/>
        <w:rPr>
          <w:sz w:val="20"/>
          <w:szCs w:val="20"/>
          <w:color w:val="auto"/>
        </w:rPr>
      </w:pPr>
    </w:p>
    <w:p>
      <w:pPr>
        <w:jc w:val="both"/>
        <w:ind w:right="80" w:firstLine="240"/>
        <w:spacing w:after="0" w:line="281" w:lineRule="auto"/>
        <w:rPr>
          <w:sz w:val="20"/>
          <w:szCs w:val="20"/>
          <w:color w:val="auto"/>
        </w:rPr>
      </w:pPr>
      <w:r>
        <w:rPr>
          <w:rFonts w:ascii="Arial" w:cs="Arial" w:eastAsia="Arial" w:hAnsi="Arial"/>
          <w:sz w:val="11"/>
          <w:szCs w:val="11"/>
          <w:color w:val="auto"/>
        </w:rPr>
        <w:t>Legislative and regulatory proposals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in light of our large fleet. In addition, if our operations are perceived to result in high greenhouse gas emissions, our reputation could suffer.</w:t>
      </w:r>
    </w:p>
    <w:p>
      <w:pPr>
        <w:spacing w:after="0" w:line="60" w:lineRule="exact"/>
        <w:rPr>
          <w:sz w:val="20"/>
          <w:szCs w:val="20"/>
          <w:color w:val="auto"/>
        </w:rPr>
      </w:pPr>
    </w:p>
    <w:p>
      <w:pPr>
        <w:ind w:right="200" w:firstLine="240"/>
        <w:spacing w:after="0" w:line="361" w:lineRule="auto"/>
        <w:rPr>
          <w:sz w:val="20"/>
          <w:szCs w:val="20"/>
          <w:color w:val="auto"/>
        </w:rPr>
      </w:pPr>
      <w:r>
        <w:rPr>
          <w:rFonts w:ascii="Arial" w:cs="Arial" w:eastAsia="Arial" w:hAnsi="Arial"/>
          <w:sz w:val="10"/>
          <w:szCs w:val="10"/>
          <w:color w:val="auto"/>
        </w:rPr>
        <w:t>In addition, we are subject to laws and regulations protecting endangered species. Laws also protect Native American artifacts and archaeological sites and a part of our business is operated in the southwestern United States, where there is a greater chance of discovering those sites. We may incur work stoppages to avoid violating these laws and regulations, or we may risk fines or other sanctions for accidentally or willfully violating these laws and regulations.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compete for, or work on, certain projects if we are not able to obtain necessary bonds, letters of credit, bank guarantees or other financial assurances.</w:t>
      </w:r>
    </w:p>
    <w:p>
      <w:pPr>
        <w:spacing w:after="0" w:line="87" w:lineRule="exact"/>
        <w:rPr>
          <w:sz w:val="20"/>
          <w:szCs w:val="20"/>
          <w:color w:val="auto"/>
        </w:rPr>
      </w:pPr>
    </w:p>
    <w:p>
      <w:pPr>
        <w:ind w:right="20" w:firstLine="240"/>
        <w:spacing w:after="0"/>
        <w:rPr>
          <w:sz w:val="20"/>
          <w:szCs w:val="20"/>
          <w:color w:val="auto"/>
        </w:rPr>
      </w:pPr>
      <w:r>
        <w:rPr>
          <w:rFonts w:ascii="Arial" w:cs="Arial" w:eastAsia="Arial" w:hAnsi="Arial"/>
          <w:sz w:val="12"/>
          <w:szCs w:val="12"/>
          <w:color w:val="auto"/>
        </w:rPr>
        <w:t>Many of our contracts require that we provide security to our customers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w:t>
      </w:r>
    </w:p>
    <w:p>
      <w:pPr>
        <w:spacing w:after="0" w:line="82" w:lineRule="exact"/>
        <w:rPr>
          <w:sz w:val="20"/>
          <w:szCs w:val="20"/>
          <w:color w:val="auto"/>
        </w:rPr>
      </w:pPr>
    </w:p>
    <w:p>
      <w:pPr>
        <w:ind w:right="20" w:firstLine="240"/>
        <w:spacing w:after="0" w:line="248" w:lineRule="auto"/>
        <w:rPr>
          <w:sz w:val="20"/>
          <w:szCs w:val="20"/>
          <w:color w:val="auto"/>
        </w:rPr>
      </w:pPr>
      <w:r>
        <w:rPr>
          <w:rFonts w:ascii="Arial" w:cs="Arial" w:eastAsia="Arial" w:hAnsi="Arial"/>
          <w:sz w:val="12"/>
          <w:szCs w:val="12"/>
          <w:color w:val="auto"/>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Inability to hire or retain key personnel could disrupt our business.</w:t>
      </w:r>
    </w:p>
    <w:p>
      <w:pPr>
        <w:spacing w:after="0" w:line="105" w:lineRule="exact"/>
        <w:rPr>
          <w:sz w:val="20"/>
          <w:szCs w:val="20"/>
          <w:color w:val="auto"/>
        </w:rPr>
      </w:pPr>
    </w:p>
    <w:p>
      <w:pPr>
        <w:ind w:right="80" w:firstLine="240"/>
        <w:spacing w:after="0" w:line="273" w:lineRule="auto"/>
        <w:rPr>
          <w:sz w:val="20"/>
          <w:szCs w:val="20"/>
          <w:color w:val="auto"/>
        </w:rPr>
      </w:pPr>
      <w:r>
        <w:rPr>
          <w:rFonts w:ascii="Arial" w:cs="Arial" w:eastAsia="Arial" w:hAnsi="Arial"/>
          <w:sz w:val="11"/>
          <w:szCs w:val="11"/>
          <w:color w:val="auto"/>
        </w:rPr>
        <w:t>The success of our business depends upon the continued efforts and abilities of our executive officers and senior management, including the management at our operating subsidiaries. The relationships between our executive officers and senior management and our customers are important to obtaining and retaining business. We are also dependent upon our project managers and field supervisors who are responsible for managing and recruiting personnel for our projects. There can be no assurance that any individual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3" w:name="page24"/>
    <w:bookmarkEnd w:id="23"/>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of key personnel. The loss of key personnel, or the inability to hire and retain qualified personnel, could negatively impact our ability to manage our business and relationships with our customers.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may be affected by seasonal and other variations, including severe weather conditions and the nature of our work environment.</w:t>
      </w:r>
    </w:p>
    <w:p>
      <w:pPr>
        <w:spacing w:after="0" w:line="87" w:lineRule="exact"/>
        <w:rPr>
          <w:sz w:val="20"/>
          <w:szCs w:val="20"/>
          <w:color w:val="auto"/>
        </w:rPr>
      </w:pPr>
    </w:p>
    <w:p>
      <w:pPr>
        <w:ind w:right="120" w:firstLine="240"/>
        <w:spacing w:after="0" w:line="239" w:lineRule="auto"/>
        <w:rPr>
          <w:sz w:val="20"/>
          <w:szCs w:val="20"/>
          <w:color w:val="auto"/>
        </w:rPr>
      </w:pPr>
      <w:r>
        <w:rPr>
          <w:rFonts w:ascii="Arial" w:cs="Arial" w:eastAsia="Arial" w:hAnsi="Arial"/>
          <w:sz w:val="12"/>
          <w:szCs w:val="12"/>
          <w:color w:val="auto"/>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the winter months and during severe weather conditions because work performed during these periods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 Working capital needs are also influenced by the seasonality of our business. We generally experience a need for additional working capital during the spring when we increase outdoor construction in weather-affected regions of the country, and we convert working capital assets to cash during the winter months.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Work stoppages or other labor issues with our unionized workforce could adversely affect our business, and we may be subject to unionization attempts.</w:t>
      </w:r>
    </w:p>
    <w:p>
      <w:pPr>
        <w:spacing w:after="0" w:line="96" w:lineRule="exact"/>
        <w:rPr>
          <w:sz w:val="20"/>
          <w:szCs w:val="20"/>
          <w:color w:val="auto"/>
        </w:rPr>
      </w:pPr>
    </w:p>
    <w:p>
      <w:pPr>
        <w:jc w:val="both"/>
        <w:ind w:right="20" w:firstLine="240"/>
        <w:spacing w:after="0" w:line="281" w:lineRule="auto"/>
        <w:rPr>
          <w:sz w:val="20"/>
          <w:szCs w:val="20"/>
          <w:color w:val="auto"/>
        </w:rPr>
      </w:pPr>
      <w:r>
        <w:rPr>
          <w:rFonts w:ascii="Arial" w:cs="Arial" w:eastAsia="Arial" w:hAnsi="Arial"/>
          <w:sz w:val="11"/>
          <w:szCs w:val="11"/>
          <w:color w:val="auto"/>
        </w:rPr>
        <w:t>As of December 31, 2019, approximately 90% of our craft labor employees were covered by collective bargaining agreements. Although the majority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 From time to time, we have experienced attempts to unionize our nonunion businesses. Such efforts often delay work and present the risk of labor unrest. If nonunion employees were to unionize, we could experience higher ongoing labor costs.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i w:val="1"/>
          <w:iCs w:val="1"/>
          <w:color w:val="auto"/>
        </w:rPr>
        <w:t>Failure to obtain permitting, right-of-way access and other tactical considerations prior to the commencement of work could delay the commencement of work on projects or cause modifications of work plans, potentially resulting in lower margins.</w:t>
      </w:r>
    </w:p>
    <w:p>
      <w:pPr>
        <w:spacing w:after="0" w:line="69" w:lineRule="exact"/>
        <w:rPr>
          <w:sz w:val="20"/>
          <w:szCs w:val="20"/>
          <w:color w:val="auto"/>
        </w:rPr>
      </w:pPr>
    </w:p>
    <w:p>
      <w:pPr>
        <w:ind w:right="100" w:firstLine="240"/>
        <w:spacing w:after="0" w:line="263" w:lineRule="auto"/>
        <w:rPr>
          <w:sz w:val="20"/>
          <w:szCs w:val="20"/>
          <w:color w:val="auto"/>
        </w:rPr>
      </w:pPr>
      <w:r>
        <w:rPr>
          <w:rFonts w:ascii="Arial" w:cs="Arial" w:eastAsia="Arial" w:hAnsi="Arial"/>
          <w:sz w:val="12"/>
          <w:szCs w:val="12"/>
          <w:color w:val="auto"/>
        </w:rPr>
        <w:t>We generally plan for certain up-front time and other costs to obtain required permitting and right-of-way access and for other tactical challenges prior to the commencement of work on our projects. Delays in obtaining, or the inability to obtain, permits or right-of-way access, could negatively impact our margins due to additional cost and unabsorbed overhead resulting from under-utilized personnel and equipment. Additionally, we may encounter unexpected tactical issues on the site which could lead to unanticipated costs and delays, which we may not be able to recover from our customers.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Multi-employer pension plan obligations related to our unionized workforce could adversely impact our earnings.</w:t>
      </w:r>
    </w:p>
    <w:p>
      <w:pPr>
        <w:spacing w:after="0" w:line="96" w:lineRule="exact"/>
        <w:rPr>
          <w:sz w:val="20"/>
          <w:szCs w:val="20"/>
          <w:color w:val="auto"/>
        </w:rPr>
      </w:pPr>
    </w:p>
    <w:p>
      <w:pPr>
        <w:ind w:right="40" w:firstLine="240"/>
        <w:spacing w:after="0" w:line="286" w:lineRule="auto"/>
        <w:rPr>
          <w:sz w:val="20"/>
          <w:szCs w:val="20"/>
          <w:color w:val="auto"/>
        </w:rPr>
      </w:pPr>
      <w:r>
        <w:rPr>
          <w:rFonts w:ascii="Arial" w:cs="Arial" w:eastAsia="Arial" w:hAnsi="Arial"/>
          <w:sz w:val="11"/>
          <w:szCs w:val="11"/>
          <w:color w:val="auto"/>
        </w:rPr>
        <w:t>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by the Consolidated and Further Continuing Appropriations Act of 2015 (the “PPA”) imposes additional funding and operational rules applicable to 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24" w:name="page25"/>
    <w:bookmarkEnd w:id="24"/>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180" w:firstLine="240"/>
        <w:spacing w:after="0" w:line="261" w:lineRule="auto"/>
        <w:rPr>
          <w:sz w:val="20"/>
          <w:szCs w:val="20"/>
          <w:color w:val="auto"/>
        </w:rPr>
      </w:pPr>
      <w:r>
        <w:rPr>
          <w:rFonts w:ascii="Arial" w:cs="Arial" w:eastAsia="Arial" w:hAnsi="Arial"/>
          <w:sz w:val="12"/>
          <w:szCs w:val="12"/>
          <w:color w:val="auto"/>
        </w:rPr>
        <w:t>Although we are not currently aware of any potential significant liabilities to us as a result of these plans being classified as being in a “critical” or “endangered” status, our future financial results could be impacted by the amended funding rules.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results of operations could be adversely affected as a result of asset impairments.</w:t>
      </w:r>
    </w:p>
    <w:p>
      <w:pPr>
        <w:spacing w:after="0" w:line="96" w:lineRule="exact"/>
        <w:rPr>
          <w:sz w:val="20"/>
          <w:szCs w:val="20"/>
          <w:color w:val="auto"/>
        </w:rPr>
      </w:pPr>
    </w:p>
    <w:p>
      <w:pPr>
        <w:ind w:right="180" w:firstLine="240"/>
        <w:spacing w:after="0" w:line="241" w:lineRule="auto"/>
        <w:rPr>
          <w:sz w:val="20"/>
          <w:szCs w:val="20"/>
          <w:color w:val="auto"/>
        </w:rPr>
      </w:pPr>
      <w:r>
        <w:rPr>
          <w:rFonts w:ascii="Arial" w:cs="Arial" w:eastAsia="Arial" w:hAnsi="Arial"/>
          <w:sz w:val="12"/>
          <w:szCs w:val="12"/>
          <w:color w:val="auto"/>
        </w:rPr>
        <w:t>Our results of operations and financial condition could be adversely affected by impairments to goodwill, other intangible assets, receivables, long-lived assets or investments. For example, when we acquire a business, we record goodwill in an amount equal to the amount we paid for the business minus the fair value of the net tangible assets and other intangible assets of the acquired business. Goodwill and other intangible assets that have indefinite useful lives cannot be amortized, but instead must be tested at least annually for impairment. For additional description on this impairment testing, please read Item 7. Management’s Discussion and Analysis of Financial Condition and Results of Operations — Critical Accounting Policies — “Goodwill and Intangibles”. Any future impairments, including impairments of goodwill, intangible assets, long-lived assets or investments, could have a material adverse effect on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have access in the future to sufficient funding to finance desired growth and operations.</w:t>
      </w:r>
    </w:p>
    <w:p>
      <w:pPr>
        <w:spacing w:after="0" w:line="105" w:lineRule="exact"/>
        <w:rPr>
          <w:sz w:val="20"/>
          <w:szCs w:val="20"/>
          <w:color w:val="auto"/>
        </w:rPr>
      </w:pPr>
    </w:p>
    <w:p>
      <w:pPr>
        <w:ind w:firstLine="240"/>
        <w:spacing w:after="0" w:line="248" w:lineRule="auto"/>
        <w:rPr>
          <w:sz w:val="20"/>
          <w:szCs w:val="20"/>
          <w:color w:val="auto"/>
        </w:rPr>
      </w:pPr>
      <w:r>
        <w:rPr>
          <w:rFonts w:ascii="Arial" w:cs="Arial" w:eastAsia="Arial" w:hAnsi="Arial"/>
          <w:sz w:val="12"/>
          <w:szCs w:val="12"/>
          <w:color w:val="auto"/>
        </w:rPr>
        <w:t>If we cannot secure funds in the future, including financing on acceptable terms, we may be unable to support our growth strategy or future operations. Our credit facility contains numerous covenants and requires us to meet and maintain certain financial ratios and other tests. General business and economic conditions may affect our ability to comply with these covenants or meet those financial ratios and other tests, which may limit our ability to borrow under the facility.</w:t>
      </w:r>
    </w:p>
    <w:p>
      <w:pPr>
        <w:spacing w:after="0" w:line="77" w:lineRule="exact"/>
        <w:rPr>
          <w:sz w:val="20"/>
          <w:szCs w:val="20"/>
          <w:color w:val="auto"/>
        </w:rPr>
      </w:pPr>
    </w:p>
    <w:p>
      <w:pPr>
        <w:ind w:right="300" w:firstLine="240"/>
        <w:spacing w:after="0" w:line="261" w:lineRule="auto"/>
        <w:rPr>
          <w:sz w:val="20"/>
          <w:szCs w:val="20"/>
          <w:color w:val="auto"/>
        </w:rPr>
      </w:pPr>
      <w:r>
        <w:rPr>
          <w:rFonts w:ascii="Arial" w:cs="Arial" w:eastAsia="Arial" w:hAnsi="Arial"/>
          <w:sz w:val="12"/>
          <w:szCs w:val="12"/>
          <w:color w:val="auto"/>
        </w:rPr>
        <w:t>Restrictions in the availability of bank credit could cause us to forgo otherwise attractive business opportunities and could require us to modify our business plan. We cannot assure we will be able to obtain necessary or desirable financing either on favorable terms or at all.</w:t>
      </w:r>
    </w:p>
    <w:p>
      <w:pPr>
        <w:spacing w:after="0" w:line="114"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b w:val="1"/>
          <w:bCs w:val="1"/>
          <w:i w:val="1"/>
          <w:iCs w:val="1"/>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60" w:lineRule="exact"/>
        <w:rPr>
          <w:sz w:val="20"/>
          <w:szCs w:val="20"/>
          <w:color w:val="auto"/>
        </w:rPr>
      </w:pPr>
    </w:p>
    <w:p>
      <w:pPr>
        <w:ind w:right="20" w:firstLine="240"/>
        <w:spacing w:after="0" w:line="273" w:lineRule="auto"/>
        <w:rPr>
          <w:sz w:val="20"/>
          <w:szCs w:val="20"/>
          <w:color w:val="auto"/>
        </w:rPr>
      </w:pPr>
      <w:r>
        <w:rPr>
          <w:rFonts w:ascii="Arial" w:cs="Arial" w:eastAsia="Arial" w:hAnsi="Arial"/>
          <w:sz w:val="11"/>
          <w:szCs w:val="11"/>
          <w:color w:val="auto"/>
        </w:rPr>
        <w:t>We and our business partners are heavily reliant on information and communications technology and related systems to conduct our business. We also rely on third-party software and information technology to run certain of our critical accounting, project management and financial information systems. Furthermore, in connection with our business we may collect and retain personally identifiable and other sensitive information of our customers and personnel,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results of operations, and significant costs could be incurred to remediate any problem.</w:t>
      </w:r>
    </w:p>
    <w:p>
      <w:pPr>
        <w:spacing w:after="0" w:line="64" w:lineRule="exact"/>
        <w:rPr>
          <w:sz w:val="20"/>
          <w:szCs w:val="20"/>
          <w:color w:val="auto"/>
        </w:rPr>
      </w:pPr>
    </w:p>
    <w:p>
      <w:pPr>
        <w:ind w:right="20" w:firstLine="240"/>
        <w:spacing w:after="0" w:line="273" w:lineRule="auto"/>
        <w:rPr>
          <w:sz w:val="20"/>
          <w:szCs w:val="20"/>
          <w:color w:val="auto"/>
        </w:rPr>
      </w:pPr>
      <w:r>
        <w:rPr>
          <w:rFonts w:ascii="Arial" w:cs="Arial" w:eastAsia="Arial" w:hAnsi="Arial"/>
          <w:sz w:val="11"/>
          <w:szCs w:val="11"/>
          <w:color w:val="auto"/>
        </w:rPr>
        <w:t>Increased IT security threats and more sophisticated computer crimes, including advanced persistent threats, computer viruses, ransomware, other types of malicious code, hacking, phishing and social engineering schemes designed to provide access to our networks or data, pose a potential risk to the security of our IT systems, networks and services, as well as the confidentiality, availability and integrity of our data. If the IT systems, networks or service providers we rely upon fail to function properly, or if we suffer a loss or disclosure of sensitive information, we may suffer interruptions in our ability to manage operations, be subject to government enforcement actions, litigation, and reputational, competitive and business harm which may adversely impact our results of operations, financial condition, competitive position and reputation.</w:t>
      </w:r>
    </w:p>
    <w:p>
      <w:pPr>
        <w:spacing w:after="0" w:line="64" w:lineRule="exact"/>
        <w:rPr>
          <w:sz w:val="20"/>
          <w:szCs w:val="20"/>
          <w:color w:val="auto"/>
        </w:rPr>
      </w:pPr>
    </w:p>
    <w:p>
      <w:pPr>
        <w:ind w:right="220" w:firstLine="240"/>
        <w:spacing w:after="0" w:line="243" w:lineRule="auto"/>
        <w:rPr>
          <w:sz w:val="20"/>
          <w:szCs w:val="20"/>
          <w:color w:val="auto"/>
        </w:rPr>
      </w:pPr>
      <w:r>
        <w:rPr>
          <w:rFonts w:ascii="Arial" w:cs="Arial" w:eastAsia="Arial" w:hAnsi="Arial"/>
          <w:sz w:val="12"/>
          <w:szCs w:val="12"/>
          <w:color w:val="auto"/>
        </w:rPr>
        <w:t>As techniques used to obtain unauthorized access or sabotage systems change frequently and generally are not recognized until launched against a target, we may be unable to anticipate these techniques or implement adequate preventative measures. 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Furthermore, our relationships with, and access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25" w:name="page26"/>
    <w:bookmarkEnd w:id="25"/>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provided to, third parties and their vendors may create difficulties in anticipating and implementing adequate preventative measures or mitigating harms after an attack or breach occurs.</w:t>
      </w:r>
    </w:p>
    <w:p>
      <w:pPr>
        <w:spacing w:after="0" w:line="87" w:lineRule="exact"/>
        <w:rPr>
          <w:sz w:val="20"/>
          <w:szCs w:val="20"/>
          <w:color w:val="auto"/>
        </w:rPr>
      </w:pPr>
    </w:p>
    <w:p>
      <w:pPr>
        <w:ind w:right="120" w:firstLine="240"/>
        <w:spacing w:after="0" w:line="261" w:lineRule="auto"/>
        <w:rPr>
          <w:sz w:val="20"/>
          <w:szCs w:val="20"/>
          <w:color w:val="auto"/>
        </w:rPr>
      </w:pPr>
      <w:r>
        <w:rPr>
          <w:rFonts w:ascii="Arial" w:cs="Arial" w:eastAsia="Arial" w:hAnsi="Arial"/>
          <w:sz w:val="12"/>
          <w:szCs w:val="12"/>
          <w:color w:val="auto"/>
        </w:rPr>
        <w:t>If an actual or perceived breach of our security occurs, the public perception of the effectiveness of our security measures could be harmed and we could lose customers. Any of these disruptions or breaches of security would have a material adverse effect on our business, results of operations and financial condition.</w:t>
      </w:r>
    </w:p>
    <w:p>
      <w:pPr>
        <w:spacing w:after="0" w:line="69" w:lineRule="exact"/>
        <w:rPr>
          <w:sz w:val="20"/>
          <w:szCs w:val="20"/>
          <w:color w:val="auto"/>
        </w:rPr>
      </w:pPr>
    </w:p>
    <w:p>
      <w:pPr>
        <w:ind w:right="160" w:firstLine="240"/>
        <w:spacing w:after="0" w:line="281" w:lineRule="auto"/>
        <w:rPr>
          <w:sz w:val="20"/>
          <w:szCs w:val="20"/>
          <w:color w:val="auto"/>
        </w:rPr>
      </w:pPr>
      <w:r>
        <w:rPr>
          <w:rFonts w:ascii="Arial" w:cs="Arial" w:eastAsia="Arial" w:hAnsi="Arial"/>
          <w:sz w:val="11"/>
          <w:szCs w:val="11"/>
          <w:color w:val="auto"/>
        </w:rPr>
        <w:t>In addition, current and future laws and regulations governing data privacy and the unauthorized disclosure of confidential information may pose complex compliance challenges and/or result in additional costs. A failure to comply with such laws and regulations could result in penalties or fines, legal liabilities and/or harm our reputation. The continuing and evolving threat of cyber-attacks has also resulted in increased regulatory focus on risk management and prevention. New cyber-related regulations or other requirements could cause us to incur significant costs, which could have an adverse effect on our results of operations and cash flows.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operations are subject to a number of operational risks which may result in unexpected costs or liabilities.</w:t>
      </w:r>
    </w:p>
    <w:p>
      <w:pPr>
        <w:spacing w:after="0" w:line="105" w:lineRule="exact"/>
        <w:rPr>
          <w:sz w:val="20"/>
          <w:szCs w:val="20"/>
          <w:color w:val="auto"/>
        </w:rPr>
      </w:pPr>
    </w:p>
    <w:p>
      <w:pPr>
        <w:ind w:firstLine="240"/>
        <w:spacing w:after="0" w:line="266" w:lineRule="auto"/>
        <w:rPr>
          <w:sz w:val="20"/>
          <w:szCs w:val="20"/>
          <w:color w:val="auto"/>
        </w:rPr>
      </w:pPr>
      <w:r>
        <w:rPr>
          <w:rFonts w:ascii="Arial" w:cs="Arial" w:eastAsia="Arial" w:hAnsi="Arial"/>
          <w:sz w:val="11"/>
          <w:szCs w:val="11"/>
          <w:color w:val="auto"/>
        </w:rPr>
        <w:t>Unexpected costs or liabilities may arise from lawsuits or indemnity claims related to the services we perform or have performed in the past. We have in the past been, and may in the future be, named as a defendant in lawsuits, claims and other legal proceedings during the ordinary course of our business. These actions may seek, among other things, compensation for alleged personal injury, workers’ compensation, employment discrimination, breach of contract, property damage, environmental remediation, punitive damages, civil penalties or other losses, consequential damages or injunctive or declaratory relief. In addition, pursuant to our service arrangements, we generally indemnify our customers for claims related to the services we provide under those service arrangements. In some instances, our services are integral to the operation and performance of the electric distribution and transmission infrastructure. As a result, we may become subject to lawsuits or claims for any failure of the systems we work on, even if our services are not the cause for such failures. In addition, we may incur civil and criminal liabilities to the extent that our services contributed to any personal injury or property damage. The outcome of any of these lawsuits, claims or legal proceedings could result in significant costs and diversion of managements’ attention to the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Opportunities associated with government contracts could lead to increased governmental regulation applicable to us.</w:t>
      </w:r>
    </w:p>
    <w:p>
      <w:pPr>
        <w:spacing w:after="0" w:line="87" w:lineRule="exact"/>
        <w:rPr>
          <w:sz w:val="20"/>
          <w:szCs w:val="20"/>
          <w:color w:val="auto"/>
        </w:rPr>
      </w:pPr>
    </w:p>
    <w:p>
      <w:pPr>
        <w:ind w:firstLine="240"/>
        <w:spacing w:after="0" w:line="273" w:lineRule="auto"/>
        <w:rPr>
          <w:sz w:val="20"/>
          <w:szCs w:val="20"/>
          <w:color w:val="auto"/>
        </w:rPr>
      </w:pPr>
      <w:r>
        <w:rPr>
          <w:rFonts w:ascii="Arial" w:cs="Arial" w:eastAsia="Arial" w:hAnsi="Arial"/>
          <w:sz w:val="11"/>
          <w:szCs w:val="11"/>
          <w:color w:val="auto"/>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our interpretation of tax laws could impact the determination of our income tax liabilities.</w:t>
      </w:r>
    </w:p>
    <w:p>
      <w:pPr>
        <w:spacing w:after="0" w:line="105" w:lineRule="exact"/>
        <w:rPr>
          <w:sz w:val="20"/>
          <w:szCs w:val="20"/>
          <w:color w:val="auto"/>
        </w:rPr>
      </w:pPr>
    </w:p>
    <w:p>
      <w:pPr>
        <w:ind w:right="180" w:firstLine="240"/>
        <w:spacing w:after="0" w:line="243" w:lineRule="auto"/>
        <w:rPr>
          <w:sz w:val="20"/>
          <w:szCs w:val="20"/>
          <w:color w:val="auto"/>
        </w:rPr>
      </w:pPr>
      <w:r>
        <w:rPr>
          <w:rFonts w:ascii="Arial" w:cs="Arial" w:eastAsia="Arial" w:hAnsi="Arial"/>
          <w:sz w:val="12"/>
          <w:szCs w:val="12"/>
          <w:color w:val="auto"/>
        </w:rPr>
        <w:t>We have operations in the United States and Canada and are subject to the jurisdiction of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Changes in the operating environment, including changes in or interpretation of tax laws, could materially impact the determination of our income tax liabilities for the year.</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nature of our business exposes us to potential liability for warranty claims and faulty engineering, which may reduce our profitability.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Under our contracts with customers, we typically provide a warranty for the services we provide, guaranteeing the work performed against defects in workmanship and material. Additionally, materials used</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26" w:name="page27"/>
    <w:bookmarkEnd w:id="26"/>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ind w:right="140"/>
        <w:spacing w:after="0" w:line="288" w:lineRule="auto"/>
        <w:rPr>
          <w:sz w:val="20"/>
          <w:szCs w:val="20"/>
          <w:color w:val="auto"/>
        </w:rPr>
      </w:pPr>
      <w:r>
        <w:rPr>
          <w:rFonts w:ascii="Arial" w:cs="Arial" w:eastAsia="Arial" w:hAnsi="Arial"/>
          <w:sz w:val="10"/>
          <w:szCs w:val="10"/>
          <w:color w:val="auto"/>
        </w:rPr>
        <w:t>in construction are often provided by the customer or are warranted against defects from the supplier. However, certain projects may have longer warranty periods and include facility performance warranties that may be broader than the warranties we generally provide. In these circumstances,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w:t>
      </w:r>
    </w:p>
    <w:p>
      <w:pPr>
        <w:spacing w:after="0" w:line="1" w:lineRule="exact"/>
        <w:rPr>
          <w:sz w:val="20"/>
          <w:szCs w:val="20"/>
          <w:color w:val="auto"/>
        </w:rPr>
      </w:pPr>
    </w:p>
    <w:p>
      <w:pPr>
        <w:ind w:right="360"/>
        <w:spacing w:after="0" w:line="243" w:lineRule="auto"/>
        <w:rPr>
          <w:sz w:val="20"/>
          <w:szCs w:val="20"/>
          <w:color w:val="auto"/>
        </w:rPr>
      </w:pPr>
      <w:r>
        <w:rPr>
          <w:rFonts w:ascii="Arial" w:cs="Arial" w:eastAsia="Arial" w:hAnsi="Arial"/>
          <w:sz w:val="12"/>
          <w:szCs w:val="12"/>
          <w:color w:val="auto"/>
        </w:rPr>
        <w:t>While we generally require suppliers to provide us warranties that are consistent with those we provide to the customers, if any of these suppliers default on their warranty obligations to us, we may incur costs to repair or replace the defective materials for which we are not reimbursed. Costs incurred as a result of warranty claims could adversely affect our operating results, financial condition and cash flows.</w:t>
      </w:r>
    </w:p>
    <w:p>
      <w:pPr>
        <w:spacing w:after="0" w:line="71" w:lineRule="exact"/>
        <w:rPr>
          <w:sz w:val="20"/>
          <w:szCs w:val="20"/>
          <w:color w:val="auto"/>
        </w:rPr>
      </w:pPr>
    </w:p>
    <w:p>
      <w:pPr>
        <w:ind w:right="40" w:firstLine="240"/>
        <w:spacing w:after="0" w:line="268" w:lineRule="auto"/>
        <w:rPr>
          <w:sz w:val="20"/>
          <w:szCs w:val="20"/>
          <w:color w:val="auto"/>
        </w:rPr>
      </w:pPr>
      <w:r>
        <w:rPr>
          <w:rFonts w:ascii="Arial" w:cs="Arial" w:eastAsia="Arial" w:hAnsi="Arial"/>
          <w:sz w:val="11"/>
          <w:szCs w:val="11"/>
          <w:color w:val="auto"/>
        </w:rPr>
        <w:t>Our business involves professional judgments regarding the planning, design, development, construction, operations and management of electric power transmission and commercial construction. Because our projects are often technically complex, our failure to make judgments and recommendations in accordance with applicable professional standards, including engineering standards, could result in damages. A significantly adverse or catastrophic event at one of our project sites or completed projects resulting from the services we have performed could result in significant warranty, professional liability, or other claims against us as well as 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or underinsured claim could have an adverse impact on our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 may experience significant price and volume fluctuations and future issuances of our common stock could lead to dilution of our issued and outstanding common stock.</w:t>
      </w:r>
    </w:p>
    <w:p>
      <w:pPr>
        <w:spacing w:after="0" w:line="96" w:lineRule="exact"/>
        <w:rPr>
          <w:sz w:val="20"/>
          <w:szCs w:val="20"/>
          <w:color w:val="auto"/>
        </w:rPr>
      </w:pPr>
    </w:p>
    <w:p>
      <w:pPr>
        <w:ind w:firstLine="240"/>
        <w:spacing w:after="0" w:line="243" w:lineRule="auto"/>
        <w:rPr>
          <w:sz w:val="20"/>
          <w:szCs w:val="20"/>
          <w:color w:val="auto"/>
        </w:rPr>
      </w:pPr>
      <w:r>
        <w:rPr>
          <w:rFonts w:ascii="Arial" w:cs="Arial" w:eastAsia="Arial" w:hAnsi="Arial"/>
          <w:sz w:val="12"/>
          <w:szCs w:val="12"/>
          <w:color w:val="auto"/>
        </w:rPr>
        <w:t>From time to time, the price and trading volume of our common stock may experience periods of significant volatility in response to various factors and events beyond our control. Company-specific issues and developments generally in our industry (including the regulatory environment), in the capital markets and in the economy may cause this volatility. We may issue equity securities in the future, including securities that are convertible into or exchangeable for, or that represent the right to receive, shares of our common stock. The issuance of additional shares of our common stock or other equity securities, including sales of shares in connection with any future acquisitions, could be substantially dilutive to our stockholders. In addition numerous factors could have a significant effect on the price of our common stock, including but not limited to:</w:t>
      </w:r>
    </w:p>
    <w:p>
      <w:pPr>
        <w:spacing w:after="0" w:line="54" w:lineRule="exact"/>
        <w:rPr>
          <w:sz w:val="20"/>
          <w:szCs w:val="20"/>
          <w:color w:val="auto"/>
        </w:rPr>
      </w:pPr>
    </w:p>
    <w:p>
      <w:pPr>
        <w:ind w:left="360" w:hanging="128"/>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announcements of fluctuations in our operating results or the operating results of one of our competitors;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market conditions in our customers’ industries;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capital spending plans of our significant customers;</w:t>
      </w:r>
    </w:p>
    <w:p>
      <w:pPr>
        <w:spacing w:after="0" w:line="69" w:lineRule="exact"/>
        <w:rPr>
          <w:rFonts w:ascii="Arial" w:cs="Arial" w:eastAsia="Arial" w:hAnsi="Arial"/>
          <w:sz w:val="12"/>
          <w:szCs w:val="12"/>
          <w:color w:val="auto"/>
        </w:rPr>
      </w:pPr>
    </w:p>
    <w:p>
      <w:pPr>
        <w:ind w:left="360" w:hanging="128"/>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announcements by us or one of our competitors of new or terminated customers or new, amended or terminated contracts;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announcements of acquisitions by us or one of our competitors;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recommendations or earnings estimates by securities analysts;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future repurchases of our common stock; and</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future sales of our common stock or other securities, including any shares issued in connection with business acquisitions or earn-out obligations for any future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associated with operating in the Canadian market could restrict our ability to expand and harm our business and prospects.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There are numerous inherent risks in conducting our business in a different country including, but not limited to, potential instability in markets, political, economic or social conditions, and difficult or additional</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27" w:name="page28"/>
    <w:bookmarkEnd w:id="27"/>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1" w:lineRule="exact"/>
        <w:rPr>
          <w:sz w:val="20"/>
          <w:szCs w:val="20"/>
          <w:color w:val="auto"/>
        </w:rPr>
      </w:pPr>
    </w:p>
    <w:p>
      <w:pPr>
        <w:ind w:right="180"/>
        <w:spacing w:after="0" w:line="231" w:lineRule="auto"/>
        <w:rPr>
          <w:sz w:val="20"/>
          <w:szCs w:val="20"/>
          <w:color w:val="auto"/>
        </w:rPr>
      </w:pPr>
      <w:r>
        <w:rPr>
          <w:rFonts w:ascii="Arial" w:cs="Arial" w:eastAsia="Arial" w:hAnsi="Arial"/>
          <w:sz w:val="12"/>
          <w:szCs w:val="12"/>
          <w:color w:val="auto"/>
        </w:rPr>
        <w:t>legal and regulatory requirements applicable to our operations. Limits on our ability to repatriate earnings, exchange controls, and complex U.S. and Canadian laws and treaties could also adversely impact our 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United States.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failure to comply with the laws applicable to our Canadian activities, including the U.S. Foreign Corrupt Practices Act and similar anti-bribery laws, could have an adverse effect on us.</w:t>
      </w:r>
    </w:p>
    <w:p>
      <w:pPr>
        <w:spacing w:after="0" w:line="78" w:lineRule="exact"/>
        <w:rPr>
          <w:sz w:val="20"/>
          <w:szCs w:val="20"/>
          <w:color w:val="auto"/>
        </w:rPr>
      </w:pPr>
    </w:p>
    <w:p>
      <w:pPr>
        <w:ind w:right="20" w:firstLine="240"/>
        <w:spacing w:after="0" w:line="227" w:lineRule="auto"/>
        <w:rPr>
          <w:sz w:val="20"/>
          <w:szCs w:val="20"/>
          <w:color w:val="auto"/>
        </w:rPr>
      </w:pPr>
      <w:r>
        <w:rPr>
          <w:rFonts w:ascii="Arial" w:cs="Arial" w:eastAsia="Arial" w:hAnsi="Arial"/>
          <w:sz w:val="12"/>
          <w:szCs w:val="12"/>
          <w:color w:val="auto"/>
        </w:rPr>
        <w:t>The U.S. Foreign Corrupt Practices Act (“FCPA”) and similar anti-bribery laws in other jurisdictions prohibit U.S.-based companies and their intermediaries from making improper payments to foreign officials for the purpose of obtaining or retaining business. Our policies mandate compliance with all applicable anti-bribery laws. Although we have policies and procedures designed to ensure that we, our employees, our agents and others who work with us in foreign countries comply with the FCPA and other anti-bribery laws, there is no assurance that such policies or procedures will protect us against liability under the FCPA or other laws for actions taken by our agents, employees and intermediaries. If we are found to be liable for FCPA violations (either due to our own acts or inadvertence, or due to the acts or inadvertence of others), we could suffer from severe criminal or civil penalties or other sanctions, which could have a material adverse effect on our reputation, business, results of operations, financial condition or cash flows. In addition, detecting, investigating and resolving actual or alleged FCPA violations is expensive and could consume significant time and attention of our senior management.</w:t>
      </w:r>
    </w:p>
    <w:p>
      <w:pPr>
        <w:spacing w:after="0" w:line="127"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common stock.</w:t>
      </w:r>
    </w:p>
    <w:p>
      <w:pPr>
        <w:spacing w:after="0" w:line="69" w:lineRule="exact"/>
        <w:rPr>
          <w:sz w:val="20"/>
          <w:szCs w:val="20"/>
          <w:color w:val="auto"/>
        </w:rPr>
      </w:pPr>
    </w:p>
    <w:p>
      <w:pPr>
        <w:ind w:firstLine="240"/>
        <w:spacing w:after="0" w:line="266" w:lineRule="auto"/>
        <w:rPr>
          <w:sz w:val="20"/>
          <w:szCs w:val="20"/>
          <w:color w:val="auto"/>
        </w:rPr>
      </w:pPr>
      <w:r>
        <w:rPr>
          <w:rFonts w:ascii="Arial" w:cs="Arial" w:eastAsia="Arial" w:hAnsi="Arial"/>
          <w:sz w:val="11"/>
          <w:szCs w:val="11"/>
          <w:color w:val="auto"/>
        </w:rPr>
        <w:t>Effective internal controls are necessary for us to provide reasonable assurance with respect to our financial reports and to effectively prevent or detect fraud. If we cannot provide reasonable assurance with respect to our financial reports and effectively prevent or detect fraud, we may not be able to conclude on an ongoing basis that we have effective internal control over financial reporting in accordance with Section 404 of the Sarbanes-Oxley Act of 2002 and our operating results could be harmed. Internal control over financial reporting may not prevent or detect misstatements because of its inherent limitations, including the possibility of human error, the circumvention or overriding of controls, or fraud. In addition, we cannot guarantee that our internal controls will always protect against reckless or criminal acts committed by our personnel, agents or business partners that might violate U.S. or non-U.S. laws, including the laws governing payments to government officials, bribery, fraud, kickbacks and false claims, pricing, sales and marketing practices, conflicts of interest, competition, export and import compliance, money laundering and data privacy. Therefore, even effective internal controls cannot provide absolute assurance with respect to the preparation and fair presentation of financial statements.</w:t>
      </w:r>
    </w:p>
    <w:p>
      <w:pPr>
        <w:spacing w:after="0" w:line="69" w:lineRule="exact"/>
        <w:rPr>
          <w:sz w:val="20"/>
          <w:szCs w:val="20"/>
          <w:color w:val="auto"/>
        </w:rPr>
      </w:pPr>
    </w:p>
    <w:p>
      <w:pPr>
        <w:ind w:right="80" w:firstLine="240"/>
        <w:spacing w:after="0" w:line="241" w:lineRule="auto"/>
        <w:rPr>
          <w:sz w:val="20"/>
          <w:szCs w:val="20"/>
          <w:color w:val="auto"/>
        </w:rPr>
      </w:pPr>
      <w:r>
        <w:rPr>
          <w:rFonts w:ascii="Arial" w:cs="Arial" w:eastAsia="Arial" w:hAnsi="Arial"/>
          <w:sz w:val="12"/>
          <w:szCs w:val="12"/>
          <w:color w:val="auto"/>
        </w:rPr>
        <w:t>While we continue to evaluate our internal controls, we cannot be certain that these measures will ensure that we implement and maintain adequate controls over our financial processes and reporting in the future.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or our independent registered public accounting firm were to discover material weaknesses in our internal controls, our business and operating results could be harmed and we could fail to meet our reporting obligations, which could reduce the market’s confidence in our financial statements, harm our stock price, and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increase in the prices of certain materials and commodities used in our business could adversely affect our business.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certain contracts, we are exposed to market risk of increases in certain commodity prices of materials, such as copper and steel, which are used as components of supplies or materials utilized in all of</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8" w:name="page29"/>
    <w:bookmarkEnd w:id="28"/>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our operations. In addition, our customers’ capital budgets may be impacted by the prices of certain materials, and reduced customer spending could lead to fewer project awards and more competition. These prices could be materially impacted by general market conditions and other factors, including U.S. trade relationships with other countries or the imposition of tariffs. We are also exposed to increases in energy prices, particularly as they relate to gasoline prices for our fleet vehicles. While we believe we can increase our prices to adjust for some price increases in commodities, there can be no assurance that price increases of commodities, if they were to occur, would be recoverable. Additionally, some of our fixed price contracts do not allow us to adjust our prices and, as a result, increases in material or fuel costs could reduce our profitability with respect to such projects.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variable rate indebtedness subjects us to interest rate risk, which could cause our debt service obligations to increase significantly.</w:t>
      </w:r>
    </w:p>
    <w:p>
      <w:pPr>
        <w:spacing w:after="0" w:line="96" w:lineRule="exact"/>
        <w:rPr>
          <w:sz w:val="20"/>
          <w:szCs w:val="20"/>
          <w:color w:val="auto"/>
        </w:rPr>
      </w:pPr>
    </w:p>
    <w:p>
      <w:pPr>
        <w:ind w:right="100" w:firstLine="240"/>
        <w:spacing w:after="0" w:line="276" w:lineRule="auto"/>
        <w:rPr>
          <w:sz w:val="20"/>
          <w:szCs w:val="20"/>
          <w:color w:val="auto"/>
        </w:rPr>
      </w:pPr>
      <w:r>
        <w:rPr>
          <w:rFonts w:ascii="Arial" w:cs="Arial" w:eastAsia="Arial" w:hAnsi="Arial"/>
          <w:sz w:val="12"/>
          <w:szCs w:val="12"/>
          <w:color w:val="auto"/>
        </w:rPr>
        <w:t>Borrowings under our credit facility are at variable rates of interest and expose us to interest rate risk. If interest rates increase, our debt service obligations on our variable rate indebtedness will increase even if the amount borrowed remains the same, and our net income and cash flows, including cash available for servicing our indebtedness, will correspondingly decrease.</w:t>
      </w:r>
    </w:p>
    <w:p>
      <w:pPr>
        <w:spacing w:after="0" w:line="70" w:lineRule="exact"/>
        <w:rPr>
          <w:sz w:val="20"/>
          <w:szCs w:val="20"/>
          <w:color w:val="auto"/>
        </w:rPr>
      </w:pPr>
    </w:p>
    <w:p>
      <w:pPr>
        <w:ind w:right="40" w:firstLine="240"/>
        <w:spacing w:after="0" w:line="290" w:lineRule="auto"/>
        <w:rPr>
          <w:sz w:val="20"/>
          <w:szCs w:val="20"/>
          <w:color w:val="auto"/>
        </w:rPr>
      </w:pPr>
      <w:r>
        <w:rPr>
          <w:rFonts w:ascii="Arial" w:cs="Arial" w:eastAsia="Arial" w:hAnsi="Arial"/>
          <w:sz w:val="11"/>
          <w:szCs w:val="11"/>
          <w:color w:val="auto"/>
        </w:rPr>
        <w:t>In addition, borrowing under our revolving credit facility may use London Interbank Offering Rate (“LIBOR”) as a benchmark for establishing the interest rate. LIBOR has been the subject of recent national, international and other regulatory guidance and proposals for reform, and the financial industry is currently transitioning away from LIBOR as a benchmark for the interbank lending market. The consequences of these developments cannot be entirely predicted, but could include an increase in the cost of our variable rate indebtedness. Additionally, to address the future transition in the financial markets away from the LIBOR, our credit agreement includes provisions related to the replacement of LIBOR with an Alternative Rate (as defined in the credit agreement). Changing to an Alternative Rate may lead to additional volatility in interest rates and could cause our debt service obligations to increase significantly.</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provisions in our organizational documents and Delaware law could delay or prevent a change in control of our company.</w:t>
      </w:r>
    </w:p>
    <w:p>
      <w:pPr>
        <w:spacing w:after="0" w:line="105" w:lineRule="exact"/>
        <w:rPr>
          <w:sz w:val="20"/>
          <w:szCs w:val="20"/>
          <w:color w:val="auto"/>
        </w:rPr>
      </w:pPr>
    </w:p>
    <w:p>
      <w:pPr>
        <w:ind w:firstLine="240"/>
        <w:spacing w:after="0" w:line="254" w:lineRule="auto"/>
        <w:rPr>
          <w:sz w:val="20"/>
          <w:szCs w:val="20"/>
          <w:color w:val="auto"/>
        </w:rPr>
      </w:pPr>
      <w:r>
        <w:rPr>
          <w:rFonts w:ascii="Arial" w:cs="Arial" w:eastAsia="Arial" w:hAnsi="Arial"/>
          <w:sz w:val="12"/>
          <w:szCs w:val="12"/>
          <w:color w:val="auto"/>
        </w:rPr>
        <w:t>The existence of certain provisions in our organizational documents and Delaware law could delay or prevent an unsolicited change in control of our company, even if a change of control might be beneficial to our stockholders. For example, provisions in our certificate of incorporation and by-laws that could delay or prevent a change in control of our company include: a staggered board of directors, the potential of our board of directors to authorize the issuance of preferred stock, the power of a majority of our board of directors to fix the number of directors, the power of our board of directors to fill a vacancy on the board of directors, including when such vacancy occurs as a result of an increase in the number of directors, the requirement that actions to be taken by our stockholders may be taken only at an annual or special meeting of our stockholders and not by written consent, and advance notice provisions for director nominations or business to be considered at a stockholder meeting. In addition, Delaware law imposes restrictions on mergers and other business combinations between us and an interested stockholder (defined as the holder of 15% or more of our outstanding common stock), and prohibits us from engaging in any of a broad range of business transactions with an interested stockholder, or an interested stockholder’s affiliates and associates, for a period of three years following the date such stockholder became an interested stockholder.</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associated with climate change.</w:t>
      </w:r>
    </w:p>
    <w:p>
      <w:pPr>
        <w:spacing w:after="0" w:line="96" w:lineRule="exact"/>
        <w:rPr>
          <w:sz w:val="20"/>
          <w:szCs w:val="20"/>
          <w:color w:val="auto"/>
        </w:rPr>
      </w:pPr>
    </w:p>
    <w:p>
      <w:pPr>
        <w:ind w:right="360" w:firstLine="240"/>
        <w:spacing w:after="0" w:line="323" w:lineRule="auto"/>
        <w:rPr>
          <w:sz w:val="20"/>
          <w:szCs w:val="20"/>
          <w:color w:val="auto"/>
        </w:rPr>
      </w:pPr>
      <w:r>
        <w:rPr>
          <w:rFonts w:ascii="Arial" w:cs="Arial" w:eastAsia="Arial" w:hAnsi="Arial"/>
          <w:sz w:val="11"/>
          <w:szCs w:val="11"/>
          <w:color w:val="auto"/>
        </w:rPr>
        <w:t>Climate change may create physical and financial risk. Physical risks from climate change could, among other things, include an increase in extreme weather events (such as floods, wildfires or hurricanes), rising sea levels and limitations on water availability and quality. Such extreme weather conditions may limit the availability of resources, increasing the costs of our projects, or may cause projects to be delayed or cancelled.</w:t>
      </w:r>
    </w:p>
    <w:p>
      <w:pPr>
        <w:spacing w:after="0" w:line="47" w:lineRule="exact"/>
        <w:rPr>
          <w:sz w:val="20"/>
          <w:szCs w:val="20"/>
          <w:color w:val="auto"/>
        </w:rPr>
      </w:pPr>
    </w:p>
    <w:p>
      <w:pPr>
        <w:ind w:right="140" w:firstLine="240"/>
        <w:spacing w:after="0" w:line="276" w:lineRule="auto"/>
        <w:rPr>
          <w:sz w:val="20"/>
          <w:szCs w:val="20"/>
          <w:color w:val="auto"/>
        </w:rPr>
      </w:pPr>
      <w:r>
        <w:rPr>
          <w:rFonts w:ascii="Arial" w:cs="Arial" w:eastAsia="Arial" w:hAnsi="Arial"/>
          <w:sz w:val="12"/>
          <w:szCs w:val="12"/>
          <w:color w:val="auto"/>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29" w:name="page30"/>
    <w:bookmarkEnd w:id="29"/>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0"/>
          <w:szCs w:val="10"/>
          <w:color w:val="auto"/>
        </w:rPr>
        <w:t>future governmental regulations. Compliance with any new laws or regulations regarding the reduction of greenhouse gases could result in significant changes to our operations and a significant increase in our cost of conducting business.</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0"/>
          <w:szCs w:val="10"/>
          <w:b w:val="1"/>
          <w:bCs w:val="1"/>
          <w:color w:val="auto"/>
        </w:rPr>
        <w:t>Unresolved Staff Comments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Properties</w:t>
      </w:r>
    </w:p>
    <w:p>
      <w:pPr>
        <w:spacing w:after="0" w:line="109" w:lineRule="exact"/>
        <w:rPr>
          <w:sz w:val="20"/>
          <w:szCs w:val="20"/>
          <w:color w:val="auto"/>
        </w:rPr>
      </w:pPr>
    </w:p>
    <w:p>
      <w:pPr>
        <w:ind w:right="80" w:firstLine="240"/>
        <w:spacing w:after="0" w:line="259" w:lineRule="auto"/>
        <w:rPr>
          <w:sz w:val="20"/>
          <w:szCs w:val="20"/>
          <w:color w:val="auto"/>
        </w:rPr>
      </w:pPr>
      <w:r>
        <w:rPr>
          <w:rFonts w:ascii="Arial" w:cs="Arial" w:eastAsia="Arial" w:hAnsi="Arial"/>
          <w:sz w:val="12"/>
          <w:szCs w:val="12"/>
          <w:color w:val="auto"/>
        </w:rPr>
        <w:t>Our principal executive offices are located at 1701 Golf Road, Suite 3-1012, Rolling Meadows, Illinois 60008, the lease term of which expires on April 30, 2023. In addition to our executive offices, our corporate accounting and finance departments, corporate information technology department and certain legal and other personnel are located at this office. As of December 31, 2019, we owned 16 operating facilities and leased many other properties in various locations throughout our service territory. Most of our properties are used as operational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pacing w:after="0" w:line="12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Legal Proceedings</w:t>
      </w:r>
    </w:p>
    <w:p>
      <w:pPr>
        <w:spacing w:after="0" w:line="109" w:lineRule="exact"/>
        <w:rPr>
          <w:sz w:val="20"/>
          <w:szCs w:val="20"/>
          <w:color w:val="auto"/>
        </w:rPr>
      </w:pPr>
    </w:p>
    <w:p>
      <w:pPr>
        <w:jc w:val="both"/>
        <w:ind w:right="80" w:firstLine="240"/>
        <w:spacing w:after="0" w:line="259" w:lineRule="auto"/>
        <w:rPr>
          <w:sz w:val="20"/>
          <w:szCs w:val="20"/>
          <w:color w:val="auto"/>
        </w:rPr>
      </w:pPr>
      <w:r>
        <w:rPr>
          <w:rFonts w:ascii="Arial" w:cs="Arial" w:eastAsia="Arial" w:hAnsi="Arial"/>
          <w:sz w:val="12"/>
          <w:szCs w:val="12"/>
          <w:color w:val="auto"/>
        </w:rPr>
        <w:t>We are, from time-to-time, party to various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the aggregate, would be expected to have a material adverse effect on our financial position, results of operations, or cash flows.</w:t>
      </w:r>
    </w:p>
    <w:p>
      <w:pPr>
        <w:spacing w:after="0" w:line="71" w:lineRule="exact"/>
        <w:rPr>
          <w:sz w:val="20"/>
          <w:szCs w:val="20"/>
          <w:color w:val="auto"/>
        </w:rPr>
      </w:pPr>
    </w:p>
    <w:p>
      <w:pPr>
        <w:ind w:firstLine="240"/>
        <w:spacing w:after="0" w:line="290" w:lineRule="auto"/>
        <w:rPr>
          <w:sz w:val="20"/>
          <w:szCs w:val="20"/>
          <w:color w:val="auto"/>
        </w:rPr>
      </w:pPr>
      <w:r>
        <w:rPr>
          <w:rFonts w:ascii="Arial" w:cs="Arial" w:eastAsia="Arial" w:hAnsi="Arial"/>
          <w:sz w:val="11"/>
          <w:szCs w:val="11"/>
          <w:color w:val="auto"/>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we believe that we have strong defenses to these claims as well as insurance coverage that will contribute to any settlement or liability in the event claims are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pacing w:after="0" w:line="10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0" w:name="page31"/>
    <w:bookmarkEnd w:id="30"/>
    <w:p>
      <w:pPr>
        <w:ind w:left="8"/>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PART II</w:t>
      </w:r>
    </w:p>
    <w:p>
      <w:pPr>
        <w:spacing w:after="0" w:line="132"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Market for Registrant’s Common Equity, Related Stockholder Matters and Issuer Purchases of Equity Securities</w:t>
      </w:r>
    </w:p>
    <w:p>
      <w:pPr>
        <w:spacing w:after="0" w:line="100" w:lineRule="exact"/>
        <w:rPr>
          <w:sz w:val="20"/>
          <w:szCs w:val="20"/>
          <w:color w:val="auto"/>
        </w:rPr>
      </w:pPr>
    </w:p>
    <w:p>
      <w:pPr>
        <w:ind w:left="248"/>
        <w:spacing w:after="0"/>
        <w:rPr>
          <w:sz w:val="20"/>
          <w:szCs w:val="20"/>
          <w:color w:val="auto"/>
        </w:rPr>
      </w:pPr>
      <w:r>
        <w:rPr>
          <w:rFonts w:ascii="Arial" w:cs="Arial" w:eastAsia="Arial" w:hAnsi="Arial"/>
          <w:sz w:val="12"/>
          <w:szCs w:val="12"/>
          <w:color w:val="auto"/>
        </w:rPr>
        <w:t>Our common stock, par value $0.01, is listed on The Nasdaq Global Market under the symbol “MYRG.”</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Holders of Record</w:t>
      </w:r>
    </w:p>
    <w:p>
      <w:pPr>
        <w:spacing w:after="0" w:line="105" w:lineRule="exact"/>
        <w:rPr>
          <w:sz w:val="20"/>
          <w:szCs w:val="20"/>
          <w:color w:val="auto"/>
        </w:rPr>
      </w:pPr>
    </w:p>
    <w:p>
      <w:pPr>
        <w:ind w:left="248"/>
        <w:spacing w:after="0"/>
        <w:rPr>
          <w:sz w:val="20"/>
          <w:szCs w:val="20"/>
          <w:color w:val="auto"/>
        </w:rPr>
      </w:pPr>
      <w:r>
        <w:rPr>
          <w:rFonts w:ascii="Arial" w:cs="Arial" w:eastAsia="Arial" w:hAnsi="Arial"/>
          <w:sz w:val="12"/>
          <w:szCs w:val="12"/>
          <w:color w:val="auto"/>
        </w:rPr>
        <w:t>As of February 28, 2020, we had 8 holders of record of our common stock.</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Dividend Policy</w:t>
      </w:r>
    </w:p>
    <w:p>
      <w:pPr>
        <w:spacing w:after="0" w:line="105" w:lineRule="exact"/>
        <w:rPr>
          <w:sz w:val="20"/>
          <w:szCs w:val="20"/>
          <w:color w:val="auto"/>
        </w:rPr>
      </w:pPr>
    </w:p>
    <w:p>
      <w:pPr>
        <w:ind w:left="8" w:firstLine="240"/>
        <w:spacing w:after="0" w:line="248" w:lineRule="auto"/>
        <w:rPr>
          <w:sz w:val="20"/>
          <w:szCs w:val="20"/>
          <w:color w:val="auto"/>
        </w:rPr>
      </w:pPr>
      <w:r>
        <w:rPr>
          <w:rFonts w:ascii="Arial" w:cs="Arial" w:eastAsia="Arial" w:hAnsi="Arial"/>
          <w:sz w:val="12"/>
          <w:szCs w:val="12"/>
          <w:color w:val="auto"/>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Issuances of Common Stock.</w:t>
      </w:r>
    </w:p>
    <w:p>
      <w:pPr>
        <w:spacing w:after="0" w:line="96" w:lineRule="exact"/>
        <w:rPr>
          <w:sz w:val="20"/>
          <w:szCs w:val="20"/>
          <w:color w:val="auto"/>
        </w:rPr>
      </w:pPr>
    </w:p>
    <w:p>
      <w:pPr>
        <w:ind w:left="8" w:firstLine="240"/>
        <w:spacing w:after="0" w:line="261" w:lineRule="auto"/>
        <w:rPr>
          <w:sz w:val="20"/>
          <w:szCs w:val="20"/>
          <w:color w:val="auto"/>
        </w:rPr>
      </w:pPr>
      <w:r>
        <w:rPr>
          <w:rFonts w:ascii="Arial" w:cs="Arial" w:eastAsia="Arial" w:hAnsi="Arial"/>
          <w:sz w:val="12"/>
          <w:szCs w:val="12"/>
          <w:color w:val="auto"/>
        </w:rPr>
        <w:t>On October 24, 2019, a total of 732 unregistered shares of our common stock, valued in the aggregate at $23,958 were issued to directors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Purchases of Common Stock.</w:t>
      </w:r>
    </w:p>
    <w:p>
      <w:pPr>
        <w:spacing w:after="0" w:line="105"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We did not purchase any shares of common stock in October, November or December of 2019.</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Performance Graph</w:t>
      </w:r>
    </w:p>
    <w:p>
      <w:pPr>
        <w:spacing w:after="0" w:line="105" w:lineRule="exact"/>
        <w:rPr>
          <w:sz w:val="20"/>
          <w:szCs w:val="20"/>
          <w:color w:val="auto"/>
        </w:rPr>
      </w:pPr>
    </w:p>
    <w:p>
      <w:pPr>
        <w:ind w:left="8" w:right="200" w:firstLine="240"/>
        <w:spacing w:after="0" w:line="261" w:lineRule="auto"/>
        <w:rPr>
          <w:sz w:val="20"/>
          <w:szCs w:val="20"/>
          <w:color w:val="auto"/>
        </w:rPr>
      </w:pPr>
      <w:r>
        <w:rPr>
          <w:rFonts w:ascii="Arial" w:cs="Arial" w:eastAsia="Arial" w:hAnsi="Arial"/>
          <w:sz w:val="12"/>
          <w:szCs w:val="12"/>
          <w:i w:val="1"/>
          <w:iCs w:val="1"/>
          <w:color w:val="auto"/>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Arial" w:cs="Arial" w:eastAsia="Arial" w:hAnsi="Arial"/>
          <w:sz w:val="12"/>
          <w:szCs w:val="12"/>
          <w:color w:val="auto"/>
        </w:rPr>
        <w:t>.</w:t>
      </w:r>
    </w:p>
    <w:p>
      <w:pPr>
        <w:spacing w:after="0" w:line="60" w:lineRule="exact"/>
        <w:rPr>
          <w:sz w:val="20"/>
          <w:szCs w:val="20"/>
          <w:color w:val="auto"/>
        </w:rPr>
      </w:pPr>
    </w:p>
    <w:p>
      <w:pPr>
        <w:jc w:val="both"/>
        <w:ind w:left="8" w:right="100" w:firstLine="240"/>
        <w:spacing w:after="0" w:line="281" w:lineRule="auto"/>
        <w:rPr>
          <w:sz w:val="20"/>
          <w:szCs w:val="20"/>
          <w:color w:val="auto"/>
        </w:rPr>
      </w:pPr>
      <w:r>
        <w:rPr>
          <w:rFonts w:ascii="Arial" w:cs="Arial" w:eastAsia="Arial" w:hAnsi="Arial"/>
          <w:sz w:val="11"/>
          <w:szCs w:val="11"/>
          <w:color w:val="auto"/>
        </w:rPr>
        <w:t>The following graph compares, for the period from December 31, 2014 to December 31, 2019, the cumulative total stockholder return on our common stock with the cumulative total return on the Standard &amp; Poor’s 500 Index (the “S&amp;P 500 Index”), the Russell 2000 Index, and a peer group index selected by our management that includes twelve publicly traded companies within our industry (the “Peer Group”). The comparison assumes that $100 was invested on December 31, 2014 and further assumes any dividends were reinvested quarterly. The stock price performance reflected on the following graph is not necessarily indicative of future stock price performance.</w:t>
      </w:r>
    </w:p>
    <w:p>
      <w:pPr>
        <w:spacing w:after="0" w:line="60" w:lineRule="exact"/>
        <w:rPr>
          <w:sz w:val="20"/>
          <w:szCs w:val="20"/>
          <w:color w:val="auto"/>
        </w:rPr>
      </w:pPr>
    </w:p>
    <w:p>
      <w:pPr>
        <w:jc w:val="both"/>
        <w:ind w:left="8" w:right="80" w:firstLine="240"/>
        <w:spacing w:after="0" w:line="306" w:lineRule="auto"/>
        <w:rPr>
          <w:sz w:val="20"/>
          <w:szCs w:val="20"/>
          <w:color w:val="auto"/>
        </w:rPr>
      </w:pPr>
      <w:r>
        <w:rPr>
          <w:rFonts w:ascii="Arial" w:cs="Arial" w:eastAsia="Arial" w:hAnsi="Arial"/>
          <w:sz w:val="11"/>
          <w:szCs w:val="11"/>
          <w:color w:val="auto"/>
        </w:rPr>
        <w:t>The companies in the Peer Group were selected because they comprise a broad group of publicly traded companies, each of which has some operations similar to ours. When taken as a whole, the Peer Group more closely resembles our total business than any individual company in the group while reducing the impact of a significant change in any one of the Peer Group company’s stock price. The Peer Group is composed of the following companies:</w:t>
      </w:r>
    </w:p>
    <w:p>
      <w:pPr>
        <w:spacing w:after="0" w:line="5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300" w:type="dxa"/>
            <w:vAlign w:val="bottom"/>
          </w:tcPr>
          <w:p>
            <w:pPr>
              <w:spacing w:after="0"/>
              <w:rPr>
                <w:sz w:val="20"/>
                <w:szCs w:val="20"/>
                <w:color w:val="auto"/>
              </w:rPr>
            </w:pPr>
            <w:r>
              <w:rPr>
                <w:rFonts w:ascii="Arial" w:cs="Arial" w:eastAsia="Arial" w:hAnsi="Arial"/>
                <w:sz w:val="12"/>
                <w:szCs w:val="12"/>
                <w:color w:val="auto"/>
              </w:rPr>
              <w:t>Aegion Corporation</w:t>
            </w:r>
          </w:p>
        </w:tc>
        <w:tc>
          <w:tcPr>
            <w:tcW w:w="4020" w:type="dxa"/>
            <w:vAlign w:val="bottom"/>
          </w:tcPr>
          <w:p>
            <w:pPr>
              <w:ind w:left="940"/>
              <w:spacing w:after="0"/>
              <w:rPr>
                <w:sz w:val="20"/>
                <w:szCs w:val="20"/>
                <w:color w:val="auto"/>
              </w:rPr>
            </w:pPr>
            <w:r>
              <w:rPr>
                <w:rFonts w:ascii="Arial" w:cs="Arial" w:eastAsia="Arial" w:hAnsi="Arial"/>
                <w:sz w:val="12"/>
                <w:szCs w:val="12"/>
                <w:color w:val="auto"/>
              </w:rPr>
              <w:t>EMCOR Group*</w:t>
            </w:r>
          </w:p>
        </w:tc>
        <w:tc>
          <w:tcPr>
            <w:tcW w:w="2940" w:type="dxa"/>
            <w:vAlign w:val="bottom"/>
          </w:tcPr>
          <w:p>
            <w:pPr>
              <w:ind w:left="1420"/>
              <w:spacing w:after="0"/>
              <w:rPr>
                <w:sz w:val="20"/>
                <w:szCs w:val="20"/>
                <w:color w:val="auto"/>
              </w:rPr>
            </w:pPr>
            <w:r>
              <w:rPr>
                <w:rFonts w:ascii="Arial" w:cs="Arial" w:eastAsia="Arial" w:hAnsi="Arial"/>
                <w:sz w:val="12"/>
                <w:szCs w:val="12"/>
                <w:color w:val="auto"/>
              </w:rPr>
              <w:t>Matrix Service Company</w:t>
            </w:r>
          </w:p>
        </w:tc>
      </w:tr>
      <w:tr>
        <w:trPr>
          <w:trHeight w:val="135"/>
        </w:trPr>
        <w:tc>
          <w:tcPr>
            <w:tcW w:w="2300" w:type="dxa"/>
            <w:vAlign w:val="bottom"/>
          </w:tcPr>
          <w:p>
            <w:pPr>
              <w:spacing w:after="0" w:line="135" w:lineRule="exact"/>
              <w:rPr>
                <w:sz w:val="20"/>
                <w:szCs w:val="20"/>
                <w:color w:val="auto"/>
              </w:rPr>
            </w:pPr>
            <w:r>
              <w:rPr>
                <w:rFonts w:ascii="Arial" w:cs="Arial" w:eastAsia="Arial" w:hAnsi="Arial"/>
                <w:sz w:val="12"/>
                <w:szCs w:val="12"/>
                <w:color w:val="auto"/>
              </w:rPr>
              <w:t>Astec Industries, Inc.</w:t>
            </w:r>
          </w:p>
        </w:tc>
        <w:tc>
          <w:tcPr>
            <w:tcW w:w="4020" w:type="dxa"/>
            <w:vAlign w:val="bottom"/>
          </w:tcPr>
          <w:p>
            <w:pPr>
              <w:ind w:left="940"/>
              <w:spacing w:after="0" w:line="135" w:lineRule="exact"/>
              <w:rPr>
                <w:sz w:val="20"/>
                <w:szCs w:val="20"/>
                <w:color w:val="auto"/>
              </w:rPr>
            </w:pPr>
            <w:r>
              <w:rPr>
                <w:rFonts w:ascii="Arial" w:cs="Arial" w:eastAsia="Arial" w:hAnsi="Arial"/>
                <w:sz w:val="12"/>
                <w:szCs w:val="12"/>
                <w:color w:val="auto"/>
              </w:rPr>
              <w:t>Granite Construction Incorporated</w:t>
            </w:r>
          </w:p>
        </w:tc>
        <w:tc>
          <w:tcPr>
            <w:tcW w:w="2940" w:type="dxa"/>
            <w:vAlign w:val="bottom"/>
          </w:tcPr>
          <w:p>
            <w:pPr>
              <w:ind w:left="1420"/>
              <w:spacing w:after="0" w:line="135" w:lineRule="exact"/>
              <w:rPr>
                <w:sz w:val="20"/>
                <w:szCs w:val="20"/>
                <w:color w:val="auto"/>
              </w:rPr>
            </w:pPr>
            <w:r>
              <w:rPr>
                <w:rFonts w:ascii="Arial" w:cs="Arial" w:eastAsia="Arial" w:hAnsi="Arial"/>
                <w:sz w:val="12"/>
                <w:szCs w:val="12"/>
                <w:color w:val="auto"/>
                <w:w w:val="91"/>
              </w:rPr>
              <w:t>Primoris Services Corporation*</w:t>
            </w:r>
          </w:p>
        </w:tc>
      </w:tr>
      <w:tr>
        <w:trPr>
          <w:trHeight w:val="135"/>
        </w:trPr>
        <w:tc>
          <w:tcPr>
            <w:tcW w:w="2300" w:type="dxa"/>
            <w:vAlign w:val="bottom"/>
          </w:tcPr>
          <w:p>
            <w:pPr>
              <w:spacing w:after="0" w:line="135" w:lineRule="exact"/>
              <w:rPr>
                <w:sz w:val="20"/>
                <w:szCs w:val="20"/>
                <w:color w:val="auto"/>
              </w:rPr>
            </w:pPr>
            <w:r>
              <w:rPr>
                <w:rFonts w:ascii="Arial" w:cs="Arial" w:eastAsia="Arial" w:hAnsi="Arial"/>
                <w:sz w:val="12"/>
                <w:szCs w:val="12"/>
                <w:color w:val="auto"/>
              </w:rPr>
              <w:t>Comfort Systems USA, Inc.</w:t>
            </w:r>
          </w:p>
        </w:tc>
        <w:tc>
          <w:tcPr>
            <w:tcW w:w="4020" w:type="dxa"/>
            <w:vAlign w:val="bottom"/>
          </w:tcPr>
          <w:p>
            <w:pPr>
              <w:ind w:left="940"/>
              <w:spacing w:after="0" w:line="135" w:lineRule="exact"/>
              <w:rPr>
                <w:sz w:val="20"/>
                <w:szCs w:val="20"/>
                <w:color w:val="auto"/>
              </w:rPr>
            </w:pPr>
            <w:r>
              <w:rPr>
                <w:rFonts w:ascii="Arial" w:cs="Arial" w:eastAsia="Arial" w:hAnsi="Arial"/>
                <w:sz w:val="12"/>
                <w:szCs w:val="12"/>
                <w:color w:val="auto"/>
              </w:rPr>
              <w:t>IES Holdings, Inc.</w:t>
            </w:r>
          </w:p>
        </w:tc>
        <w:tc>
          <w:tcPr>
            <w:tcW w:w="2940" w:type="dxa"/>
            <w:vAlign w:val="bottom"/>
          </w:tcPr>
          <w:p>
            <w:pPr>
              <w:ind w:left="1420"/>
              <w:spacing w:after="0" w:line="135" w:lineRule="exact"/>
              <w:rPr>
                <w:sz w:val="20"/>
                <w:szCs w:val="20"/>
                <w:color w:val="auto"/>
              </w:rPr>
            </w:pPr>
            <w:r>
              <w:rPr>
                <w:rFonts w:ascii="Arial" w:cs="Arial" w:eastAsia="Arial" w:hAnsi="Arial"/>
                <w:sz w:val="12"/>
                <w:szCs w:val="12"/>
                <w:color w:val="auto"/>
              </w:rPr>
              <w:t>Quanta Services, Inc.*</w:t>
            </w:r>
          </w:p>
        </w:tc>
      </w:tr>
      <w:tr>
        <w:trPr>
          <w:trHeight w:val="153"/>
        </w:trPr>
        <w:tc>
          <w:tcPr>
            <w:tcW w:w="2300" w:type="dxa"/>
            <w:vAlign w:val="bottom"/>
          </w:tcPr>
          <w:p>
            <w:pPr>
              <w:spacing w:after="0"/>
              <w:rPr>
                <w:sz w:val="20"/>
                <w:szCs w:val="20"/>
                <w:color w:val="auto"/>
              </w:rPr>
            </w:pPr>
            <w:r>
              <w:rPr>
                <w:rFonts w:ascii="Arial" w:cs="Arial" w:eastAsia="Arial" w:hAnsi="Arial"/>
                <w:sz w:val="12"/>
                <w:szCs w:val="12"/>
                <w:color w:val="auto"/>
              </w:rPr>
              <w:t>Dycom Industries, Inc.</w:t>
            </w:r>
          </w:p>
        </w:tc>
        <w:tc>
          <w:tcPr>
            <w:tcW w:w="4020" w:type="dxa"/>
            <w:vAlign w:val="bottom"/>
          </w:tcPr>
          <w:p>
            <w:pPr>
              <w:ind w:left="940"/>
              <w:spacing w:after="0"/>
              <w:rPr>
                <w:sz w:val="20"/>
                <w:szCs w:val="20"/>
                <w:color w:val="auto"/>
              </w:rPr>
            </w:pPr>
            <w:r>
              <w:rPr>
                <w:rFonts w:ascii="Arial" w:cs="Arial" w:eastAsia="Arial" w:hAnsi="Arial"/>
                <w:sz w:val="12"/>
                <w:szCs w:val="12"/>
                <w:color w:val="auto"/>
              </w:rPr>
              <w:t>MasTec, Inc.*</w:t>
            </w:r>
          </w:p>
        </w:tc>
        <w:tc>
          <w:tcPr>
            <w:tcW w:w="2940" w:type="dxa"/>
            <w:vAlign w:val="bottom"/>
          </w:tcPr>
          <w:p>
            <w:pPr>
              <w:ind w:left="1420"/>
              <w:spacing w:after="0"/>
              <w:rPr>
                <w:sz w:val="20"/>
                <w:szCs w:val="20"/>
                <w:color w:val="auto"/>
              </w:rPr>
            </w:pPr>
            <w:r>
              <w:rPr>
                <w:rFonts w:ascii="Arial" w:cs="Arial" w:eastAsia="Arial" w:hAnsi="Arial"/>
                <w:sz w:val="12"/>
                <w:szCs w:val="12"/>
                <w:color w:val="auto"/>
              </w:rPr>
              <w:t>Tetra Tech,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7272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205" w:lineRule="exact"/>
        <w:rPr>
          <w:sz w:val="20"/>
          <w:szCs w:val="20"/>
          <w:color w:val="auto"/>
        </w:rPr>
      </w:pPr>
    </w:p>
    <w:p>
      <w:pPr>
        <w:ind w:left="5688" w:right="3520" w:hanging="5688"/>
        <w:spacing w:after="0" w:line="731" w:lineRule="auto"/>
        <w:tabs>
          <w:tab w:leader="none" w:pos="246"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Considered our core group of peers with a more significant portion of operations being similar to ours than the overall group. Graph presents entire Peer Group.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-25400</wp:posOffset>
            </wp:positionV>
            <wp:extent cx="73177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8"/>
          </w:cols>
          <w:pgMar w:left="212" w:top="134" w:right="259" w:bottom="1440" w:gutter="0" w:footer="0" w:header="0"/>
        </w:sectPr>
      </w:pPr>
    </w:p>
    <w:bookmarkStart w:id="31" w:name="page32"/>
    <w:bookmarkEnd w:id="31"/>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360045</wp:posOffset>
            </wp:positionV>
            <wp:extent cx="2785110" cy="2607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85110" cy="260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8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12/31/2014</w:t>
            </w:r>
          </w:p>
        </w:tc>
        <w:tc>
          <w:tcPr>
            <w:tcW w:w="1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12/31/2015</w:t>
            </w:r>
          </w:p>
        </w:tc>
        <w:tc>
          <w:tcPr>
            <w:tcW w:w="14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12/31/2016</w:t>
            </w:r>
          </w:p>
        </w:tc>
        <w:tc>
          <w:tcPr>
            <w:tcW w:w="14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12/31/2017</w:t>
            </w:r>
          </w:p>
        </w:tc>
        <w:tc>
          <w:tcPr>
            <w:tcW w:w="1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12/31/2018</w:t>
            </w:r>
          </w:p>
        </w:tc>
        <w:tc>
          <w:tcPr>
            <w:tcW w:w="1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12/31/2019</w:t>
            </w:r>
          </w:p>
        </w:tc>
        <w:tc>
          <w:tcPr>
            <w:tcW w:w="20" w:type="dxa"/>
            <w:vAlign w:val="bottom"/>
            <w:tcBorders>
              <w:bottom w:val="single" w:sz="8" w:color="CCEEFF"/>
            </w:tcBorders>
          </w:tcPr>
          <w:p>
            <w:pPr>
              <w:spacing w:after="0"/>
              <w:rPr>
                <w:sz w:val="11"/>
                <w:szCs w:val="11"/>
                <w:color w:val="auto"/>
              </w:rPr>
            </w:pPr>
          </w:p>
        </w:tc>
      </w:tr>
      <w:tr>
        <w:trPr>
          <w:trHeight w:val="169"/>
        </w:trPr>
        <w:tc>
          <w:tcPr>
            <w:tcW w:w="4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MYR Group Inc.</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100.00</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75.22</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137.52</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130.40</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102.81</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118.94</w:t>
            </w:r>
          </w:p>
        </w:tc>
        <w:tc>
          <w:tcPr>
            <w:tcW w:w="20" w:type="dxa"/>
            <w:vAlign w:val="bottom"/>
            <w:shd w:val="clear" w:color="auto" w:fill="CCEEFF"/>
          </w:tcPr>
          <w:p>
            <w:pPr>
              <w:spacing w:after="0"/>
              <w:rPr>
                <w:sz w:val="14"/>
                <w:szCs w:val="14"/>
                <w:color w:val="auto"/>
              </w:rPr>
            </w:pPr>
          </w:p>
        </w:tc>
      </w:tr>
      <w:tr>
        <w:trPr>
          <w:trHeight w:val="171"/>
        </w:trPr>
        <w:tc>
          <w:tcPr>
            <w:tcW w:w="4860" w:type="dxa"/>
            <w:vAlign w:val="bottom"/>
          </w:tcPr>
          <w:p>
            <w:pPr>
              <w:spacing w:after="0"/>
              <w:rPr>
                <w:sz w:val="20"/>
                <w:szCs w:val="20"/>
                <w:color w:val="auto"/>
              </w:rPr>
            </w:pPr>
            <w:r>
              <w:rPr>
                <w:rFonts w:ascii="Arial" w:cs="Arial" w:eastAsia="Arial" w:hAnsi="Arial"/>
                <w:sz w:val="12"/>
                <w:szCs w:val="12"/>
                <w:b w:val="1"/>
                <w:bCs w:val="1"/>
                <w:color w:val="auto"/>
              </w:rPr>
              <w:t>S&amp;P 500</w:t>
            </w:r>
          </w:p>
        </w:tc>
        <w:tc>
          <w:tcPr>
            <w:tcW w:w="960" w:type="dxa"/>
            <w:vAlign w:val="bottom"/>
          </w:tcPr>
          <w:p>
            <w:pPr>
              <w:jc w:val="center"/>
              <w:spacing w:after="0"/>
              <w:rPr>
                <w:sz w:val="20"/>
                <w:szCs w:val="20"/>
                <w:color w:val="auto"/>
              </w:rPr>
            </w:pPr>
            <w:r>
              <w:rPr>
                <w:rFonts w:ascii="Arial" w:cs="Arial" w:eastAsia="Arial" w:hAnsi="Arial"/>
                <w:sz w:val="12"/>
                <w:szCs w:val="12"/>
                <w:color w:val="auto"/>
                <w:w w:val="92"/>
              </w:rPr>
              <w:t>100.00</w:t>
            </w:r>
          </w:p>
        </w:tc>
        <w:tc>
          <w:tcPr>
            <w:tcW w:w="16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2"/>
                <w:szCs w:val="12"/>
                <w:color w:val="auto"/>
              </w:rPr>
              <w:t>101.38</w:t>
            </w: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7"/>
              </w:rPr>
              <w:t>113.51</w:t>
            </w: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7"/>
              </w:rPr>
              <w:t>138.29</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2"/>
              </w:rPr>
              <w:t>132.23</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87"/>
              </w:rPr>
              <w:t>173.86</w:t>
            </w:r>
          </w:p>
        </w:tc>
        <w:tc>
          <w:tcPr>
            <w:tcW w:w="20" w:type="dxa"/>
            <w:vAlign w:val="bottom"/>
          </w:tcPr>
          <w:p>
            <w:pPr>
              <w:spacing w:after="0"/>
              <w:rPr>
                <w:sz w:val="14"/>
                <w:szCs w:val="14"/>
                <w:color w:val="auto"/>
              </w:rPr>
            </w:pPr>
          </w:p>
        </w:tc>
      </w:tr>
      <w:tr>
        <w:trPr>
          <w:trHeight w:val="171"/>
        </w:trPr>
        <w:tc>
          <w:tcPr>
            <w:tcW w:w="4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Russell 2000</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100.00</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95.59</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115.95</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132.94</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118.30</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148.49</w:t>
            </w:r>
          </w:p>
        </w:tc>
        <w:tc>
          <w:tcPr>
            <w:tcW w:w="20" w:type="dxa"/>
            <w:vAlign w:val="bottom"/>
            <w:shd w:val="clear" w:color="auto" w:fill="CCEEFF"/>
          </w:tcPr>
          <w:p>
            <w:pPr>
              <w:spacing w:after="0"/>
              <w:rPr>
                <w:sz w:val="14"/>
                <w:szCs w:val="14"/>
                <w:color w:val="auto"/>
              </w:rPr>
            </w:pPr>
          </w:p>
        </w:tc>
      </w:tr>
      <w:tr>
        <w:trPr>
          <w:trHeight w:val="171"/>
        </w:trPr>
        <w:tc>
          <w:tcPr>
            <w:tcW w:w="4860" w:type="dxa"/>
            <w:vAlign w:val="bottom"/>
          </w:tcPr>
          <w:p>
            <w:pPr>
              <w:spacing w:after="0"/>
              <w:rPr>
                <w:sz w:val="20"/>
                <w:szCs w:val="20"/>
                <w:color w:val="auto"/>
              </w:rPr>
            </w:pPr>
            <w:r>
              <w:rPr>
                <w:rFonts w:ascii="Arial" w:cs="Arial" w:eastAsia="Arial" w:hAnsi="Arial"/>
                <w:sz w:val="12"/>
                <w:szCs w:val="12"/>
                <w:b w:val="1"/>
                <w:bCs w:val="1"/>
                <w:color w:val="auto"/>
              </w:rPr>
              <w:t>Peer Group</w:t>
            </w:r>
          </w:p>
        </w:tc>
        <w:tc>
          <w:tcPr>
            <w:tcW w:w="960" w:type="dxa"/>
            <w:vAlign w:val="bottom"/>
          </w:tcPr>
          <w:p>
            <w:pPr>
              <w:jc w:val="center"/>
              <w:spacing w:after="0"/>
              <w:rPr>
                <w:sz w:val="20"/>
                <w:szCs w:val="20"/>
                <w:color w:val="auto"/>
              </w:rPr>
            </w:pPr>
            <w:r>
              <w:rPr>
                <w:rFonts w:ascii="Arial" w:cs="Arial" w:eastAsia="Arial" w:hAnsi="Arial"/>
                <w:sz w:val="12"/>
                <w:szCs w:val="12"/>
                <w:color w:val="auto"/>
                <w:w w:val="92"/>
              </w:rPr>
              <w:t>100.00</w:t>
            </w:r>
          </w:p>
        </w:tc>
        <w:tc>
          <w:tcPr>
            <w:tcW w:w="16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2"/>
                <w:szCs w:val="12"/>
                <w:color w:val="auto"/>
              </w:rPr>
              <w:t>99.75</w:t>
            </w: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2"/>
              </w:rPr>
              <w:t>148.99</w:t>
            </w: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7"/>
              </w:rPr>
              <w:t>173.38</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2"/>
              </w:rPr>
              <w:t>131.29</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87"/>
              </w:rPr>
              <w:t>175.16</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-440055</wp:posOffset>
            </wp:positionV>
            <wp:extent cx="57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-440055</wp:posOffset>
            </wp:positionV>
            <wp:extent cx="914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-440055</wp:posOffset>
            </wp:positionV>
            <wp:extent cx="914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-440055</wp:posOffset>
            </wp:positionV>
            <wp:extent cx="914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-440055</wp:posOffset>
            </wp:positionV>
            <wp:extent cx="914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-440055</wp:posOffset>
            </wp:positionV>
            <wp:extent cx="37979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979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2" w:name="page33"/>
    <w:bookmarkEnd w:id="32"/>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Selected Financial Data</w:t>
      </w:r>
    </w:p>
    <w:p>
      <w:pPr>
        <w:spacing w:after="0" w:line="100" w:lineRule="exact"/>
        <w:rPr>
          <w:sz w:val="20"/>
          <w:szCs w:val="20"/>
          <w:color w:val="auto"/>
        </w:rPr>
      </w:pPr>
    </w:p>
    <w:p>
      <w:pPr>
        <w:ind w:right="80" w:firstLine="240"/>
        <w:spacing w:after="0" w:line="290" w:lineRule="auto"/>
        <w:rPr>
          <w:sz w:val="20"/>
          <w:szCs w:val="20"/>
          <w:color w:val="auto"/>
        </w:rPr>
      </w:pPr>
      <w:r>
        <w:rPr>
          <w:rFonts w:ascii="Arial" w:cs="Arial" w:eastAsia="Arial" w:hAnsi="Arial"/>
          <w:sz w:val="11"/>
          <w:szCs w:val="11"/>
          <w:color w:val="auto"/>
        </w:rPr>
        <w:t>The following table sets forth certain summary financial information on a historical basis. The summary statement of operations and the balance sheet data set forth below have been derived from our audited Financial Statements and footnotes thereto included elsewhere in this filing or in prior filings. Our Financial Statements have been prepared in accordance with accounting principles generally accepted in the United States of America (“GAAP”). Historical results are not necessarily indicative of the results we expect in the future and quarterly results are not necessarily indicative of the results of any future quarter or any full-year period. The information below should be read in conjunction with “Item 7. Management’s Discussion and Analysis of Financial Condition and Results from Operations” and the Financial Statements and notes thereto included in this Annual Report on Form 10-K.</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Statement of operations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7"/>
          </w:tcPr>
          <w:p>
            <w:pPr>
              <w:ind w:left="140"/>
              <w:spacing w:after="0"/>
              <w:rPr>
                <w:sz w:val="20"/>
                <w:szCs w:val="20"/>
                <w:color w:val="auto"/>
              </w:rPr>
            </w:pPr>
            <w:r>
              <w:rPr>
                <w:rFonts w:ascii="Arial" w:cs="Arial" w:eastAsia="Arial" w:hAnsi="Arial"/>
                <w:sz w:val="10"/>
                <w:szCs w:val="10"/>
                <w:b w:val="1"/>
                <w:bCs w:val="1"/>
                <w:color w:val="auto"/>
              </w:rPr>
              <w:t>For the year ended December 31,</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r>
      <w:tr>
        <w:trPr>
          <w:trHeight w:val="142"/>
        </w:trPr>
        <w:tc>
          <w:tcPr>
            <w:tcW w:w="51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2019</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2017</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2016</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2015</w:t>
            </w:r>
          </w:p>
        </w:tc>
        <w:tc>
          <w:tcPr>
            <w:tcW w:w="320" w:type="dxa"/>
            <w:vAlign w:val="bottom"/>
            <w:tcBorders>
              <w:bottom w:val="single" w:sz="8" w:color="auto"/>
            </w:tcBorders>
          </w:tcPr>
          <w:p>
            <w:pPr>
              <w:spacing w:after="0"/>
              <w:rPr>
                <w:sz w:val="12"/>
                <w:szCs w:val="12"/>
                <w:color w:val="auto"/>
              </w:rPr>
            </w:pPr>
          </w:p>
        </w:tc>
      </w:tr>
      <w:tr>
        <w:trPr>
          <w:trHeight w:val="169"/>
        </w:trPr>
        <w:tc>
          <w:tcPr>
            <w:tcW w:w="5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Contract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9"/>
              </w:rPr>
              <w:t>2,071,159</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6"/>
              </w:rPr>
              <w:t>1,531,169</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9"/>
              </w:rPr>
              <w:t>1,403,317</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6"/>
              </w:rPr>
              <w:t>1,142,487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9"/>
              </w:rPr>
              <w:t>1,061,681</w:t>
            </w:r>
          </w:p>
        </w:tc>
      </w:tr>
      <w:tr>
        <w:trPr>
          <w:trHeight w:val="176"/>
        </w:trPr>
        <w:tc>
          <w:tcPr>
            <w:tcW w:w="5520" w:type="dxa"/>
            <w:vAlign w:val="bottom"/>
            <w:gridSpan w:val="3"/>
          </w:tcPr>
          <w:p>
            <w:pPr>
              <w:spacing w:after="0"/>
              <w:rPr>
                <w:sz w:val="20"/>
                <w:szCs w:val="20"/>
                <w:color w:val="auto"/>
              </w:rPr>
            </w:pPr>
            <w:r>
              <w:rPr>
                <w:rFonts w:ascii="Arial" w:cs="Arial" w:eastAsia="Arial" w:hAnsi="Arial"/>
                <w:sz w:val="12"/>
                <w:szCs w:val="12"/>
                <w:color w:val="auto"/>
              </w:rPr>
              <w:t>Contract costs</w:t>
            </w: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1,857,001</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w w:val="86"/>
              </w:rPr>
              <w:t>1,364,109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w w:val="89"/>
              </w:rPr>
              <w:t>1,278,313</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w w:val="86"/>
              </w:rPr>
              <w:t>1,007,764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939,340</w:t>
            </w:r>
          </w:p>
        </w:tc>
      </w:tr>
      <w:tr>
        <w:trPr>
          <w:trHeight w:val="20"/>
        </w:trPr>
        <w:tc>
          <w:tcPr>
            <w:tcW w:w="520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65"/>
        </w:trPr>
        <w:tc>
          <w:tcPr>
            <w:tcW w:w="55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Gross profit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214,158</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167,060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125,004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134,723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122,341</w:t>
            </w:r>
          </w:p>
        </w:tc>
      </w:tr>
      <w:tr>
        <w:trPr>
          <w:trHeight w:val="171"/>
        </w:trPr>
        <w:tc>
          <w:tcPr>
            <w:tcW w:w="5520" w:type="dxa"/>
            <w:vAlign w:val="bottom"/>
            <w:gridSpan w:val="3"/>
          </w:tcPr>
          <w:p>
            <w:pPr>
              <w:spacing w:after="0"/>
              <w:rPr>
                <w:sz w:val="20"/>
                <w:szCs w:val="20"/>
                <w:color w:val="auto"/>
              </w:rPr>
            </w:pPr>
            <w:r>
              <w:rPr>
                <w:rFonts w:ascii="Arial" w:cs="Arial" w:eastAsia="Arial" w:hAnsi="Arial"/>
                <w:sz w:val="12"/>
                <w:szCs w:val="12"/>
                <w:color w:val="auto"/>
              </w:rPr>
              <w:t>Selling, general and administrative expenses</w:t>
            </w:r>
          </w:p>
        </w:tc>
        <w:tc>
          <w:tcPr>
            <w:tcW w:w="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156,674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118,737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98,611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96,424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79,186</w:t>
            </w:r>
          </w:p>
        </w:tc>
      </w:tr>
      <w:tr>
        <w:trPr>
          <w:trHeight w:val="171"/>
        </w:trPr>
        <w:tc>
          <w:tcPr>
            <w:tcW w:w="5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3,849</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1,843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499</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886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571</w:t>
            </w:r>
          </w:p>
        </w:tc>
      </w:tr>
      <w:tr>
        <w:trPr>
          <w:trHeight w:val="176"/>
        </w:trPr>
        <w:tc>
          <w:tcPr>
            <w:tcW w:w="5520" w:type="dxa"/>
            <w:vAlign w:val="bottom"/>
            <w:gridSpan w:val="3"/>
          </w:tcPr>
          <w:p>
            <w:pPr>
              <w:spacing w:after="0"/>
              <w:rPr>
                <w:sz w:val="20"/>
                <w:szCs w:val="20"/>
                <w:color w:val="auto"/>
              </w:rPr>
            </w:pPr>
            <w:r>
              <w:rPr>
                <w:rFonts w:ascii="Arial" w:cs="Arial" w:eastAsia="Arial" w:hAnsi="Arial"/>
                <w:sz w:val="12"/>
                <w:szCs w:val="12"/>
                <w:color w:val="auto"/>
              </w:rPr>
              <w:t>Gain on sale of property and equipment</w:t>
            </w:r>
          </w:p>
        </w:tc>
        <w:tc>
          <w:tcPr>
            <w:tcW w:w="6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(3,543)</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(3,832)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(3,664)</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(1,341)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(2,257)</w:t>
            </w:r>
          </w:p>
        </w:tc>
      </w:tr>
      <w:tr>
        <w:trPr>
          <w:trHeight w:val="20"/>
        </w:trPr>
        <w:tc>
          <w:tcPr>
            <w:tcW w:w="520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65"/>
        </w:trPr>
        <w:tc>
          <w:tcPr>
            <w:tcW w:w="55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Income from operations</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57,178</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50,312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29,558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38,754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44,841</w:t>
            </w:r>
          </w:p>
        </w:tc>
      </w:tr>
      <w:tr>
        <w:trPr>
          <w:trHeight w:val="171"/>
        </w:trPr>
        <w:tc>
          <w:tcPr>
            <w:tcW w:w="5520" w:type="dxa"/>
            <w:vAlign w:val="bottom"/>
            <w:gridSpan w:val="3"/>
          </w:tcPr>
          <w:p>
            <w:pPr>
              <w:spacing w:after="0"/>
              <w:rPr>
                <w:sz w:val="20"/>
                <w:szCs w:val="20"/>
                <w:color w:val="auto"/>
              </w:rPr>
            </w:pPr>
            <w:r>
              <w:rPr>
                <w:rFonts w:ascii="Arial" w:cs="Arial" w:eastAsia="Arial" w:hAnsi="Arial"/>
                <w:sz w:val="12"/>
                <w:szCs w:val="12"/>
                <w:color w:val="auto"/>
              </w:rPr>
              <w:t>Other income (expense):</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552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25</w:t>
            </w:r>
          </w:p>
        </w:tc>
      </w:tr>
      <w:tr>
        <w:trPr>
          <w:trHeight w:val="171"/>
        </w:trPr>
        <w:tc>
          <w:tcPr>
            <w:tcW w:w="5520" w:type="dxa"/>
            <w:vAlign w:val="bottom"/>
            <w:gridSpan w:val="3"/>
          </w:tcPr>
          <w:p>
            <w:pPr>
              <w:ind w:left="12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(6,225)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(3,652)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(2,603)</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(1,299)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(741)</w:t>
            </w:r>
          </w:p>
        </w:tc>
      </w:tr>
      <w:tr>
        <w:trPr>
          <w:trHeight w:val="176"/>
        </w:trPr>
        <w:tc>
          <w:tcPr>
            <w:tcW w:w="5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(515)</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(3,616)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(2,319)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885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174</w:t>
            </w:r>
          </w:p>
        </w:tc>
      </w:tr>
      <w:tr>
        <w:trPr>
          <w:trHeight w:val="20"/>
        </w:trPr>
        <w:tc>
          <w:tcPr>
            <w:tcW w:w="5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65"/>
        </w:trPr>
        <w:tc>
          <w:tcPr>
            <w:tcW w:w="5520" w:type="dxa"/>
            <w:vAlign w:val="bottom"/>
            <w:gridSpan w:val="3"/>
          </w:tcPr>
          <w:p>
            <w:pPr>
              <w:ind w:left="240"/>
              <w:spacing w:after="0"/>
              <w:rPr>
                <w:sz w:val="20"/>
                <w:szCs w:val="20"/>
                <w:color w:val="auto"/>
              </w:rPr>
            </w:pPr>
            <w:r>
              <w:rPr>
                <w:rFonts w:ascii="Arial" w:cs="Arial" w:eastAsia="Arial" w:hAnsi="Arial"/>
                <w:sz w:val="12"/>
                <w:szCs w:val="12"/>
                <w:color w:val="auto"/>
              </w:rPr>
              <w:t>Income before income tax expense</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50,442</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43,068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24,640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38,345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44,299</w:t>
            </w:r>
          </w:p>
        </w:tc>
      </w:tr>
      <w:tr>
        <w:trPr>
          <w:trHeight w:val="189"/>
        </w:trPr>
        <w:tc>
          <w:tcPr>
            <w:tcW w:w="5120" w:type="dxa"/>
            <w:vAlign w:val="bottom"/>
            <w:shd w:val="clear" w:color="auto" w:fill="CCEEFF"/>
          </w:tcPr>
          <w:p>
            <w:pPr>
              <w:ind w:left="240"/>
              <w:spacing w:after="0" w:line="189" w:lineRule="exact"/>
              <w:rPr>
                <w:sz w:val="20"/>
                <w:szCs w:val="20"/>
                <w:color w:val="auto"/>
              </w:rPr>
            </w:pPr>
            <w:r>
              <w:rPr>
                <w:rFonts w:ascii="Arial" w:cs="Arial" w:eastAsia="Arial" w:hAnsi="Arial"/>
                <w:sz w:val="12"/>
                <w:szCs w:val="12"/>
                <w:color w:val="auto"/>
              </w:rPr>
              <w:t>Income tax expense</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14,228</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11,774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3,486</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16,914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16,997</w:t>
            </w:r>
          </w:p>
        </w:tc>
      </w:tr>
      <w:tr>
        <w:trPr>
          <w:trHeight w:val="20"/>
        </w:trPr>
        <w:tc>
          <w:tcPr>
            <w:tcW w:w="5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60"/>
        </w:trPr>
        <w:tc>
          <w:tcPr>
            <w:tcW w:w="5520" w:type="dxa"/>
            <w:vAlign w:val="bottom"/>
            <w:gridSpan w:val="3"/>
          </w:tcPr>
          <w:p>
            <w:pPr>
              <w:spacing w:after="0"/>
              <w:rPr>
                <w:sz w:val="20"/>
                <w:szCs w:val="20"/>
                <w:color w:val="auto"/>
              </w:rPr>
            </w:pPr>
            <w:r>
              <w:rPr>
                <w:rFonts w:ascii="Arial" w:cs="Arial" w:eastAsia="Arial" w:hAnsi="Arial"/>
                <w:sz w:val="12"/>
                <w:szCs w:val="12"/>
                <w:color w:val="auto"/>
              </w:rPr>
              <w:t>Net income</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36,214</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31,294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21,154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21,431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27,302</w:t>
            </w:r>
          </w:p>
        </w:tc>
      </w:tr>
      <w:tr>
        <w:trPr>
          <w:trHeight w:val="171"/>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(loss) attributable to noncontrolling interest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(1,476)</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20" w:type="dxa"/>
            <w:vAlign w:val="bottom"/>
            <w:gridSpan w:val="4"/>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r>
      <w:tr>
        <w:trPr>
          <w:trHeight w:val="20"/>
        </w:trPr>
        <w:tc>
          <w:tcPr>
            <w:tcW w:w="5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85"/>
        </w:trPr>
        <w:tc>
          <w:tcPr>
            <w:tcW w:w="5520" w:type="dxa"/>
            <w:vAlign w:val="bottom"/>
            <w:gridSpan w:val="3"/>
          </w:tcPr>
          <w:p>
            <w:pPr>
              <w:spacing w:after="0"/>
              <w:rPr>
                <w:sz w:val="20"/>
                <w:szCs w:val="20"/>
                <w:color w:val="auto"/>
              </w:rPr>
            </w:pPr>
            <w:r>
              <w:rPr>
                <w:rFonts w:ascii="Arial" w:cs="Arial" w:eastAsia="Arial" w:hAnsi="Arial"/>
                <w:sz w:val="12"/>
                <w:szCs w:val="12"/>
                <w:color w:val="auto"/>
              </w:rPr>
              <w:t>Net income attributable to MYR Group Inc.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37,690</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31,087</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21,154</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21,431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27,302</w:t>
            </w:r>
          </w:p>
        </w:tc>
      </w:tr>
      <w:tr>
        <w:trPr>
          <w:trHeight w:val="144"/>
        </w:trPr>
        <w:tc>
          <w:tcPr>
            <w:tcW w:w="5520" w:type="dxa"/>
            <w:vAlign w:val="bottom"/>
            <w:tcBorders>
              <w:top w:val="single" w:sz="8" w:color="CCEEFF"/>
            </w:tcBorders>
            <w:gridSpan w:val="3"/>
            <w:shd w:val="clear" w:color="auto" w:fill="CCEEFF"/>
          </w:tcPr>
          <w:p>
            <w:pPr>
              <w:spacing w:after="0" w:line="135" w:lineRule="exact"/>
              <w:rPr>
                <w:sz w:val="20"/>
                <w:szCs w:val="20"/>
                <w:color w:val="auto"/>
              </w:rPr>
            </w:pPr>
            <w:r>
              <w:rPr>
                <w:rFonts w:ascii="Arial" w:cs="Arial" w:eastAsia="Arial" w:hAnsi="Arial"/>
                <w:sz w:val="12"/>
                <w:szCs w:val="12"/>
                <w:color w:val="auto"/>
              </w:rPr>
              <w:t>Income per common share attributable to MYR Group Inc.:</w:t>
            </w: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r>
      <w:tr>
        <w:trPr>
          <w:trHeight w:val="171"/>
        </w:trPr>
        <w:tc>
          <w:tcPr>
            <w:tcW w:w="5520" w:type="dxa"/>
            <w:vAlign w:val="bottom"/>
            <w:gridSpan w:val="3"/>
          </w:tcPr>
          <w:p>
            <w:pPr>
              <w:ind w:left="120"/>
              <w:spacing w:after="0"/>
              <w:rPr>
                <w:sz w:val="20"/>
                <w:szCs w:val="20"/>
                <w:color w:val="auto"/>
              </w:rPr>
            </w:pPr>
            <w:r>
              <w:rPr>
                <w:rFonts w:ascii="Arial" w:cs="Arial" w:eastAsia="Arial" w:hAnsi="Arial"/>
                <w:sz w:val="12"/>
                <w:szCs w:val="12"/>
                <w:color w:val="auto"/>
              </w:rPr>
              <w:t>– 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2.27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1.89</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1.30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1.25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1.33</w:t>
            </w:r>
          </w:p>
        </w:tc>
      </w:tr>
      <w:tr>
        <w:trPr>
          <w:trHeight w:val="171"/>
        </w:trPr>
        <w:tc>
          <w:tcPr>
            <w:tcW w:w="552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 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2.26</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1.87</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1.30</w:t>
            </w:r>
          </w:p>
        </w:tc>
      </w:tr>
      <w:tr>
        <w:trPr>
          <w:trHeight w:val="239"/>
        </w:trPr>
        <w:tc>
          <w:tcPr>
            <w:tcW w:w="5520" w:type="dxa"/>
            <w:vAlign w:val="bottom"/>
            <w:gridSpan w:val="3"/>
          </w:tcPr>
          <w:p>
            <w:pPr>
              <w:spacing w:after="0"/>
              <w:rPr>
                <w:sz w:val="20"/>
                <w:szCs w:val="20"/>
                <w:color w:val="auto"/>
              </w:rPr>
            </w:pPr>
            <w:r>
              <w:rPr>
                <w:rFonts w:ascii="Arial" w:cs="Arial" w:eastAsia="Arial" w:hAnsi="Arial"/>
                <w:sz w:val="12"/>
                <w:szCs w:val="12"/>
                <w:color w:val="auto"/>
              </w:rPr>
              <w:t>Weighted average number of common shares and potential common shares outstanding:</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76"/>
        </w:trPr>
        <w:tc>
          <w:tcPr>
            <w:tcW w:w="552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 Basic</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16,587</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16,441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16,273</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17,109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20,577</w:t>
            </w:r>
          </w:p>
        </w:tc>
      </w:tr>
      <w:tr>
        <w:trPr>
          <w:trHeight w:val="171"/>
        </w:trPr>
        <w:tc>
          <w:tcPr>
            <w:tcW w:w="5520" w:type="dxa"/>
            <w:vAlign w:val="bottom"/>
            <w:gridSpan w:val="3"/>
          </w:tcPr>
          <w:p>
            <w:pPr>
              <w:ind w:left="120"/>
              <w:spacing w:after="0"/>
              <w:rPr>
                <w:sz w:val="20"/>
                <w:szCs w:val="20"/>
                <w:color w:val="auto"/>
              </w:rPr>
            </w:pPr>
            <w:r>
              <w:rPr>
                <w:rFonts w:ascii="Arial" w:cs="Arial" w:eastAsia="Arial" w:hAnsi="Arial"/>
                <w:sz w:val="12"/>
                <w:szCs w:val="12"/>
                <w:color w:val="auto"/>
              </w:rPr>
              <w:t>– Diluted</w:t>
            </w:r>
          </w:p>
        </w:tc>
        <w:tc>
          <w:tcPr>
            <w:tcW w:w="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16,699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16,585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16,496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17,461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21,038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7081520</wp:posOffset>
            </wp:positionH>
            <wp:positionV relativeFrom="paragraph">
              <wp:posOffset>-1835150</wp:posOffset>
            </wp:positionV>
            <wp:extent cx="2057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-1835150</wp:posOffset>
            </wp:positionV>
            <wp:extent cx="4578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7835" cy="5715"/>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-1835150</wp:posOffset>
            </wp:positionV>
            <wp:extent cx="4578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783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-1835150</wp:posOffset>
            </wp:positionV>
            <wp:extent cx="512445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24450" cy="5715"/>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-2281555</wp:posOffset>
            </wp:positionV>
            <wp:extent cx="2057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-2281555</wp:posOffset>
            </wp:positionV>
            <wp:extent cx="4578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7835" cy="5715"/>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-2281555</wp:posOffset>
            </wp:positionV>
            <wp:extent cx="45783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783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-2281555</wp:posOffset>
            </wp:positionV>
            <wp:extent cx="512445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24450" cy="5715"/>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-2510155</wp:posOffset>
            </wp:positionV>
            <wp:extent cx="4572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-2510155</wp:posOffset>
            </wp:positionV>
            <wp:extent cx="4572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-2510155</wp:posOffset>
            </wp:positionV>
            <wp:extent cx="4572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-2510155</wp:posOffset>
            </wp:positionV>
            <wp:extent cx="4572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-2510155</wp:posOffset>
            </wp:positionV>
            <wp:extent cx="4572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3" w:name="page34"/>
    <w:bookmarkEnd w:id="33"/>
    <w:p>
      <w:pPr>
        <w:ind w:left="8"/>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Balance sheet data:</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As of December 31,</w:t>
            </w: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42"/>
        </w:trPr>
        <w:tc>
          <w:tcPr>
            <w:tcW w:w="53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2016</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2015</w:t>
            </w:r>
          </w:p>
        </w:tc>
      </w:tr>
      <w:tr>
        <w:trPr>
          <w:trHeight w:val="169"/>
        </w:trPr>
        <w:tc>
          <w:tcPr>
            <w:tcW w:w="55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   12,397</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7,507</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5,343</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23,846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39,797</w:t>
            </w:r>
          </w:p>
        </w:tc>
      </w:tr>
      <w:tr>
        <w:trPr>
          <w:trHeight w:val="180"/>
        </w:trPr>
        <w:tc>
          <w:tcPr>
            <w:tcW w:w="5500" w:type="dxa"/>
            <w:vAlign w:val="bottom"/>
            <w:gridSpan w:val="4"/>
          </w:tcPr>
          <w:p>
            <w:pPr>
              <w:spacing w:after="0" w:line="180" w:lineRule="exact"/>
              <w:rPr>
                <w:sz w:val="20"/>
                <w:szCs w:val="20"/>
                <w:color w:val="auto"/>
              </w:rPr>
            </w:pPr>
            <w:r>
              <w:rPr>
                <w:rFonts w:ascii="Arial" w:cs="Arial" w:eastAsia="Arial" w:hAnsi="Arial"/>
                <w:sz w:val="12"/>
                <w:szCs w:val="12"/>
                <w:color w:val="auto"/>
              </w:rPr>
              <w:t>Working capital</w:t>
            </w:r>
            <w:r>
              <w:rPr>
                <w:rFonts w:ascii="Arial" w:cs="Arial" w:eastAsia="Arial" w:hAnsi="Arial"/>
                <w:sz w:val="18"/>
                <w:szCs w:val="18"/>
                <w:color w:val="auto"/>
                <w:vertAlign w:val="superscript"/>
              </w:rPr>
              <w:t>(2)</w:t>
            </w:r>
          </w:p>
        </w:tc>
        <w:tc>
          <w:tcPr>
            <w:tcW w:w="1040" w:type="dxa"/>
            <w:vAlign w:val="bottom"/>
          </w:tcPr>
          <w:p>
            <w:pPr>
              <w:jc w:val="right"/>
              <w:ind w:right="102"/>
              <w:spacing w:after="0"/>
              <w:rPr>
                <w:sz w:val="20"/>
                <w:szCs w:val="20"/>
                <w:color w:val="auto"/>
              </w:rPr>
            </w:pPr>
            <w:r>
              <w:rPr>
                <w:rFonts w:ascii="Arial" w:cs="Arial" w:eastAsia="Arial" w:hAnsi="Arial"/>
                <w:sz w:val="12"/>
                <w:szCs w:val="12"/>
                <w:color w:val="auto"/>
              </w:rPr>
              <w:t>242,370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191,829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w w:val="87"/>
              </w:rPr>
              <w:t>191,172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w w:val="87"/>
              </w:rPr>
              <w:t>146,677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Arial" w:cs="Arial" w:eastAsia="Arial" w:hAnsi="Arial"/>
                <w:sz w:val="12"/>
                <w:szCs w:val="12"/>
                <w:color w:val="auto"/>
                <w:w w:val="87"/>
              </w:rPr>
              <w:t>123,630</w:t>
            </w:r>
          </w:p>
        </w:tc>
      </w:tr>
      <w:tr>
        <w:trPr>
          <w:trHeight w:val="171"/>
        </w:trPr>
        <w:tc>
          <w:tcPr>
            <w:tcW w:w="55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Total assets</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1,007,871</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748,755</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87"/>
              </w:rPr>
              <w:t>603,788</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87"/>
              </w:rPr>
              <w:t>573,495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7"/>
              </w:rPr>
              <w:t>524,925</w:t>
            </w:r>
          </w:p>
        </w:tc>
      </w:tr>
      <w:tr>
        <w:trPr>
          <w:trHeight w:val="171"/>
        </w:trPr>
        <w:tc>
          <w:tcPr>
            <w:tcW w:w="5500" w:type="dxa"/>
            <w:vAlign w:val="bottom"/>
            <w:gridSpan w:val="4"/>
          </w:tcPr>
          <w:p>
            <w:pPr>
              <w:spacing w:after="0"/>
              <w:rPr>
                <w:sz w:val="20"/>
                <w:szCs w:val="20"/>
                <w:color w:val="auto"/>
              </w:rPr>
            </w:pPr>
            <w:r>
              <w:rPr>
                <w:rFonts w:ascii="Arial" w:cs="Arial" w:eastAsia="Arial" w:hAnsi="Arial"/>
                <w:sz w:val="12"/>
                <w:szCs w:val="12"/>
                <w:color w:val="auto"/>
              </w:rPr>
              <w:t>Total debt</w:t>
            </w:r>
          </w:p>
        </w:tc>
        <w:tc>
          <w:tcPr>
            <w:tcW w:w="1040" w:type="dxa"/>
            <w:vAlign w:val="bottom"/>
          </w:tcPr>
          <w:p>
            <w:pPr>
              <w:jc w:val="right"/>
              <w:ind w:right="102"/>
              <w:spacing w:after="0"/>
              <w:rPr>
                <w:sz w:val="20"/>
                <w:szCs w:val="20"/>
                <w:color w:val="auto"/>
              </w:rPr>
            </w:pPr>
            <w:r>
              <w:rPr>
                <w:rFonts w:ascii="Arial" w:cs="Arial" w:eastAsia="Arial" w:hAnsi="Arial"/>
                <w:sz w:val="12"/>
                <w:szCs w:val="12"/>
                <w:color w:val="auto"/>
              </w:rPr>
              <w:t>165,824</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89,792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rPr>
              <w:t>78,960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rPr>
              <w:t>59,070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42"/>
              <w:spacing w:after="0"/>
              <w:rPr>
                <w:sz w:val="20"/>
                <w:szCs w:val="20"/>
                <w:color w:val="auto"/>
              </w:rPr>
            </w:pPr>
            <w:r>
              <w:rPr>
                <w:rFonts w:ascii="Arial" w:cs="Arial" w:eastAsia="Arial" w:hAnsi="Arial"/>
                <w:sz w:val="12"/>
                <w:szCs w:val="12"/>
                <w:color w:val="auto"/>
              </w:rPr>
              <w:t>—</w:t>
            </w:r>
          </w:p>
        </w:tc>
      </w:tr>
      <w:tr>
        <w:trPr>
          <w:trHeight w:val="171"/>
        </w:trPr>
        <w:tc>
          <w:tcPr>
            <w:tcW w:w="55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643,396</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424,291</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87"/>
              </w:rPr>
              <w:t>316,749</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87"/>
              </w:rPr>
              <w:t>310,321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87"/>
              </w:rPr>
              <w:t>195,045</w:t>
            </w:r>
          </w:p>
        </w:tc>
      </w:tr>
      <w:tr>
        <w:trPr>
          <w:trHeight w:val="162"/>
        </w:trPr>
        <w:tc>
          <w:tcPr>
            <w:tcW w:w="5500" w:type="dxa"/>
            <w:vAlign w:val="bottom"/>
            <w:gridSpan w:val="4"/>
          </w:tcPr>
          <w:p>
            <w:pPr>
              <w:spacing w:after="0"/>
              <w:rPr>
                <w:sz w:val="20"/>
                <w:szCs w:val="20"/>
                <w:color w:val="auto"/>
              </w:rPr>
            </w:pPr>
            <w:r>
              <w:rPr>
                <w:rFonts w:ascii="Arial" w:cs="Arial" w:eastAsia="Arial" w:hAnsi="Arial"/>
                <w:sz w:val="12"/>
                <w:szCs w:val="12"/>
                <w:color w:val="auto"/>
              </w:rPr>
              <w:t>Stockholders’ equity attributable to MYR Group Inc.</w:t>
            </w:r>
          </w:p>
        </w:tc>
        <w:tc>
          <w:tcPr>
            <w:tcW w:w="1040" w:type="dxa"/>
            <w:vAlign w:val="bottom"/>
          </w:tcPr>
          <w:p>
            <w:pPr>
              <w:jc w:val="right"/>
              <w:ind w:right="102"/>
              <w:spacing w:after="0"/>
              <w:rPr>
                <w:sz w:val="20"/>
                <w:szCs w:val="20"/>
                <w:color w:val="auto"/>
              </w:rPr>
            </w:pPr>
            <w:r>
              <w:rPr>
                <w:rFonts w:ascii="Arial" w:cs="Arial" w:eastAsia="Arial" w:hAnsi="Arial"/>
                <w:sz w:val="12"/>
                <w:szCs w:val="12"/>
                <w:color w:val="auto"/>
              </w:rPr>
              <w:t>364,471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322,984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w w:val="87"/>
              </w:rPr>
              <w:t>287,039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w w:val="87"/>
              </w:rPr>
              <w:t>263,174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42"/>
              <w:spacing w:after="0"/>
              <w:rPr>
                <w:sz w:val="20"/>
                <w:szCs w:val="20"/>
                <w:color w:val="auto"/>
              </w:rPr>
            </w:pPr>
            <w:r>
              <w:rPr>
                <w:rFonts w:ascii="Arial" w:cs="Arial" w:eastAsia="Arial" w:hAnsi="Arial"/>
                <w:sz w:val="12"/>
                <w:szCs w:val="12"/>
                <w:color w:val="auto"/>
                <w:w w:val="87"/>
              </w:rPr>
              <w:t>329,880</w:t>
            </w:r>
          </w:p>
        </w:tc>
      </w:tr>
      <w:tr>
        <w:trPr>
          <w:trHeight w:val="306"/>
        </w:trPr>
        <w:tc>
          <w:tcPr>
            <w:tcW w:w="5500" w:type="dxa"/>
            <w:vAlign w:val="bottom"/>
            <w:gridSpan w:val="4"/>
          </w:tcPr>
          <w:p>
            <w:pPr>
              <w:spacing w:after="0"/>
              <w:rPr>
                <w:sz w:val="20"/>
                <w:szCs w:val="20"/>
                <w:color w:val="auto"/>
              </w:rPr>
            </w:pPr>
            <w:r>
              <w:rPr>
                <w:rFonts w:ascii="Arial" w:cs="Arial" w:eastAsia="Arial" w:hAnsi="Arial"/>
                <w:sz w:val="12"/>
                <w:szCs w:val="12"/>
                <w:b w:val="1"/>
                <w:bCs w:val="1"/>
                <w:color w:val="auto"/>
              </w:rPr>
              <w:t>Other Data: (Unaudited)</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6"/>
        </w:trPr>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w w:val="94"/>
              </w:rPr>
              <w:t>For the year ended December 31,</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142"/>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gridSpan w:val="2"/>
          </w:tcPr>
          <w:p>
            <w:pPr>
              <w:spacing w:after="0"/>
              <w:rPr>
                <w:sz w:val="12"/>
                <w:szCs w:val="1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w w:val="98"/>
              </w:rPr>
              <w:t>2017</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2016</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2015</w:t>
            </w:r>
          </w:p>
        </w:tc>
      </w:tr>
      <w:tr>
        <w:trPr>
          <w:trHeight w:val="169"/>
        </w:trPr>
        <w:tc>
          <w:tcPr>
            <w:tcW w:w="55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Net cash flows provided by (used in) operating activities</w:t>
            </w:r>
          </w:p>
        </w:tc>
        <w:tc>
          <w:tcPr>
            <w:tcW w:w="104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   64,899</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7"/>
              </w:rPr>
              <w:t>84,789</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(9,198)</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54,490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97"/>
              </w:rPr>
              <w:t>43,000</w:t>
            </w:r>
          </w:p>
        </w:tc>
      </w:tr>
      <w:tr>
        <w:trPr>
          <w:trHeight w:val="171"/>
        </w:trPr>
        <w:tc>
          <w:tcPr>
            <w:tcW w:w="5500" w:type="dxa"/>
            <w:vAlign w:val="bottom"/>
            <w:gridSpan w:val="4"/>
          </w:tcPr>
          <w:p>
            <w:pPr>
              <w:spacing w:after="0"/>
              <w:rPr>
                <w:sz w:val="20"/>
                <w:szCs w:val="20"/>
                <w:color w:val="auto"/>
              </w:rPr>
            </w:pPr>
            <w:r>
              <w:rPr>
                <w:rFonts w:ascii="Arial" w:cs="Arial" w:eastAsia="Arial" w:hAnsi="Arial"/>
                <w:sz w:val="12"/>
                <w:szCs w:val="12"/>
                <w:color w:val="auto"/>
              </w:rPr>
              <w:t>Net cash flows used in investing activities</w:t>
            </w:r>
          </w:p>
        </w:tc>
        <w:tc>
          <w:tcPr>
            <w:tcW w:w="1040" w:type="dxa"/>
            <w:vAlign w:val="bottom"/>
          </w:tcPr>
          <w:p>
            <w:pPr>
              <w:jc w:val="right"/>
              <w:ind w:right="242"/>
              <w:spacing w:after="0"/>
              <w:rPr>
                <w:sz w:val="20"/>
                <w:szCs w:val="20"/>
                <w:color w:val="auto"/>
              </w:rPr>
            </w:pPr>
            <w:r>
              <w:rPr>
                <w:rFonts w:ascii="Arial" w:cs="Arial" w:eastAsia="Arial" w:hAnsi="Arial"/>
                <w:sz w:val="12"/>
                <w:szCs w:val="12"/>
                <w:color w:val="auto"/>
              </w:rPr>
              <w:t>(133,497)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2"/>
                <w:szCs w:val="12"/>
                <w:color w:val="auto"/>
              </w:rPr>
              <w:t>(93,203)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202"/>
              <w:spacing w:after="0"/>
              <w:rPr>
                <w:sz w:val="20"/>
                <w:szCs w:val="20"/>
                <w:color w:val="auto"/>
              </w:rPr>
            </w:pPr>
            <w:r>
              <w:rPr>
                <w:rFonts w:ascii="Arial" w:cs="Arial" w:eastAsia="Arial" w:hAnsi="Arial"/>
                <w:sz w:val="12"/>
                <w:szCs w:val="12"/>
                <w:color w:val="auto"/>
                <w:w w:val="89"/>
              </w:rPr>
              <w:t>(26,501)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color w:val="auto"/>
                <w:w w:val="93"/>
              </w:rPr>
              <w:t>(34,128)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color w:val="auto"/>
                <w:w w:val="89"/>
              </w:rPr>
              <w:t>(56,928)</w:t>
            </w:r>
          </w:p>
        </w:tc>
      </w:tr>
      <w:tr>
        <w:trPr>
          <w:trHeight w:val="171"/>
        </w:trPr>
        <w:tc>
          <w:tcPr>
            <w:tcW w:w="55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Net cash flows provided by (used in) financing activities</w:t>
            </w:r>
          </w:p>
        </w:tc>
        <w:tc>
          <w:tcPr>
            <w:tcW w:w="104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73,356</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7"/>
              </w:rPr>
              <w:t>10,642</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97"/>
              </w:rPr>
              <w:t>16,889</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w w:val="93"/>
              </w:rPr>
              <w:t>(35,539)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89"/>
              </w:rPr>
              <w:t>(23,911)</w:t>
            </w:r>
          </w:p>
        </w:tc>
      </w:tr>
      <w:tr>
        <w:trPr>
          <w:trHeight w:val="180"/>
        </w:trPr>
        <w:tc>
          <w:tcPr>
            <w:tcW w:w="5500" w:type="dxa"/>
            <w:vAlign w:val="bottom"/>
            <w:gridSpan w:val="4"/>
          </w:tcPr>
          <w:p>
            <w:pPr>
              <w:spacing w:after="0" w:line="180" w:lineRule="exact"/>
              <w:rPr>
                <w:sz w:val="20"/>
                <w:szCs w:val="20"/>
                <w:color w:val="auto"/>
              </w:rPr>
            </w:pPr>
            <w:r>
              <w:rPr>
                <w:rFonts w:ascii="Arial" w:cs="Arial" w:eastAsia="Arial" w:hAnsi="Arial"/>
                <w:sz w:val="12"/>
                <w:szCs w:val="12"/>
                <w:color w:val="auto"/>
              </w:rPr>
              <w:t>Depreciation and amortization</w:t>
            </w:r>
            <w:r>
              <w:rPr>
                <w:rFonts w:ascii="Arial" w:cs="Arial" w:eastAsia="Arial" w:hAnsi="Arial"/>
                <w:sz w:val="18"/>
                <w:szCs w:val="18"/>
                <w:color w:val="auto"/>
                <w:vertAlign w:val="superscript"/>
              </w:rPr>
              <w:t>(3)</w:t>
            </w:r>
          </w:p>
        </w:tc>
        <w:tc>
          <w:tcPr>
            <w:tcW w:w="1040" w:type="dxa"/>
            <w:vAlign w:val="bottom"/>
          </w:tcPr>
          <w:p>
            <w:pPr>
              <w:jc w:val="right"/>
              <w:ind w:right="282"/>
              <w:spacing w:after="0"/>
              <w:rPr>
                <w:sz w:val="20"/>
                <w:szCs w:val="20"/>
                <w:color w:val="auto"/>
              </w:rPr>
            </w:pPr>
            <w:r>
              <w:rPr>
                <w:rFonts w:ascii="Arial" w:cs="Arial" w:eastAsia="Arial" w:hAnsi="Arial"/>
                <w:sz w:val="12"/>
                <w:szCs w:val="12"/>
                <w:color w:val="auto"/>
              </w:rPr>
              <w:t>44,516</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ind w:right="41"/>
              <w:spacing w:after="0"/>
              <w:rPr>
                <w:sz w:val="20"/>
                <w:szCs w:val="20"/>
                <w:color w:val="auto"/>
              </w:rPr>
            </w:pPr>
            <w:r>
              <w:rPr>
                <w:rFonts w:ascii="Arial" w:cs="Arial" w:eastAsia="Arial" w:hAnsi="Arial"/>
                <w:sz w:val="12"/>
                <w:szCs w:val="12"/>
                <w:color w:val="auto"/>
                <w:w w:val="87"/>
              </w:rPr>
              <w:t>39,913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42"/>
              <w:spacing w:after="0"/>
              <w:rPr>
                <w:sz w:val="20"/>
                <w:szCs w:val="20"/>
                <w:color w:val="auto"/>
              </w:rPr>
            </w:pPr>
            <w:r>
              <w:rPr>
                <w:rFonts w:ascii="Arial" w:cs="Arial" w:eastAsia="Arial" w:hAnsi="Arial"/>
                <w:sz w:val="12"/>
                <w:szCs w:val="12"/>
                <w:color w:val="auto"/>
                <w:w w:val="97"/>
              </w:rPr>
              <w:t>38,576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rPr>
              <w:t>39,122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262"/>
              <w:spacing w:after="0"/>
              <w:rPr>
                <w:sz w:val="20"/>
                <w:szCs w:val="20"/>
                <w:color w:val="auto"/>
              </w:rPr>
            </w:pPr>
            <w:r>
              <w:rPr>
                <w:rFonts w:ascii="Arial" w:cs="Arial" w:eastAsia="Arial" w:hAnsi="Arial"/>
                <w:sz w:val="12"/>
                <w:szCs w:val="12"/>
                <w:color w:val="auto"/>
                <w:w w:val="97"/>
              </w:rPr>
              <w:t>38,029</w:t>
            </w:r>
          </w:p>
        </w:tc>
      </w:tr>
      <w:tr>
        <w:trPr>
          <w:trHeight w:val="171"/>
        </w:trPr>
        <w:tc>
          <w:tcPr>
            <w:tcW w:w="550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Capital expenditures</w:t>
            </w:r>
          </w:p>
        </w:tc>
        <w:tc>
          <w:tcPr>
            <w:tcW w:w="104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57,828</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7"/>
              </w:rPr>
              <w:t>50,704</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97"/>
              </w:rPr>
              <w:t>30,843</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25,371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97"/>
              </w:rPr>
              <w:t>46,599</w:t>
            </w:r>
          </w:p>
        </w:tc>
      </w:tr>
      <w:tr>
        <w:trPr>
          <w:trHeight w:val="180"/>
        </w:trPr>
        <w:tc>
          <w:tcPr>
            <w:tcW w:w="5500" w:type="dxa"/>
            <w:vAlign w:val="bottom"/>
            <w:gridSpan w:val="4"/>
          </w:tcPr>
          <w:p>
            <w:pPr>
              <w:spacing w:after="0" w:line="180" w:lineRule="exact"/>
              <w:rPr>
                <w:sz w:val="20"/>
                <w:szCs w:val="20"/>
                <w:color w:val="auto"/>
              </w:rPr>
            </w:pPr>
            <w:r>
              <w:rPr>
                <w:rFonts w:ascii="Arial" w:cs="Arial" w:eastAsia="Arial" w:hAnsi="Arial"/>
                <w:sz w:val="12"/>
                <w:szCs w:val="12"/>
                <w:color w:val="auto"/>
              </w:rPr>
              <w:t>Backlog</w:t>
            </w:r>
            <w:r>
              <w:rPr>
                <w:rFonts w:ascii="Arial" w:cs="Arial" w:eastAsia="Arial" w:hAnsi="Arial"/>
                <w:sz w:val="18"/>
                <w:szCs w:val="18"/>
                <w:color w:val="auto"/>
                <w:vertAlign w:val="superscript"/>
              </w:rPr>
              <w:t>(4)</w:t>
            </w:r>
          </w:p>
        </w:tc>
        <w:tc>
          <w:tcPr>
            <w:tcW w:w="1040" w:type="dxa"/>
            <w:vAlign w:val="bottom"/>
          </w:tcPr>
          <w:p>
            <w:pPr>
              <w:jc w:val="right"/>
              <w:ind w:right="282"/>
              <w:spacing w:after="0"/>
              <w:rPr>
                <w:sz w:val="20"/>
                <w:szCs w:val="20"/>
                <w:color w:val="auto"/>
              </w:rPr>
            </w:pPr>
            <w:r>
              <w:rPr>
                <w:rFonts w:ascii="Arial" w:cs="Arial" w:eastAsia="Arial" w:hAnsi="Arial"/>
                <w:sz w:val="12"/>
                <w:szCs w:val="12"/>
                <w:color w:val="auto"/>
              </w:rPr>
              <w:t>1,499,203</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2"/>
                <w:szCs w:val="12"/>
                <w:color w:val="auto"/>
              </w:rPr>
              <w:t>1,146,637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42"/>
              <w:spacing w:after="0"/>
              <w:rPr>
                <w:sz w:val="20"/>
                <w:szCs w:val="20"/>
                <w:color w:val="auto"/>
              </w:rPr>
            </w:pPr>
            <w:r>
              <w:rPr>
                <w:rFonts w:ascii="Arial" w:cs="Arial" w:eastAsia="Arial" w:hAnsi="Arial"/>
                <w:sz w:val="12"/>
                <w:szCs w:val="12"/>
                <w:color w:val="auto"/>
                <w:w w:val="82"/>
              </w:rPr>
              <w:t>679,139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2"/>
                <w:szCs w:val="12"/>
                <w:color w:val="auto"/>
                <w:w w:val="87"/>
              </w:rPr>
              <w:t>688,832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262"/>
              <w:spacing w:after="0"/>
              <w:rPr>
                <w:sz w:val="20"/>
                <w:szCs w:val="20"/>
                <w:color w:val="auto"/>
              </w:rPr>
            </w:pPr>
            <w:r>
              <w:rPr>
                <w:rFonts w:ascii="Arial" w:cs="Arial" w:eastAsia="Arial" w:hAnsi="Arial"/>
                <w:sz w:val="12"/>
                <w:szCs w:val="12"/>
                <w:color w:val="auto"/>
                <w:w w:val="82"/>
              </w:rPr>
              <w:t>450,934</w:t>
            </w:r>
          </w:p>
        </w:tc>
      </w:tr>
      <w:tr>
        <w:trPr>
          <w:trHeight w:val="180"/>
        </w:trPr>
        <w:tc>
          <w:tcPr>
            <w:tcW w:w="5500" w:type="dxa"/>
            <w:vAlign w:val="bottom"/>
            <w:gridSpan w:val="4"/>
            <w:shd w:val="clear" w:color="auto" w:fill="CCEEFF"/>
          </w:tcPr>
          <w:p>
            <w:pPr>
              <w:spacing w:after="0" w:line="180" w:lineRule="exact"/>
              <w:rPr>
                <w:sz w:val="20"/>
                <w:szCs w:val="20"/>
                <w:color w:val="auto"/>
              </w:rPr>
            </w:pPr>
            <w:r>
              <w:rPr>
                <w:rFonts w:ascii="Arial" w:cs="Arial" w:eastAsia="Arial" w:hAnsi="Arial"/>
                <w:sz w:val="12"/>
                <w:szCs w:val="12"/>
                <w:color w:val="auto"/>
              </w:rPr>
              <w:t>EBITDA</w:t>
            </w:r>
            <w:r>
              <w:rPr>
                <w:rFonts w:ascii="Arial" w:cs="Arial" w:eastAsia="Arial" w:hAnsi="Arial"/>
                <w:sz w:val="18"/>
                <w:szCs w:val="18"/>
                <w:color w:val="auto"/>
                <w:vertAlign w:val="superscript"/>
              </w:rPr>
              <w:t>(5)</w:t>
            </w:r>
          </w:p>
        </w:tc>
        <w:tc>
          <w:tcPr>
            <w:tcW w:w="104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101,179</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7"/>
              </w:rPr>
              <w:t>86,609</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w w:val="97"/>
              </w:rPr>
              <w:t>65,815</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78,761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97"/>
              </w:rPr>
              <w:t>83,044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-1886585</wp:posOffset>
            </wp:positionV>
            <wp:extent cx="914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-1886585</wp:posOffset>
            </wp:positionV>
            <wp:extent cx="914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-1886585</wp:posOffset>
            </wp:positionV>
            <wp:extent cx="914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-1886585</wp:posOffset>
            </wp:positionV>
            <wp:extent cx="914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-1886585</wp:posOffset>
            </wp:positionV>
            <wp:extent cx="914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-782955</wp:posOffset>
            </wp:positionV>
            <wp:extent cx="914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-782955</wp:posOffset>
            </wp:positionV>
            <wp:extent cx="914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-782955</wp:posOffset>
            </wp:positionV>
            <wp:extent cx="914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-782955</wp:posOffset>
            </wp:positionV>
            <wp:extent cx="914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-782955</wp:posOffset>
            </wp:positionV>
            <wp:extent cx="914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97155</wp:posOffset>
            </wp:positionV>
            <wp:extent cx="17272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232" w:lineRule="exact"/>
        <w:rPr>
          <w:sz w:val="20"/>
          <w:szCs w:val="20"/>
          <w:color w:val="auto"/>
        </w:rPr>
      </w:pPr>
    </w:p>
    <w:p>
      <w:pPr>
        <w:ind w:left="248" w:right="520" w:hanging="248"/>
        <w:spacing w:after="0" w:line="263" w:lineRule="auto"/>
        <w:tabs>
          <w:tab w:leader="none" w:pos="2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Tax Cuts and Jobs Act of 2017 (“2017 Tax Act”), among its many provisions, reduced the federal statutory tax rate from 35% to 21%. The Company applied the new provisions to its tax assets and liabilities in 2017, which resulted in a net reduction of income tax expense. Income tax expense in the years after 2017 benefited from the lower federal statutory tax rate and other provisions of the 2017 Tax Act. See further discussion in Note 12 — Income Taxes to our Financial Statements.</w:t>
      </w:r>
    </w:p>
    <w:p>
      <w:pPr>
        <w:spacing w:after="0" w:line="23" w:lineRule="exact"/>
        <w:rPr>
          <w:rFonts w:ascii="Arial" w:cs="Arial" w:eastAsia="Arial" w:hAnsi="Arial"/>
          <w:sz w:val="12"/>
          <w:szCs w:val="12"/>
          <w:color w:val="auto"/>
        </w:rPr>
      </w:pPr>
    </w:p>
    <w:p>
      <w:pPr>
        <w:ind w:left="248" w:right="500" w:hanging="248"/>
        <w:spacing w:after="0" w:line="276" w:lineRule="auto"/>
        <w:tabs>
          <w:tab w:leader="none" w:pos="2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Working capital is a non-GAAP measure. The Company defines working capital as total current assets less total current liabilities. Certain adjustments were made to working capital beginning in 2016 that are not reflected in the prior period. The following table provides the Company’s calculation of working capital:</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ind w:left="200"/>
              <w:spacing w:after="0"/>
              <w:rPr>
                <w:sz w:val="20"/>
                <w:szCs w:val="20"/>
                <w:color w:val="auto"/>
              </w:rPr>
            </w:pPr>
            <w:r>
              <w:rPr>
                <w:rFonts w:ascii="Arial" w:cs="Arial" w:eastAsia="Arial" w:hAnsi="Arial"/>
                <w:sz w:val="10"/>
                <w:szCs w:val="10"/>
                <w:b w:val="1"/>
                <w:bCs w:val="1"/>
                <w:color w:val="auto"/>
              </w:rPr>
              <w:t>As of December 31,</w:t>
            </w: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2019</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2018</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2017</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2016</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2015</w:t>
            </w: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40" w:type="dxa"/>
            <w:vAlign w:val="bottom"/>
            <w:gridSpan w:val="3"/>
            <w:shd w:val="clear" w:color="auto" w:fill="CCEEFF"/>
          </w:tcPr>
          <w:p>
            <w:pPr>
              <w:ind w:left="560"/>
              <w:spacing w:after="0"/>
              <w:rPr>
                <w:sz w:val="20"/>
                <w:szCs w:val="20"/>
                <w:color w:val="auto"/>
              </w:rPr>
            </w:pPr>
            <w:r>
              <w:rPr>
                <w:rFonts w:ascii="Arial" w:cs="Arial" w:eastAsia="Arial" w:hAnsi="Arial"/>
                <w:sz w:val="12"/>
                <w:szCs w:val="12"/>
                <w:b w:val="1"/>
                <w:bCs w:val="1"/>
                <w:color w:val="auto"/>
              </w:rPr>
              <w:t>Total current assets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9"/>
              </w:rPr>
              <w:t>$ 639,184</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$ 475,634</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$ 379,736</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$ 342,899</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9"/>
              </w:rPr>
              <w:t>$ 303,367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gridSpan w:val="3"/>
          </w:tcPr>
          <w:p>
            <w:pPr>
              <w:ind w:left="560"/>
              <w:spacing w:after="0"/>
              <w:rPr>
                <w:sz w:val="20"/>
                <w:szCs w:val="20"/>
                <w:color w:val="auto"/>
              </w:rPr>
            </w:pPr>
            <w:r>
              <w:rPr>
                <w:rFonts w:ascii="Arial" w:cs="Arial" w:eastAsia="Arial" w:hAnsi="Arial"/>
                <w:sz w:val="12"/>
                <w:szCs w:val="12"/>
                <w:color w:val="auto"/>
              </w:rPr>
              <w:t>Less: total current liabilities</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(396,814)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(283,805)</w:t>
            </w:r>
          </w:p>
        </w:tc>
        <w:tc>
          <w:tcPr>
            <w:tcW w:w="160" w:type="dxa"/>
            <w:vAlign w:val="bottom"/>
          </w:tcPr>
          <w:p>
            <w:pPr>
              <w:spacing w:after="0"/>
              <w:rPr>
                <w:sz w:val="15"/>
                <w:szCs w:val="15"/>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2"/>
                <w:szCs w:val="12"/>
                <w:color w:val="auto"/>
              </w:rPr>
              <w:t>(188,564)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(196,222)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(179,737)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shd w:val="clear" w:color="auto" w:fill="CCEEFF"/>
          </w:tcPr>
          <w:p>
            <w:pPr>
              <w:ind w:left="560"/>
              <w:spacing w:after="0"/>
              <w:rPr>
                <w:sz w:val="20"/>
                <w:szCs w:val="20"/>
                <w:color w:val="auto"/>
              </w:rPr>
            </w:pPr>
            <w:r>
              <w:rPr>
                <w:rFonts w:ascii="Arial" w:cs="Arial" w:eastAsia="Arial" w:hAnsi="Arial"/>
                <w:sz w:val="12"/>
                <w:szCs w:val="12"/>
                <w:b w:val="1"/>
                <w:bCs w:val="1"/>
                <w:color w:val="auto"/>
              </w:rPr>
              <w:t>Working capital</w:t>
            </w: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40" w:type="dxa"/>
            <w:vAlign w:val="bottom"/>
            <w:gridSpan w:val="3"/>
            <w:vMerge w:val="continue"/>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$ 242,370</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$ 191,829</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$ 191,172</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$ 146,677</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9"/>
              </w:rPr>
              <w:t>$ 123,630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-136525</wp:posOffset>
            </wp:positionV>
            <wp:extent cx="22288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75449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54495" cy="5715"/>
                    </a:xfrm>
                    <a:prstGeom prst="rect">
                      <a:avLst/>
                    </a:prstGeom>
                    <a:noFill/>
                  </pic:spPr>
                </pic:pic>
              </a:graphicData>
            </a:graphic>
          </wp:anchor>
        </w:drawing>
        <w:drawing>
          <wp:anchor simplePos="0" relativeHeight="251657728" behindDoc="1" locked="0" layoutInCell="0" allowOverlap="1">
            <wp:simplePos x="0" y="0"/>
            <wp:positionH relativeFrom="column">
              <wp:posOffset>7286625</wp:posOffset>
            </wp:positionH>
            <wp:positionV relativeFrom="paragraph">
              <wp:posOffset>-365125</wp:posOffset>
            </wp:positionV>
            <wp:extent cx="57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6445885</wp:posOffset>
            </wp:positionH>
            <wp:positionV relativeFrom="paragraph">
              <wp:posOffset>-365125</wp:posOffset>
            </wp:positionV>
            <wp:extent cx="914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-365125</wp:posOffset>
            </wp:positionV>
            <wp:extent cx="914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-365125</wp:posOffset>
            </wp:positionV>
            <wp:extent cx="914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-365125</wp:posOffset>
            </wp:positionV>
            <wp:extent cx="914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3162935</wp:posOffset>
            </wp:positionH>
            <wp:positionV relativeFrom="paragraph">
              <wp:posOffset>-365125</wp:posOffset>
            </wp:positionV>
            <wp:extent cx="914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33" w:lineRule="exact"/>
        <w:rPr>
          <w:sz w:val="20"/>
          <w:szCs w:val="20"/>
          <w:color w:val="auto"/>
        </w:rPr>
      </w:pPr>
    </w:p>
    <w:p>
      <w:pPr>
        <w:ind w:left="248" w:hanging="248"/>
        <w:spacing w:after="0"/>
        <w:tabs>
          <w:tab w:leader="none" w:pos="248"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Depreciation and amortization includes depreciation on capital assets, amortization of capital lease assets and amortization of finite-lived intangible assets.</w:t>
      </w:r>
    </w:p>
    <w:p>
      <w:pPr>
        <w:spacing w:after="0" w:line="60" w:lineRule="exact"/>
        <w:rPr>
          <w:rFonts w:ascii="Arial" w:cs="Arial" w:eastAsia="Arial" w:hAnsi="Arial"/>
          <w:sz w:val="12"/>
          <w:szCs w:val="12"/>
          <w:color w:val="auto"/>
        </w:rPr>
      </w:pPr>
    </w:p>
    <w:p>
      <w:pPr>
        <w:ind w:left="248" w:right="560" w:hanging="248"/>
        <w:spacing w:after="0" w:line="380" w:lineRule="auto"/>
        <w:tabs>
          <w:tab w:leader="none" w:pos="248" w:val="left"/>
        </w:tabs>
        <w:numPr>
          <w:ilvl w:val="0"/>
          <w:numId w:val="13"/>
        </w:numPr>
        <w:rPr>
          <w:rFonts w:ascii="Arial" w:cs="Arial" w:eastAsia="Arial" w:hAnsi="Arial"/>
          <w:sz w:val="10"/>
          <w:szCs w:val="10"/>
          <w:color w:val="auto"/>
        </w:rPr>
      </w:pPr>
      <w:r>
        <w:rPr>
          <w:rFonts w:ascii="Arial" w:cs="Arial" w:eastAsia="Arial" w:hAnsi="Arial"/>
          <w:sz w:val="10"/>
          <w:szCs w:val="10"/>
          <w:color w:val="auto"/>
        </w:rPr>
        <w:t>Backlog represents our estimated revenue on uncompleted contracts, including the amount of revenue on contracts on which work has not begun, minus the revenue we have recognized under such contracts. See “Item 1. Business — Backlog” for a discussion on how we calculate backlog for our business and “Item 1A. Risk Factors — Backlog may not be realized or may not result in profits and may not accurately represent future revenue.”</w:t>
      </w:r>
    </w:p>
    <w:p>
      <w:pPr>
        <w:spacing w:after="0" w:line="1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3177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4" w:name="page35"/>
    <w:bookmarkEnd w:id="34"/>
    <w:p>
      <w:pPr>
        <w:ind w:left="8"/>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8" w:right="460" w:hanging="248"/>
        <w:spacing w:after="0" w:line="279" w:lineRule="auto"/>
        <w:tabs>
          <w:tab w:leader="none" w:pos="248"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define EBITDA, a performance measure used by management, as net income attributable to MYR Group Inc. plus net income from noncontrolling interests, interest expense net of interest income, income tax expense and depreciation and amortization, as shown in the following table. EBITDA, a non-GAAP financial measure,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spacing w:after="0" w:line="15" w:lineRule="exact"/>
        <w:rPr>
          <w:rFonts w:ascii="Arial" w:cs="Arial" w:eastAsia="Arial" w:hAnsi="Arial"/>
          <w:sz w:val="11"/>
          <w:szCs w:val="11"/>
          <w:color w:val="auto"/>
        </w:rPr>
      </w:pPr>
    </w:p>
    <w:p>
      <w:pPr>
        <w:ind w:left="248" w:right="40"/>
        <w:spacing w:after="0" w:line="263" w:lineRule="auto"/>
        <w:rPr>
          <w:rFonts w:ascii="Arial" w:cs="Arial" w:eastAsia="Arial" w:hAnsi="Arial"/>
          <w:sz w:val="11"/>
          <w:szCs w:val="11"/>
          <w:color w:val="auto"/>
        </w:rPr>
      </w:pPr>
      <w:r>
        <w:rPr>
          <w:rFonts w:ascii="Arial" w:cs="Arial" w:eastAsia="Arial" w:hAnsi="Arial"/>
          <w:sz w:val="11"/>
          <w:szCs w:val="11"/>
          <w:color w:val="auto"/>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71" w:lineRule="exact"/>
        <w:rPr>
          <w:rFonts w:ascii="Arial" w:cs="Arial" w:eastAsia="Arial" w:hAnsi="Arial"/>
          <w:sz w:val="11"/>
          <w:szCs w:val="11"/>
          <w:color w:val="auto"/>
        </w:rPr>
      </w:pPr>
    </w:p>
    <w:p>
      <w:pPr>
        <w:ind w:left="248"/>
        <w:spacing w:after="0"/>
        <w:rPr>
          <w:rFonts w:ascii="Arial" w:cs="Arial" w:eastAsia="Arial" w:hAnsi="Arial"/>
          <w:sz w:val="11"/>
          <w:szCs w:val="11"/>
          <w:color w:val="auto"/>
        </w:rPr>
      </w:pPr>
      <w:r>
        <w:rPr>
          <w:rFonts w:ascii="Arial" w:cs="Arial" w:eastAsia="Arial" w:hAnsi="Arial"/>
          <w:sz w:val="12"/>
          <w:szCs w:val="12"/>
          <w:color w:val="auto"/>
        </w:rPr>
        <w:t>The following table provides a reconciliation of net income attributable to MYR Group Inc. to EBITDA:</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7"/>
          </w:tcPr>
          <w:p>
            <w:pPr>
              <w:ind w:left="40"/>
              <w:spacing w:after="0"/>
              <w:rPr>
                <w:sz w:val="20"/>
                <w:szCs w:val="20"/>
                <w:color w:val="auto"/>
              </w:rPr>
            </w:pPr>
            <w:r>
              <w:rPr>
                <w:rFonts w:ascii="Arial" w:cs="Arial" w:eastAsia="Arial" w:hAnsi="Arial"/>
                <w:sz w:val="10"/>
                <w:szCs w:val="10"/>
                <w:b w:val="1"/>
                <w:bCs w:val="1"/>
                <w:color w:val="auto"/>
                <w:w w:val="97"/>
              </w:rPr>
              <w:t>For the year ended December 31,</w:t>
            </w: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2019</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2018</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2015</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20" w:type="dxa"/>
            <w:vAlign w:val="bottom"/>
            <w:gridSpan w:val="3"/>
            <w:shd w:val="clear" w:color="auto" w:fill="CCEEFF"/>
          </w:tcPr>
          <w:p>
            <w:pPr>
              <w:ind w:left="540"/>
              <w:spacing w:after="0"/>
              <w:rPr>
                <w:sz w:val="20"/>
                <w:szCs w:val="20"/>
                <w:color w:val="auto"/>
              </w:rPr>
            </w:pPr>
            <w:r>
              <w:rPr>
                <w:rFonts w:ascii="Arial" w:cs="Arial" w:eastAsia="Arial" w:hAnsi="Arial"/>
                <w:sz w:val="12"/>
                <w:szCs w:val="12"/>
                <w:b w:val="1"/>
                <w:bCs w:val="1"/>
                <w:color w:val="auto"/>
              </w:rPr>
              <w:t>Net income attributable to MYR Group Inc.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37,690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w w:val="87"/>
              </w:rPr>
              <w:t>$31,087</w:t>
            </w:r>
          </w:p>
        </w:tc>
        <w:tc>
          <w:tcPr>
            <w:tcW w:w="1220" w:type="dxa"/>
            <w:vAlign w:val="bottom"/>
            <w:gridSpan w:val="5"/>
            <w:shd w:val="clear" w:color="auto" w:fill="CCEEFF"/>
          </w:tcPr>
          <w:p>
            <w:pPr>
              <w:jc w:val="right"/>
              <w:ind w:right="260"/>
              <w:spacing w:after="0"/>
              <w:rPr>
                <w:sz w:val="20"/>
                <w:szCs w:val="20"/>
                <w:color w:val="auto"/>
              </w:rPr>
            </w:pPr>
            <w:r>
              <w:rPr>
                <w:rFonts w:ascii="Arial" w:cs="Arial" w:eastAsia="Arial" w:hAnsi="Arial"/>
                <w:sz w:val="12"/>
                <w:szCs w:val="12"/>
                <w:color w:val="auto"/>
              </w:rPr>
              <w:t>$21,154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$21,431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$27,302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gridSpan w:val="3"/>
          </w:tcPr>
          <w:p>
            <w:pPr>
              <w:ind w:left="660"/>
              <w:spacing w:after="0"/>
              <w:rPr>
                <w:sz w:val="20"/>
                <w:szCs w:val="20"/>
                <w:color w:val="auto"/>
              </w:rPr>
            </w:pPr>
            <w:r>
              <w:rPr>
                <w:rFonts w:ascii="Arial" w:cs="Arial" w:eastAsia="Arial" w:hAnsi="Arial"/>
                <w:sz w:val="12"/>
                <w:szCs w:val="12"/>
                <w:color w:val="auto"/>
              </w:rPr>
              <w:t>Net income – noncontrolling interests</w:t>
            </w:r>
          </w:p>
        </w:tc>
        <w:tc>
          <w:tcPr>
            <w:tcW w:w="6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(1,476)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207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jc w:val="right"/>
              <w:ind w:right="640"/>
              <w:spacing w:after="0"/>
              <w:rPr>
                <w:sz w:val="20"/>
                <w:szCs w:val="20"/>
                <w:color w:val="auto"/>
              </w:rPr>
            </w:pPr>
            <w:r>
              <w:rPr>
                <w:rFonts w:ascii="Arial" w:cs="Arial" w:eastAsia="Arial" w:hAnsi="Arial"/>
                <w:sz w:val="12"/>
                <w:szCs w:val="12"/>
                <w:color w:val="auto"/>
              </w:rPr>
              <w:t>—</w:t>
            </w:r>
          </w:p>
        </w:tc>
        <w:tc>
          <w:tcPr>
            <w:tcW w:w="1020" w:type="dxa"/>
            <w:vAlign w:val="bottom"/>
            <w:gridSpan w:val="4"/>
          </w:tcPr>
          <w:p>
            <w:pPr>
              <w:jc w:val="right"/>
              <w:ind w:right="62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620" w:type="dxa"/>
            <w:vAlign w:val="bottom"/>
            <w:gridSpan w:val="3"/>
            <w:vMerge w:val="restart"/>
            <w:shd w:val="clear" w:color="auto" w:fill="CCEEFF"/>
          </w:tcPr>
          <w:p>
            <w:pPr>
              <w:ind w:left="540"/>
              <w:spacing w:after="0"/>
              <w:rPr>
                <w:sz w:val="20"/>
                <w:szCs w:val="20"/>
                <w:color w:val="auto"/>
              </w:rPr>
            </w:pPr>
            <w:r>
              <w:rPr>
                <w:rFonts w:ascii="Arial" w:cs="Arial" w:eastAsia="Arial" w:hAnsi="Arial"/>
                <w:sz w:val="12"/>
                <w:szCs w:val="12"/>
                <w:b w:val="1"/>
                <w:bCs w:val="1"/>
                <w:color w:val="auto"/>
              </w:rPr>
              <w:t>Net income</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36,214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31,294</w:t>
            </w:r>
          </w:p>
        </w:tc>
        <w:tc>
          <w:tcPr>
            <w:tcW w:w="1220" w:type="dxa"/>
            <w:vAlign w:val="bottom"/>
            <w:gridSpan w:val="5"/>
            <w:shd w:val="clear" w:color="auto" w:fill="CCEEFF"/>
          </w:tcPr>
          <w:p>
            <w:pPr>
              <w:jc w:val="right"/>
              <w:ind w:right="260"/>
              <w:spacing w:after="0"/>
              <w:rPr>
                <w:sz w:val="20"/>
                <w:szCs w:val="20"/>
                <w:color w:val="auto"/>
              </w:rPr>
            </w:pPr>
            <w:r>
              <w:rPr>
                <w:rFonts w:ascii="Arial" w:cs="Arial" w:eastAsia="Arial" w:hAnsi="Arial"/>
                <w:sz w:val="12"/>
                <w:szCs w:val="12"/>
                <w:color w:val="auto"/>
              </w:rPr>
              <w:t>21,154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21,431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27,302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gridSpan w:val="3"/>
          </w:tcPr>
          <w:p>
            <w:pPr>
              <w:ind w:left="660"/>
              <w:spacing w:after="0"/>
              <w:rPr>
                <w:sz w:val="20"/>
                <w:szCs w:val="20"/>
                <w:color w:val="auto"/>
              </w:rPr>
            </w:pPr>
            <w:r>
              <w:rPr>
                <w:rFonts w:ascii="Arial" w:cs="Arial" w:eastAsia="Arial" w:hAnsi="Arial"/>
                <w:sz w:val="12"/>
                <w:szCs w:val="12"/>
                <w:color w:val="auto"/>
              </w:rPr>
              <w:t>Interest expense, net</w:t>
            </w:r>
          </w:p>
        </w:tc>
        <w:tc>
          <w:tcPr>
            <w:tcW w:w="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6,221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3,628</w:t>
            </w:r>
          </w:p>
        </w:tc>
        <w:tc>
          <w:tcPr>
            <w:tcW w:w="1220" w:type="dxa"/>
            <w:vAlign w:val="bottom"/>
            <w:gridSpan w:val="5"/>
          </w:tcPr>
          <w:p>
            <w:pPr>
              <w:jc w:val="right"/>
              <w:ind w:right="260"/>
              <w:spacing w:after="0"/>
              <w:rPr>
                <w:sz w:val="20"/>
                <w:szCs w:val="20"/>
                <w:color w:val="auto"/>
              </w:rPr>
            </w:pPr>
            <w:r>
              <w:rPr>
                <w:rFonts w:ascii="Arial" w:cs="Arial" w:eastAsia="Arial" w:hAnsi="Arial"/>
                <w:sz w:val="12"/>
                <w:szCs w:val="12"/>
                <w:color w:val="auto"/>
              </w:rPr>
              <w:t>2,599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1,294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716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Income tax expense</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14,228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11,774</w:t>
            </w:r>
          </w:p>
        </w:tc>
        <w:tc>
          <w:tcPr>
            <w:tcW w:w="1220" w:type="dxa"/>
            <w:vAlign w:val="bottom"/>
            <w:gridSpan w:val="5"/>
            <w:shd w:val="clear" w:color="auto" w:fill="CCEEFF"/>
          </w:tcPr>
          <w:p>
            <w:pPr>
              <w:jc w:val="right"/>
              <w:ind w:right="260"/>
              <w:spacing w:after="0"/>
              <w:rPr>
                <w:sz w:val="20"/>
                <w:szCs w:val="20"/>
                <w:color w:val="auto"/>
              </w:rPr>
            </w:pPr>
            <w:r>
              <w:rPr>
                <w:rFonts w:ascii="Arial" w:cs="Arial" w:eastAsia="Arial" w:hAnsi="Arial"/>
                <w:sz w:val="12"/>
                <w:szCs w:val="12"/>
                <w:color w:val="auto"/>
              </w:rPr>
              <w:t>3,486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16,914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16,997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gridSpan w:val="3"/>
          </w:tcPr>
          <w:p>
            <w:pPr>
              <w:ind w:left="660"/>
              <w:spacing w:after="0"/>
              <w:rPr>
                <w:sz w:val="20"/>
                <w:szCs w:val="20"/>
                <w:color w:val="auto"/>
              </w:rPr>
            </w:pPr>
            <w:r>
              <w:rPr>
                <w:rFonts w:ascii="Arial" w:cs="Arial" w:eastAsia="Arial" w:hAnsi="Arial"/>
                <w:sz w:val="12"/>
                <w:szCs w:val="12"/>
                <w:color w:val="auto"/>
              </w:rPr>
              <w:t>Depreciation and amortization</w:t>
            </w:r>
          </w:p>
        </w:tc>
        <w:tc>
          <w:tcPr>
            <w:tcW w:w="6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44,516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39,913</w:t>
            </w:r>
          </w:p>
        </w:tc>
        <w:tc>
          <w:tcPr>
            <w:tcW w:w="1220" w:type="dxa"/>
            <w:vAlign w:val="bottom"/>
            <w:gridSpan w:val="5"/>
          </w:tcPr>
          <w:p>
            <w:pPr>
              <w:jc w:val="right"/>
              <w:ind w:right="260"/>
              <w:spacing w:after="0"/>
              <w:rPr>
                <w:sz w:val="20"/>
                <w:szCs w:val="20"/>
                <w:color w:val="auto"/>
              </w:rPr>
            </w:pPr>
            <w:r>
              <w:rPr>
                <w:rFonts w:ascii="Arial" w:cs="Arial" w:eastAsia="Arial" w:hAnsi="Arial"/>
                <w:sz w:val="12"/>
                <w:szCs w:val="12"/>
                <w:color w:val="auto"/>
              </w:rPr>
              <w:t>38,576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39,122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38,029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shd w:val="clear" w:color="auto" w:fill="CCEEFF"/>
          </w:tcPr>
          <w:p>
            <w:pPr>
              <w:ind w:left="540"/>
              <w:spacing w:after="0"/>
              <w:rPr>
                <w:sz w:val="20"/>
                <w:szCs w:val="20"/>
                <w:color w:val="auto"/>
              </w:rPr>
            </w:pPr>
            <w:r>
              <w:rPr>
                <w:rFonts w:ascii="Arial" w:cs="Arial" w:eastAsia="Arial" w:hAnsi="Arial"/>
                <w:sz w:val="12"/>
                <w:szCs w:val="12"/>
                <w:b w:val="1"/>
                <w:bCs w:val="1"/>
                <w:color w:val="auto"/>
              </w:rPr>
              <w:t>EBITDA</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7"/>
              </w:rPr>
              <w:t>101,179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w w:val="87"/>
              </w:rPr>
              <w:t>$86,609</w:t>
            </w:r>
          </w:p>
        </w:tc>
        <w:tc>
          <w:tcPr>
            <w:tcW w:w="1220" w:type="dxa"/>
            <w:vAlign w:val="bottom"/>
            <w:gridSpan w:val="5"/>
            <w:shd w:val="clear" w:color="auto" w:fill="CCEEFF"/>
          </w:tcPr>
          <w:p>
            <w:pPr>
              <w:jc w:val="right"/>
              <w:ind w:right="260"/>
              <w:spacing w:after="0"/>
              <w:rPr>
                <w:sz w:val="20"/>
                <w:szCs w:val="20"/>
                <w:color w:val="auto"/>
              </w:rPr>
            </w:pPr>
            <w:r>
              <w:rPr>
                <w:rFonts w:ascii="Arial" w:cs="Arial" w:eastAsia="Arial" w:hAnsi="Arial"/>
                <w:sz w:val="12"/>
                <w:szCs w:val="12"/>
                <w:color w:val="auto"/>
              </w:rPr>
              <w:t>$65,815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$78,761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$83,044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7115175</wp:posOffset>
            </wp:positionH>
            <wp:positionV relativeFrom="paragraph">
              <wp:posOffset>-136525</wp:posOffset>
            </wp:positionV>
            <wp:extent cx="17716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71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8630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63080" cy="5715"/>
                    </a:xfrm>
                    <a:prstGeom prst="rect">
                      <a:avLst/>
                    </a:prstGeom>
                    <a:noFill/>
                  </pic:spPr>
                </pic:pic>
              </a:graphicData>
            </a:graphic>
          </wp:anchor>
        </w:drawing>
        <w:drawing>
          <wp:anchor simplePos="0" relativeHeight="251657728" behindDoc="1" locked="0" layoutInCell="0" allowOverlap="1">
            <wp:simplePos x="0" y="0"/>
            <wp:positionH relativeFrom="column">
              <wp:posOffset>7115175</wp:posOffset>
            </wp:positionH>
            <wp:positionV relativeFrom="paragraph">
              <wp:posOffset>-582930</wp:posOffset>
            </wp:positionV>
            <wp:extent cx="17716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71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-582930</wp:posOffset>
            </wp:positionV>
            <wp:extent cx="68630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63080" cy="5715"/>
                    </a:xfrm>
                    <a:prstGeom prst="rect">
                      <a:avLst/>
                    </a:prstGeom>
                    <a:noFill/>
                  </pic:spPr>
                </pic:pic>
              </a:graphicData>
            </a:graphic>
          </wp:anchor>
        </w:drawing>
        <w:drawing>
          <wp:anchor simplePos="0" relativeHeight="251657728" behindDoc="1" locked="0" layoutInCell="0" allowOverlap="1">
            <wp:simplePos x="0" y="0"/>
            <wp:positionH relativeFrom="column">
              <wp:posOffset>7286625</wp:posOffset>
            </wp:positionH>
            <wp:positionV relativeFrom="paragraph">
              <wp:posOffset>-811530</wp:posOffset>
            </wp:positionV>
            <wp:extent cx="57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6628765</wp:posOffset>
            </wp:positionH>
            <wp:positionV relativeFrom="paragraph">
              <wp:posOffset>-811530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-811530</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-811530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-811530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-811530</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4"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We also use EBITDA as a liquidity measure. Certain material covenants contained within our credit agreement (the “Credit Agreement”) are based on EBITDA with certain additional adjustments as defined</w:t>
      </w:r>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3177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5" w:name="page36"/>
    <w:bookmarkEnd w:id="35"/>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in the Credit Agreement.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net cash flows provided by operating activities to EBITDA: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0"/>
                <w:szCs w:val="10"/>
                <w:b w:val="1"/>
                <w:bCs w:val="1"/>
                <w:color w:val="auto"/>
                <w:w w:val="86"/>
              </w:rPr>
              <w:t>For the year ended December 31,</w:t>
            </w: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2019</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2015</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60" w:type="dxa"/>
            <w:vAlign w:val="bottom"/>
            <w:gridSpan w:val="3"/>
            <w:shd w:val="clear" w:color="auto" w:fill="CCEEFF"/>
          </w:tcPr>
          <w:p>
            <w:pPr>
              <w:ind w:left="540"/>
              <w:spacing w:after="0"/>
              <w:rPr>
                <w:sz w:val="20"/>
                <w:szCs w:val="20"/>
                <w:color w:val="auto"/>
              </w:rPr>
            </w:pPr>
            <w:r>
              <w:rPr>
                <w:rFonts w:ascii="Arial" w:cs="Arial" w:eastAsia="Arial" w:hAnsi="Arial"/>
                <w:sz w:val="12"/>
                <w:szCs w:val="12"/>
                <w:b w:val="1"/>
                <w:bCs w:val="1"/>
                <w:color w:val="auto"/>
              </w:rPr>
              <w:t>Net cash flows provided by (used in) operating</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gridSpan w:val="3"/>
          </w:tcPr>
          <w:p>
            <w:pPr>
              <w:ind w:left="660"/>
              <w:spacing w:after="0"/>
              <w:rPr>
                <w:sz w:val="20"/>
                <w:szCs w:val="20"/>
                <w:color w:val="auto"/>
              </w:rPr>
            </w:pPr>
            <w:r>
              <w:rPr>
                <w:rFonts w:ascii="Arial" w:cs="Arial" w:eastAsia="Arial" w:hAnsi="Arial"/>
                <w:sz w:val="12"/>
                <w:szCs w:val="12"/>
                <w:b w:val="1"/>
                <w:bCs w:val="1"/>
                <w:color w:val="auto"/>
              </w:rPr>
              <w:t>activities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64,899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w w:val="94"/>
              </w:rPr>
              <w:t>$ 84,789</w:t>
            </w:r>
          </w:p>
        </w:tc>
        <w:tc>
          <w:tcPr>
            <w:tcW w:w="5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(9,198)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$ 54,490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$ 43,000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gridSpan w:val="3"/>
            <w:shd w:val="clear" w:color="auto" w:fill="CCEEFF"/>
          </w:tcPr>
          <w:p>
            <w:pPr>
              <w:ind w:left="540"/>
              <w:spacing w:after="0"/>
              <w:rPr>
                <w:sz w:val="20"/>
                <w:szCs w:val="20"/>
                <w:color w:val="auto"/>
              </w:rPr>
            </w:pPr>
            <w:r>
              <w:rPr>
                <w:rFonts w:ascii="Arial" w:cs="Arial" w:eastAsia="Arial" w:hAnsi="Arial"/>
                <w:sz w:val="12"/>
                <w:szCs w:val="12"/>
                <w:i w:val="1"/>
                <w:iCs w:val="1"/>
                <w:color w:val="auto"/>
              </w:rPr>
              <w:t>Add/(subtract)</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gridSpan w:val="3"/>
          </w:tcPr>
          <w:p>
            <w:pPr>
              <w:ind w:left="660"/>
              <w:spacing w:after="0"/>
              <w:rPr>
                <w:sz w:val="20"/>
                <w:szCs w:val="20"/>
                <w:color w:val="auto"/>
              </w:rPr>
            </w:pPr>
            <w:r>
              <w:rPr>
                <w:rFonts w:ascii="Arial" w:cs="Arial" w:eastAsia="Arial" w:hAnsi="Arial"/>
                <w:sz w:val="12"/>
                <w:szCs w:val="12"/>
                <w:color w:val="auto"/>
              </w:rPr>
              <w:t>Changes in operating assets and liabilities</w:t>
            </w:r>
          </w:p>
        </w:tc>
        <w:tc>
          <w:tcPr>
            <w:tcW w:w="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21,322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(10,363)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65,743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13,795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26,669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Adjustments to reconcile net income to net cash flows provided by (used in) operating activities</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3"/>
              </w:rPr>
              <w:t>(50,007)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(43,132)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(35,391)</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(46,854)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(42,367)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gridSpan w:val="3"/>
          </w:tcPr>
          <w:p>
            <w:pPr>
              <w:ind w:left="660"/>
              <w:spacing w:after="0"/>
              <w:rPr>
                <w:sz w:val="20"/>
                <w:szCs w:val="20"/>
                <w:color w:val="auto"/>
              </w:rPr>
            </w:pPr>
            <w:r>
              <w:rPr>
                <w:rFonts w:ascii="Arial" w:cs="Arial" w:eastAsia="Arial" w:hAnsi="Arial"/>
                <w:sz w:val="12"/>
                <w:szCs w:val="12"/>
                <w:color w:val="auto"/>
              </w:rPr>
              <w:t>Depreciation and amortization</w:t>
            </w:r>
          </w:p>
        </w:tc>
        <w:tc>
          <w:tcPr>
            <w:tcW w:w="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44,516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39,913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38,576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39,122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38,029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Income tax expense</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14,228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3,486</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16,914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16,997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gridSpan w:val="3"/>
          </w:tcPr>
          <w:p>
            <w:pPr>
              <w:ind w:left="660"/>
              <w:spacing w:after="0"/>
              <w:rPr>
                <w:sz w:val="20"/>
                <w:szCs w:val="20"/>
                <w:color w:val="auto"/>
              </w:rPr>
            </w:pPr>
            <w:r>
              <w:rPr>
                <w:rFonts w:ascii="Arial" w:cs="Arial" w:eastAsia="Arial" w:hAnsi="Arial"/>
                <w:sz w:val="12"/>
                <w:szCs w:val="12"/>
                <w:color w:val="auto"/>
              </w:rPr>
              <w:t>Interest expense, net</w:t>
            </w: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6,221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3,628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2,599</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1,294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716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shd w:val="clear" w:color="auto" w:fill="CCEEFF"/>
          </w:tcPr>
          <w:p>
            <w:pPr>
              <w:ind w:left="660"/>
              <w:spacing w:after="0"/>
              <w:rPr>
                <w:sz w:val="20"/>
                <w:szCs w:val="20"/>
                <w:color w:val="auto"/>
              </w:rPr>
            </w:pPr>
            <w:r>
              <w:rPr>
                <w:rFonts w:ascii="Arial" w:cs="Arial" w:eastAsia="Arial" w:hAnsi="Arial"/>
                <w:sz w:val="12"/>
                <w:szCs w:val="12"/>
                <w:b w:val="1"/>
                <w:bCs w:val="1"/>
                <w:color w:val="auto"/>
              </w:rPr>
              <w:t>EBITDA</w:t>
            </w: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101,179</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$ 86,609</w:t>
            </w: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7"/>
              </w:rPr>
              <w:t>65,815</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9"/>
              </w:rPr>
              <w:t>$ 78,761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9"/>
              </w:rPr>
              <w:t>$ 83,044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7098665</wp:posOffset>
            </wp:positionH>
            <wp:positionV relativeFrom="paragraph">
              <wp:posOffset>-136525</wp:posOffset>
            </wp:positionV>
            <wp:extent cx="18859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-136525</wp:posOffset>
            </wp:positionV>
            <wp:extent cx="4000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0050" cy="5715"/>
                    </a:xfrm>
                    <a:prstGeom prst="rect">
                      <a:avLst/>
                    </a:prstGeom>
                    <a:noFill/>
                  </pic:spPr>
                </pic:pic>
              </a:graphicData>
            </a:graphic>
          </wp:anchor>
        </w:drawing>
        <w:drawing>
          <wp:anchor simplePos="0" relativeHeight="251657728" behindDoc="1" locked="0" layoutInCell="0" allowOverlap="1">
            <wp:simplePos x="0" y="0"/>
            <wp:positionH relativeFrom="column">
              <wp:posOffset>5742940</wp:posOffset>
            </wp:positionH>
            <wp:positionV relativeFrom="paragraph">
              <wp:posOffset>-136525</wp:posOffset>
            </wp:positionV>
            <wp:extent cx="39433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433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546798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67985"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-1017270</wp:posOffset>
            </wp:positionV>
            <wp:extent cx="571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6595110</wp:posOffset>
            </wp:positionH>
            <wp:positionV relativeFrom="paragraph">
              <wp:posOffset>-1017270</wp:posOffset>
            </wp:positionV>
            <wp:extent cx="4572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-1017270</wp:posOffset>
            </wp:positionV>
            <wp:extent cx="4572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-1017270</wp:posOffset>
            </wp:positionV>
            <wp:extent cx="4572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-1017270</wp:posOffset>
            </wp:positionV>
            <wp:extent cx="4572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-1017270</wp:posOffset>
            </wp:positionV>
            <wp:extent cx="4572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6" w:name="page37"/>
    <w:bookmarkEnd w:id="36"/>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00" w:lineRule="exact"/>
        <w:rPr>
          <w:sz w:val="20"/>
          <w:szCs w:val="20"/>
          <w:color w:val="auto"/>
        </w:rPr>
      </w:pPr>
    </w:p>
    <w:p>
      <w:pPr>
        <w:ind w:right="240" w:firstLine="240"/>
        <w:spacing w:after="0" w:line="263" w:lineRule="auto"/>
        <w:rPr>
          <w:sz w:val="20"/>
          <w:szCs w:val="20"/>
          <w:color w:val="auto"/>
        </w:rPr>
      </w:pPr>
      <w:r>
        <w:rPr>
          <w:rFonts w:ascii="Arial" w:cs="Arial" w:eastAsia="Arial" w:hAnsi="Arial"/>
          <w:sz w:val="12"/>
          <w:szCs w:val="12"/>
          <w:i w:val="1"/>
          <w:iCs w:val="1"/>
          <w:color w:val="auto"/>
        </w:rPr>
        <w:t>The following discussion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Presentation of Information</w:t>
      </w:r>
    </w:p>
    <w:p>
      <w:pPr>
        <w:spacing w:after="0" w:line="109" w:lineRule="exact"/>
        <w:rPr>
          <w:sz w:val="20"/>
          <w:szCs w:val="20"/>
          <w:color w:val="auto"/>
        </w:rPr>
      </w:pPr>
    </w:p>
    <w:p>
      <w:pPr>
        <w:ind w:right="120" w:firstLine="240"/>
        <w:spacing w:after="0" w:line="263" w:lineRule="auto"/>
        <w:rPr>
          <w:sz w:val="20"/>
          <w:szCs w:val="20"/>
          <w:color w:val="auto"/>
        </w:rPr>
      </w:pPr>
      <w:r>
        <w:rPr>
          <w:rFonts w:ascii="Arial" w:cs="Arial" w:eastAsia="Arial" w:hAnsi="Arial"/>
          <w:sz w:val="12"/>
          <w:szCs w:val="12"/>
          <w:color w:val="auto"/>
        </w:rPr>
        <w:t>The discussion that follows includes a comparison of our results of operations and liquidity and capital resources for the fiscal years ended December 31, 2018 and 2019. For a discussion of changes from the fiscal year ended December 31, 2017 to the fiscal year ended December 31, 2018, refer to Management’s Discussion and Analysis of Financial Condition and Results of Operations in Part II, Item 7 of our Annual Report on Form 10-K for the year ended December 31, 2018 (filed March 6, 2019).</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Overview-Introduction</w:t>
      </w:r>
    </w:p>
    <w:p>
      <w:pPr>
        <w:spacing w:after="0" w:line="109" w:lineRule="exact"/>
        <w:rPr>
          <w:sz w:val="20"/>
          <w:szCs w:val="20"/>
          <w:color w:val="auto"/>
        </w:rPr>
      </w:pPr>
    </w:p>
    <w:p>
      <w:pPr>
        <w:ind w:right="100" w:firstLine="240"/>
        <w:spacing w:after="0" w:line="323" w:lineRule="auto"/>
        <w:rPr>
          <w:sz w:val="20"/>
          <w:szCs w:val="20"/>
          <w:color w:val="auto"/>
        </w:rPr>
      </w:pPr>
      <w:r>
        <w:rPr>
          <w:rFonts w:ascii="Arial" w:cs="Arial" w:eastAsia="Arial" w:hAnsi="Arial"/>
          <w:sz w:val="11"/>
          <w:szCs w:val="11"/>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38" w:lineRule="exact"/>
        <w:rPr>
          <w:sz w:val="20"/>
          <w:szCs w:val="20"/>
          <w:color w:val="auto"/>
        </w:rPr>
      </w:pPr>
    </w:p>
    <w:p>
      <w:pPr>
        <w:ind w:firstLine="240"/>
        <w:spacing w:after="0" w:line="263" w:lineRule="auto"/>
        <w:rPr>
          <w:sz w:val="20"/>
          <w:szCs w:val="20"/>
          <w:color w:val="auto"/>
        </w:rPr>
      </w:pPr>
      <w:r>
        <w:rPr>
          <w:rFonts w:ascii="Arial" w:cs="Arial" w:eastAsia="Arial" w:hAnsi="Arial"/>
          <w:sz w:val="12"/>
          <w:szCs w:val="12"/>
          <w:color w:val="auto"/>
        </w:rPr>
        <w:t>We have operated in the transmission and distribution industry since 1891. We are one of the largest U.S. contractors servicing the T&amp;D sector of the electric utility industry and provide T&amp;D services throughout the United States and western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78" w:lineRule="exact"/>
        <w:rPr>
          <w:sz w:val="20"/>
          <w:szCs w:val="20"/>
          <w:color w:val="auto"/>
        </w:rPr>
      </w:pPr>
    </w:p>
    <w:p>
      <w:pPr>
        <w:ind w:right="80" w:firstLine="240"/>
        <w:spacing w:after="0" w:line="323" w:lineRule="auto"/>
        <w:rPr>
          <w:sz w:val="20"/>
          <w:szCs w:val="20"/>
          <w:color w:val="auto"/>
        </w:rPr>
      </w:pPr>
      <w:r>
        <w:rPr>
          <w:rFonts w:ascii="Arial" w:cs="Arial" w:eastAsia="Arial" w:hAnsi="Arial"/>
          <w:sz w:val="11"/>
          <w:szCs w:val="11"/>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47" w:lineRule="exact"/>
        <w:rPr>
          <w:sz w:val="20"/>
          <w:szCs w:val="20"/>
          <w:color w:val="auto"/>
        </w:rPr>
      </w:pPr>
    </w:p>
    <w:p>
      <w:pPr>
        <w:ind w:right="140" w:firstLine="240"/>
        <w:spacing w:after="0" w:line="276" w:lineRule="auto"/>
        <w:rPr>
          <w:sz w:val="20"/>
          <w:szCs w:val="20"/>
          <w:color w:val="auto"/>
        </w:rPr>
      </w:pPr>
      <w:r>
        <w:rPr>
          <w:rFonts w:ascii="Arial" w:cs="Arial" w:eastAsia="Arial" w:hAnsi="Arial"/>
          <w:sz w:val="12"/>
          <w:szCs w:val="12"/>
          <w:color w:val="auto"/>
        </w:rPr>
        <w:t>We had revenues for the year ended December 31, 2019 of $2.071 billion compared to $1.531 billion for the year ended December 31, 2018. For the year ended December 31, 2019, net income attributable to MYR Group Inc. was $37.7 million compared to $31.1 million for the year ended December 31, 2018.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Overview-Segments</w:t>
      </w:r>
    </w:p>
    <w:p>
      <w:pPr>
        <w:spacing w:after="0" w:line="154" w:lineRule="exact"/>
        <w:rPr>
          <w:sz w:val="20"/>
          <w:szCs w:val="20"/>
          <w:color w:val="auto"/>
        </w:rPr>
      </w:pPr>
    </w:p>
    <w:p>
      <w:pPr>
        <w:ind w:right="20" w:firstLine="240"/>
        <w:spacing w:after="0" w:line="283" w:lineRule="auto"/>
        <w:rPr>
          <w:sz w:val="20"/>
          <w:szCs w:val="20"/>
          <w:color w:val="auto"/>
        </w:rPr>
      </w:pPr>
      <w:r>
        <w:rPr>
          <w:rFonts w:ascii="Arial" w:cs="Arial" w:eastAsia="Arial" w:hAnsi="Arial"/>
          <w:sz w:val="11"/>
          <w:szCs w:val="11"/>
          <w:i w:val="1"/>
          <w:iCs w:val="1"/>
          <w:color w:val="auto"/>
        </w:rPr>
        <w:t xml:space="preserve">Transmission and Distribution segment. </w:t>
      </w:r>
      <w:r>
        <w:rPr>
          <w:rFonts w:ascii="Arial" w:cs="Arial" w:eastAsia="Arial" w:hAnsi="Arial"/>
          <w:sz w:val="11"/>
          <w:szCs w:val="11"/>
          <w:color w:val="auto"/>
        </w:rPr>
        <w:t>Our T&amp;D segment provides comprehensive solutions to customers in the electric utility industry. Our T&amp;D segment generally serves the electric utility industry as a prime contractor to</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customers such as investor-owned utilities, cooperatives, private developers, government-funded utilities, independent power producers, independent transmission companies, industrial facility owners and other contractors. We have long-standing relationships with many of our T&amp;D customers who rely on us to construct and maintain reliable electric and other utility infrastructure. Our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Our T&amp;D services include the construction and maintenance of high voltage transmission lines, substations, lower voltage underground and overhead distribution systems, renewable power facilities and limited gas construction services. We also provide many services to our customers under multi-year master service agreements (“MSAs”) and other variable-term service agreements.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37" w:name="page38"/>
    <w:bookmarkEnd w:id="37"/>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 w:firstLine="240"/>
        <w:spacing w:after="0" w:line="323" w:lineRule="auto"/>
        <w:rPr>
          <w:sz w:val="20"/>
          <w:szCs w:val="20"/>
          <w:color w:val="auto"/>
        </w:rPr>
      </w:pPr>
      <w:r>
        <w:rPr>
          <w:rFonts w:ascii="Arial" w:cs="Arial" w:eastAsia="Arial" w:hAnsi="Arial"/>
          <w:sz w:val="11"/>
          <w:szCs w:val="11"/>
          <w:color w:val="auto"/>
        </w:rPr>
        <w:t>For the year ended December 31, 2019, our T&amp;D revenues were $1.134 billion, or 54.8%, of our revenue, compared to $893.1 million, or 58.3%, of our revenue for the year ended December 31, 2018 and $879.4 million, or 62.7%, of our revenue for the year ended December 31, 2017. Revenues from transmission projects represented 68.1%, 62.6%, and 68.5% of T&amp;D segment revenue for the years ended December 31, 2019, 2018 and 2017, respectively.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T&amp;D segment also provides restoration services in response to hurricanes, ice storms or other storm related events, which typically account for less than 5% of our annual revenues in 2019, 2018 and 2017.</w:t>
      </w:r>
    </w:p>
    <w:p>
      <w:pPr>
        <w:spacing w:after="0" w:line="105" w:lineRule="exact"/>
        <w:rPr>
          <w:sz w:val="20"/>
          <w:szCs w:val="20"/>
          <w:color w:val="auto"/>
        </w:rPr>
      </w:pPr>
    </w:p>
    <w:p>
      <w:pPr>
        <w:ind w:right="240" w:firstLine="240"/>
        <w:spacing w:after="0" w:line="276" w:lineRule="auto"/>
        <w:rPr>
          <w:sz w:val="20"/>
          <w:szCs w:val="20"/>
          <w:color w:val="auto"/>
        </w:rPr>
      </w:pPr>
      <w:r>
        <w:rPr>
          <w:rFonts w:ascii="Arial" w:cs="Arial" w:eastAsia="Arial" w:hAnsi="Arial"/>
          <w:sz w:val="12"/>
          <w:szCs w:val="12"/>
          <w:color w:val="auto"/>
        </w:rPr>
        <w:t>Measured by revenues in our T&amp;D segment, we provided 49.7%, 40.5% and 31.4% of our T&amp;D services under fixed-price contracts during the years ended December 31, 2019, 2018 and 2017, respectively. We also provide many services to our customers under multi-year maintenance service agreements and other variable service agreements.</w:t>
      </w:r>
    </w:p>
    <w:p>
      <w:pPr>
        <w:spacing w:after="0" w:line="115" w:lineRule="exact"/>
        <w:rPr>
          <w:sz w:val="20"/>
          <w:szCs w:val="20"/>
          <w:color w:val="auto"/>
        </w:rPr>
      </w:pPr>
    </w:p>
    <w:p>
      <w:pPr>
        <w:ind w:right="20" w:firstLine="240"/>
        <w:spacing w:after="0" w:line="257" w:lineRule="auto"/>
        <w:rPr>
          <w:sz w:val="20"/>
          <w:szCs w:val="20"/>
          <w:color w:val="auto"/>
        </w:rPr>
      </w:pPr>
      <w:r>
        <w:rPr>
          <w:rFonts w:ascii="Arial" w:cs="Arial" w:eastAsia="Arial" w:hAnsi="Arial"/>
          <w:sz w:val="12"/>
          <w:szCs w:val="12"/>
          <w:i w:val="1"/>
          <w:iCs w:val="1"/>
          <w:color w:val="auto"/>
        </w:rPr>
        <w:t xml:space="preserve">Commercial and Industrial segment. </w:t>
      </w:r>
      <w:r>
        <w:rPr>
          <w:rFonts w:ascii="Arial" w:cs="Arial" w:eastAsia="Arial" w:hAnsi="Arial"/>
          <w:sz w:val="12"/>
          <w:szCs w:val="12"/>
          <w:color w:val="auto"/>
        </w:rPr>
        <w:t>Our C&amp;I segment provides a wide range of services including design, installation, maintenance and repair of commercial and industrial wiring, the installation of traffic networks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installation of bridge, roadway and tunnel lighting. In our C&amp;I segment, we generally provide our electric construction and maintenance services as a subcontractor to general contractors in the C&amp;I industry as well as directly to facility owners. We have a diverse customer base with many long-standing relationships. We concentrate our efforts on projects where our technical and project management expertise are critical to successful and timely execution. The majority of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w:t>
      </w:r>
    </w:p>
    <w:p>
      <w:pPr>
        <w:spacing w:after="0" w:line="81" w:lineRule="exact"/>
        <w:rPr>
          <w:sz w:val="20"/>
          <w:szCs w:val="20"/>
          <w:color w:val="auto"/>
        </w:rPr>
      </w:pPr>
    </w:p>
    <w:p>
      <w:pPr>
        <w:ind w:right="40" w:firstLine="240"/>
        <w:spacing w:after="0" w:line="276" w:lineRule="auto"/>
        <w:rPr>
          <w:sz w:val="20"/>
          <w:szCs w:val="20"/>
          <w:color w:val="auto"/>
        </w:rPr>
      </w:pPr>
      <w:r>
        <w:rPr>
          <w:rFonts w:ascii="Arial" w:cs="Arial" w:eastAsia="Arial" w:hAnsi="Arial"/>
          <w:sz w:val="12"/>
          <w:szCs w:val="12"/>
          <w:color w:val="auto"/>
        </w:rPr>
        <w:t>For the year ended December 31, 2019, our C&amp;I revenues were $936.7 million, or 45.2%, of our revenue, compared to $638.1 million, or 41.7%, of our revenue for the year ended December 31, 2018 and $523.9 million, or 37.3%, of our revenue for the year ended December 31, 2017.</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Measured by revenues in our C&amp;I segment, we provided 75.2%, 71.0% and 63.7% of our services under fixed-price contracts for the years ended December 31, 2019, 2018 and 2017,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Overview-Revenue and Gross Margins</w:t>
      </w:r>
    </w:p>
    <w:p>
      <w:pPr>
        <w:spacing w:after="0" w:line="154" w:lineRule="exact"/>
        <w:rPr>
          <w:sz w:val="20"/>
          <w:szCs w:val="20"/>
          <w:color w:val="auto"/>
        </w:rPr>
      </w:pPr>
    </w:p>
    <w:p>
      <w:pPr>
        <w:ind w:right="220" w:firstLine="240"/>
        <w:spacing w:after="0" w:line="263" w:lineRule="auto"/>
        <w:rPr>
          <w:sz w:val="20"/>
          <w:szCs w:val="20"/>
          <w:color w:val="auto"/>
        </w:rPr>
      </w:pPr>
      <w:r>
        <w:rPr>
          <w:rFonts w:ascii="Arial" w:cs="Arial" w:eastAsia="Arial" w:hAnsi="Arial"/>
          <w:sz w:val="12"/>
          <w:szCs w:val="12"/>
          <w:i w:val="1"/>
          <w:iCs w:val="1"/>
          <w:color w:val="auto"/>
        </w:rPr>
        <w:t xml:space="preserve">Revenue Recognition. </w:t>
      </w:r>
      <w:r>
        <w:rPr>
          <w:rFonts w:ascii="Arial" w:cs="Arial" w:eastAsia="Arial" w:hAnsi="Arial"/>
          <w:sz w:val="12"/>
          <w:szCs w:val="12"/>
          <w:color w:val="auto"/>
        </w:rPr>
        <w:t>On January 1, 2018, we adopted accounting standards update (“ASU”) No. 2014-09,</w:t>
      </w:r>
      <w:r>
        <w:rPr>
          <w:rFonts w:ascii="Arial" w:cs="Arial" w:eastAsia="Arial" w:hAnsi="Arial"/>
          <w:sz w:val="12"/>
          <w:szCs w:val="12"/>
          <w:i w:val="1"/>
          <w:iCs w:val="1"/>
          <w:color w:val="auto"/>
        </w:rPr>
        <w:t xml:space="preserve"> Revenue from Contracts with Customers (Topic 606) </w:t>
      </w:r>
      <w:r>
        <w:rPr>
          <w:rFonts w:ascii="Arial" w:cs="Arial" w:eastAsia="Arial" w:hAnsi="Arial"/>
          <w:sz w:val="12"/>
          <w:szCs w:val="12"/>
          <w:color w:val="auto"/>
        </w:rPr>
        <w:t>using the modified retrospective method for contracts that were not</w:t>
      </w:r>
      <w:r>
        <w:rPr>
          <w:rFonts w:ascii="Arial" w:cs="Arial" w:eastAsia="Arial" w:hAnsi="Arial"/>
          <w:sz w:val="12"/>
          <w:szCs w:val="12"/>
          <w:i w:val="1"/>
          <w:iCs w:val="1"/>
          <w:color w:val="auto"/>
        </w:rPr>
        <w:t xml:space="preserve"> </w:t>
      </w:r>
      <w:r>
        <w:rPr>
          <w:rFonts w:ascii="Arial" w:cs="Arial" w:eastAsia="Arial" w:hAnsi="Arial"/>
          <w:sz w:val="12"/>
          <w:szCs w:val="12"/>
          <w:color w:val="auto"/>
        </w:rPr>
        <w:t>completed as of January 1, 2018. Results for reporting periods beginning after December 31, 2017 are presented under this new pronouncement, while prior period amounts were not adjusted and continue to be reported under the accounting standard Revenue Recognition Topic 605, which was in effect for those periods.</w:t>
      </w:r>
    </w:p>
    <w:p>
      <w:pPr>
        <w:spacing w:after="0" w:line="78" w:lineRule="exact"/>
        <w:rPr>
          <w:sz w:val="20"/>
          <w:szCs w:val="20"/>
          <w:color w:val="auto"/>
        </w:rPr>
      </w:pPr>
    </w:p>
    <w:p>
      <w:pPr>
        <w:ind w:firstLine="240"/>
        <w:spacing w:after="0" w:line="281" w:lineRule="auto"/>
        <w:rPr>
          <w:sz w:val="20"/>
          <w:szCs w:val="20"/>
          <w:color w:val="auto"/>
        </w:rPr>
      </w:pPr>
      <w:r>
        <w:rPr>
          <w:rFonts w:ascii="Arial" w:cs="Arial" w:eastAsia="Arial" w:hAnsi="Arial"/>
          <w:sz w:val="11"/>
          <w:szCs w:val="11"/>
          <w:color w:val="auto"/>
        </w:rPr>
        <w:t>Under Topic 606, 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utilized the cost-to-cost method as we believe cost incurred best represents the amount of work completed and remaining on our projects, and is the most common basis for computing percentage of completion in our industry.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Additionally, contract costs incurred to date and expected total contract costs are continuously monitored during the term of the contract. Changes in the job performance, job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8" w:name="page39"/>
    <w:bookmarkEnd w:id="38"/>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conditions and final contract settlements are factors that influence management’s assessment of total contract value and the total estimated costs to complete those contracts, and therefore, profit and revenue recognition.</w:t>
      </w:r>
    </w:p>
    <w:p>
      <w:pPr>
        <w:spacing w:after="0" w:line="99" w:lineRule="exact"/>
        <w:rPr>
          <w:sz w:val="20"/>
          <w:szCs w:val="20"/>
          <w:color w:val="auto"/>
        </w:rPr>
      </w:pPr>
    </w:p>
    <w:p>
      <w:pPr>
        <w:ind w:right="20" w:firstLine="240"/>
        <w:spacing w:after="0" w:line="301" w:lineRule="auto"/>
        <w:rPr>
          <w:sz w:val="20"/>
          <w:szCs w:val="20"/>
          <w:color w:val="auto"/>
        </w:rPr>
      </w:pPr>
      <w:r>
        <w:rPr>
          <w:rFonts w:ascii="Arial" w:cs="Arial" w:eastAsia="Arial" w:hAnsi="Arial"/>
          <w:sz w:val="10"/>
          <w:szCs w:val="10"/>
          <w:color w:val="auto"/>
        </w:rPr>
        <w:t>Prior to 2018, under Topic 605, we recognized revenue on the percentage-of-completion method of accounting, which was commonly used in the construction industry. The percentage-of-completion accounting method resulted in recognizing contract revenues and earnings ratably over the contract term in proportion to our incurrence of contract costs. The profits or losses recognized on individual contracts were based on estimates of contract revenues, costs and profitability. Contract losses were recognized in full when determined, and contract profit estimates were adjusted based on ongoing reviews of contract profitability. Changes in job performance, labor costs, equipment costs, job conditions, weather, estimated profitability and final contract settlements sometimes resulted in revisions to costs and income and their effects were recognized in the period in which the revisions were determined. We recorded adjustments to estimated costs of contracts when we believed the change in estimate was probable and the amounts could be reasonably estimated. These adjustments could have resulted in either increases or decreases in profit margins.</w:t>
      </w:r>
    </w:p>
    <w:p>
      <w:pPr>
        <w:spacing w:after="0" w:line="99" w:lineRule="exact"/>
        <w:rPr>
          <w:sz w:val="20"/>
          <w:szCs w:val="20"/>
          <w:color w:val="auto"/>
        </w:rPr>
      </w:pPr>
    </w:p>
    <w:p>
      <w:pPr>
        <w:jc w:val="both"/>
        <w:ind w:right="100" w:firstLine="240"/>
        <w:spacing w:after="0" w:line="243" w:lineRule="auto"/>
        <w:rPr>
          <w:sz w:val="20"/>
          <w:szCs w:val="20"/>
          <w:color w:val="auto"/>
        </w:rPr>
      </w:pPr>
      <w:r>
        <w:rPr>
          <w:rFonts w:ascii="Arial" w:cs="Arial" w:eastAsia="Arial" w:hAnsi="Arial"/>
          <w:sz w:val="12"/>
          <w:szCs w:val="12"/>
          <w:i w:val="1"/>
          <w:iCs w:val="1"/>
          <w:color w:val="auto"/>
        </w:rPr>
        <w:t xml:space="preserve">Gross Margins. </w:t>
      </w:r>
      <w:r>
        <w:rPr>
          <w:rFonts w:ascii="Arial" w:cs="Arial" w:eastAsia="Arial" w:hAnsi="Arial"/>
          <w:sz w:val="12"/>
          <w:szCs w:val="12"/>
          <w:color w:val="auto"/>
        </w:rPr>
        <w:t>Our gross margin can vary between periods as a result of many factors, some of which are beyond our control. These factors include: the mix of revenue derived from the industries we serve, the size and duration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our projects, the mix of business conducted in different parts of the United States and Canada, the mix in service and maintenance work compared to new construction work, the amount of work that we subcontract, the amount of material we supply, changes in labor, equipment or insurance costs, seasonal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Overview-Economic, Industry and Market Factors</w:t>
      </w:r>
    </w:p>
    <w:p>
      <w:pPr>
        <w:spacing w:after="0" w:line="109" w:lineRule="exact"/>
        <w:rPr>
          <w:sz w:val="20"/>
          <w:szCs w:val="20"/>
          <w:color w:val="auto"/>
        </w:rPr>
      </w:pPr>
    </w:p>
    <w:p>
      <w:pPr>
        <w:ind w:firstLine="240"/>
        <w:spacing w:after="0" w:line="248" w:lineRule="auto"/>
        <w:rPr>
          <w:sz w:val="20"/>
          <w:szCs w:val="20"/>
          <w:color w:val="auto"/>
        </w:rPr>
      </w:pPr>
      <w:r>
        <w:rPr>
          <w:rFonts w:ascii="Arial" w:cs="Arial" w:eastAsia="Arial" w:hAnsi="Arial"/>
          <w:sz w:val="12"/>
          <w:szCs w:val="12"/>
          <w:color w:val="auto"/>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spacing w:after="0" w:line="77" w:lineRule="exact"/>
        <w:rPr>
          <w:sz w:val="20"/>
          <w:szCs w:val="20"/>
          <w:color w:val="auto"/>
        </w:rPr>
      </w:pPr>
    </w:p>
    <w:p>
      <w:pPr>
        <w:ind w:right="100" w:firstLine="240"/>
        <w:spacing w:after="0" w:line="283" w:lineRule="auto"/>
        <w:rPr>
          <w:sz w:val="20"/>
          <w:szCs w:val="20"/>
          <w:color w:val="auto"/>
        </w:rPr>
      </w:pPr>
      <w:r>
        <w:rPr>
          <w:rFonts w:ascii="Arial" w:cs="Arial" w:eastAsia="Arial" w:hAnsi="Arial"/>
          <w:sz w:val="11"/>
          <w:szCs w:val="11"/>
          <w:color w:val="auto"/>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 affecting the industries we serve can impact demand for our services.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Overview-Seasonality and Nature of Our Work Environment</w:t>
      </w:r>
    </w:p>
    <w:p>
      <w:pPr>
        <w:spacing w:after="0" w:line="100" w:lineRule="exact"/>
        <w:rPr>
          <w:sz w:val="20"/>
          <w:szCs w:val="20"/>
          <w:color w:val="auto"/>
        </w:rPr>
      </w:pPr>
    </w:p>
    <w:p>
      <w:pPr>
        <w:ind w:right="220" w:firstLine="240"/>
        <w:spacing w:after="0" w:line="263" w:lineRule="auto"/>
        <w:rPr>
          <w:sz w:val="20"/>
          <w:szCs w:val="20"/>
          <w:color w:val="auto"/>
        </w:rPr>
      </w:pPr>
      <w:r>
        <w:rPr>
          <w:rFonts w:ascii="Arial" w:cs="Arial" w:eastAsia="Arial" w:hAnsi="Arial"/>
          <w:sz w:val="12"/>
          <w:szCs w:val="12"/>
          <w:color w:val="auto"/>
        </w:rPr>
        <w:t>Although our revenues are primarily driven by spending patterns in our customers’ industries, our revenues and results of operations, particularly those derived from our T&amp;D segment,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due to peak electrical demands caused by warmer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180"/>
        <w:spacing w:after="0" w:line="281" w:lineRule="auto"/>
        <w:rPr>
          <w:sz w:val="20"/>
          <w:szCs w:val="20"/>
          <w:color w:val="auto"/>
        </w:rPr>
      </w:pPr>
      <w:r>
        <w:rPr>
          <w:rFonts w:ascii="Arial" w:cs="Arial" w:eastAsia="Arial" w:hAnsi="Arial"/>
          <w:sz w:val="11"/>
          <w:szCs w:val="11"/>
          <w:color w:val="auto"/>
        </w:rPr>
        <w:t>weather, which limits our ability to perform electrical line service work.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 different locations, including but not limited to, difficult terrain, sites which may have been exposed to harsh and hazardous conditions, and in large urban centers where delivery of materials and availability of labor may be impacted.</w:t>
      </w:r>
    </w:p>
    <w:p>
      <w:pPr>
        <w:spacing w:after="0" w:line="51" w:lineRule="exact"/>
        <w:rPr>
          <w:sz w:val="20"/>
          <w:szCs w:val="20"/>
          <w:color w:val="auto"/>
        </w:rPr>
      </w:pPr>
    </w:p>
    <w:p>
      <w:pPr>
        <w:jc w:val="both"/>
        <w:ind w:right="20" w:firstLine="240"/>
        <w:spacing w:after="0" w:line="361" w:lineRule="auto"/>
        <w:rPr>
          <w:sz w:val="20"/>
          <w:szCs w:val="20"/>
          <w:color w:val="auto"/>
        </w:rPr>
      </w:pPr>
      <w:r>
        <w:rPr>
          <w:rFonts w:ascii="Arial" w:cs="Arial" w:eastAsia="Arial" w:hAnsi="Arial"/>
          <w:sz w:val="10"/>
          <w:szCs w:val="10"/>
          <w:color w:val="auto"/>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09" w:lineRule="exact"/>
        <w:rPr>
          <w:sz w:val="20"/>
          <w:szCs w:val="20"/>
          <w:color w:val="auto"/>
        </w:rPr>
      </w:pPr>
    </w:p>
    <w:p>
      <w:pPr>
        <w:ind w:right="60" w:firstLine="240"/>
        <w:spacing w:after="0" w:line="243" w:lineRule="auto"/>
        <w:rPr>
          <w:sz w:val="20"/>
          <w:szCs w:val="20"/>
          <w:color w:val="auto"/>
        </w:rPr>
      </w:pPr>
      <w:r>
        <w:rPr>
          <w:rFonts w:ascii="Arial" w:cs="Arial" w:eastAsia="Arial" w:hAnsi="Arial"/>
          <w:sz w:val="12"/>
          <w:szCs w:val="12"/>
          <w:color w:val="auto"/>
        </w:rPr>
        <w:t>Our business is directly impacted by the level of spending on T&amp;D infrastructure and the level of C&amp;I electrical construction activity across the United States and western Canada. We are optimistic about infrastructure spending and believe that improving industry activity will continue in both our transmission and distribution market segments and the drivers for utility investment will remain intact. We believe that regulatory reform, state renewable portfolio standards, the aging of the electric grid, and the general improvement of the economy will positively impact the level of spending by our customers in all of the markets we serve. Although competition remains strong, we see these trends as positive factors for us in the future.</w:t>
      </w:r>
    </w:p>
    <w:p>
      <w:pPr>
        <w:spacing w:after="0" w:line="81" w:lineRule="exact"/>
        <w:rPr>
          <w:sz w:val="20"/>
          <w:szCs w:val="20"/>
          <w:color w:val="auto"/>
        </w:rPr>
      </w:pPr>
    </w:p>
    <w:p>
      <w:pPr>
        <w:ind w:firstLine="240"/>
        <w:spacing w:after="0" w:line="243" w:lineRule="auto"/>
        <w:rPr>
          <w:sz w:val="20"/>
          <w:szCs w:val="20"/>
          <w:color w:val="auto"/>
        </w:rPr>
      </w:pPr>
      <w:r>
        <w:rPr>
          <w:rFonts w:ascii="Arial" w:cs="Arial" w:eastAsia="Arial" w:hAnsi="Arial"/>
          <w:sz w:val="12"/>
          <w:szCs w:val="12"/>
          <w:color w:val="auto"/>
        </w:rPr>
        <w:t>We continue to expect long-term growth in the transmission market, although the timing of large bids and subsequent construction will likely continue to be highly variable from year to year. The electric grid is aging and requires significant upgrades and maintenance to meet current and future demands for electricity. Over the past several years, many utilities have begun to implement plans to improve reliability of their transmission systems and reduce congestion. These utilities have started or planned new construction, line upgrades and maintenance projects on their transmission systems. We believe that our customers remain committed to the expansion and strengthening of their transmission infrastructure, with planning, engineering and funding for many of their projects already in place.</w:t>
      </w:r>
    </w:p>
    <w:p>
      <w:pPr>
        <w:spacing w:after="0" w:line="72" w:lineRule="exact"/>
        <w:rPr>
          <w:sz w:val="20"/>
          <w:szCs w:val="20"/>
          <w:color w:val="auto"/>
        </w:rPr>
      </w:pPr>
    </w:p>
    <w:p>
      <w:pPr>
        <w:ind w:right="40" w:firstLine="240"/>
        <w:spacing w:after="0" w:line="248" w:lineRule="auto"/>
        <w:rPr>
          <w:sz w:val="20"/>
          <w:szCs w:val="20"/>
          <w:color w:val="auto"/>
        </w:rPr>
      </w:pPr>
      <w:r>
        <w:rPr>
          <w:rFonts w:ascii="Arial" w:cs="Arial" w:eastAsia="Arial" w:hAnsi="Arial"/>
          <w:sz w:val="12"/>
          <w:szCs w:val="12"/>
          <w:color w:val="auto"/>
        </w:rPr>
        <w:t>State renewable portfolio standards, which set required or voluntary standards for how much electricity is to be generated from renewable energy sources, as well as general environmental concerns, continue to drive the development of renewable energy projects. The economic feasibility of renewable energy projects, and therefore the attractiveness of investment in the projects, may depend on the availability of tax incentive programs or the ability of the projects to take advantage of such incentives. Renewable energy-related construction contracts, depending on the type, may benefit both the T&amp;D and C&amp;I business segments.</w:t>
      </w:r>
    </w:p>
    <w:p>
      <w:pPr>
        <w:spacing w:after="0" w:line="77" w:lineRule="exact"/>
        <w:rPr>
          <w:sz w:val="20"/>
          <w:szCs w:val="20"/>
          <w:color w:val="auto"/>
        </w:rPr>
      </w:pPr>
    </w:p>
    <w:p>
      <w:pPr>
        <w:ind w:right="20" w:firstLine="240"/>
        <w:spacing w:after="0" w:line="243" w:lineRule="auto"/>
        <w:rPr>
          <w:sz w:val="20"/>
          <w:szCs w:val="20"/>
          <w:color w:val="auto"/>
        </w:rPr>
      </w:pPr>
      <w:r>
        <w:rPr>
          <w:rFonts w:ascii="Arial" w:cs="Arial" w:eastAsia="Arial" w:hAnsi="Arial"/>
          <w:sz w:val="12"/>
          <w:szCs w:val="12"/>
          <w:color w:val="auto"/>
        </w:rPr>
        <w:t>We believe there is an ongoing need for utilities to sustain investment in their transmission systems to improve reliability, reduce congestion and connect to new sources of renewable generation. The timing of multi-year transmission project awards and substantial construction activity is difficult to predict due to regulatory requirements and the permitting needed to commence construction. Significant construction on any large, multi-year projects awarded in 2020 will not likely occur until 2021. Bidding and construction activity for small to medium-size transmission projects and upgrades remains strong, and we expect this trend to continue, primarily due to reliability and economic drivers. We also believe the need for distribution services will continue to grow.</w:t>
      </w:r>
    </w:p>
    <w:p>
      <w:pPr>
        <w:spacing w:after="0" w:line="81" w:lineRule="exact"/>
        <w:rPr>
          <w:sz w:val="20"/>
          <w:szCs w:val="20"/>
          <w:color w:val="auto"/>
        </w:rPr>
      </w:pPr>
    </w:p>
    <w:p>
      <w:pPr>
        <w:ind w:firstLine="240"/>
        <w:spacing w:after="0" w:line="243" w:lineRule="auto"/>
        <w:rPr>
          <w:sz w:val="20"/>
          <w:szCs w:val="20"/>
          <w:color w:val="auto"/>
        </w:rPr>
      </w:pPr>
      <w:r>
        <w:rPr>
          <w:rFonts w:ascii="Arial" w:cs="Arial" w:eastAsia="Arial" w:hAnsi="Arial"/>
          <w:sz w:val="12"/>
          <w:szCs w:val="12"/>
          <w:color w:val="auto"/>
        </w:rPr>
        <w:t>Because of reduced spending by United States utilities on their distribution systems for several years, we believe there is a need for sustained investment by utilities on their distribution systems to properly maintain or meet reliability requirements. In 2019, we continued to see increased bidding activity in some of our electric distribution markets, as economic conditions improved in those areas. We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40" w:name="page41"/>
    <w:bookmarkEnd w:id="40"/>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60"/>
        <w:spacing w:after="0" w:line="261" w:lineRule="auto"/>
        <w:rPr>
          <w:sz w:val="20"/>
          <w:szCs w:val="20"/>
          <w:color w:val="auto"/>
        </w:rPr>
      </w:pPr>
      <w:r>
        <w:rPr>
          <w:rFonts w:ascii="Arial" w:cs="Arial" w:eastAsia="Arial" w:hAnsi="Arial"/>
          <w:sz w:val="12"/>
          <w:szCs w:val="12"/>
          <w:color w:val="auto"/>
        </w:rPr>
        <w:t>staffing constraints. We believe electric utility employee retirements could increase with further economic recovery, which may result in an increase in outsourcing opportunities. We expect to see an incremental increase in distribution opportunities in the United States in 2020, and we believe these opportunities will continue to be bid in a competitive market.</w:t>
      </w:r>
    </w:p>
    <w:p>
      <w:pPr>
        <w:spacing w:after="0" w:line="60" w:lineRule="exact"/>
        <w:rPr>
          <w:sz w:val="20"/>
          <w:szCs w:val="20"/>
          <w:color w:val="auto"/>
        </w:rPr>
      </w:pPr>
    </w:p>
    <w:p>
      <w:pPr>
        <w:ind w:right="120" w:firstLine="240"/>
        <w:spacing w:after="0" w:line="273" w:lineRule="auto"/>
        <w:rPr>
          <w:sz w:val="20"/>
          <w:szCs w:val="20"/>
          <w:color w:val="auto"/>
        </w:rPr>
      </w:pPr>
      <w:r>
        <w:rPr>
          <w:rFonts w:ascii="Arial" w:cs="Arial" w:eastAsia="Arial" w:hAnsi="Arial"/>
          <w:sz w:val="11"/>
          <w:szCs w:val="11"/>
          <w:color w:val="auto"/>
        </w:rPr>
        <w:t>We expect to see continued improvement in bidding opportunities in our C&amp;I segment in 2020. According to FMI, the primary growth sectors in 2020 are expected to include office, educational, public safety, transportation, conservation and development, and manufacturing, all with positive forecasted growth rates. In addition to these growth sectors, we believe that recent state legislation requiring the increased production of energy from renewable sources will increase activity in solar plant and other renewable forms of energy. We believe much of this potential will continue to be driven by advancements in technology, such as artificial intelligence, self-driving vehicles, and robotics. We also believe these technological advancements will continue to offer new opportunities in many of the markets we serve including data centers, manufacturing plants, and higher education.</w:t>
      </w:r>
    </w:p>
    <w:p>
      <w:pPr>
        <w:spacing w:after="0" w:line="64" w:lineRule="exact"/>
        <w:rPr>
          <w:sz w:val="20"/>
          <w:szCs w:val="20"/>
          <w:color w:val="auto"/>
        </w:rPr>
      </w:pPr>
    </w:p>
    <w:p>
      <w:pPr>
        <w:ind w:right="260" w:firstLine="240"/>
        <w:spacing w:after="0" w:line="261" w:lineRule="auto"/>
        <w:rPr>
          <w:sz w:val="20"/>
          <w:szCs w:val="20"/>
          <w:color w:val="auto"/>
        </w:rPr>
      </w:pPr>
      <w:r>
        <w:rPr>
          <w:rFonts w:ascii="Arial" w:cs="Arial" w:eastAsia="Arial" w:hAnsi="Arial"/>
          <w:sz w:val="12"/>
          <w:szCs w:val="12"/>
          <w:color w:val="auto"/>
        </w:rPr>
        <w:t>In addition, the United States has experienced a decade of privately funded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w:t>
      </w:r>
    </w:p>
    <w:p>
      <w:pPr>
        <w:spacing w:after="0" w:line="69" w:lineRule="exact"/>
        <w:rPr>
          <w:sz w:val="20"/>
          <w:szCs w:val="20"/>
          <w:color w:val="auto"/>
        </w:rPr>
      </w:pPr>
    </w:p>
    <w:p>
      <w:pPr>
        <w:ind w:right="20" w:firstLine="240"/>
        <w:spacing w:after="0" w:line="261" w:lineRule="auto"/>
        <w:rPr>
          <w:sz w:val="20"/>
          <w:szCs w:val="20"/>
          <w:color w:val="auto"/>
        </w:rPr>
      </w:pPr>
      <w:r>
        <w:rPr>
          <w:rFonts w:ascii="Arial" w:cs="Arial" w:eastAsia="Arial" w:hAnsi="Arial"/>
          <w:sz w:val="12"/>
          <w:szCs w:val="12"/>
          <w:color w:val="auto"/>
        </w:rPr>
        <w:t>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60" w:lineRule="exact"/>
        <w:rPr>
          <w:sz w:val="20"/>
          <w:szCs w:val="20"/>
          <w:color w:val="auto"/>
        </w:rPr>
      </w:pPr>
    </w:p>
    <w:p>
      <w:pPr>
        <w:ind w:right="40" w:firstLine="240"/>
        <w:spacing w:after="0" w:line="243" w:lineRule="auto"/>
        <w:rPr>
          <w:sz w:val="20"/>
          <w:szCs w:val="20"/>
          <w:color w:val="auto"/>
        </w:rPr>
      </w:pPr>
      <w:r>
        <w:rPr>
          <w:rFonts w:ascii="Arial" w:cs="Arial" w:eastAsia="Arial" w:hAnsi="Arial"/>
          <w:sz w:val="12"/>
          <w:szCs w:val="12"/>
          <w:color w:val="auto"/>
        </w:rPr>
        <w:t>In an effort to support our growth strategy and maximize stockholder returns, we seek to efficiently manage our capital. Through 2019, we continued to implement strategies that further expand our capabilities and allow opportunities to provide prudent capital returns. On July 15, 2019, we completed the acquisition of substantially all the assets of CSI Electrical Contractors, Inc. (“CSI”), which expanded our C&amp;I operations in California. The total consideration was approximately $80.7 million, funded through borrowings under our credit facility. On July 2, 2018, we completed the acquisition of substantially all the assets of the Huen Electric, Inc., Huen Electric New Jersey Inc., and Huen New York, Inc. (collectively, the “Huen Companies”), which expanded our C&amp;I operations in Illinois, New York and New Jersey.</w:t>
      </w:r>
    </w:p>
    <w:p>
      <w:pPr>
        <w:spacing w:after="0" w:line="81" w:lineRule="exact"/>
        <w:rPr>
          <w:sz w:val="20"/>
          <w:szCs w:val="20"/>
          <w:color w:val="auto"/>
        </w:rPr>
      </w:pPr>
    </w:p>
    <w:p>
      <w:pPr>
        <w:jc w:val="both"/>
        <w:ind w:right="120" w:firstLine="240"/>
        <w:spacing w:after="0" w:line="248" w:lineRule="auto"/>
        <w:rPr>
          <w:sz w:val="20"/>
          <w:szCs w:val="20"/>
          <w:color w:val="auto"/>
        </w:rPr>
      </w:pPr>
      <w:r>
        <w:rPr>
          <w:rFonts w:ascii="Arial" w:cs="Arial" w:eastAsia="Arial" w:hAnsi="Arial"/>
          <w:sz w:val="12"/>
          <w:szCs w:val="12"/>
          <w:color w:val="auto"/>
        </w:rPr>
        <w:t>On September 13, 2019, the Company entered into a five-year second amended and restated credit agreement (the “Credit Agreement”) with a syndicate of banks led by JPMorgan Chase Bank, N.A. and Bank of America, N.A. The Credit Agreement expands our capacity to borrow and enter into letters of credit, and increases our ability to expand our borrowing capacity under certain circumstances. Borrowings under the Credit Agreement are expected to be used to refinance existing indebtedness and for working capital, capital expenditures, acquisitions and other general corporate purposes.</w:t>
      </w:r>
    </w:p>
    <w:p>
      <w:pPr>
        <w:spacing w:after="0" w:line="77" w:lineRule="exact"/>
        <w:rPr>
          <w:sz w:val="20"/>
          <w:szCs w:val="20"/>
          <w:color w:val="auto"/>
        </w:rPr>
      </w:pPr>
    </w:p>
    <w:p>
      <w:pPr>
        <w:ind w:firstLine="240"/>
        <w:spacing w:after="0" w:line="241" w:lineRule="auto"/>
        <w:rPr>
          <w:sz w:val="20"/>
          <w:szCs w:val="20"/>
          <w:color w:val="auto"/>
        </w:rPr>
      </w:pPr>
      <w:r>
        <w:rPr>
          <w:rFonts w:ascii="Arial" w:cs="Arial" w:eastAsia="Arial" w:hAnsi="Arial"/>
          <w:sz w:val="12"/>
          <w:szCs w:val="12"/>
          <w:color w:val="auto"/>
        </w:rPr>
        <w:t>We continue to invest in developing key management and craft personnel in both our T&amp;D and C&amp;I markets and in procuring the specialty equipment and tooling needed to win and execute projects of all sizes and complexity. In 2019 and 2018, we invested in capital expenditures of approximately $57.8 million and $50.7 million, respectively. Most of our capital expenditures supported opportunities in our T&amp;D business. We plan to continue to evaluate our needs for additional equipment and tooling. Our investment strategy is based on our belief that spending in transmission and distribution projects will continue to remain strong over the next several years as electric utilities, cooperatives and municipalities make up for the lack of infrastructure spending in the past, combined with the overall need to integrate new generation into the electric power grid, and our belief that distribution demand will increase over the next several years.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We believe that our financial position and operational strengths will enable us to manage the current challenges and uncertainties in the markets we serve and give us the flexibility to successfully execute our strategies.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Understanding Backlog</w:t>
      </w:r>
    </w:p>
    <w:p>
      <w:pPr>
        <w:spacing w:after="0" w:line="109" w:lineRule="exact"/>
        <w:rPr>
          <w:sz w:val="20"/>
          <w:szCs w:val="20"/>
          <w:color w:val="auto"/>
        </w:rPr>
      </w:pPr>
    </w:p>
    <w:p>
      <w:pPr>
        <w:ind w:right="460" w:firstLine="240"/>
        <w:spacing w:after="0" w:line="261" w:lineRule="auto"/>
        <w:rPr>
          <w:sz w:val="20"/>
          <w:szCs w:val="20"/>
          <w:color w:val="auto"/>
        </w:rPr>
      </w:pPr>
      <w:r>
        <w:rPr>
          <w:rFonts w:ascii="Arial" w:cs="Arial" w:eastAsia="Arial" w:hAnsi="Arial"/>
          <w:sz w:val="12"/>
          <w:szCs w:val="12"/>
          <w:color w:val="auto"/>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66" w:lineRule="auto"/>
        <w:rPr>
          <w:sz w:val="20"/>
          <w:szCs w:val="20"/>
          <w:color w:val="auto"/>
        </w:rPr>
      </w:pPr>
      <w:r>
        <w:rPr>
          <w:rFonts w:ascii="Arial" w:cs="Arial" w:eastAsia="Arial" w:hAnsi="Arial"/>
          <w:sz w:val="11"/>
          <w:szCs w:val="11"/>
          <w:color w:val="auto"/>
        </w:rPr>
        <w:t>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Additionally, the difference between our backlog and remaining performance obligations is due to the exclusion of a portion of our MSAs under certain contract types from our remaining performance obligations as these contracts can be canceled for convenience at any time by us or the customer without considerable cost incurred by the customer. Our backlog includes projects that have a written award, a letter of intent, a notice to proceed or an agreed upon work order to perform work on mutually accepted terms and conditions. Our estimated backlog also includes our proportionate share of our unconsolidated joint venture contracts.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Changes in backlog from period to period are primarily the result of fluctuations in the timing of awards and revenue recognition of contracts. Backlog should not be relied upon as a stand-alone indicator of future events.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Understanding Gross Margins</w:t>
      </w:r>
    </w:p>
    <w:p>
      <w:pPr>
        <w:spacing w:after="0" w:line="109" w:lineRule="exact"/>
        <w:rPr>
          <w:sz w:val="20"/>
          <w:szCs w:val="20"/>
          <w:color w:val="auto"/>
        </w:rPr>
      </w:pPr>
    </w:p>
    <w:p>
      <w:pPr>
        <w:ind w:right="60" w:firstLine="240"/>
        <w:spacing w:after="0" w:line="248" w:lineRule="auto"/>
        <w:rPr>
          <w:sz w:val="20"/>
          <w:szCs w:val="20"/>
          <w:color w:val="auto"/>
        </w:rPr>
      </w:pPr>
      <w:r>
        <w:rPr>
          <w:rFonts w:ascii="Arial" w:cs="Arial" w:eastAsia="Arial" w:hAnsi="Arial"/>
          <w:sz w:val="12"/>
          <w:szCs w:val="12"/>
          <w:color w:val="auto"/>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spacing w:after="0" w:line="122" w:lineRule="exact"/>
        <w:rPr>
          <w:sz w:val="20"/>
          <w:szCs w:val="20"/>
          <w:color w:val="auto"/>
        </w:rPr>
      </w:pPr>
    </w:p>
    <w:p>
      <w:pPr>
        <w:ind w:right="20" w:firstLine="240"/>
        <w:spacing w:after="0" w:line="241" w:lineRule="auto"/>
        <w:rPr>
          <w:sz w:val="20"/>
          <w:szCs w:val="20"/>
          <w:color w:val="auto"/>
        </w:rPr>
      </w:pPr>
      <w:r>
        <w:rPr>
          <w:rFonts w:ascii="Arial" w:cs="Arial" w:eastAsia="Arial" w:hAnsi="Arial"/>
          <w:sz w:val="12"/>
          <w:szCs w:val="12"/>
          <w:i w:val="1"/>
          <w:iCs w:val="1"/>
          <w:color w:val="auto"/>
        </w:rPr>
        <w:t xml:space="preserve">Performance Risk. </w:t>
      </w:r>
      <w:r>
        <w:rPr>
          <w:rFonts w:ascii="Arial" w:cs="Arial" w:eastAsia="Arial" w:hAnsi="Arial"/>
          <w:sz w:val="12"/>
          <w:szCs w:val="12"/>
          <w:color w:val="auto"/>
        </w:rPr>
        <w:t>Margins may fluctuate because of the volume of work and the impacts of pricing and job productivity, which can be impacted both favorably and negatively by customer decisions and crew productivity, as well as</w:t>
      </w:r>
      <w:r>
        <w:rPr>
          <w:rFonts w:ascii="Arial" w:cs="Arial" w:eastAsia="Arial" w:hAnsi="Arial"/>
          <w:sz w:val="12"/>
          <w:szCs w:val="12"/>
          <w:i w:val="1"/>
          <w:iCs w:val="1"/>
          <w:color w:val="auto"/>
        </w:rPr>
        <w:t xml:space="preserve"> </w:t>
      </w:r>
      <w:r>
        <w:rPr>
          <w:rFonts w:ascii="Arial" w:cs="Arial" w:eastAsia="Arial" w:hAnsi="Arial"/>
          <w:sz w:val="12"/>
          <w:szCs w:val="12"/>
          <w:color w:val="auto"/>
        </w:rPr>
        <w:t>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and regulatory and permitting delays.</w:t>
      </w:r>
    </w:p>
    <w:p>
      <w:pPr>
        <w:spacing w:after="0" w:line="127" w:lineRule="exact"/>
        <w:rPr>
          <w:sz w:val="20"/>
          <w:szCs w:val="20"/>
          <w:color w:val="auto"/>
        </w:rPr>
      </w:pPr>
    </w:p>
    <w:p>
      <w:pPr>
        <w:ind w:firstLine="240"/>
        <w:spacing w:after="0" w:line="264" w:lineRule="auto"/>
        <w:rPr>
          <w:sz w:val="20"/>
          <w:szCs w:val="20"/>
          <w:color w:val="auto"/>
        </w:rPr>
      </w:pPr>
      <w:r>
        <w:rPr>
          <w:rFonts w:ascii="Arial" w:cs="Arial" w:eastAsia="Arial" w:hAnsi="Arial"/>
          <w:sz w:val="11"/>
          <w:szCs w:val="11"/>
          <w:i w:val="1"/>
          <w:iCs w:val="1"/>
          <w:color w:val="auto"/>
        </w:rPr>
        <w:t xml:space="preserve">Revenue Mix and Contract Terms. </w:t>
      </w:r>
      <w:r>
        <w:rPr>
          <w:rFonts w:ascii="Arial" w:cs="Arial" w:eastAsia="Arial" w:hAnsi="Arial"/>
          <w:sz w:val="11"/>
          <w:szCs w:val="11"/>
          <w:color w:val="auto"/>
        </w:rPr>
        <w:t>The mix of revenue derived from the industries we serve will impact gross margins. Changes in our customers’ spending patterns in each of the industries we serve can cause an imbalance in supply</w:t>
      </w:r>
      <w:r>
        <w:rPr>
          <w:rFonts w:ascii="Arial" w:cs="Arial" w:eastAsia="Arial" w:hAnsi="Arial"/>
          <w:sz w:val="11"/>
          <w:szCs w:val="11"/>
          <w:i w:val="1"/>
          <w:iCs w:val="1"/>
          <w:color w:val="auto"/>
        </w:rPr>
        <w:t xml:space="preserve"> </w:t>
      </w:r>
      <w:r>
        <w:rPr>
          <w:rFonts w:ascii="Arial" w:cs="Arial" w:eastAsia="Arial" w:hAnsi="Arial"/>
          <w:sz w:val="11"/>
          <w:szCs w:val="11"/>
          <w:color w:val="auto"/>
        </w:rPr>
        <w:t>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time-and-equipment, time-and-materials and cost-plus contracts include shared savings clauses, in which the contract includes a target price and we agree to share savings from that target price with our customer. The timing of accounting recognition of such savings can impact our margins. In addition, change orders and claims can impact our margins. Costs related to change orders and claims are recognized in contract costs when incurred, but revenue related to change orders is only recognized when it is probable that the change order will result in an addition to contract value and can be reliably estimated, whereas revenue related to claims is recognized only to the extent that contract costs related to the claim have been incurred and when it is probable that the claim will result in an addition to contract value which can be reliably estimated. Generally, no profit is recognized on a claim until final settlement occurs.</w:t>
      </w:r>
    </w:p>
    <w:p>
      <w:pPr>
        <w:spacing w:after="0" w:line="116" w:lineRule="exact"/>
        <w:rPr>
          <w:sz w:val="20"/>
          <w:szCs w:val="20"/>
          <w:color w:val="auto"/>
        </w:rPr>
      </w:pPr>
    </w:p>
    <w:p>
      <w:pPr>
        <w:ind w:right="420" w:firstLine="240"/>
        <w:spacing w:after="0" w:line="306" w:lineRule="auto"/>
        <w:rPr>
          <w:sz w:val="20"/>
          <w:szCs w:val="20"/>
          <w:color w:val="auto"/>
        </w:rPr>
      </w:pPr>
      <w:r>
        <w:rPr>
          <w:rFonts w:ascii="Arial" w:cs="Arial" w:eastAsia="Arial" w:hAnsi="Arial"/>
          <w:sz w:val="11"/>
          <w:szCs w:val="11"/>
          <w:i w:val="1"/>
          <w:iCs w:val="1"/>
          <w:color w:val="auto"/>
        </w:rPr>
        <w:t xml:space="preserve">Seasonal, Weather and Geographical. </w:t>
      </w:r>
      <w:r>
        <w:rPr>
          <w:rFonts w:ascii="Arial" w:cs="Arial" w:eastAsia="Arial" w:hAnsi="Arial"/>
          <w:sz w:val="11"/>
          <w:szCs w:val="11"/>
          <w:color w:val="auto"/>
        </w:rPr>
        <w:t>Seasonal patterns, primarily related to weather conditions and the availability of system outages, can have a significant impact on gross margins in a given period. It is typical during the</w:t>
      </w:r>
      <w:r>
        <w:rPr>
          <w:rFonts w:ascii="Arial" w:cs="Arial" w:eastAsia="Arial" w:hAnsi="Arial"/>
          <w:sz w:val="11"/>
          <w:szCs w:val="11"/>
          <w:i w:val="1"/>
          <w:iCs w:val="1"/>
          <w:color w:val="auto"/>
        </w:rPr>
        <w:t xml:space="preserve"> </w:t>
      </w:r>
      <w:r>
        <w:rPr>
          <w:rFonts w:ascii="Arial" w:cs="Arial" w:eastAsia="Arial" w:hAnsi="Arial"/>
          <w:sz w:val="11"/>
          <w:szCs w:val="11"/>
          <w:color w:val="auto"/>
        </w:rPr>
        <w:t>winter months that parts of the country may experience snow or rainfall, which can affect our crews’ ability to work efficiently. Additionally, our T&amp;D customers often cannot remove their T&amp;D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42" w:name="page43"/>
    <w:bookmarkEnd w:id="42"/>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180"/>
        <w:spacing w:after="0" w:line="257" w:lineRule="auto"/>
        <w:rPr>
          <w:sz w:val="20"/>
          <w:szCs w:val="20"/>
          <w:color w:val="auto"/>
        </w:rPr>
      </w:pPr>
      <w:r>
        <w:rPr>
          <w:rFonts w:ascii="Arial" w:cs="Arial" w:eastAsia="Arial" w:hAnsi="Arial"/>
          <w:sz w:val="12"/>
          <w:szCs w:val="12"/>
          <w:color w:val="auto"/>
        </w:rPr>
        <w:t>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spacing w:after="0" w:line="126" w:lineRule="exact"/>
        <w:rPr>
          <w:sz w:val="20"/>
          <w:szCs w:val="20"/>
          <w:color w:val="auto"/>
        </w:rPr>
      </w:pPr>
    </w:p>
    <w:p>
      <w:pPr>
        <w:jc w:val="both"/>
        <w:ind w:right="120" w:firstLine="240"/>
        <w:spacing w:after="0" w:line="298" w:lineRule="auto"/>
        <w:rPr>
          <w:sz w:val="20"/>
          <w:szCs w:val="20"/>
          <w:color w:val="auto"/>
        </w:rPr>
      </w:pPr>
      <w:r>
        <w:rPr>
          <w:rFonts w:ascii="Arial" w:cs="Arial" w:eastAsia="Arial" w:hAnsi="Arial"/>
          <w:sz w:val="11"/>
          <w:szCs w:val="11"/>
          <w:i w:val="1"/>
          <w:iCs w:val="1"/>
          <w:color w:val="auto"/>
        </w:rPr>
        <w:t xml:space="preserve">Depreciation and Amortization. </w:t>
      </w:r>
      <w:r>
        <w:rPr>
          <w:rFonts w:ascii="Arial" w:cs="Arial" w:eastAsia="Arial" w:hAnsi="Arial"/>
          <w:sz w:val="11"/>
          <w:szCs w:val="11"/>
          <w:color w:val="auto"/>
        </w:rPr>
        <w:t>We include depreciation on equipment and capital lease amortization in contract costs. This is common practice in our industry, but can make comparability to other companies difficult. We spend a</w:t>
      </w:r>
      <w:r>
        <w:rPr>
          <w:rFonts w:ascii="Arial" w:cs="Arial" w:eastAsia="Arial" w:hAnsi="Arial"/>
          <w:sz w:val="11"/>
          <w:szCs w:val="11"/>
          <w:i w:val="1"/>
          <w:iCs w:val="1"/>
          <w:color w:val="auto"/>
        </w:rPr>
        <w:t xml:space="preserve"> </w:t>
      </w:r>
      <w:r>
        <w:rPr>
          <w:rFonts w:ascii="Arial" w:cs="Arial" w:eastAsia="Arial" w:hAnsi="Arial"/>
          <w:sz w:val="11"/>
          <w:szCs w:val="11"/>
          <w:color w:val="auto"/>
        </w:rPr>
        <w:t>significant amount of capital on property, facilities and equipment, with the majority of such expenditures being used to purchase additional specialized equipment to enhance our fleet and to reduce our reliance on lease arrangements and short term equipment rentals. We believe the investment in specialized equipment helps to reduce our costs, improve our margins and provide us with valuable flexibility to take on additional and complex projects.</w:t>
      </w:r>
    </w:p>
    <w:p>
      <w:pPr>
        <w:spacing w:after="0" w:line="105" w:lineRule="exact"/>
        <w:rPr>
          <w:sz w:val="20"/>
          <w:szCs w:val="20"/>
          <w:color w:val="auto"/>
        </w:rPr>
      </w:pPr>
    </w:p>
    <w:p>
      <w:pPr>
        <w:ind w:right="80" w:firstLine="240"/>
        <w:spacing w:after="0" w:line="259" w:lineRule="auto"/>
        <w:rPr>
          <w:sz w:val="20"/>
          <w:szCs w:val="20"/>
          <w:color w:val="auto"/>
        </w:rPr>
      </w:pPr>
      <w:r>
        <w:rPr>
          <w:rFonts w:ascii="Arial" w:cs="Arial" w:eastAsia="Arial" w:hAnsi="Arial"/>
          <w:sz w:val="12"/>
          <w:szCs w:val="12"/>
          <w:i w:val="1"/>
          <w:iCs w:val="1"/>
          <w:color w:val="auto"/>
        </w:rPr>
        <w:t xml:space="preserve">Service and Maintenance Compared to New Construction. </w:t>
      </w:r>
      <w:r>
        <w:rPr>
          <w:rFonts w:ascii="Arial" w:cs="Arial" w:eastAsia="Arial" w:hAnsi="Arial"/>
          <w:sz w:val="12"/>
          <w:szCs w:val="12"/>
          <w:color w:val="auto"/>
        </w:rPr>
        <w:t>In general, new construction work has a higher gross margin than maintenance and repair work. New construction work is often obtained on a fixed-price basis, which</w:t>
      </w:r>
      <w:r>
        <w:rPr>
          <w:rFonts w:ascii="Arial" w:cs="Arial" w:eastAsia="Arial" w:hAnsi="Arial"/>
          <w:sz w:val="12"/>
          <w:szCs w:val="12"/>
          <w:i w:val="1"/>
          <w:iCs w:val="1"/>
          <w:color w:val="auto"/>
        </w:rPr>
        <w:t xml:space="preserve"> </w:t>
      </w:r>
      <w:r>
        <w:rPr>
          <w:rFonts w:ascii="Arial" w:cs="Arial" w:eastAsia="Arial" w:hAnsi="Arial"/>
          <w:sz w:val="12"/>
          <w:szCs w:val="12"/>
          <w:color w:val="auto"/>
        </w:rPr>
        <w:t>carries a higher risk than other types of pricing arrangements because a contractor can bear the risk of increased expenses. As such, we generally bid fixed-price contracts with higher profit margins. We typically derive approximately 20% to 40%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w:t>
      </w:r>
    </w:p>
    <w:p>
      <w:pPr>
        <w:spacing w:after="0" w:line="125" w:lineRule="exact"/>
        <w:rPr>
          <w:sz w:val="20"/>
          <w:szCs w:val="20"/>
          <w:color w:val="auto"/>
        </w:rPr>
      </w:pPr>
    </w:p>
    <w:p>
      <w:pPr>
        <w:ind w:right="60" w:firstLine="240"/>
        <w:spacing w:after="0" w:line="298" w:lineRule="auto"/>
        <w:rPr>
          <w:sz w:val="20"/>
          <w:szCs w:val="20"/>
          <w:color w:val="auto"/>
        </w:rPr>
      </w:pPr>
      <w:r>
        <w:rPr>
          <w:rFonts w:ascii="Arial" w:cs="Arial" w:eastAsia="Arial" w:hAnsi="Arial"/>
          <w:sz w:val="11"/>
          <w:szCs w:val="11"/>
          <w:i w:val="1"/>
          <w:iCs w:val="1"/>
          <w:color w:val="auto"/>
        </w:rPr>
        <w:t xml:space="preserve">Material and Subcontract Costs. </w:t>
      </w:r>
      <w:r>
        <w:rPr>
          <w:rFonts w:ascii="Arial" w:cs="Arial" w:eastAsia="Arial" w:hAnsi="Arial"/>
          <w:sz w:val="11"/>
          <w:szCs w:val="11"/>
          <w:color w:val="auto"/>
        </w:rPr>
        <w:t>Projects that include a greater amount of material or subcontractor costs can experience lower overall project gross margins as we typically add a lower mark-up to material and subcontractor costs in</w:t>
      </w:r>
      <w:r>
        <w:rPr>
          <w:rFonts w:ascii="Arial" w:cs="Arial" w:eastAsia="Arial" w:hAnsi="Arial"/>
          <w:sz w:val="11"/>
          <w:szCs w:val="11"/>
          <w:i w:val="1"/>
          <w:iCs w:val="1"/>
          <w:color w:val="auto"/>
        </w:rPr>
        <w:t xml:space="preserve"> </w:t>
      </w:r>
      <w:r>
        <w:rPr>
          <w:rFonts w:ascii="Arial" w:cs="Arial" w:eastAsia="Arial" w:hAnsi="Arial"/>
          <w:sz w:val="11"/>
          <w:szCs w:val="11"/>
          <w:color w:val="auto"/>
        </w:rPr>
        <w:t>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such shortfalls.</w:t>
      </w:r>
    </w:p>
    <w:p>
      <w:pPr>
        <w:spacing w:after="0" w:line="105" w:lineRule="exact"/>
        <w:rPr>
          <w:sz w:val="20"/>
          <w:szCs w:val="20"/>
          <w:color w:val="auto"/>
        </w:rPr>
      </w:pPr>
    </w:p>
    <w:p>
      <w:pPr>
        <w:ind w:right="20" w:firstLine="240"/>
        <w:spacing w:after="0" w:line="263" w:lineRule="auto"/>
        <w:rPr>
          <w:sz w:val="20"/>
          <w:szCs w:val="20"/>
          <w:color w:val="auto"/>
        </w:rPr>
      </w:pPr>
      <w:r>
        <w:rPr>
          <w:rFonts w:ascii="Arial" w:cs="Arial" w:eastAsia="Arial" w:hAnsi="Arial"/>
          <w:sz w:val="12"/>
          <w:szCs w:val="12"/>
          <w:i w:val="1"/>
          <w:iCs w:val="1"/>
          <w:color w:val="auto"/>
        </w:rPr>
        <w:t xml:space="preserve">Insurance. </w:t>
      </w:r>
      <w:r>
        <w:rPr>
          <w:rFonts w:ascii="Arial" w:cs="Arial" w:eastAsia="Arial" w:hAnsi="Arial"/>
          <w:sz w:val="12"/>
          <w:szCs w:val="12"/>
          <w:color w:val="auto"/>
        </w:rPr>
        <w:t>Gross margins could be impacted by fluctuations in insurance accruals related to our deductibles and loss history in the period in which such adjustments are made. We carry insurance policies, which are subject to high</w:t>
      </w:r>
      <w:r>
        <w:rPr>
          <w:rFonts w:ascii="Arial" w:cs="Arial" w:eastAsia="Arial" w:hAnsi="Arial"/>
          <w:sz w:val="12"/>
          <w:szCs w:val="12"/>
          <w:i w:val="1"/>
          <w:iCs w:val="1"/>
          <w:color w:val="auto"/>
        </w:rPr>
        <w:t xml:space="preserve"> </w:t>
      </w:r>
      <w:r>
        <w:rPr>
          <w:rFonts w:ascii="Arial" w:cs="Arial" w:eastAsia="Arial" w:hAnsi="Arial"/>
          <w:sz w:val="12"/>
          <w:szCs w:val="12"/>
          <w:color w:val="auto"/>
        </w:rPr>
        <w:t>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spacing w:after="0" w:line="123" w:lineRule="exact"/>
        <w:rPr>
          <w:sz w:val="20"/>
          <w:szCs w:val="20"/>
          <w:color w:val="auto"/>
        </w:rPr>
      </w:pPr>
    </w:p>
    <w:p>
      <w:pPr>
        <w:ind w:firstLine="240"/>
        <w:spacing w:after="0" w:line="259" w:lineRule="auto"/>
        <w:rPr>
          <w:sz w:val="20"/>
          <w:szCs w:val="20"/>
          <w:color w:val="auto"/>
        </w:rPr>
      </w:pPr>
      <w:r>
        <w:rPr>
          <w:rFonts w:ascii="Arial" w:cs="Arial" w:eastAsia="Arial" w:hAnsi="Arial"/>
          <w:sz w:val="12"/>
          <w:szCs w:val="12"/>
          <w:i w:val="1"/>
          <w:iCs w:val="1"/>
          <w:color w:val="auto"/>
        </w:rPr>
        <w:t xml:space="preserve">Fleet Utilization, Estimation, and Bidding. </w:t>
      </w:r>
      <w:r>
        <w:rPr>
          <w:rFonts w:ascii="Arial" w:cs="Arial" w:eastAsia="Arial" w:hAnsi="Arial"/>
          <w:sz w:val="12"/>
          <w:szCs w:val="12"/>
          <w:color w:val="auto"/>
        </w:rPr>
        <w:t>We operate a centrally-managed fleet in the United States in an effort to achieve the highest equipment utilization. We also develop internal equipment rates which provide our business units</w:t>
      </w:r>
      <w:r>
        <w:rPr>
          <w:rFonts w:ascii="Arial" w:cs="Arial" w:eastAsia="Arial" w:hAnsi="Arial"/>
          <w:sz w:val="12"/>
          <w:szCs w:val="12"/>
          <w:i w:val="1"/>
          <w:iCs w:val="1"/>
          <w:color w:val="auto"/>
        </w:rPr>
        <w:t xml:space="preserve"> </w:t>
      </w:r>
      <w:r>
        <w:rPr>
          <w:rFonts w:ascii="Arial" w:cs="Arial" w:eastAsia="Arial" w:hAnsi="Arial"/>
          <w:sz w:val="12"/>
          <w:szCs w:val="12"/>
          <w:color w:val="auto"/>
        </w:rPr>
        <w:t>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w:t>
      </w:r>
    </w:p>
    <w:p>
      <w:pPr>
        <w:spacing w:after="0" w:line="125" w:lineRule="exact"/>
        <w:rPr>
          <w:sz w:val="20"/>
          <w:szCs w:val="20"/>
          <w:color w:val="auto"/>
        </w:rPr>
      </w:pPr>
    </w:p>
    <w:p>
      <w:pPr>
        <w:ind w:right="20" w:firstLine="240"/>
        <w:spacing w:after="0" w:line="276" w:lineRule="auto"/>
        <w:rPr>
          <w:sz w:val="20"/>
          <w:szCs w:val="20"/>
          <w:color w:val="auto"/>
        </w:rPr>
      </w:pPr>
      <w:r>
        <w:rPr>
          <w:rFonts w:ascii="Arial" w:cs="Arial" w:eastAsia="Arial" w:hAnsi="Arial"/>
          <w:sz w:val="12"/>
          <w:szCs w:val="12"/>
          <w:i w:val="1"/>
          <w:iCs w:val="1"/>
          <w:color w:val="auto"/>
        </w:rPr>
        <w:t xml:space="preserve">Cost of Material. </w:t>
      </w:r>
      <w:r>
        <w:rPr>
          <w:rFonts w:ascii="Arial" w:cs="Arial" w:eastAsia="Arial" w:hAnsi="Arial"/>
          <w:sz w:val="12"/>
          <w:szCs w:val="12"/>
          <w:color w:val="auto"/>
        </w:rPr>
        <w:t>On fixed-price contracts where we are required to provide materials, our overall gross margin may be affected if we experience increases in the quantity or costs of materials. Projects that include a greater amount of</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 cost can experience lower overall project gross margins as we typically add a lower mark-up to material cost in our bids than what we would add to our labor and equipment cost.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3" w:name="page44"/>
    <w:bookmarkEnd w:id="43"/>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20" w:firstLine="240"/>
        <w:spacing w:after="0" w:line="261" w:lineRule="auto"/>
        <w:rPr>
          <w:sz w:val="20"/>
          <w:szCs w:val="20"/>
          <w:color w:val="auto"/>
        </w:rPr>
      </w:pPr>
      <w:r>
        <w:rPr>
          <w:rFonts w:ascii="Arial" w:cs="Arial" w:eastAsia="Arial" w:hAnsi="Arial"/>
          <w:sz w:val="12"/>
          <w:szCs w:val="12"/>
          <w:color w:val="auto"/>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Expenses</w:t>
      </w:r>
    </w:p>
    <w:p>
      <w:pPr>
        <w:spacing w:after="0" w:line="100" w:lineRule="exact"/>
        <w:rPr>
          <w:sz w:val="20"/>
          <w:szCs w:val="20"/>
          <w:color w:val="auto"/>
        </w:rPr>
      </w:pPr>
    </w:p>
    <w:p>
      <w:pPr>
        <w:ind w:right="700" w:firstLine="240"/>
        <w:spacing w:after="0" w:line="261" w:lineRule="auto"/>
        <w:rPr>
          <w:sz w:val="20"/>
          <w:szCs w:val="20"/>
          <w:color w:val="auto"/>
        </w:rPr>
      </w:pPr>
      <w:r>
        <w:rPr>
          <w:rFonts w:ascii="Arial" w:cs="Arial" w:eastAsia="Arial" w:hAnsi="Arial"/>
          <w:sz w:val="12"/>
          <w:szCs w:val="12"/>
          <w:color w:val="auto"/>
        </w:rPr>
        <w:t>Selling, general and administrative expenses (“SG&amp;A”) consist primarily of compensation, related benefits and employee costs for management and administrative personnel, office rent and utilities, stock compensation, communications, professional fees, depreciation, IT expenses, marketing costs and bad debt expense.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of Operations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sets forth selected statements of operations data and such data as a percentage of revenues for the years indicated: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 Ended December 31, 2019 Compared to the Year Ended December 31,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0"/>
                <w:szCs w:val="10"/>
                <w:b w:val="1"/>
                <w:bCs w:val="1"/>
                <w:color w:val="auto"/>
                <w:w w:val="97"/>
              </w:rPr>
              <w:t>For the year ended December 31,</w:t>
            </w: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142"/>
        </w:trPr>
        <w:tc>
          <w:tcPr>
            <w:tcW w:w="6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2019</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w w:val="98"/>
              </w:rPr>
              <w:t>2018</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r>
      <w:tr>
        <w:trPr>
          <w:trHeight w:val="169"/>
        </w:trPr>
        <w:tc>
          <w:tcPr>
            <w:tcW w:w="74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Contract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2,071,159</w:t>
            </w:r>
          </w:p>
        </w:tc>
        <w:tc>
          <w:tcPr>
            <w:tcW w:w="4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100.0%</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1,531,169</w:t>
            </w:r>
          </w:p>
        </w:tc>
        <w:tc>
          <w:tcPr>
            <w:tcW w:w="12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100.0%</w:t>
            </w:r>
          </w:p>
        </w:tc>
      </w:tr>
      <w:tr>
        <w:trPr>
          <w:trHeight w:val="176"/>
        </w:trPr>
        <w:tc>
          <w:tcPr>
            <w:tcW w:w="7460" w:type="dxa"/>
            <w:vAlign w:val="bottom"/>
            <w:gridSpan w:val="3"/>
          </w:tcPr>
          <w:p>
            <w:pPr>
              <w:spacing w:after="0"/>
              <w:rPr>
                <w:sz w:val="20"/>
                <w:szCs w:val="20"/>
                <w:color w:val="auto"/>
              </w:rPr>
            </w:pPr>
            <w:r>
              <w:rPr>
                <w:rFonts w:ascii="Arial" w:cs="Arial" w:eastAsia="Arial" w:hAnsi="Arial"/>
                <w:sz w:val="12"/>
                <w:szCs w:val="12"/>
                <w:color w:val="auto"/>
              </w:rPr>
              <w:t>Contract costs</w:t>
            </w: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1,857,001</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2"/>
                <w:szCs w:val="12"/>
                <w:color w:val="auto"/>
              </w:rPr>
              <w:t>89.7</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1,364,109</w:t>
            </w:r>
          </w:p>
        </w:tc>
        <w:tc>
          <w:tcPr>
            <w:tcW w:w="1200" w:type="dxa"/>
            <w:vAlign w:val="bottom"/>
            <w:gridSpan w:val="3"/>
          </w:tcPr>
          <w:p>
            <w:pPr>
              <w:jc w:val="right"/>
              <w:ind w:right="180"/>
              <w:spacing w:after="0"/>
              <w:rPr>
                <w:sz w:val="20"/>
                <w:szCs w:val="20"/>
                <w:color w:val="auto"/>
              </w:rPr>
            </w:pPr>
            <w:r>
              <w:rPr>
                <w:rFonts w:ascii="Arial" w:cs="Arial" w:eastAsia="Arial" w:hAnsi="Arial"/>
                <w:sz w:val="12"/>
                <w:szCs w:val="12"/>
                <w:color w:val="auto"/>
              </w:rPr>
              <w:t>89.1</w:t>
            </w:r>
          </w:p>
        </w:tc>
      </w:tr>
      <w:tr>
        <w:trPr>
          <w:trHeight w:val="20"/>
        </w:trPr>
        <w:tc>
          <w:tcPr>
            <w:tcW w:w="7100" w:type="dxa"/>
            <w:vAlign w:val="bottom"/>
            <w:gridSpan w:val="2"/>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65"/>
        </w:trPr>
        <w:tc>
          <w:tcPr>
            <w:tcW w:w="746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Gross profit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214,158</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10.3</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167,060</w:t>
            </w:r>
          </w:p>
        </w:tc>
        <w:tc>
          <w:tcPr>
            <w:tcW w:w="120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10.9</w:t>
            </w:r>
          </w:p>
        </w:tc>
      </w:tr>
      <w:tr>
        <w:trPr>
          <w:trHeight w:val="171"/>
        </w:trPr>
        <w:tc>
          <w:tcPr>
            <w:tcW w:w="7460" w:type="dxa"/>
            <w:vAlign w:val="bottom"/>
            <w:gridSpan w:val="3"/>
          </w:tcPr>
          <w:p>
            <w:pPr>
              <w:spacing w:after="0"/>
              <w:rPr>
                <w:sz w:val="20"/>
                <w:szCs w:val="20"/>
                <w:color w:val="auto"/>
              </w:rPr>
            </w:pPr>
            <w:r>
              <w:rPr>
                <w:rFonts w:ascii="Arial" w:cs="Arial" w:eastAsia="Arial" w:hAnsi="Arial"/>
                <w:sz w:val="12"/>
                <w:szCs w:val="12"/>
                <w:color w:val="auto"/>
              </w:rPr>
              <w:t>Selling, general and administrative expenses</w:t>
            </w:r>
          </w:p>
        </w:tc>
        <w:tc>
          <w:tcPr>
            <w:tcW w:w="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color w:val="auto"/>
              </w:rPr>
              <w:t>156,674</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7.6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118,737</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7.8</w:t>
            </w:r>
          </w:p>
        </w:tc>
        <w:tc>
          <w:tcPr>
            <w:tcW w:w="180" w:type="dxa"/>
            <w:vAlign w:val="bottom"/>
          </w:tcPr>
          <w:p>
            <w:pPr>
              <w:spacing w:after="0"/>
              <w:rPr>
                <w:sz w:val="14"/>
                <w:szCs w:val="14"/>
                <w:color w:val="auto"/>
              </w:rPr>
            </w:pPr>
          </w:p>
        </w:tc>
      </w:tr>
      <w:tr>
        <w:trPr>
          <w:trHeight w:val="171"/>
        </w:trPr>
        <w:tc>
          <w:tcPr>
            <w:tcW w:w="74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3,849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1,843</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80" w:type="dxa"/>
            <w:vAlign w:val="bottom"/>
            <w:shd w:val="clear" w:color="auto" w:fill="CCEEFF"/>
          </w:tcPr>
          <w:p>
            <w:pPr>
              <w:spacing w:after="0"/>
              <w:rPr>
                <w:sz w:val="14"/>
                <w:szCs w:val="14"/>
                <w:color w:val="auto"/>
              </w:rPr>
            </w:pPr>
          </w:p>
        </w:tc>
      </w:tr>
      <w:tr>
        <w:trPr>
          <w:trHeight w:val="176"/>
        </w:trPr>
        <w:tc>
          <w:tcPr>
            <w:tcW w:w="7460" w:type="dxa"/>
            <w:vAlign w:val="bottom"/>
            <w:gridSpan w:val="3"/>
          </w:tcPr>
          <w:p>
            <w:pPr>
              <w:spacing w:after="0"/>
              <w:rPr>
                <w:sz w:val="20"/>
                <w:szCs w:val="20"/>
                <w:color w:val="auto"/>
              </w:rPr>
            </w:pPr>
            <w:r>
              <w:rPr>
                <w:rFonts w:ascii="Arial" w:cs="Arial" w:eastAsia="Arial" w:hAnsi="Arial"/>
                <w:sz w:val="12"/>
                <w:szCs w:val="12"/>
                <w:color w:val="auto"/>
              </w:rPr>
              <w:t>Gain on sale of property and equipment</w:t>
            </w:r>
          </w:p>
        </w:tc>
        <w:tc>
          <w:tcPr>
            <w:tcW w:w="6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2"/>
                <w:szCs w:val="12"/>
                <w:color w:val="auto"/>
              </w:rPr>
              <w:t>(3,543)</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(0.2)</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(3,832)</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(0.2)</w:t>
            </w:r>
          </w:p>
        </w:tc>
      </w:tr>
      <w:tr>
        <w:trPr>
          <w:trHeight w:val="20"/>
        </w:trPr>
        <w:tc>
          <w:tcPr>
            <w:tcW w:w="7100" w:type="dxa"/>
            <w:vAlign w:val="bottom"/>
            <w:gridSpan w:val="2"/>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65"/>
        </w:trPr>
        <w:tc>
          <w:tcPr>
            <w:tcW w:w="746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Income from operations</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57,178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50,312</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80" w:type="dxa"/>
            <w:vAlign w:val="bottom"/>
            <w:shd w:val="clear" w:color="auto" w:fill="CCEEFF"/>
          </w:tcPr>
          <w:p>
            <w:pPr>
              <w:spacing w:after="0"/>
              <w:rPr>
                <w:sz w:val="14"/>
                <w:szCs w:val="14"/>
                <w:color w:val="auto"/>
              </w:rPr>
            </w:pPr>
          </w:p>
        </w:tc>
      </w:tr>
      <w:tr>
        <w:trPr>
          <w:trHeight w:val="171"/>
        </w:trPr>
        <w:tc>
          <w:tcPr>
            <w:tcW w:w="7460" w:type="dxa"/>
            <w:vAlign w:val="bottom"/>
            <w:gridSpan w:val="3"/>
          </w:tcPr>
          <w:p>
            <w:pPr>
              <w:spacing w:after="0"/>
              <w:rPr>
                <w:sz w:val="20"/>
                <w:szCs w:val="20"/>
                <w:color w:val="auto"/>
              </w:rPr>
            </w:pPr>
            <w:r>
              <w:rPr>
                <w:rFonts w:ascii="Arial" w:cs="Arial" w:eastAsia="Arial" w:hAnsi="Arial"/>
                <w:sz w:val="12"/>
                <w:szCs w:val="12"/>
                <w:color w:val="auto"/>
              </w:rPr>
              <w:t>Other income (expense):</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74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4</w:t>
            </w:r>
          </w:p>
        </w:tc>
        <w:tc>
          <w:tcPr>
            <w:tcW w:w="32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760" w:type="dxa"/>
            <w:vAlign w:val="bottom"/>
            <w:tcBorders>
              <w:left w:val="single" w:sz="8" w:color="CCEEFF"/>
            </w:tcBorders>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71"/>
        </w:trPr>
        <w:tc>
          <w:tcPr>
            <w:tcW w:w="7460" w:type="dxa"/>
            <w:vAlign w:val="bottom"/>
            <w:gridSpan w:val="3"/>
          </w:tcPr>
          <w:p>
            <w:pPr>
              <w:ind w:left="12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2"/>
                <w:szCs w:val="12"/>
                <w:color w:val="auto"/>
              </w:rPr>
              <w:t>(6,225)</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(0.3)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(3,652)</w:t>
            </w: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(0.2)</w:t>
            </w:r>
          </w:p>
        </w:tc>
      </w:tr>
      <w:tr>
        <w:trPr>
          <w:trHeight w:val="176"/>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(515)</w:t>
            </w:r>
          </w:p>
        </w:tc>
        <w:tc>
          <w:tcPr>
            <w:tcW w:w="320" w:type="dxa"/>
            <w:vAlign w:val="bottom"/>
            <w:shd w:val="clear" w:color="auto" w:fill="CCEEFF"/>
          </w:tcPr>
          <w:p>
            <w:pPr>
              <w:spacing w:after="0"/>
              <w:rPr>
                <w:sz w:val="15"/>
                <w:szCs w:val="15"/>
                <w:color w:val="auto"/>
              </w:rPr>
            </w:pPr>
          </w:p>
        </w:tc>
        <w:tc>
          <w:tcPr>
            <w:tcW w:w="1000" w:type="dxa"/>
            <w:vAlign w:val="bottom"/>
            <w:gridSpan w:val="4"/>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(3,616)</w:t>
            </w:r>
          </w:p>
        </w:tc>
        <w:tc>
          <w:tcPr>
            <w:tcW w:w="120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(0.2)</w:t>
            </w:r>
          </w:p>
        </w:tc>
      </w:tr>
      <w:tr>
        <w:trPr>
          <w:trHeight w:val="20"/>
        </w:trPr>
        <w:tc>
          <w:tcPr>
            <w:tcW w:w="6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65"/>
        </w:trPr>
        <w:tc>
          <w:tcPr>
            <w:tcW w:w="7460" w:type="dxa"/>
            <w:vAlign w:val="bottom"/>
            <w:gridSpan w:val="3"/>
          </w:tcPr>
          <w:p>
            <w:pPr>
              <w:ind w:left="360"/>
              <w:spacing w:after="0"/>
              <w:rPr>
                <w:sz w:val="20"/>
                <w:szCs w:val="20"/>
                <w:color w:val="auto"/>
              </w:rPr>
            </w:pPr>
            <w:r>
              <w:rPr>
                <w:rFonts w:ascii="Arial" w:cs="Arial" w:eastAsia="Arial" w:hAnsi="Arial"/>
                <w:sz w:val="12"/>
                <w:szCs w:val="12"/>
                <w:color w:val="auto"/>
              </w:rPr>
              <w:t>Income before income tax expense</w:t>
            </w:r>
          </w:p>
        </w:tc>
        <w:tc>
          <w:tcPr>
            <w:tcW w:w="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color w:val="auto"/>
              </w:rPr>
              <w:t>50,442</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43,068</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2.8</w:t>
            </w:r>
          </w:p>
        </w:tc>
        <w:tc>
          <w:tcPr>
            <w:tcW w:w="180" w:type="dxa"/>
            <w:vAlign w:val="bottom"/>
          </w:tcPr>
          <w:p>
            <w:pPr>
              <w:spacing w:after="0"/>
              <w:rPr>
                <w:sz w:val="14"/>
                <w:szCs w:val="14"/>
                <w:color w:val="auto"/>
              </w:rPr>
            </w:pPr>
          </w:p>
        </w:tc>
      </w:tr>
      <w:tr>
        <w:trPr>
          <w:trHeight w:val="176"/>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14,228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11,774</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80" w:type="dxa"/>
            <w:vAlign w:val="bottom"/>
            <w:shd w:val="clear" w:color="auto" w:fill="CCEEFF"/>
          </w:tcPr>
          <w:p>
            <w:pPr>
              <w:spacing w:after="0"/>
              <w:rPr>
                <w:sz w:val="15"/>
                <w:szCs w:val="15"/>
                <w:color w:val="auto"/>
              </w:rPr>
            </w:pPr>
          </w:p>
        </w:tc>
      </w:tr>
      <w:tr>
        <w:trPr>
          <w:trHeight w:val="20"/>
        </w:trPr>
        <w:tc>
          <w:tcPr>
            <w:tcW w:w="6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65"/>
        </w:trPr>
        <w:tc>
          <w:tcPr>
            <w:tcW w:w="7460" w:type="dxa"/>
            <w:vAlign w:val="bottom"/>
            <w:gridSpan w:val="3"/>
          </w:tcPr>
          <w:p>
            <w:pPr>
              <w:spacing w:after="0"/>
              <w:rPr>
                <w:sz w:val="20"/>
                <w:szCs w:val="20"/>
                <w:color w:val="auto"/>
              </w:rPr>
            </w:pPr>
            <w:r>
              <w:rPr>
                <w:rFonts w:ascii="Arial" w:cs="Arial" w:eastAsia="Arial" w:hAnsi="Arial"/>
                <w:sz w:val="12"/>
                <w:szCs w:val="12"/>
                <w:color w:val="auto"/>
              </w:rPr>
              <w:t>Net income</w:t>
            </w:r>
          </w:p>
        </w:tc>
        <w:tc>
          <w:tcPr>
            <w:tcW w:w="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color w:val="auto"/>
              </w:rPr>
              <w:t>36,214</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31,294</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4"/>
                <w:szCs w:val="14"/>
                <w:color w:val="auto"/>
              </w:rPr>
            </w:pPr>
          </w:p>
        </w:tc>
      </w:tr>
      <w:tr>
        <w:trPr>
          <w:trHeight w:val="17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(loss) attributable to noncontrolling interest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(1,476)</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(0.1)</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w:t>
            </w:r>
          </w:p>
        </w:tc>
        <w:tc>
          <w:tcPr>
            <w:tcW w:w="760" w:type="dxa"/>
            <w:vAlign w:val="bottom"/>
            <w:tcBorders>
              <w:left w:val="single" w:sz="8" w:color="CCEEFF"/>
            </w:tcBorders>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20"/>
        </w:trPr>
        <w:tc>
          <w:tcPr>
            <w:tcW w:w="6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74"/>
        </w:trPr>
        <w:tc>
          <w:tcPr>
            <w:tcW w:w="7460" w:type="dxa"/>
            <w:vAlign w:val="bottom"/>
            <w:gridSpan w:val="3"/>
          </w:tcPr>
          <w:p>
            <w:pPr>
              <w:spacing w:after="0"/>
              <w:rPr>
                <w:sz w:val="20"/>
                <w:szCs w:val="20"/>
                <w:color w:val="auto"/>
              </w:rPr>
            </w:pPr>
            <w:r>
              <w:rPr>
                <w:rFonts w:ascii="Arial" w:cs="Arial" w:eastAsia="Arial" w:hAnsi="Arial"/>
                <w:sz w:val="12"/>
                <w:szCs w:val="12"/>
                <w:color w:val="auto"/>
              </w:rPr>
              <w:t>Net income attributable to MYR Group Inc.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2"/>
                <w:szCs w:val="12"/>
                <w:color w:val="auto"/>
              </w:rPr>
              <w:t>37,690</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1.8%</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31,087</w:t>
            </w:r>
          </w:p>
        </w:tc>
        <w:tc>
          <w:tcPr>
            <w:tcW w:w="1200" w:type="dxa"/>
            <w:vAlign w:val="bottom"/>
            <w:gridSpan w:val="3"/>
          </w:tcPr>
          <w:p>
            <w:pPr>
              <w:jc w:val="right"/>
              <w:ind w:right="80"/>
              <w:spacing w:after="0"/>
              <w:rPr>
                <w:sz w:val="20"/>
                <w:szCs w:val="20"/>
                <w:color w:val="auto"/>
              </w:rPr>
            </w:pPr>
            <w:r>
              <w:rPr>
                <w:rFonts w:ascii="Arial" w:cs="Arial" w:eastAsia="Arial" w:hAnsi="Arial"/>
                <w:sz w:val="12"/>
                <w:szCs w:val="12"/>
                <w:color w:val="auto"/>
              </w:rPr>
              <w:t>2.0%</w:t>
            </w:r>
          </w:p>
        </w:tc>
      </w:tr>
      <w:tr>
        <w:trPr>
          <w:trHeight w:val="32"/>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-1148715</wp:posOffset>
            </wp:positionV>
            <wp:extent cx="72923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-1595120</wp:posOffset>
            </wp:positionV>
            <wp:extent cx="72923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5822950</wp:posOffset>
            </wp:positionH>
            <wp:positionV relativeFrom="paragraph">
              <wp:posOffset>-1823720</wp:posOffset>
            </wp:positionV>
            <wp:extent cx="13716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-1823720</wp:posOffset>
            </wp:positionV>
            <wp:extent cx="13716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78" w:lineRule="exact"/>
        <w:rPr>
          <w:sz w:val="20"/>
          <w:szCs w:val="20"/>
          <w:color w:val="auto"/>
        </w:rPr>
      </w:pPr>
    </w:p>
    <w:p>
      <w:pPr>
        <w:ind w:right="240" w:firstLine="240"/>
        <w:spacing w:after="0" w:line="261" w:lineRule="auto"/>
        <w:rPr>
          <w:sz w:val="20"/>
          <w:szCs w:val="20"/>
          <w:color w:val="auto"/>
        </w:rPr>
      </w:pPr>
      <w:r>
        <w:rPr>
          <w:rFonts w:ascii="Arial" w:cs="Arial" w:eastAsia="Arial" w:hAnsi="Arial"/>
          <w:sz w:val="12"/>
          <w:szCs w:val="12"/>
          <w:i w:val="1"/>
          <w:iCs w:val="1"/>
          <w:color w:val="auto"/>
        </w:rPr>
        <w:t xml:space="preserve">Revenues. </w:t>
      </w:r>
      <w:r>
        <w:rPr>
          <w:rFonts w:ascii="Arial" w:cs="Arial" w:eastAsia="Arial" w:hAnsi="Arial"/>
          <w:sz w:val="12"/>
          <w:szCs w:val="12"/>
          <w:color w:val="auto"/>
        </w:rPr>
        <w:t>Revenues increased $540.0 million, or 35.3%, to $2.071 billion for the year ended December 31, 2019 from $1.531 billion for the year ended December 31, 2018. The increase was primarily due to increases in volume</w:t>
      </w:r>
      <w:r>
        <w:rPr>
          <w:rFonts w:ascii="Arial" w:cs="Arial" w:eastAsia="Arial" w:hAnsi="Arial"/>
          <w:sz w:val="12"/>
          <w:szCs w:val="12"/>
          <w:i w:val="1"/>
          <w:iCs w:val="1"/>
          <w:color w:val="auto"/>
        </w:rPr>
        <w:t xml:space="preserve"> </w:t>
      </w:r>
      <w:r>
        <w:rPr>
          <w:rFonts w:ascii="Arial" w:cs="Arial" w:eastAsia="Arial" w:hAnsi="Arial"/>
          <w:sz w:val="12"/>
          <w:szCs w:val="12"/>
          <w:color w:val="auto"/>
        </w:rPr>
        <w:t>across both segments and incremental revenues from the acquisitions of CSI and the Huen Companies, which were acquired in the third quarter of 2019 and 2018, respectively.</w:t>
      </w:r>
    </w:p>
    <w:p>
      <w:pPr>
        <w:spacing w:after="0" w:line="114" w:lineRule="exact"/>
        <w:rPr>
          <w:sz w:val="20"/>
          <w:szCs w:val="20"/>
          <w:color w:val="auto"/>
        </w:rPr>
      </w:pPr>
    </w:p>
    <w:p>
      <w:pPr>
        <w:jc w:val="both"/>
        <w:ind w:right="100" w:firstLine="240"/>
        <w:spacing w:after="0" w:line="243" w:lineRule="auto"/>
        <w:rPr>
          <w:sz w:val="20"/>
          <w:szCs w:val="20"/>
          <w:color w:val="auto"/>
        </w:rPr>
      </w:pPr>
      <w:r>
        <w:rPr>
          <w:rFonts w:ascii="Arial" w:cs="Arial" w:eastAsia="Arial" w:hAnsi="Arial"/>
          <w:sz w:val="12"/>
          <w:szCs w:val="12"/>
          <w:i w:val="1"/>
          <w:iCs w:val="1"/>
          <w:color w:val="auto"/>
        </w:rPr>
        <w:t xml:space="preserve">Gross margin. </w:t>
      </w:r>
      <w:r>
        <w:rPr>
          <w:rFonts w:ascii="Arial" w:cs="Arial" w:eastAsia="Arial" w:hAnsi="Arial"/>
          <w:sz w:val="12"/>
          <w:szCs w:val="12"/>
          <w:color w:val="auto"/>
        </w:rPr>
        <w:t>Gross margin decreased to 10.3% for the year ended December 31, 2019 from 10.9% for the year ended December 31, 2018. The decrease in gross margin was primarily due to inclement weather on certain projects</w:t>
      </w:r>
      <w:r>
        <w:rPr>
          <w:rFonts w:ascii="Arial" w:cs="Arial" w:eastAsia="Arial" w:hAnsi="Arial"/>
          <w:sz w:val="12"/>
          <w:szCs w:val="12"/>
          <w:i w:val="1"/>
          <w:iCs w:val="1"/>
          <w:color w:val="auto"/>
        </w:rPr>
        <w:t xml:space="preserve"> </w:t>
      </w:r>
      <w:r>
        <w:rPr>
          <w:rFonts w:ascii="Arial" w:cs="Arial" w:eastAsia="Arial" w:hAnsi="Arial"/>
          <w:sz w:val="12"/>
          <w:szCs w:val="12"/>
          <w:color w:val="auto"/>
        </w:rPr>
        <w:t>and material delays associated with a substantially completed joint venture project in which we own the majority controlling interest, which were partially offset by net loss attributable to noncontrolling interest. The joint venture project, along with other acquired projects, are subject to margin guarantees for which an offset is recognized in other income. Gross margin was also negatively impacted by certain projects with changes in estimates relating to inclement weather conditions and labor inefficiencies for which we are in ongoing negotiations to receive reimbursement. These margin decreases were partially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4" w:name="page45"/>
    <w:bookmarkEnd w:id="44"/>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offset by better than anticipated productivity on certain projects, a favorable claim settlement and successful change order negotiations. Changes in estimates resulted in gross margin decreases of 0.8% and 0.7% for the years ended December 31, 2019 and 2018, respectively.</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 xml:space="preserve">Gross profit.  </w:t>
      </w:r>
      <w:r>
        <w:rPr>
          <w:rFonts w:ascii="Arial" w:cs="Arial" w:eastAsia="Arial" w:hAnsi="Arial"/>
          <w:sz w:val="11"/>
          <w:szCs w:val="11"/>
          <w:color w:val="auto"/>
        </w:rPr>
        <w:t>Gross profit increased $47.1 million, or 28.2%, to $214.2 million for year ended December 31, 2019 from $167.1 million for the year ended December 31, 2018, due to higher revenues, partially offset by lower margins.</w:t>
      </w:r>
    </w:p>
    <w:p>
      <w:pPr>
        <w:spacing w:after="0" w:line="162"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SG&amp;A, was $156.7 million for the year ended December 31, 2019, an increase of $38.0 million from $118.7 million for the year ended December 31, 2018. The year-over-year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was primarily due to the acquisitions of CSI and the Huen Companies, along with higher incentive compensation and other employee-related expenses to support the growth in our operations. As a percentage of revenues, SG&amp;A decreased to 7.6% for the year ended December 31, 2019 from 7.8% for the year ended December 31, 2018.</w:t>
      </w:r>
    </w:p>
    <w:p>
      <w:pPr>
        <w:spacing w:after="0" w:line="123" w:lineRule="exact"/>
        <w:rPr>
          <w:sz w:val="20"/>
          <w:szCs w:val="20"/>
          <w:color w:val="auto"/>
        </w:rPr>
      </w:pPr>
    </w:p>
    <w:p>
      <w:pPr>
        <w:ind w:right="20" w:firstLine="240"/>
        <w:spacing w:after="0" w:line="276" w:lineRule="auto"/>
        <w:rPr>
          <w:sz w:val="20"/>
          <w:szCs w:val="20"/>
          <w:color w:val="auto"/>
        </w:rPr>
      </w:pPr>
      <w:r>
        <w:rPr>
          <w:rFonts w:ascii="Arial" w:cs="Arial" w:eastAsia="Arial" w:hAnsi="Arial"/>
          <w:sz w:val="12"/>
          <w:szCs w:val="12"/>
          <w:i w:val="1"/>
          <w:iCs w:val="1"/>
          <w:color w:val="auto"/>
        </w:rPr>
        <w:t xml:space="preserve">Gain on sale of property and equipment. </w:t>
      </w:r>
      <w:r>
        <w:rPr>
          <w:rFonts w:ascii="Arial" w:cs="Arial" w:eastAsia="Arial" w:hAnsi="Arial"/>
          <w:sz w:val="12"/>
          <w:szCs w:val="12"/>
          <w:color w:val="auto"/>
        </w:rPr>
        <w:t>Gains from the sale of property and equipment in the year ended December 31, 2019 were $3.5 million compared to $3.8 million in the year ended December 31, 2018. Gains from the sale of</w:t>
      </w:r>
      <w:r>
        <w:rPr>
          <w:rFonts w:ascii="Arial" w:cs="Arial" w:eastAsia="Arial" w:hAnsi="Arial"/>
          <w:sz w:val="12"/>
          <w:szCs w:val="12"/>
          <w:i w:val="1"/>
          <w:iCs w:val="1"/>
          <w:color w:val="auto"/>
        </w:rPr>
        <w:t xml:space="preserve"> </w:t>
      </w:r>
      <w:r>
        <w:rPr>
          <w:rFonts w:ascii="Arial" w:cs="Arial" w:eastAsia="Arial" w:hAnsi="Arial"/>
          <w:sz w:val="12"/>
          <w:szCs w:val="12"/>
          <w:color w:val="auto"/>
        </w:rPr>
        <w:t>property and equipment are attributable to routine sales of property and equipment no longer useful or valuable to our ongoing operations.</w:t>
      </w:r>
    </w:p>
    <w:p>
      <w:pPr>
        <w:spacing w:after="0" w:line="115" w:lineRule="exact"/>
        <w:rPr>
          <w:sz w:val="20"/>
          <w:szCs w:val="20"/>
          <w:color w:val="auto"/>
        </w:rPr>
      </w:pPr>
    </w:p>
    <w:p>
      <w:pPr>
        <w:ind w:right="140" w:firstLine="240"/>
        <w:spacing w:after="0" w:line="276"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was $6.2 million for the year ended December 31, 2019 compared to $3.7 million for the year ended December 31, 2018. This increase was primarily attributable to increased borrowing related to</w:t>
      </w:r>
      <w:r>
        <w:rPr>
          <w:rFonts w:ascii="Arial" w:cs="Arial" w:eastAsia="Arial" w:hAnsi="Arial"/>
          <w:sz w:val="12"/>
          <w:szCs w:val="12"/>
          <w:i w:val="1"/>
          <w:iCs w:val="1"/>
          <w:color w:val="auto"/>
        </w:rPr>
        <w:t xml:space="preserve"> </w:t>
      </w:r>
      <w:r>
        <w:rPr>
          <w:rFonts w:ascii="Arial" w:cs="Arial" w:eastAsia="Arial" w:hAnsi="Arial"/>
          <w:sz w:val="12"/>
          <w:szCs w:val="12"/>
          <w:color w:val="auto"/>
        </w:rPr>
        <w:t>the acquisition of CSI, an increase in our working capital needs to support higher volume and an increase in our weighted average interest rate during 2019 as compared to 2018.</w:t>
      </w:r>
    </w:p>
    <w:p>
      <w:pPr>
        <w:spacing w:after="0" w:line="115" w:lineRule="exact"/>
        <w:rPr>
          <w:sz w:val="20"/>
          <w:szCs w:val="20"/>
          <w:color w:val="auto"/>
        </w:rPr>
      </w:pPr>
    </w:p>
    <w:p>
      <w:pPr>
        <w:ind w:right="340" w:firstLine="240"/>
        <w:spacing w:after="0" w:line="380" w:lineRule="auto"/>
        <w:rPr>
          <w:sz w:val="20"/>
          <w:szCs w:val="20"/>
          <w:color w:val="auto"/>
        </w:rPr>
      </w:pPr>
      <w:r>
        <w:rPr>
          <w:rFonts w:ascii="Arial" w:cs="Arial" w:eastAsia="Arial" w:hAnsi="Arial"/>
          <w:sz w:val="10"/>
          <w:szCs w:val="10"/>
          <w:i w:val="1"/>
          <w:iCs w:val="1"/>
          <w:color w:val="auto"/>
        </w:rPr>
        <w:t xml:space="preserve">Other expense. </w:t>
      </w:r>
      <w:r>
        <w:rPr>
          <w:rFonts w:ascii="Arial" w:cs="Arial" w:eastAsia="Arial" w:hAnsi="Arial"/>
          <w:sz w:val="10"/>
          <w:szCs w:val="10"/>
          <w:color w:val="auto"/>
        </w:rPr>
        <w:t>Other expense was $0.5 million for the year ended December 31, 2019 compared to other expense of $3.6 million for the year ended December 31, 2018. The change was primarily attributable to a reduction in</w:t>
      </w:r>
      <w:r>
        <w:rPr>
          <w:rFonts w:ascii="Arial" w:cs="Arial" w:eastAsia="Arial" w:hAnsi="Arial"/>
          <w:sz w:val="10"/>
          <w:szCs w:val="10"/>
          <w:i w:val="1"/>
          <w:iCs w:val="1"/>
          <w:color w:val="auto"/>
        </w:rPr>
        <w:t xml:space="preserve"> </w:t>
      </w:r>
      <w:r>
        <w:rPr>
          <w:rFonts w:ascii="Arial" w:cs="Arial" w:eastAsia="Arial" w:hAnsi="Arial"/>
          <w:sz w:val="10"/>
          <w:szCs w:val="10"/>
          <w:color w:val="auto"/>
        </w:rPr>
        <w:t>contingent consideration related to margin guarantees on certain contracts associated with the acquisition of the Huen Companies partially offset by margin guarantees on certain contracts associated with the acquisition of CSI.</w:t>
      </w:r>
    </w:p>
    <w:p>
      <w:pPr>
        <w:spacing w:after="0" w:line="68" w:lineRule="exact"/>
        <w:rPr>
          <w:sz w:val="20"/>
          <w:szCs w:val="20"/>
          <w:color w:val="auto"/>
        </w:rPr>
      </w:pPr>
    </w:p>
    <w:p>
      <w:pPr>
        <w:ind w:right="120" w:firstLine="240"/>
        <w:spacing w:after="0" w:line="276" w:lineRule="auto"/>
        <w:rPr>
          <w:sz w:val="20"/>
          <w:szCs w:val="20"/>
          <w:color w:val="auto"/>
        </w:rPr>
      </w:pPr>
      <w:r>
        <w:rPr>
          <w:rFonts w:ascii="Arial" w:cs="Arial" w:eastAsia="Arial" w:hAnsi="Arial"/>
          <w:sz w:val="12"/>
          <w:szCs w:val="12"/>
          <w:i w:val="1"/>
          <w:iCs w:val="1"/>
          <w:color w:val="auto"/>
        </w:rPr>
        <w:t xml:space="preserve">Income tax expense. </w:t>
      </w:r>
      <w:r>
        <w:rPr>
          <w:rFonts w:ascii="Arial" w:cs="Arial" w:eastAsia="Arial" w:hAnsi="Arial"/>
          <w:sz w:val="12"/>
          <w:szCs w:val="12"/>
          <w:color w:val="auto"/>
        </w:rPr>
        <w:t>Income tax expense was $14.2 million for the year ended December 31, 2019, with an effective tax rate of 28.2%, compared to $11.8 million for the year ended December 31, 2018, with an effective tax rate of</w:t>
      </w:r>
      <w:r>
        <w:rPr>
          <w:rFonts w:ascii="Arial" w:cs="Arial" w:eastAsia="Arial" w:hAnsi="Arial"/>
          <w:sz w:val="12"/>
          <w:szCs w:val="12"/>
          <w:i w:val="1"/>
          <w:iCs w:val="1"/>
          <w:color w:val="auto"/>
        </w:rPr>
        <w:t xml:space="preserve"> </w:t>
      </w:r>
      <w:r>
        <w:rPr>
          <w:rFonts w:ascii="Arial" w:cs="Arial" w:eastAsia="Arial" w:hAnsi="Arial"/>
          <w:sz w:val="12"/>
          <w:szCs w:val="12"/>
          <w:color w:val="auto"/>
        </w:rPr>
        <w:t>27.3%. The increase in the tax rate for the year ended December 31, 2019 was primarily due to foreign earnings and the associated impact of the global intangible low tax income (“GILTI”).</w:t>
      </w:r>
    </w:p>
    <w:p>
      <w:pPr>
        <w:spacing w:after="0" w:line="115" w:lineRule="exact"/>
        <w:rPr>
          <w:sz w:val="20"/>
          <w:szCs w:val="20"/>
          <w:color w:val="auto"/>
        </w:rPr>
      </w:pPr>
    </w:p>
    <w:p>
      <w:pPr>
        <w:ind w:right="60" w:firstLine="240"/>
        <w:spacing w:after="0" w:line="276" w:lineRule="auto"/>
        <w:rPr>
          <w:sz w:val="20"/>
          <w:szCs w:val="20"/>
          <w:color w:val="auto"/>
        </w:rPr>
      </w:pPr>
      <w:r>
        <w:rPr>
          <w:rFonts w:ascii="Arial" w:cs="Arial" w:eastAsia="Arial" w:hAnsi="Arial"/>
          <w:sz w:val="12"/>
          <w:szCs w:val="12"/>
          <w:i w:val="1"/>
          <w:iCs w:val="1"/>
          <w:color w:val="auto"/>
        </w:rPr>
        <w:t xml:space="preserve">Net income attributable to MYR Group Inc. </w:t>
      </w:r>
      <w:r>
        <w:rPr>
          <w:rFonts w:ascii="Arial" w:cs="Arial" w:eastAsia="Arial" w:hAnsi="Arial"/>
          <w:sz w:val="12"/>
          <w:szCs w:val="12"/>
          <w:color w:val="auto"/>
        </w:rPr>
        <w:t>Net income attributable to MYR Group Inc. increased to $37.7 million for the year ended December 31, 2019 from $31.1 million for the year ended December 31, 2018. The increase was</w:t>
      </w:r>
      <w:r>
        <w:rPr>
          <w:rFonts w:ascii="Arial" w:cs="Arial" w:eastAsia="Arial" w:hAnsi="Arial"/>
          <w:sz w:val="12"/>
          <w:szCs w:val="12"/>
          <w:i w:val="1"/>
          <w:iCs w:val="1"/>
          <w:color w:val="auto"/>
        </w:rPr>
        <w:t xml:space="preserve"> </w:t>
      </w:r>
      <w:r>
        <w:rPr>
          <w:rFonts w:ascii="Arial" w:cs="Arial" w:eastAsia="Arial" w:hAnsi="Arial"/>
          <w:sz w:val="12"/>
          <w:szCs w:val="12"/>
          <w:color w:val="auto"/>
        </w:rPr>
        <w:t>primarily for the reasons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45" w:name="page46"/>
    <w:bookmarkEnd w:id="45"/>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Results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following table sets forth, for the periods indicated, statements of operations data by segment, segment net sales as a percentage of total net sales and segment operating income as a percentage of segment net sales: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9"/>
          </w:tcPr>
          <w:p>
            <w:pPr>
              <w:ind w:left="20"/>
              <w:spacing w:after="0"/>
              <w:rPr>
                <w:sz w:val="20"/>
                <w:szCs w:val="20"/>
                <w:color w:val="auto"/>
              </w:rPr>
            </w:pPr>
            <w:r>
              <w:rPr>
                <w:rFonts w:ascii="Arial" w:cs="Arial" w:eastAsia="Arial" w:hAnsi="Arial"/>
                <w:sz w:val="10"/>
                <w:szCs w:val="10"/>
                <w:b w:val="1"/>
                <w:bCs w:val="1"/>
                <w:color w:val="auto"/>
              </w:rPr>
              <w:t>For the Year Ended December 31,</w:t>
            </w: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r>
        <w:trPr>
          <w:trHeight w:val="142"/>
        </w:trPr>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142"/>
        </w:trPr>
        <w:tc>
          <w:tcPr>
            <w:tcW w:w="7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Percent</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Percent</w:t>
            </w:r>
          </w:p>
        </w:tc>
      </w:tr>
      <w:tr>
        <w:trPr>
          <w:trHeight w:val="169"/>
        </w:trPr>
        <w:tc>
          <w:tcPr>
            <w:tcW w:w="764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Contract revenues: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1"/>
        </w:trPr>
        <w:tc>
          <w:tcPr>
            <w:tcW w:w="7640" w:type="dxa"/>
            <w:vAlign w:val="bottom"/>
            <w:gridSpan w:val="3"/>
          </w:tcPr>
          <w:p>
            <w:pPr>
              <w:spacing w:after="0"/>
              <w:rPr>
                <w:sz w:val="20"/>
                <w:szCs w:val="20"/>
                <w:color w:val="auto"/>
              </w:rPr>
            </w:pPr>
            <w:r>
              <w:rPr>
                <w:rFonts w:ascii="Arial" w:cs="Arial" w:eastAsia="Arial" w:hAnsi="Arial"/>
                <w:sz w:val="12"/>
                <w:szCs w:val="12"/>
                <w:color w:val="auto"/>
              </w:rPr>
              <w:t>Transmission &amp; Distribution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1,134,411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54.8%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893,108</w:t>
            </w:r>
          </w:p>
        </w:tc>
        <w:tc>
          <w:tcPr>
            <w:tcW w:w="1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2"/>
                <w:szCs w:val="12"/>
                <w:color w:val="auto"/>
              </w:rPr>
              <w:t>58.3%</w:t>
            </w:r>
          </w:p>
        </w:tc>
      </w:tr>
      <w:tr>
        <w:trPr>
          <w:trHeight w:val="176"/>
        </w:trPr>
        <w:tc>
          <w:tcPr>
            <w:tcW w:w="7180" w:type="dxa"/>
            <w:vAlign w:val="bottom"/>
            <w:shd w:val="clear" w:color="auto" w:fill="CCEEFF"/>
          </w:tcPr>
          <w:p>
            <w:pPr>
              <w:spacing w:after="0"/>
              <w:rPr>
                <w:sz w:val="20"/>
                <w:szCs w:val="20"/>
                <w:color w:val="auto"/>
              </w:rPr>
            </w:pPr>
            <w:r>
              <w:rPr>
                <w:rFonts w:ascii="Arial" w:cs="Arial" w:eastAsia="Arial" w:hAnsi="Arial"/>
                <w:sz w:val="12"/>
                <w:szCs w:val="12"/>
                <w:color w:val="auto"/>
              </w:rPr>
              <w:t>Commercial &amp; Industrial</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936,748</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45.2</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638,061</w:t>
            </w:r>
          </w:p>
        </w:tc>
        <w:tc>
          <w:tcPr>
            <w:tcW w:w="1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41.7</w:t>
            </w:r>
          </w:p>
        </w:tc>
      </w:tr>
      <w:tr>
        <w:trPr>
          <w:trHeight w:val="20"/>
        </w:trPr>
        <w:tc>
          <w:tcPr>
            <w:tcW w:w="7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81"/>
        </w:trPr>
        <w:tc>
          <w:tcPr>
            <w:tcW w:w="7640" w:type="dxa"/>
            <w:vAlign w:val="bottom"/>
            <w:gridSpan w:val="3"/>
          </w:tcPr>
          <w:p>
            <w:pPr>
              <w:spacing w:after="0"/>
              <w:rPr>
                <w:sz w:val="20"/>
                <w:szCs w:val="20"/>
                <w:color w:val="auto"/>
              </w:rPr>
            </w:pPr>
            <w:r>
              <w:rPr>
                <w:rFonts w:ascii="Arial" w:cs="Arial" w:eastAsia="Arial" w:hAnsi="Arial"/>
                <w:sz w:val="12"/>
                <w:szCs w:val="12"/>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2,071,159</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1,531,169</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100.0</w:t>
            </w:r>
          </w:p>
        </w:tc>
      </w:tr>
      <w:tr>
        <w:trPr>
          <w:trHeight w:val="144"/>
        </w:trPr>
        <w:tc>
          <w:tcPr>
            <w:tcW w:w="76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Operating income (loss):</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r>
      <w:tr>
        <w:trPr>
          <w:trHeight w:val="171"/>
        </w:trPr>
        <w:tc>
          <w:tcPr>
            <w:tcW w:w="7640" w:type="dxa"/>
            <w:vAlign w:val="bottom"/>
            <w:gridSpan w:val="3"/>
          </w:tcPr>
          <w:p>
            <w:pPr>
              <w:spacing w:after="0"/>
              <w:rPr>
                <w:sz w:val="20"/>
                <w:szCs w:val="20"/>
                <w:color w:val="auto"/>
              </w:rPr>
            </w:pPr>
            <w:r>
              <w:rPr>
                <w:rFonts w:ascii="Arial" w:cs="Arial" w:eastAsia="Arial" w:hAnsi="Arial"/>
                <w:sz w:val="12"/>
                <w:szCs w:val="12"/>
                <w:color w:val="auto"/>
              </w:rPr>
              <w:t>Transmission &amp; Distribution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73,580</w:t>
            </w:r>
          </w:p>
        </w:tc>
        <w:tc>
          <w:tcPr>
            <w:tcW w:w="14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2"/>
                <w:szCs w:val="12"/>
                <w:color w:val="auto"/>
              </w:rPr>
              <w:t>6.5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57,242</w:t>
            </w:r>
          </w:p>
        </w:tc>
        <w:tc>
          <w:tcPr>
            <w:tcW w:w="14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6.4</w:t>
            </w:r>
          </w:p>
        </w:tc>
      </w:tr>
      <w:tr>
        <w:trPr>
          <w:trHeight w:val="176"/>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Commercial &amp; Industrial</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30,506</w:t>
            </w:r>
          </w:p>
        </w:tc>
        <w:tc>
          <w:tcPr>
            <w:tcW w:w="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3.3</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34,112</w:t>
            </w:r>
          </w:p>
        </w:tc>
        <w:tc>
          <w:tcPr>
            <w:tcW w:w="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5.3</w:t>
            </w:r>
          </w:p>
        </w:tc>
      </w:tr>
      <w:tr>
        <w:trPr>
          <w:trHeight w:val="165"/>
        </w:trPr>
        <w:tc>
          <w:tcPr>
            <w:tcW w:w="7640" w:type="dxa"/>
            <w:vAlign w:val="bottom"/>
            <w:gridSpan w:val="3"/>
          </w:tcPr>
          <w:p>
            <w:pPr>
              <w:spacing w:after="0"/>
              <w:rPr>
                <w:sz w:val="20"/>
                <w:szCs w:val="20"/>
                <w:color w:val="auto"/>
              </w:rPr>
            </w:pPr>
            <w:r>
              <w:rPr>
                <w:rFonts w:ascii="Arial" w:cs="Arial" w:eastAsia="Arial" w:hAnsi="Arial"/>
                <w:sz w:val="12"/>
                <w:szCs w:val="12"/>
                <w:color w:val="auto"/>
              </w:rPr>
              <w:t>Total</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104,086</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2"/>
                <w:szCs w:val="12"/>
                <w:color w:val="auto"/>
              </w:rPr>
              <w:t>5.0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91,354</w:t>
            </w:r>
          </w:p>
        </w:tc>
        <w:tc>
          <w:tcPr>
            <w:tcW w:w="14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6.0</w:t>
            </w:r>
          </w:p>
        </w:tc>
      </w:tr>
      <w:tr>
        <w:trPr>
          <w:trHeight w:val="176"/>
        </w:trPr>
        <w:tc>
          <w:tcPr>
            <w:tcW w:w="7180" w:type="dxa"/>
            <w:vAlign w:val="bottom"/>
            <w:shd w:val="clear" w:color="auto" w:fill="CCEEFF"/>
          </w:tcPr>
          <w:p>
            <w:pPr>
              <w:spacing w:after="0"/>
              <w:rPr>
                <w:sz w:val="20"/>
                <w:szCs w:val="20"/>
                <w:color w:val="auto"/>
              </w:rPr>
            </w:pPr>
            <w:r>
              <w:rPr>
                <w:rFonts w:ascii="Arial" w:cs="Arial" w:eastAsia="Arial" w:hAnsi="Arial"/>
                <w:sz w:val="12"/>
                <w:szCs w:val="12"/>
                <w:color w:val="auto"/>
              </w:rPr>
              <w:t>Corporate</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(46,908)</w:t>
            </w:r>
          </w:p>
        </w:tc>
        <w:tc>
          <w:tcPr>
            <w:tcW w:w="1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(41,042)</w:t>
            </w:r>
          </w:p>
        </w:tc>
        <w:tc>
          <w:tcPr>
            <w:tcW w:w="1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(2.7)</w:t>
            </w:r>
          </w:p>
        </w:tc>
      </w:tr>
      <w:tr>
        <w:trPr>
          <w:trHeight w:val="20"/>
        </w:trPr>
        <w:tc>
          <w:tcPr>
            <w:tcW w:w="7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69"/>
        </w:trPr>
        <w:tc>
          <w:tcPr>
            <w:tcW w:w="7640" w:type="dxa"/>
            <w:vAlign w:val="bottom"/>
            <w:gridSpan w:val="3"/>
          </w:tcPr>
          <w:p>
            <w:pPr>
              <w:spacing w:after="0"/>
              <w:rPr>
                <w:sz w:val="20"/>
                <w:szCs w:val="20"/>
                <w:color w:val="auto"/>
              </w:rPr>
            </w:pPr>
            <w:r>
              <w:rPr>
                <w:rFonts w:ascii="Arial" w:cs="Arial" w:eastAsia="Arial" w:hAnsi="Arial"/>
                <w:sz w:val="12"/>
                <w:szCs w:val="12"/>
                <w:color w:val="auto"/>
              </w:rPr>
              <w:t>Consolidated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57,178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2.8%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50,312</w:t>
            </w:r>
          </w:p>
        </w:tc>
        <w:tc>
          <w:tcPr>
            <w:tcW w:w="1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2"/>
                <w:szCs w:val="12"/>
                <w:color w:val="auto"/>
              </w:rPr>
              <w:t>3.3%</w:t>
            </w:r>
          </w:p>
        </w:tc>
      </w:tr>
      <w:tr>
        <w:trPr>
          <w:trHeight w:val="32"/>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6783705</wp:posOffset>
            </wp:positionH>
            <wp:positionV relativeFrom="paragraph">
              <wp:posOffset>-1154430</wp:posOffset>
            </wp:positionV>
            <wp:extent cx="914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-1154430</wp:posOffset>
            </wp:positionV>
            <wp:extent cx="914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-1154430</wp:posOffset>
            </wp:positionV>
            <wp:extent cx="914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-1154430</wp:posOffset>
            </wp:positionV>
            <wp:extent cx="914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Transmission &amp; Distribution</w:t>
      </w:r>
    </w:p>
    <w:p>
      <w:pPr>
        <w:spacing w:after="0" w:line="105" w:lineRule="exact"/>
        <w:rPr>
          <w:sz w:val="20"/>
          <w:szCs w:val="20"/>
          <w:color w:val="auto"/>
        </w:rPr>
      </w:pPr>
    </w:p>
    <w:p>
      <w:pPr>
        <w:ind w:right="220" w:firstLine="240"/>
        <w:spacing w:after="0" w:line="261" w:lineRule="auto"/>
        <w:rPr>
          <w:sz w:val="20"/>
          <w:szCs w:val="20"/>
          <w:color w:val="auto"/>
        </w:rPr>
      </w:pPr>
      <w:r>
        <w:rPr>
          <w:rFonts w:ascii="Arial" w:cs="Arial" w:eastAsia="Arial" w:hAnsi="Arial"/>
          <w:sz w:val="12"/>
          <w:szCs w:val="12"/>
          <w:color w:val="auto"/>
        </w:rPr>
        <w:t>Revenues for our T&amp;D segment for the year ended December 31, 2019 were $1.134 billion compared to $893.1 million for the year ended December 31, 2018, an increase of $241.3 million, or 27.0%. The increase in revenue was primarily due to an increase in revenue on small- to medium-sized transmission and distribution projects.</w:t>
      </w:r>
    </w:p>
    <w:p>
      <w:pPr>
        <w:spacing w:after="0" w:line="60" w:lineRule="exact"/>
        <w:rPr>
          <w:sz w:val="20"/>
          <w:szCs w:val="20"/>
          <w:color w:val="auto"/>
        </w:rPr>
      </w:pPr>
    </w:p>
    <w:p>
      <w:pPr>
        <w:ind w:right="80" w:firstLine="240"/>
        <w:spacing w:after="0" w:line="261" w:lineRule="auto"/>
        <w:rPr>
          <w:sz w:val="20"/>
          <w:szCs w:val="20"/>
          <w:color w:val="auto"/>
        </w:rPr>
      </w:pPr>
      <w:r>
        <w:rPr>
          <w:rFonts w:ascii="Arial" w:cs="Arial" w:eastAsia="Arial" w:hAnsi="Arial"/>
          <w:sz w:val="12"/>
          <w:szCs w:val="12"/>
          <w:color w:val="auto"/>
        </w:rPr>
        <w:t>Revenues from transmission projects represented 68.1% and 62.6% of T&amp;D segment revenue for the years ended December 31, 2019 and 2018, respectively. Additionally, for the year ended December 31, 2019, measured by revenue in our T&amp;D segment, we provided 49.7% of our T&amp;D services under fixed-price contracts, as compared to 40.5% for the year ended December 31, 2018.</w:t>
      </w:r>
    </w:p>
    <w:p>
      <w:pPr>
        <w:spacing w:after="0" w:line="69" w:lineRule="exact"/>
        <w:rPr>
          <w:sz w:val="20"/>
          <w:szCs w:val="20"/>
          <w:color w:val="auto"/>
        </w:rPr>
      </w:pPr>
    </w:p>
    <w:p>
      <w:pPr>
        <w:ind w:right="60" w:firstLine="240"/>
        <w:spacing w:after="0" w:line="273" w:lineRule="auto"/>
        <w:rPr>
          <w:sz w:val="20"/>
          <w:szCs w:val="20"/>
          <w:color w:val="auto"/>
        </w:rPr>
      </w:pPr>
      <w:r>
        <w:rPr>
          <w:rFonts w:ascii="Arial" w:cs="Arial" w:eastAsia="Arial" w:hAnsi="Arial"/>
          <w:sz w:val="11"/>
          <w:szCs w:val="11"/>
          <w:color w:val="auto"/>
        </w:rPr>
        <w:t>Operating income for our T&amp;D segment for the year ended December 31, 2019 was $73.6 million compared to $57.2 million for the year ended December 31, 2018, an increase of $16.4 million, or 28.5%. The increase in T&amp;D operating income from the prior year was primarily due to higher revenue on transmission and distribution projects, better than anticipated productivity on certain projects, a favorable claim settlement, and successful change order negotiations. This improvement from the prior year was partially offset by lower margins and changes in estimates of gross profit on certain projects. These estimate changes were primarily due to inclement weather on certain projects and an increase in non-reimbursable cost on a project. Operating income, as a percentage of revenues, for our T&amp;D segment increased to 6.5% for the year ended December 31, 2019 from 6.4% for the year ended December 31, 2018.</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Commercial &amp; Industrial</w:t>
      </w:r>
    </w:p>
    <w:p>
      <w:pPr>
        <w:spacing w:after="0" w:line="105" w:lineRule="exact"/>
        <w:rPr>
          <w:sz w:val="20"/>
          <w:szCs w:val="20"/>
          <w:color w:val="auto"/>
        </w:rPr>
      </w:pPr>
    </w:p>
    <w:p>
      <w:pPr>
        <w:ind w:right="220" w:firstLine="240"/>
        <w:spacing w:after="0" w:line="261" w:lineRule="auto"/>
        <w:rPr>
          <w:sz w:val="20"/>
          <w:szCs w:val="20"/>
          <w:color w:val="auto"/>
        </w:rPr>
      </w:pPr>
      <w:r>
        <w:rPr>
          <w:rFonts w:ascii="Arial" w:cs="Arial" w:eastAsia="Arial" w:hAnsi="Arial"/>
          <w:sz w:val="12"/>
          <w:szCs w:val="12"/>
          <w:color w:val="auto"/>
        </w:rPr>
        <w:t>Revenues for our C&amp;I segment for the year ended December 31, 2019 were $936.7 million compared to $638.1 million for the year ended December 31, 2018, an increase of $298.6 million, or 46.8%, primarily due to increases in volume across all project sizes and incremental revenues from the acquisitions of CSI, and the Huen Companies in the second half of 2019 and 2018, respectively.</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Measured by revenue in our C&amp;I segment, we provided 75.2% of our services under fixed-price contracts for the year ended December 31, 2019, compared to 71.0% for the year ended December 31, 2018.</w:t>
      </w:r>
    </w:p>
    <w:p>
      <w:pPr>
        <w:spacing w:after="0" w:line="96" w:lineRule="exact"/>
        <w:rPr>
          <w:sz w:val="20"/>
          <w:szCs w:val="20"/>
          <w:color w:val="auto"/>
        </w:rPr>
      </w:pPr>
    </w:p>
    <w:p>
      <w:pPr>
        <w:ind w:right="40" w:firstLine="240"/>
        <w:spacing w:after="0" w:line="276" w:lineRule="auto"/>
        <w:rPr>
          <w:sz w:val="20"/>
          <w:szCs w:val="20"/>
          <w:color w:val="auto"/>
        </w:rPr>
      </w:pPr>
      <w:r>
        <w:rPr>
          <w:rFonts w:ascii="Arial" w:cs="Arial" w:eastAsia="Arial" w:hAnsi="Arial"/>
          <w:sz w:val="12"/>
          <w:szCs w:val="12"/>
          <w:color w:val="auto"/>
        </w:rPr>
        <w:t>Operating income for our C&amp;I segment for the year ended December 31, 2019 was $30.5 million compared to $34.1 million for the year ended December 31, 2018, a decrease of $3.6 million, or 10.6%. The year-over-year decrease in operating income was primarily due to changes in estimates of gross profit 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168275</wp:posOffset>
            </wp:positionV>
            <wp:extent cx="73177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6" w:name="page47"/>
    <w:bookmarkEnd w:id="46"/>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certain projects and an increase in amortization expense of $2.3 million related to certain intangibles acquired with CSI and the Huen Companies. These estimate changes were primarily due to unanticipated overtime and material delays associated with a substantially completed joint venture project in which we own the majority controlling interest, which were partially offset by net loss attributable to noncontrolling interest. The joint venture project, along with other acquired projects, are subject to margin guarantees for which an offset is recognized in other income. Operating income was also negatively impacted by projects with changes in estimates relating to inclement weather conditions, and labor inefficiencies for which we are in ongoing negotiations to receive reimbursement. The decrease in operating income was also due to a favorable claim settlement in the prior year. These impacts were partially offset by higher revenues. As a percentage of revenues, operating income for our C&amp;I segment was 3.3% and 5.3% for the years ended December 31, 2019 and 2018,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Corporate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increase in corporate expenses in 2019 was primarily attributable to higher incentive compensation and other employee-related expenses to support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9" w:lineRule="exact"/>
        <w:rPr>
          <w:sz w:val="20"/>
          <w:szCs w:val="20"/>
          <w:color w:val="auto"/>
        </w:rPr>
      </w:pPr>
    </w:p>
    <w:p>
      <w:pPr>
        <w:ind w:right="80" w:firstLine="240"/>
        <w:spacing w:after="0" w:line="238" w:lineRule="auto"/>
        <w:rPr>
          <w:sz w:val="20"/>
          <w:szCs w:val="20"/>
          <w:color w:val="auto"/>
        </w:rPr>
      </w:pPr>
      <w:r>
        <w:rPr>
          <w:rFonts w:ascii="Arial" w:cs="Arial" w:eastAsia="Arial" w:hAnsi="Arial"/>
          <w:sz w:val="12"/>
          <w:szCs w:val="12"/>
          <w:color w:val="auto"/>
        </w:rPr>
        <w:t>As of December 31, 2019 and 2018, we had working capital of $242.4 million and $191.8 million, respectively. We define working capital, a non-GAAP measure, as current assets less current liabilities. During the year ended December 31, 2019, the operating activities of our business provided cash of $64.9 million, compared to providing cash of $84.8 million for the year ended December 31, 2018. Cash flow from operations is primarily influenced by demand for our services, operating margins, timing of contract performance and the type of services we provide to our customers. The $19.9 million year-over-year decline in cash provided by operating activities was primarily due to unfavorable net changes in operating assets and liabilities of $31.7 million, partially offset by increases of $4.9 million in net income, $4.6 million in depreciation and amortization, and $1.2 million in non-cash stock compensation expense. The unfavorable change in operating assets and liabilities was primarily due to unfavorable changes of $18.7 million in other liabilities and $12.6 million in other assets and net unfavorable year-over-year changes in various working capital accounts that relate primarily to construction activities (accounts receivable, contract assets, accounts payable and contract liabilities) of $4.0 million. The decrease in cash provided by other liabilities was primarily due to the payment of net asset adjustments related to the acquisition of the Huen Companies, the timing of tax payments and lower incentive compensation accruals in 2018. The decrease in cash provided by other assets was primarily due to higher prepaid expenses and higher investments on joint ventures. The increase in cash provided by working capital accounts, primarily related to construction activities, was due to the timing of cash payments and receipts related to work on our contracts.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During the years ended December 31, 2019 and 2018, we used net cash of $133.5 million and $93.2 million, respectively, in investing activities. The $133.5 million of cash used in investing activities in the year ended December 31,</w:t>
      </w:r>
    </w:p>
    <w:p>
      <w:pPr>
        <w:spacing w:after="0" w:line="26" w:lineRule="exact"/>
        <w:rPr>
          <w:sz w:val="20"/>
          <w:szCs w:val="20"/>
          <w:color w:val="auto"/>
        </w:rPr>
      </w:pPr>
    </w:p>
    <w:p>
      <w:pPr>
        <w:ind w:right="280"/>
        <w:spacing w:after="0" w:line="261" w:lineRule="auto"/>
        <w:rPr>
          <w:sz w:val="20"/>
          <w:szCs w:val="20"/>
          <w:color w:val="auto"/>
        </w:rPr>
      </w:pPr>
      <w:r>
        <w:rPr>
          <w:rFonts w:ascii="Arial" w:cs="Arial" w:eastAsia="Arial" w:hAnsi="Arial"/>
          <w:sz w:val="12"/>
          <w:szCs w:val="12"/>
          <w:color w:val="auto"/>
        </w:rPr>
        <w:t>2019 consisted of $57.8 million for capital expenditures and $79.7 million to acquire CSI, partially offset by $4.0 million of proceeds from the sale of equipment. The $93.2 million of cash used in investing activities in the year ended December 31, 2018 consisted of $50.7 million for capital expenditures and $47.1 million to acquire the Huen Companies, partially offset by $4.6 million of proceeds from the sale of equipment.</w:t>
      </w:r>
    </w:p>
    <w:p>
      <w:pPr>
        <w:spacing w:after="0" w:line="69" w:lineRule="exact"/>
        <w:rPr>
          <w:sz w:val="20"/>
          <w:szCs w:val="20"/>
          <w:color w:val="auto"/>
        </w:rPr>
      </w:pPr>
    </w:p>
    <w:p>
      <w:pPr>
        <w:ind w:right="20" w:firstLine="240"/>
        <w:spacing w:after="0" w:line="286" w:lineRule="auto"/>
        <w:rPr>
          <w:sz w:val="20"/>
          <w:szCs w:val="20"/>
          <w:color w:val="auto"/>
        </w:rPr>
      </w:pPr>
      <w:r>
        <w:rPr>
          <w:rFonts w:ascii="Arial" w:cs="Arial" w:eastAsia="Arial" w:hAnsi="Arial"/>
          <w:sz w:val="11"/>
          <w:szCs w:val="11"/>
          <w:color w:val="auto"/>
        </w:rPr>
        <w:t>Financing activities provided cash of $73.4 million and, $10.6 million during the years ended December 31, 2019 and 2018, respectively. The $73.4 million of cash provided by financing activities in the year ended December 31, 2019 consisted primarily of $45.5 million of net borrowings under our revolving line of credit, primarily to fund the CSI acquisition, $35.1 million of new equipment notes under our master equipment loan agreements and $0.3 million of proceeds from the exercise of stock options, which were partially offset by $4.6 million of repayments of principal obligations under equipment notes, $1.1 million of debt refinancing costs related to the amendment to the Credit Agreement, $1.2 million of repayments of finance lease obligations and share repurchases of $0.8 million, all of which represented shares surrendered to satisfy tax obligations under our stock compensation programs during the year ended December 31, 2019. The $10.6 million of cash provided in financing activities in the year ended December 31, 2018 consisted primarily of $31.5 million of borrowings under our Master Loan Agreement with BofA and $1.9 million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ind w:left="8"/>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8" w:right="320"/>
        <w:spacing w:after="0" w:line="276" w:lineRule="auto"/>
        <w:rPr>
          <w:sz w:val="20"/>
          <w:szCs w:val="20"/>
          <w:color w:val="auto"/>
        </w:rPr>
      </w:pPr>
      <w:r>
        <w:rPr>
          <w:rFonts w:ascii="Arial" w:cs="Arial" w:eastAsia="Arial" w:hAnsi="Arial"/>
          <w:sz w:val="12"/>
          <w:szCs w:val="12"/>
          <w:color w:val="auto"/>
        </w:rPr>
        <w:t>of proceeds from the exercise of stock options, partially offset by $20.7 million of repayments under our revolving lines of credit, $1.1 million of payments under our capital lease obligations and $1.0 million of cash used to purchase shares surrendered by employees to satisfy employee tax obligations under our stock compensation program.</w:t>
      </w:r>
    </w:p>
    <w:p>
      <w:pPr>
        <w:spacing w:after="0" w:line="61" w:lineRule="exact"/>
        <w:rPr>
          <w:sz w:val="20"/>
          <w:szCs w:val="20"/>
          <w:color w:val="auto"/>
        </w:rPr>
      </w:pPr>
    </w:p>
    <w:p>
      <w:pPr>
        <w:ind w:left="8" w:firstLine="240"/>
        <w:spacing w:after="0" w:line="263" w:lineRule="auto"/>
        <w:rPr>
          <w:sz w:val="20"/>
          <w:szCs w:val="20"/>
          <w:color w:val="auto"/>
        </w:rPr>
      </w:pPr>
      <w:r>
        <w:rPr>
          <w:rFonts w:ascii="Arial" w:cs="Arial" w:eastAsia="Arial" w:hAnsi="Arial"/>
          <w:sz w:val="12"/>
          <w:szCs w:val="12"/>
          <w:color w:val="auto"/>
        </w:rPr>
        <w:t>We anticipate that our $260.6 million borrowing availability under our revolving line of credit at December 31, 2019 and future cash flow from operations will provide sufficient cash to enable us to meet our future operating needs, debt service requirements, capital expenditures, acquisition and joint venture opportunities. Although we believe that we have adequate cash and borrowing capacity to meet our liquidity needs, any large projects or acquisitions may require additional capital.</w:t>
      </w:r>
    </w:p>
    <w:p>
      <w:pPr>
        <w:spacing w:after="0" w:line="78"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We have not historically paid dividends and currently do not expect to pay dividends.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Debt Instruments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Credit Agreement</w:t>
      </w:r>
    </w:p>
    <w:p>
      <w:pPr>
        <w:spacing w:after="0" w:line="105" w:lineRule="exact"/>
        <w:rPr>
          <w:sz w:val="20"/>
          <w:szCs w:val="20"/>
          <w:color w:val="auto"/>
        </w:rPr>
      </w:pPr>
    </w:p>
    <w:p>
      <w:pPr>
        <w:ind w:left="248"/>
        <w:spacing w:after="0"/>
        <w:rPr>
          <w:sz w:val="20"/>
          <w:szCs w:val="20"/>
          <w:color w:val="auto"/>
        </w:rPr>
      </w:pPr>
      <w:r>
        <w:rPr>
          <w:rFonts w:ascii="Arial" w:cs="Arial" w:eastAsia="Arial" w:hAnsi="Arial"/>
          <w:sz w:val="11"/>
          <w:szCs w:val="11"/>
          <w:color w:val="auto"/>
        </w:rPr>
        <w:t>On September 13, 2019, we entered into the Credit Agreement with a syndicate of banks led by JPMorgan Chase Bank, N.A. and Bank of America, N.A. The Credit Agreement provides for a facility of $375 million (the “Facility”)</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that may be used for revolving loans of which $150 million may be used for letters of credit. The Facility also allows for revolving loans and letters of credit in Canadian dollars and other currencies, up to the U.S. dollar equivalent of</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$75 million. We have an expansion option to increase the commitments under the Facility or enter into incremental term loans, subject to certain conditions, by up to an additional $200 million upon receipt of additional commitments from</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new or existing lenders. Subject to certain exceptions, the Facility is secured by substantially all of our assets and the assets of our domestic subsidiaries and by a pledge of substantially all of the capital stock of our domestic subsidiaries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and 65% of the capital stock of our direct foreign subsidiaries. Additionally, subject to certain exceptions, our domestic subsidiaries also guarantee the repayment of all amounts due under the Credit Agreement. If an event of default occurs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1"/>
          <w:szCs w:val="11"/>
          <w:color w:val="auto"/>
        </w:rPr>
        <w:t>and is continuing, on the terms and subject to the conditions set forth in the Credit Agreement, amounts outstanding under the Facility may be accelerated and may become or be declared immediately due and payable. Borrowings under</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Facility are used for refinancing existing debt, working capital, capital expenditures, acquisitions and other general corporate purposes.</w:t>
      </w:r>
    </w:p>
    <w:p>
      <w:pPr>
        <w:spacing w:after="0" w:line="87" w:lineRule="exact"/>
        <w:rPr>
          <w:sz w:val="20"/>
          <w:szCs w:val="20"/>
          <w:color w:val="auto"/>
        </w:rPr>
      </w:pPr>
    </w:p>
    <w:p>
      <w:pPr>
        <w:ind w:left="248"/>
        <w:spacing w:after="0"/>
        <w:rPr>
          <w:sz w:val="20"/>
          <w:szCs w:val="20"/>
          <w:color w:val="auto"/>
        </w:rPr>
      </w:pPr>
      <w:r>
        <w:rPr>
          <w:rFonts w:ascii="Arial" w:cs="Arial" w:eastAsia="Arial" w:hAnsi="Arial"/>
          <w:sz w:val="11"/>
          <w:szCs w:val="11"/>
          <w:color w:val="auto"/>
        </w:rPr>
        <w:t>Amounts borrowed under the Credit Agreement bear interest, at our option, at a rate equal to either (1) the Alternate Base Rate (as defined in the Credit Agreement), plus an applicable margin ranging from 0.00% to 0.75%; or</w:t>
      </w:r>
    </w:p>
    <w:p>
      <w:pPr>
        <w:spacing w:after="0" w:line="26" w:lineRule="exact"/>
        <w:rPr>
          <w:sz w:val="20"/>
          <w:szCs w:val="20"/>
          <w:color w:val="auto"/>
        </w:rPr>
      </w:pPr>
    </w:p>
    <w:p>
      <w:pPr>
        <w:ind w:left="8" w:right="120" w:hanging="8"/>
        <w:spacing w:after="0" w:line="253" w:lineRule="auto"/>
        <w:tabs>
          <w:tab w:leader="none" w:pos="171" w:val="left"/>
        </w:tabs>
        <w:numPr>
          <w:ilvl w:val="0"/>
          <w:numId w:val="15"/>
        </w:numPr>
        <w:rPr>
          <w:rFonts w:ascii="Arial" w:cs="Arial" w:eastAsia="Arial" w:hAnsi="Arial"/>
          <w:sz w:val="12"/>
          <w:szCs w:val="12"/>
          <w:color w:val="auto"/>
        </w:rPr>
      </w:pPr>
      <w:r>
        <w:rPr>
          <w:rFonts w:ascii="Arial" w:cs="Arial" w:eastAsia="Arial" w:hAnsi="Arial"/>
          <w:sz w:val="12"/>
          <w:szCs w:val="12"/>
          <w:color w:val="auto"/>
        </w:rPr>
        <w:t>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 0.25%, based on our consolidated Leverage Ratio, on any unused portion of the Facility. The Credit Agreement restricts certain types of payments when our consolidated Leverage Ratio exceeds 2.50 or our consolidated Liquidity (as defined in the Credit Agreement) is less than $50 million.</w:t>
      </w:r>
    </w:p>
    <w:p>
      <w:pPr>
        <w:spacing w:after="0" w:line="83" w:lineRule="exact"/>
        <w:rPr>
          <w:sz w:val="20"/>
          <w:szCs w:val="20"/>
          <w:color w:val="auto"/>
        </w:rPr>
      </w:pPr>
    </w:p>
    <w:p>
      <w:pPr>
        <w:jc w:val="both"/>
        <w:ind w:left="8" w:right="320" w:firstLine="240"/>
        <w:spacing w:after="0" w:line="298" w:lineRule="auto"/>
        <w:rPr>
          <w:sz w:val="20"/>
          <w:szCs w:val="20"/>
          <w:color w:val="auto"/>
        </w:rPr>
      </w:pPr>
      <w:r>
        <w:rPr>
          <w:rFonts w:ascii="Arial" w:cs="Arial" w:eastAsia="Arial" w:hAnsi="Arial"/>
          <w:sz w:val="11"/>
          <w:szCs w:val="11"/>
          <w:color w:val="auto"/>
        </w:rPr>
        <w:t>Under the Credit Agreement, we are subject to certain financial covenants and must maintain a maximum consolidated Leverage Ratio of 3.0 and a minimum interest coverage ratio of 3.0. The minimum interest coverage ratio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December 31, 2019.</w:t>
      </w:r>
    </w:p>
    <w:p>
      <w:pPr>
        <w:spacing w:after="0" w:line="60" w:lineRule="exact"/>
        <w:rPr>
          <w:sz w:val="20"/>
          <w:szCs w:val="20"/>
          <w:color w:val="auto"/>
        </w:rPr>
      </w:pPr>
    </w:p>
    <w:p>
      <w:pPr>
        <w:ind w:left="8" w:right="140" w:firstLine="240"/>
        <w:spacing w:after="0" w:line="276" w:lineRule="auto"/>
        <w:rPr>
          <w:sz w:val="20"/>
          <w:szCs w:val="20"/>
          <w:color w:val="auto"/>
        </w:rPr>
      </w:pPr>
      <w:r>
        <w:rPr>
          <w:rFonts w:ascii="Arial" w:cs="Arial" w:eastAsia="Arial" w:hAnsi="Arial"/>
          <w:sz w:val="12"/>
          <w:szCs w:val="12"/>
          <w:color w:val="auto"/>
        </w:rPr>
        <w:t>As of December 31, 2019, we had $103.8 million of debt outstanding under the Facility and letters of credit outstanding of approximately $10.6 million. As of December 31, 2018, we had $58.3 million of debt outstanding under the Facility and letters of credit outstanding of approximately $21.2 million.</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3177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8" w:name="page49"/>
    <w:bookmarkEnd w:id="48"/>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Equipment Notes</w:t>
      </w:r>
    </w:p>
    <w:p>
      <w:pPr>
        <w:spacing w:after="0" w:line="96" w:lineRule="exact"/>
        <w:rPr>
          <w:sz w:val="20"/>
          <w:szCs w:val="20"/>
          <w:color w:val="auto"/>
        </w:rPr>
      </w:pPr>
    </w:p>
    <w:p>
      <w:pPr>
        <w:ind w:right="460" w:firstLine="240"/>
        <w:spacing w:after="0" w:line="261" w:lineRule="auto"/>
        <w:rPr>
          <w:sz w:val="20"/>
          <w:szCs w:val="20"/>
          <w:color w:val="auto"/>
        </w:rPr>
      </w:pPr>
      <w:r>
        <w:rPr>
          <w:rFonts w:ascii="Arial" w:cs="Arial" w:eastAsia="Arial" w:hAnsi="Arial"/>
          <w:sz w:val="12"/>
          <w:szCs w:val="12"/>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69" w:lineRule="exact"/>
        <w:rPr>
          <w:sz w:val="20"/>
          <w:szCs w:val="20"/>
          <w:color w:val="auto"/>
        </w:rPr>
      </w:pPr>
    </w:p>
    <w:p>
      <w:pPr>
        <w:ind w:right="60" w:firstLine="240"/>
        <w:spacing w:after="0" w:line="306" w:lineRule="auto"/>
        <w:rPr>
          <w:sz w:val="20"/>
          <w:szCs w:val="20"/>
          <w:color w:val="auto"/>
        </w:rPr>
      </w:pPr>
      <w:r>
        <w:rPr>
          <w:rFonts w:ascii="Arial" w:cs="Arial" w:eastAsia="Arial" w:hAnsi="Arial"/>
          <w:sz w:val="11"/>
          <w:szCs w:val="11"/>
          <w:color w:val="auto"/>
        </w:rPr>
        <w:t>As of December 31, 2019, we had executed nine Equipment Notes that are collateralized by equipment and vehicles owned by us. The outstanding balance of these Equipment Notes was $62.0 million as of December 31, 2019. As of December 31, 2018, we had executed five Equipment Notes that are collateralized by equipment and vehicles owned by us. The outstanding balance of these Equipment Notes was $31.5 million as of December 31, 2018.</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09" w:lineRule="exact"/>
        <w:rPr>
          <w:sz w:val="20"/>
          <w:szCs w:val="20"/>
          <w:color w:val="auto"/>
        </w:rPr>
      </w:pPr>
    </w:p>
    <w:p>
      <w:pPr>
        <w:ind w:right="20" w:firstLine="240"/>
        <w:spacing w:after="0" w:line="306" w:lineRule="auto"/>
        <w:rPr>
          <w:sz w:val="20"/>
          <w:szCs w:val="20"/>
          <w:color w:val="auto"/>
        </w:rPr>
      </w:pPr>
      <w:r>
        <w:rPr>
          <w:rFonts w:ascii="Arial" w:cs="Arial" w:eastAsia="Arial" w:hAnsi="Arial"/>
          <w:sz w:val="11"/>
          <w:szCs w:val="11"/>
          <w:color w:val="auto"/>
        </w:rPr>
        <w:t>As is common in our industry, we enter into certain off-balance sheet arrangements in the ordinary course of business that result in risks not directly reflected in our balance sheets. Our significant off-balance sheet transactions include liabilities associated with letter of credit obligations and bond guarantees entered into in the normal course of business. We have not engaged in any off-balance sheet financing arrangements through special purpose entities.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Purchase Commitments for Construction Equipment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As of December 31, 2019, we had approximately $5.4 million in outstanding purchase obligations for certain construction equipment to be paid, with cash outlay scheduled to occur over the first three months of 2020.</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Letters of Credit</w:t>
      </w:r>
    </w:p>
    <w:p>
      <w:pPr>
        <w:spacing w:after="0" w:line="105" w:lineRule="exact"/>
        <w:rPr>
          <w:sz w:val="20"/>
          <w:szCs w:val="20"/>
          <w:color w:val="auto"/>
        </w:rPr>
      </w:pPr>
    </w:p>
    <w:p>
      <w:pPr>
        <w:ind w:firstLine="240"/>
        <w:spacing w:after="0" w:line="241" w:lineRule="auto"/>
        <w:rPr>
          <w:sz w:val="20"/>
          <w:szCs w:val="20"/>
          <w:color w:val="auto"/>
        </w:rPr>
      </w:pPr>
      <w:r>
        <w:rPr>
          <w:rFonts w:ascii="Arial" w:cs="Arial" w:eastAsia="Arial" w:hAnsi="Arial"/>
          <w:sz w:val="12"/>
          <w:szCs w:val="12"/>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that it is likely that any claims will be made under any letter of credit.</w:t>
      </w:r>
    </w:p>
    <w:p>
      <w:pPr>
        <w:spacing w:after="0" w:line="82" w:lineRule="exact"/>
        <w:rPr>
          <w:sz w:val="20"/>
          <w:szCs w:val="20"/>
          <w:color w:val="auto"/>
        </w:rPr>
      </w:pPr>
    </w:p>
    <w:p>
      <w:pPr>
        <w:ind w:right="320" w:firstLine="240"/>
        <w:spacing w:after="0" w:line="340" w:lineRule="auto"/>
        <w:rPr>
          <w:sz w:val="20"/>
          <w:szCs w:val="20"/>
          <w:color w:val="auto"/>
        </w:rPr>
      </w:pPr>
      <w:r>
        <w:rPr>
          <w:rFonts w:ascii="Arial" w:cs="Arial" w:eastAsia="Arial" w:hAnsi="Arial"/>
          <w:sz w:val="10"/>
          <w:szCs w:val="10"/>
          <w:color w:val="auto"/>
        </w:rPr>
        <w:t>At December 31, 2019, we had $10.6 million in letters of credit outstanding under our Credit Agreement, including $10.0 million, at an interest rate of 1.125%, related to the Company’s payment obligation under its insurance programs and approximately $0.6 million, at an interest rate of 0.625%, related to contract performance obligations. At December 31, 2018, we had $21.2 million in letters of credit outstanding under our Credit Agreement, including $17.6 million, at an interest rate of 1.125%, related to the Company’s payment obligation under its insurance programs and approximately $3.6 million, at an interest rate of 0.625%, related to contract performance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Performance and Payment Bonds and Parent Guarantees</w:t>
      </w:r>
    </w:p>
    <w:p>
      <w:pPr>
        <w:spacing w:after="0" w:line="96" w:lineRule="exact"/>
        <w:rPr>
          <w:sz w:val="20"/>
          <w:szCs w:val="20"/>
          <w:color w:val="auto"/>
        </w:rPr>
      </w:pPr>
    </w:p>
    <w:p>
      <w:pPr>
        <w:ind w:right="120" w:firstLine="240"/>
        <w:spacing w:after="0" w:line="290" w:lineRule="auto"/>
        <w:rPr>
          <w:sz w:val="20"/>
          <w:szCs w:val="20"/>
          <w:color w:val="auto"/>
        </w:rPr>
      </w:pPr>
      <w:r>
        <w:rPr>
          <w:rFonts w:ascii="Arial" w:cs="Arial" w:eastAsia="Arial" w:hAnsi="Arial"/>
          <w:sz w:val="11"/>
          <w:szCs w:val="11"/>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49" w:name="page50"/>
    <w:bookmarkEnd w:id="49"/>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December 31, 2019, an aggregate of approximately $902.0 million in original face amount of bonds issued by our sureties were outstanding. Our estimated remaining cost to complete these bonded projects was approximately $399.2 million as of December 31, 2019.</w:t>
      </w:r>
    </w:p>
    <w:p>
      <w:pPr>
        <w:spacing w:after="0" w:line="51" w:lineRule="exact"/>
        <w:rPr>
          <w:sz w:val="20"/>
          <w:szCs w:val="20"/>
          <w:color w:val="auto"/>
        </w:rPr>
      </w:pPr>
    </w:p>
    <w:p>
      <w:pPr>
        <w:ind w:right="180" w:firstLine="240"/>
        <w:spacing w:after="0" w:line="323" w:lineRule="auto"/>
        <w:rPr>
          <w:sz w:val="20"/>
          <w:szCs w:val="20"/>
          <w:color w:val="auto"/>
        </w:rPr>
      </w:pPr>
      <w:r>
        <w:rPr>
          <w:rFonts w:ascii="Arial" w:cs="Arial" w:eastAsia="Arial" w:hAnsi="Arial"/>
          <w:sz w:val="11"/>
          <w:szCs w:val="11"/>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Indemnities</w:t>
      </w:r>
    </w:p>
    <w:p>
      <w:pPr>
        <w:spacing w:after="0" w:line="105" w:lineRule="exact"/>
        <w:rPr>
          <w:sz w:val="20"/>
          <w:szCs w:val="20"/>
          <w:color w:val="auto"/>
        </w:rPr>
      </w:pPr>
    </w:p>
    <w:p>
      <w:pPr>
        <w:ind w:right="240" w:firstLine="240"/>
        <w:spacing w:after="0" w:line="276" w:lineRule="auto"/>
        <w:rPr>
          <w:sz w:val="20"/>
          <w:szCs w:val="20"/>
          <w:color w:val="auto"/>
        </w:rPr>
      </w:pPr>
      <w:r>
        <w:rPr>
          <w:rFonts w:ascii="Arial" w:cs="Arial" w:eastAsia="Arial" w:hAnsi="Arial"/>
          <w:sz w:val="12"/>
          <w:szCs w:val="12"/>
          <w:color w:val="auto"/>
        </w:rPr>
        <w:t>From time to time, pursuant to our service arrangements, we indemnify our customers for claims related to the services we provide under those service arrangements. These indemnification obligations may subject us to indemnity claims, liabilities and related litigation. We are not aware of any material unrecorded liabilities for asserted claims in connection with these indemnification obligations.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December 31, 2019, our future contractual obligations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tcPr>
          <w:p>
            <w:pPr>
              <w:ind w:left="240"/>
              <w:spacing w:after="0"/>
              <w:rPr>
                <w:sz w:val="20"/>
                <w:szCs w:val="20"/>
                <w:color w:val="auto"/>
              </w:rPr>
            </w:pPr>
            <w:r>
              <w:rPr>
                <w:rFonts w:ascii="Arial" w:cs="Arial" w:eastAsia="Arial" w:hAnsi="Arial"/>
                <w:sz w:val="10"/>
                <w:szCs w:val="10"/>
                <w:b w:val="1"/>
                <w:bCs w:val="1"/>
                <w:color w:val="auto"/>
              </w:rPr>
              <w:t>Less than</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5"/>
          </w:tcPr>
          <w:p>
            <w:pPr>
              <w:jc w:val="center"/>
              <w:ind w:right="340"/>
              <w:spacing w:after="0"/>
              <w:rPr>
                <w:sz w:val="20"/>
                <w:szCs w:val="20"/>
                <w:color w:val="auto"/>
              </w:rPr>
            </w:pPr>
            <w:r>
              <w:rPr>
                <w:rFonts w:ascii="Arial" w:cs="Arial" w:eastAsia="Arial" w:hAnsi="Arial"/>
                <w:sz w:val="10"/>
                <w:szCs w:val="10"/>
                <w:b w:val="1"/>
                <w:bCs w:val="1"/>
                <w:color w:val="auto"/>
                <w:w w:val="91"/>
              </w:rPr>
              <w:t>More than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2"/>
        </w:trPr>
        <w:tc>
          <w:tcPr>
            <w:tcW w:w="5440" w:type="dxa"/>
            <w:vAlign w:val="bottom"/>
            <w:gridSpan w:val="4"/>
          </w:tcPr>
          <w:p>
            <w:pPr>
              <w:spacing w:after="0"/>
              <w:rPr>
                <w:sz w:val="20"/>
                <w:szCs w:val="20"/>
                <w:color w:val="auto"/>
              </w:rPr>
            </w:pPr>
            <w:r>
              <w:rPr>
                <w:rFonts w:ascii="Arial" w:cs="Arial" w:eastAsia="Arial" w:hAnsi="Arial"/>
                <w:sz w:val="10"/>
                <w:szCs w:val="10"/>
                <w:b w:val="1"/>
                <w:bCs w:val="1"/>
                <w:color w:val="auto"/>
              </w:rPr>
              <w:t>(in thousands)</w:t>
            </w:r>
          </w:p>
        </w:tc>
        <w:tc>
          <w:tcPr>
            <w:tcW w:w="880" w:type="dxa"/>
            <w:vAlign w:val="bottom"/>
            <w:gridSpan w:val="3"/>
          </w:tcPr>
          <w:p>
            <w:pPr>
              <w:ind w:left="120"/>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spacing w:after="0"/>
              <w:rPr>
                <w:sz w:val="11"/>
                <w:szCs w:val="11"/>
                <w:color w:val="auto"/>
              </w:rPr>
            </w:pPr>
          </w:p>
        </w:tc>
        <w:tc>
          <w:tcPr>
            <w:tcW w:w="720" w:type="dxa"/>
            <w:vAlign w:val="bottom"/>
            <w:gridSpan w:val="3"/>
          </w:tcPr>
          <w:p>
            <w:pPr>
              <w:spacing w:after="0"/>
              <w:rPr>
                <w:sz w:val="20"/>
                <w:szCs w:val="20"/>
                <w:color w:val="auto"/>
              </w:rPr>
            </w:pPr>
            <w:r>
              <w:rPr>
                <w:rFonts w:ascii="Arial" w:cs="Arial" w:eastAsia="Arial" w:hAnsi="Arial"/>
                <w:sz w:val="10"/>
                <w:szCs w:val="10"/>
                <w:b w:val="1"/>
                <w:bCs w:val="1"/>
                <w:color w:val="auto"/>
              </w:rPr>
              <w:t>1 Year</w:t>
            </w:r>
          </w:p>
        </w:tc>
        <w:tc>
          <w:tcPr>
            <w:tcW w:w="1500" w:type="dxa"/>
            <w:vAlign w:val="bottom"/>
            <w:gridSpan w:val="5"/>
          </w:tcPr>
          <w:p>
            <w:pPr>
              <w:ind w:left="320"/>
              <w:spacing w:after="0"/>
              <w:rPr>
                <w:sz w:val="20"/>
                <w:szCs w:val="20"/>
                <w:color w:val="auto"/>
              </w:rPr>
            </w:pPr>
            <w:r>
              <w:rPr>
                <w:rFonts w:ascii="Arial" w:cs="Arial" w:eastAsia="Arial" w:hAnsi="Arial"/>
                <w:sz w:val="10"/>
                <w:szCs w:val="10"/>
                <w:b w:val="1"/>
                <w:bCs w:val="1"/>
                <w:color w:val="auto"/>
              </w:rPr>
              <w:t>1 – 3 Years</w:t>
            </w:r>
          </w:p>
        </w:tc>
        <w:tc>
          <w:tcPr>
            <w:tcW w:w="900" w:type="dxa"/>
            <w:vAlign w:val="bottom"/>
            <w:gridSpan w:val="3"/>
          </w:tcPr>
          <w:p>
            <w:pPr>
              <w:spacing w:after="0"/>
              <w:rPr>
                <w:sz w:val="20"/>
                <w:szCs w:val="20"/>
                <w:color w:val="auto"/>
              </w:rPr>
            </w:pPr>
            <w:r>
              <w:rPr>
                <w:rFonts w:ascii="Arial" w:cs="Arial" w:eastAsia="Arial" w:hAnsi="Arial"/>
                <w:sz w:val="10"/>
                <w:szCs w:val="10"/>
                <w:b w:val="1"/>
                <w:bCs w:val="1"/>
                <w:color w:val="auto"/>
              </w:rPr>
              <w:t>3 – 5 Years</w:t>
            </w:r>
          </w:p>
        </w:tc>
        <w:tc>
          <w:tcPr>
            <w:tcW w:w="280" w:type="dxa"/>
            <w:vAlign w:val="bottom"/>
          </w:tcPr>
          <w:p>
            <w:pPr>
              <w:spacing w:after="0"/>
              <w:rPr>
                <w:sz w:val="11"/>
                <w:szCs w:val="11"/>
                <w:color w:val="auto"/>
              </w:rPr>
            </w:pPr>
          </w:p>
        </w:tc>
        <w:tc>
          <w:tcPr>
            <w:tcW w:w="1020" w:type="dxa"/>
            <w:vAlign w:val="bottom"/>
            <w:gridSpan w:val="4"/>
          </w:tcPr>
          <w:p>
            <w:pPr>
              <w:jc w:val="center"/>
              <w:ind w:right="600"/>
              <w:spacing w:after="0"/>
              <w:rPr>
                <w:sz w:val="20"/>
                <w:szCs w:val="20"/>
                <w:color w:val="auto"/>
              </w:rPr>
            </w:pPr>
            <w:r>
              <w:rPr>
                <w:rFonts w:ascii="Arial" w:cs="Arial" w:eastAsia="Arial" w:hAnsi="Arial"/>
                <w:sz w:val="10"/>
                <w:szCs w:val="10"/>
                <w:b w:val="1"/>
                <w:bCs w:val="1"/>
                <w:color w:val="auto"/>
                <w:w w:val="84"/>
              </w:rPr>
              <w:t>5 Years</w:t>
            </w:r>
          </w:p>
        </w:tc>
        <w:tc>
          <w:tcPr>
            <w:tcW w:w="420" w:type="dxa"/>
            <w:vAlign w:val="bottom"/>
            <w:gridSpan w:val="3"/>
          </w:tcPr>
          <w:p>
            <w:pPr>
              <w:spacing w:after="0"/>
              <w:rPr>
                <w:sz w:val="20"/>
                <w:szCs w:val="20"/>
                <w:color w:val="auto"/>
              </w:rPr>
            </w:pPr>
            <w:r>
              <w:rPr>
                <w:rFonts w:ascii="Arial" w:cs="Arial" w:eastAsia="Arial" w:hAnsi="Arial"/>
                <w:sz w:val="10"/>
                <w:szCs w:val="10"/>
                <w:b w:val="1"/>
                <w:bCs w:val="1"/>
                <w:color w:val="auto"/>
              </w:rPr>
              <w:t>Other</w:t>
            </w:r>
          </w:p>
        </w:tc>
      </w:tr>
      <w:tr>
        <w:trPr>
          <w:trHeight w:val="178"/>
        </w:trPr>
        <w:tc>
          <w:tcPr>
            <w:tcW w:w="500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2"/>
                <w:szCs w:val="12"/>
                <w:color w:val="auto"/>
              </w:rPr>
              <w:t>Short and long term debt</w:t>
            </w:r>
            <w:r>
              <w:rPr>
                <w:rFonts w:ascii="Arial" w:cs="Arial" w:eastAsia="Arial" w:hAnsi="Arial"/>
                <w:sz w:val="18"/>
                <w:szCs w:val="18"/>
                <w:color w:val="auto"/>
                <w:vertAlign w:val="superscript"/>
              </w:rPr>
              <w:t>(1)</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$165,824</w:t>
            </w: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8,737</w:t>
            </w:r>
          </w:p>
        </w:tc>
        <w:tc>
          <w:tcPr>
            <w:tcW w:w="1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$16,994</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7"/>
              </w:rPr>
              <w:t>$124,649</w:t>
            </w: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$15,444</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71"/>
        </w:trPr>
        <w:tc>
          <w:tcPr>
            <w:tcW w:w="5440" w:type="dxa"/>
            <w:vAlign w:val="bottom"/>
            <w:gridSpan w:val="4"/>
          </w:tcPr>
          <w:p>
            <w:pPr>
              <w:spacing w:after="0"/>
              <w:rPr>
                <w:sz w:val="20"/>
                <w:szCs w:val="20"/>
                <w:color w:val="auto"/>
              </w:rPr>
            </w:pPr>
            <w:r>
              <w:rPr>
                <w:rFonts w:ascii="Arial" w:cs="Arial" w:eastAsia="Arial" w:hAnsi="Arial"/>
                <w:sz w:val="12"/>
                <w:szCs w:val="12"/>
                <w:color w:val="auto"/>
              </w:rPr>
              <w:t>Operating lease obligations</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29,514</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8,431</w:t>
            </w:r>
          </w:p>
        </w:tc>
        <w:tc>
          <w:tcPr>
            <w:tcW w:w="14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2"/>
                <w:szCs w:val="12"/>
                <w:color w:val="auto"/>
              </w:rPr>
              <w:t>13,334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color w:val="auto"/>
              </w:rPr>
              <w:t>6,101</w:t>
            </w:r>
          </w:p>
        </w:tc>
        <w:tc>
          <w:tcPr>
            <w:tcW w:w="14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2"/>
                <w:szCs w:val="12"/>
                <w:color w:val="auto"/>
              </w:rPr>
              <w:t>1,648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r>
      <w:tr>
        <w:trPr>
          <w:trHeight w:val="171"/>
        </w:trPr>
        <w:tc>
          <w:tcPr>
            <w:tcW w:w="54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Finance lease obligations</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1,167</w:t>
            </w:r>
          </w:p>
        </w:tc>
        <w:tc>
          <w:tcPr>
            <w:tcW w:w="14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341</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71"/>
        </w:trPr>
        <w:tc>
          <w:tcPr>
            <w:tcW w:w="5440" w:type="dxa"/>
            <w:vAlign w:val="bottom"/>
            <w:gridSpan w:val="4"/>
          </w:tcPr>
          <w:p>
            <w:pPr>
              <w:spacing w:after="0"/>
              <w:rPr>
                <w:sz w:val="20"/>
                <w:szCs w:val="20"/>
                <w:color w:val="auto"/>
              </w:rPr>
            </w:pPr>
            <w:r>
              <w:rPr>
                <w:rFonts w:ascii="Arial" w:cs="Arial" w:eastAsia="Arial" w:hAnsi="Arial"/>
                <w:sz w:val="12"/>
                <w:szCs w:val="12"/>
                <w:color w:val="auto"/>
              </w:rPr>
              <w:t>Purchase obligations</w:t>
            </w:r>
          </w:p>
        </w:tc>
        <w:tc>
          <w:tcPr>
            <w:tcW w:w="460" w:type="dxa"/>
            <w:vAlign w:val="bottom"/>
          </w:tcPr>
          <w:p>
            <w:pPr>
              <w:jc w:val="right"/>
              <w:spacing w:after="0"/>
              <w:rPr>
                <w:sz w:val="20"/>
                <w:szCs w:val="20"/>
                <w:color w:val="auto"/>
              </w:rPr>
            </w:pPr>
            <w:r>
              <w:rPr>
                <w:rFonts w:ascii="Arial" w:cs="Arial" w:eastAsia="Arial" w:hAnsi="Arial"/>
                <w:sz w:val="12"/>
                <w:szCs w:val="12"/>
                <w:color w:val="auto"/>
              </w:rPr>
              <w:t>5,440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5,440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4"/>
          </w:tcPr>
          <w:p>
            <w:pPr>
              <w:jc w:val="right"/>
              <w:ind w:right="780"/>
              <w:spacing w:after="0"/>
              <w:rPr>
                <w:sz w:val="20"/>
                <w:szCs w:val="20"/>
                <w:color w:val="auto"/>
              </w:rPr>
            </w:pPr>
            <w:r>
              <w:rPr>
                <w:rFonts w:ascii="Arial" w:cs="Arial" w:eastAsia="Arial" w:hAnsi="Arial"/>
                <w:sz w:val="12"/>
                <w:szCs w:val="12"/>
                <w:i w:val="1"/>
                <w:iCs w:val="1"/>
                <w:color w:val="auto"/>
              </w:rPr>
              <w:t>—</w:t>
            </w:r>
          </w:p>
        </w:tc>
        <w:tc>
          <w:tcPr>
            <w:tcW w:w="90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20" w:type="dxa"/>
            <w:vAlign w:val="bottom"/>
            <w:gridSpan w:val="4"/>
          </w:tcPr>
          <w:p>
            <w:pPr>
              <w:jc w:val="right"/>
              <w:ind w:right="6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r>
      <w:tr>
        <w:trPr>
          <w:trHeight w:val="176"/>
        </w:trPr>
        <w:tc>
          <w:tcPr>
            <w:tcW w:w="5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contingencies</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4"/>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176</w:t>
            </w:r>
          </w:p>
        </w:tc>
        <w:tc>
          <w:tcPr>
            <w:tcW w:w="180" w:type="dxa"/>
            <w:vAlign w:val="bottom"/>
            <w:shd w:val="clear" w:color="auto" w:fill="CCEEFF"/>
          </w:tcPr>
          <w:p>
            <w:pPr>
              <w:spacing w:after="0"/>
              <w:rPr>
                <w:sz w:val="15"/>
                <w:szCs w:val="15"/>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1"/>
        </w:trPr>
        <w:tc>
          <w:tcPr>
            <w:tcW w:w="5440" w:type="dxa"/>
            <w:vAlign w:val="bottom"/>
            <w:gridSpan w:val="4"/>
          </w:tcPr>
          <w:p>
            <w:pPr>
              <w:spacing w:after="0"/>
              <w:rPr>
                <w:sz w:val="20"/>
                <w:szCs w:val="20"/>
                <w:color w:val="auto"/>
              </w:rPr>
            </w:pPr>
            <w:r>
              <w:rPr>
                <w:rFonts w:ascii="Arial" w:cs="Arial" w:eastAsia="Arial" w:hAnsi="Arial"/>
                <w:sz w:val="12"/>
                <w:szCs w:val="12"/>
                <w:color w:val="auto"/>
              </w:rPr>
              <w:t>Total</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$202,462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23,775</w:t>
            </w:r>
          </w:p>
        </w:tc>
        <w:tc>
          <w:tcPr>
            <w:tcW w:w="140" w:type="dxa"/>
            <w:vAlign w:val="bottom"/>
          </w:tcPr>
          <w:p>
            <w:pPr>
              <w:spacing w:after="0"/>
              <w:rPr>
                <w:sz w:val="15"/>
                <w:szCs w:val="15"/>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2"/>
                <w:szCs w:val="12"/>
                <w:color w:val="auto"/>
              </w:rPr>
              <w:t>$30,669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color w:val="auto"/>
                <w:w w:val="87"/>
              </w:rPr>
              <w:t>$130,750</w:t>
            </w:r>
          </w:p>
        </w:tc>
        <w:tc>
          <w:tcPr>
            <w:tcW w:w="140" w:type="dxa"/>
            <w:vAlign w:val="bottom"/>
          </w:tcPr>
          <w:p>
            <w:pPr>
              <w:spacing w:after="0"/>
              <w:rPr>
                <w:sz w:val="15"/>
                <w:szCs w:val="15"/>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2"/>
                <w:szCs w:val="12"/>
                <w:color w:val="auto"/>
              </w:rPr>
              <w:t>$17,092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176</w:t>
            </w:r>
          </w:p>
        </w:tc>
        <w:tc>
          <w:tcPr>
            <w:tcW w:w="180" w:type="dxa"/>
            <w:vAlign w:val="bottom"/>
          </w:tcPr>
          <w:p>
            <w:pPr>
              <w:spacing w:after="0"/>
              <w:rPr>
                <w:sz w:val="15"/>
                <w:szCs w:val="15"/>
                <w:color w:val="auto"/>
              </w:rPr>
            </w:pPr>
          </w:p>
        </w:tc>
      </w:tr>
      <w:tr>
        <w:trPr>
          <w:trHeight w:val="90"/>
        </w:trPr>
        <w:tc>
          <w:tcPr>
            <w:tcW w:w="272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6817995</wp:posOffset>
            </wp:positionH>
            <wp:positionV relativeFrom="paragraph">
              <wp:posOffset>-760095</wp:posOffset>
            </wp:positionV>
            <wp:extent cx="914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-760095</wp:posOffset>
            </wp:positionV>
            <wp:extent cx="914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-760095</wp:posOffset>
            </wp:positionV>
            <wp:extent cx="914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-760095</wp:posOffset>
            </wp:positionV>
            <wp:extent cx="914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-760095</wp:posOffset>
            </wp:positionV>
            <wp:extent cx="914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-760095</wp:posOffset>
            </wp:positionV>
            <wp:extent cx="914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70" w:lineRule="exact"/>
        <w:rPr>
          <w:sz w:val="20"/>
          <w:szCs w:val="20"/>
          <w:color w:val="auto"/>
        </w:rPr>
      </w:pPr>
    </w:p>
    <w:p>
      <w:pPr>
        <w:spacing w:after="0"/>
        <w:tabs>
          <w:tab w:leader="none" w:pos="2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0"/>
          <w:szCs w:val="10"/>
          <w:color w:val="auto"/>
        </w:rPr>
        <w:t>Includes obligations under the Facility and obligations under Equipment Notes.</w:t>
      </w:r>
    </w:p>
    <w:p>
      <w:pPr>
        <w:spacing w:after="0" w:line="96" w:lineRule="exact"/>
        <w:rPr>
          <w:sz w:val="20"/>
          <w:szCs w:val="20"/>
          <w:color w:val="auto"/>
        </w:rPr>
      </w:pPr>
    </w:p>
    <w:p>
      <w:pPr>
        <w:ind w:right="440" w:firstLine="240"/>
        <w:spacing w:after="0" w:line="323" w:lineRule="auto"/>
        <w:rPr>
          <w:sz w:val="20"/>
          <w:szCs w:val="20"/>
          <w:color w:val="auto"/>
        </w:rPr>
      </w:pPr>
      <w:r>
        <w:rPr>
          <w:rFonts w:ascii="Arial" w:cs="Arial" w:eastAsia="Arial" w:hAnsi="Arial"/>
          <w:sz w:val="11"/>
          <w:szCs w:val="11"/>
          <w:color w:val="auto"/>
        </w:rPr>
        <w:t>Excluded from the above table are interest and fees associated with our short term and long term debt and letters of credit outstanding under our Facility, because the applicable interest rates and fees are variable. We have also excluded our multi-employer pension plan contributions, which are determined annually, based on our union employee payrolls, and which cannot be determined for future periods in advance.</w:t>
      </w:r>
    </w:p>
    <w:p>
      <w:pPr>
        <w:spacing w:after="0" w:line="47" w:lineRule="exact"/>
        <w:rPr>
          <w:sz w:val="20"/>
          <w:szCs w:val="20"/>
          <w:color w:val="auto"/>
        </w:rPr>
      </w:pPr>
    </w:p>
    <w:p>
      <w:pPr>
        <w:ind w:right="140" w:firstLine="240"/>
        <w:spacing w:after="0" w:line="276" w:lineRule="auto"/>
        <w:rPr>
          <w:sz w:val="20"/>
          <w:szCs w:val="20"/>
          <w:color w:val="auto"/>
        </w:rPr>
      </w:pPr>
      <w:r>
        <w:rPr>
          <w:rFonts w:ascii="Arial" w:cs="Arial" w:eastAsia="Arial" w:hAnsi="Arial"/>
          <w:sz w:val="12"/>
          <w:szCs w:val="12"/>
          <w:color w:val="auto"/>
        </w:rPr>
        <w:t>The amount of income tax contingencies has been presented in the “Other” column in the table above due to the fact that the period of future payment cannot be reliably estimated. For further information, refer to Note 12 — Income Taxes to our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109" w:lineRule="exact"/>
        <w:rPr>
          <w:sz w:val="20"/>
          <w:szCs w:val="20"/>
          <w:color w:val="auto"/>
        </w:rPr>
      </w:pPr>
    </w:p>
    <w:p>
      <w:pPr>
        <w:ind w:right="60" w:firstLine="240"/>
        <w:spacing w:after="0" w:line="259" w:lineRule="auto"/>
        <w:rPr>
          <w:sz w:val="20"/>
          <w:szCs w:val="20"/>
          <w:color w:val="auto"/>
        </w:rPr>
      </w:pPr>
      <w:r>
        <w:rPr>
          <w:rFonts w:ascii="Arial" w:cs="Arial" w:eastAsia="Arial" w:hAnsi="Arial"/>
          <w:sz w:val="12"/>
          <w:szCs w:val="12"/>
          <w:color w:val="auto"/>
        </w:rPr>
        <w:t>We grant trade credit under contractual payment terms, generally without collateral, to our customers, which include high credit quality electric utilities, governmental entities, general contractors and builders, owners and managers of commercial and industrial properties. Consequently, we are subject to potential credit risk related to changes in business and economic factors. However, we generally have certain statutory lien rights with respect to services provided. Under certain circumstances such as foreclosures or negotiated settlements, we may take title to the underlying assets in lieu of cash in settlement of receivables. As of December 31, 2019 and 2018, none of our customers individually exceeded 10.0% of our accounts receivable.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Inflation</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Inflation did not have a significant effect on our results during the years ended December 31, 2019, 2018 or 2017.</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a discussion of recent accounting pronouncements, see Note 1 — Organization, Business and Significant Accounting Policies in the Notes to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09" w:lineRule="exact"/>
        <w:rPr>
          <w:sz w:val="20"/>
          <w:szCs w:val="20"/>
          <w:color w:val="auto"/>
        </w:rPr>
      </w:pPr>
    </w:p>
    <w:p>
      <w:pPr>
        <w:ind w:firstLine="240"/>
        <w:spacing w:after="0" w:line="273" w:lineRule="auto"/>
        <w:rPr>
          <w:sz w:val="20"/>
          <w:szCs w:val="20"/>
          <w:color w:val="auto"/>
        </w:rPr>
      </w:pPr>
      <w:r>
        <w:rPr>
          <w:rFonts w:ascii="Arial" w:cs="Arial" w:eastAsia="Arial" w:hAnsi="Arial"/>
          <w:sz w:val="11"/>
          <w:szCs w:val="11"/>
          <w:color w:val="auto"/>
        </w:rPr>
        <w:t>The discussion and analysis of our financial condition and results of operations are based on our Financial Statements, which have been prepared in accordance with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spacing w:after="0" w:line="109" w:lineRule="exact"/>
        <w:rPr>
          <w:sz w:val="20"/>
          <w:szCs w:val="20"/>
          <w:color w:val="auto"/>
        </w:rPr>
      </w:pPr>
    </w:p>
    <w:p>
      <w:pPr>
        <w:ind w:right="140" w:firstLine="240"/>
        <w:spacing w:after="0" w:line="243" w:lineRule="auto"/>
        <w:rPr>
          <w:sz w:val="20"/>
          <w:szCs w:val="20"/>
          <w:color w:val="auto"/>
        </w:rPr>
      </w:pPr>
      <w:r>
        <w:rPr>
          <w:rFonts w:ascii="Arial" w:cs="Arial" w:eastAsia="Arial" w:hAnsi="Arial"/>
          <w:sz w:val="12"/>
          <w:szCs w:val="12"/>
          <w:i w:val="1"/>
          <w:iCs w:val="1"/>
          <w:color w:val="auto"/>
        </w:rPr>
        <w:t xml:space="preserve">Revenue Recognition. </w:t>
      </w:r>
      <w:r>
        <w:rPr>
          <w:rFonts w:ascii="Arial" w:cs="Arial" w:eastAsia="Arial" w:hAnsi="Arial"/>
          <w:sz w:val="12"/>
          <w:szCs w:val="12"/>
          <w:color w:val="auto"/>
        </w:rPr>
        <w:t>On January 1, 2018, we adopted ASU No. 2014-09</w:t>
      </w:r>
      <w:r>
        <w:rPr>
          <w:rFonts w:ascii="Arial" w:cs="Arial" w:eastAsia="Arial" w:hAnsi="Arial"/>
          <w:sz w:val="12"/>
          <w:szCs w:val="12"/>
          <w:i w:val="1"/>
          <w:iCs w:val="1"/>
          <w:color w:val="auto"/>
        </w:rPr>
        <w:t xml:space="preserve">, Revenue from Contracts with Customers (Topic 606) </w:t>
      </w:r>
      <w:r>
        <w:rPr>
          <w:rFonts w:ascii="Arial" w:cs="Arial" w:eastAsia="Arial" w:hAnsi="Arial"/>
          <w:sz w:val="12"/>
          <w:szCs w:val="12"/>
          <w:color w:val="auto"/>
        </w:rPr>
        <w:t>using the modified retrospective method for contracts that were not completed as of January 1, 2018.</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Results for reporting periods beginning after January 1, 2018 are presented under this new pronouncement, while prior period amounts were not adjusted and continue to be reported under the accounting standard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w:t>
      </w:r>
      <w:r>
        <w:rPr>
          <w:rFonts w:ascii="Arial" w:cs="Arial" w:eastAsia="Arial" w:hAnsi="Arial"/>
          <w:sz w:val="12"/>
          <w:szCs w:val="12"/>
          <w:i w:val="1"/>
          <w:iCs w:val="1"/>
          <w:color w:val="auto"/>
        </w:rPr>
        <w:t>Topic 605</w:t>
      </w:r>
      <w:r>
        <w:rPr>
          <w:rFonts w:ascii="Arial" w:cs="Arial" w:eastAsia="Arial" w:hAnsi="Arial"/>
          <w:sz w:val="12"/>
          <w:szCs w:val="12"/>
          <w:color w:val="auto"/>
        </w:rPr>
        <w:t>, which was in effect for those periods. Differences in revenue recognition under Topic 606 were due to accelerated recognition of contract provisions related to variable consideration previously not permitted to be recognized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Topic 605 until no remaining contingency existed related to this consideration.</w:t>
      </w:r>
    </w:p>
    <w:p>
      <w:pPr>
        <w:spacing w:after="0" w:line="72" w:lineRule="exact"/>
        <w:rPr>
          <w:sz w:val="20"/>
          <w:szCs w:val="20"/>
          <w:color w:val="auto"/>
        </w:rPr>
      </w:pPr>
    </w:p>
    <w:p>
      <w:pPr>
        <w:ind w:right="40" w:firstLine="240"/>
        <w:spacing w:after="0" w:line="263" w:lineRule="auto"/>
        <w:rPr>
          <w:sz w:val="20"/>
          <w:szCs w:val="20"/>
          <w:color w:val="auto"/>
        </w:rPr>
      </w:pPr>
      <w:r>
        <w:rPr>
          <w:rFonts w:ascii="Arial" w:cs="Arial" w:eastAsia="Arial" w:hAnsi="Arial"/>
          <w:sz w:val="11"/>
          <w:szCs w:val="11"/>
          <w:color w:val="auto"/>
        </w:rPr>
        <w:t>Under Topic 606, 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estimate profit by determining the difference between total estimated revenue and total estimated cost of a contract. In addition, we estimate a cost accrual every quarter that represents unbilled invoicing activity for services performed by subcontractors and suppliers during the quarter, and estimate revenue from the contract cost portion of this accrual based on current gross margin rates to be consistent with our cost method of revenue recognition. The estimated value of unbilled amounts are determined using a regression analysis that estimates value based on our historical experience, and is adjusted for large individual projects. The profit and corresponding revenue is recognized over the contract term based on costs incurred under the cost-to-cost method. We utilized the cost-to-cost method as we believe cost incurred best represents the amount of work completed and remaining on our projects, and is the most common basis for computing percentage of completion in our industry. For purposes of recognizing revenue, we follow the five-step approach outlined in Accounting Standards Codification (“ASC”) 606-10-25.</w:t>
      </w:r>
    </w:p>
    <w:p>
      <w:pPr>
        <w:spacing w:after="0" w:line="71" w:lineRule="exact"/>
        <w:rPr>
          <w:sz w:val="20"/>
          <w:szCs w:val="20"/>
          <w:color w:val="auto"/>
        </w:rPr>
      </w:pPr>
    </w:p>
    <w:p>
      <w:pPr>
        <w:ind w:right="40" w:firstLine="240"/>
        <w:spacing w:after="0" w:line="308" w:lineRule="auto"/>
        <w:rPr>
          <w:sz w:val="20"/>
          <w:szCs w:val="20"/>
          <w:color w:val="auto"/>
        </w:rPr>
      </w:pPr>
      <w:r>
        <w:rPr>
          <w:rFonts w:ascii="Arial" w:cs="Arial" w:eastAsia="Arial" w:hAnsi="Arial"/>
          <w:sz w:val="10"/>
          <w:szCs w:val="10"/>
          <w:color w:val="auto"/>
        </w:rPr>
        <w:t>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our billings are based on contract terms and do not coincide with our progress in a project, revenue recognition also includes an amount related to our contract asset or contract liability. If the recognized revenue is greater than the amount billed to the customer, a contract asset is recorded. Additionally, the contract asset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51" w:name="page52"/>
    <w:bookmarkEnd w:id="51"/>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340"/>
        <w:spacing w:after="0" w:line="261" w:lineRule="auto"/>
        <w:rPr>
          <w:sz w:val="20"/>
          <w:szCs w:val="20"/>
          <w:color w:val="auto"/>
        </w:rPr>
      </w:pPr>
      <w:r>
        <w:rPr>
          <w:rFonts w:ascii="Arial" w:cs="Arial" w:eastAsia="Arial" w:hAnsi="Arial"/>
          <w:sz w:val="12"/>
          <w:szCs w:val="12"/>
          <w:color w:val="auto"/>
        </w:rPr>
        <w:t>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60" w:lineRule="exact"/>
        <w:rPr>
          <w:sz w:val="20"/>
          <w:szCs w:val="20"/>
          <w:color w:val="auto"/>
        </w:rPr>
      </w:pPr>
    </w:p>
    <w:p>
      <w:pPr>
        <w:ind w:firstLine="240"/>
        <w:spacing w:after="0" w:line="264" w:lineRule="auto"/>
        <w:rPr>
          <w:sz w:val="20"/>
          <w:szCs w:val="20"/>
          <w:color w:val="auto"/>
        </w:rPr>
      </w:pPr>
      <w:r>
        <w:rPr>
          <w:rFonts w:ascii="Arial" w:cs="Arial" w:eastAsia="Arial" w:hAnsi="Arial"/>
          <w:sz w:val="11"/>
          <w:szCs w:val="11"/>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we estimate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we seek to collect from our clients or others for client-caused delays, errors in specifications and designs, contract terminations, change orders that are either in dispute or are unapproved as to both scope and price, or other causes. We include these estimated amounts of variable consideration to the extent that it is probable there will not be a significant reversal of revenue.</w:t>
      </w:r>
    </w:p>
    <w:p>
      <w:pPr>
        <w:spacing w:after="0" w:line="71" w:lineRule="exact"/>
        <w:rPr>
          <w:sz w:val="20"/>
          <w:szCs w:val="20"/>
          <w:color w:val="auto"/>
        </w:rPr>
      </w:pPr>
    </w:p>
    <w:p>
      <w:pPr>
        <w:ind w:right="20" w:firstLine="240"/>
        <w:spacing w:after="0"/>
        <w:rPr>
          <w:sz w:val="20"/>
          <w:szCs w:val="20"/>
          <w:color w:val="auto"/>
        </w:rPr>
      </w:pPr>
      <w:r>
        <w:rPr>
          <w:rFonts w:ascii="Arial" w:cs="Arial" w:eastAsia="Arial" w:hAnsi="Arial"/>
          <w:sz w:val="12"/>
          <w:szCs w:val="12"/>
          <w:color w:val="auto"/>
        </w:rPr>
        <w:t>Some of our contracts may have contract terms that include variable consideration such as safety or performance bonuses or liquidated damages. In accordance with ASC 606-10-32, we estimate the variable consideration using one of two methods. In contracts in which there is a binary outcome, the most likely amount method is used. In instances in which there is a range of possible outcomes, the expected value method is used. In accordance with ASC 606-10-32-11, we include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we use constraint in recognizing revenue on variable consideration. Although we often enter into contracts that contain liquidated damage clauses, we rarely incur them, and as such, we do not include amounts associated with liquidated damage clauses until it is probable that liquidated damages will occur. These items are continually monitored by multiple levels of management throughout the reporting period.</w:t>
      </w:r>
    </w:p>
    <w:p>
      <w:pPr>
        <w:spacing w:after="0" w:line="82" w:lineRule="exact"/>
        <w:rPr>
          <w:sz w:val="20"/>
          <w:szCs w:val="20"/>
          <w:color w:val="auto"/>
        </w:rPr>
      </w:pPr>
    </w:p>
    <w:p>
      <w:pPr>
        <w:ind w:right="240" w:firstLine="240"/>
        <w:spacing w:after="0" w:line="276" w:lineRule="auto"/>
        <w:rPr>
          <w:sz w:val="20"/>
          <w:szCs w:val="20"/>
          <w:color w:val="auto"/>
        </w:rPr>
      </w:pPr>
      <w:r>
        <w:rPr>
          <w:rFonts w:ascii="Arial" w:cs="Arial" w:eastAsia="Arial" w:hAnsi="Arial"/>
          <w:sz w:val="12"/>
          <w:szCs w:val="12"/>
          <w:color w:val="auto"/>
        </w:rPr>
        <w:t>A portion of the work we perform requires financial assurances in the form of performance and payment bonds or letters of credit at the time of execution of the contract. Many of our contracts include retention provisions of up to 10%, which are generally withheld from each progress payment as retainage until the contract work has been completed and approved.</w:t>
      </w:r>
    </w:p>
    <w:p>
      <w:pPr>
        <w:spacing w:after="0" w:line="61" w:lineRule="exact"/>
        <w:rPr>
          <w:sz w:val="20"/>
          <w:szCs w:val="20"/>
          <w:color w:val="auto"/>
        </w:rPr>
      </w:pPr>
    </w:p>
    <w:p>
      <w:pPr>
        <w:ind w:right="160" w:firstLine="240"/>
        <w:spacing w:after="0" w:line="263" w:lineRule="auto"/>
        <w:rPr>
          <w:sz w:val="20"/>
          <w:szCs w:val="20"/>
          <w:color w:val="auto"/>
        </w:rPr>
      </w:pPr>
      <w:r>
        <w:rPr>
          <w:rFonts w:ascii="Arial" w:cs="Arial" w:eastAsia="Arial" w:hAnsi="Arial"/>
          <w:sz w:val="12"/>
          <w:szCs w:val="12"/>
          <w:color w:val="auto"/>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spacing w:after="0" w:line="51" w:lineRule="exact"/>
        <w:rPr>
          <w:sz w:val="20"/>
          <w:szCs w:val="20"/>
          <w:color w:val="auto"/>
        </w:rPr>
      </w:pPr>
    </w:p>
    <w:p>
      <w:pPr>
        <w:ind w:left="360" w:hanging="128"/>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completeness and accuracy of the original bid;</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costs associated with scope changes, change orders or claims;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costs of labor and/or materials;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extended overhead due to owner, weather and other delays;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subcontractor performance issues;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productivity expectations;</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site conditions that differ from those assumed in the original bid (to the extent contract remedies are unavailable);</w:t>
      </w:r>
    </w:p>
    <w:p>
      <w:pPr>
        <w:spacing w:after="0" w:line="78" w:lineRule="exact"/>
        <w:rPr>
          <w:rFonts w:ascii="Arial" w:cs="Arial" w:eastAsia="Arial" w:hAnsi="Arial"/>
          <w:sz w:val="12"/>
          <w:szCs w:val="12"/>
          <w:color w:val="auto"/>
        </w:rPr>
      </w:pPr>
    </w:p>
    <w:p>
      <w:pPr>
        <w:ind w:left="360" w:hanging="128"/>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availability and skill level of workers in the geographic location of the project; and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a change in the availability and proximity of equipment and materials.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foregoing factors as well as the stage of completion of contracts in process and the mix of contracts at different margins may cause fluctuations in gross profit between periods.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provide warranties to customers on a basis customary to the industry; however, the warranty period does not typically exceed one year. Historically, warranty claims have not been material.</w:t>
      </w:r>
    </w:p>
    <w:p>
      <w:pPr>
        <w:spacing w:after="0" w:line="96" w:lineRule="exact"/>
        <w:rPr>
          <w:sz w:val="20"/>
          <w:szCs w:val="20"/>
          <w:color w:val="auto"/>
        </w:rPr>
      </w:pPr>
    </w:p>
    <w:p>
      <w:pPr>
        <w:ind w:right="280" w:firstLine="240"/>
        <w:spacing w:after="0" w:line="261" w:lineRule="auto"/>
        <w:rPr>
          <w:sz w:val="20"/>
          <w:szCs w:val="20"/>
          <w:color w:val="auto"/>
        </w:rPr>
      </w:pPr>
      <w:r>
        <w:rPr>
          <w:rFonts w:ascii="Arial" w:cs="Arial" w:eastAsia="Arial" w:hAnsi="Arial"/>
          <w:sz w:val="12"/>
          <w:szCs w:val="12"/>
          <w:color w:val="auto"/>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spacing w:after="0" w:line="60" w:lineRule="exact"/>
        <w:rPr>
          <w:sz w:val="20"/>
          <w:szCs w:val="20"/>
          <w:color w:val="auto"/>
        </w:rPr>
      </w:pPr>
    </w:p>
    <w:p>
      <w:pPr>
        <w:ind w:right="40" w:firstLine="240"/>
        <w:spacing w:after="0" w:line="248" w:lineRule="auto"/>
        <w:rPr>
          <w:sz w:val="20"/>
          <w:szCs w:val="20"/>
          <w:color w:val="auto"/>
        </w:rPr>
      </w:pPr>
      <w:r>
        <w:rPr>
          <w:rFonts w:ascii="Arial" w:cs="Arial" w:eastAsia="Arial" w:hAnsi="Arial"/>
          <w:sz w:val="12"/>
          <w:szCs w:val="12"/>
          <w:color w:val="auto"/>
        </w:rPr>
        <w:t xml:space="preserve">Prior to January 1, 2018 we reported revenue under the accounting standard </w:t>
      </w:r>
      <w:r>
        <w:rPr>
          <w:rFonts w:ascii="Arial" w:cs="Arial" w:eastAsia="Arial" w:hAnsi="Arial"/>
          <w:sz w:val="12"/>
          <w:szCs w:val="12"/>
          <w:i w:val="1"/>
          <w:iCs w:val="1"/>
          <w:color w:val="auto"/>
        </w:rPr>
        <w:t>Revenue Recognition Topic 605</w:t>
      </w:r>
      <w:r>
        <w:rPr>
          <w:rFonts w:ascii="Arial" w:cs="Arial" w:eastAsia="Arial" w:hAnsi="Arial"/>
          <w:sz w:val="12"/>
          <w:szCs w:val="12"/>
          <w:color w:val="auto"/>
        </w:rPr>
        <w:t>, under which revenues under contracts were accounted for using the percentage-of-completion method of accounting. Under the percentage-of-completion method, we estimated profit as the difference between total estimated revenue and total estimated cost of a contract and recognized that profit over the contract term based on costs incurred under the cost-to-cost method.</w:t>
      </w:r>
    </w:p>
    <w:p>
      <w:pPr>
        <w:spacing w:after="0" w:line="77" w:lineRule="exact"/>
        <w:rPr>
          <w:sz w:val="20"/>
          <w:szCs w:val="20"/>
          <w:color w:val="auto"/>
        </w:rPr>
      </w:pPr>
    </w:p>
    <w:p>
      <w:pPr>
        <w:ind w:firstLine="240"/>
        <w:spacing w:after="0" w:line="268" w:lineRule="auto"/>
        <w:rPr>
          <w:sz w:val="20"/>
          <w:szCs w:val="20"/>
          <w:color w:val="auto"/>
        </w:rPr>
      </w:pPr>
      <w:r>
        <w:rPr>
          <w:rFonts w:ascii="Arial" w:cs="Arial" w:eastAsia="Arial" w:hAnsi="Arial"/>
          <w:sz w:val="11"/>
          <w:szCs w:val="11"/>
          <w:color w:val="auto"/>
        </w:rPr>
        <w:t>Under Topic 605, revenues from our construction services were performed under fixed-price, time-and-equipment, time-and-materials, unit-price, and cost-plus fee contracts. For fixed-price and unit-price contracts, we used the ratio of cost incurred on the contract (excluding uninstalled direct materials) to management’s estimate of the contract’s total cost, to determine the percentage of completion on each contract. This method was used as management considered expended costs to be the best available measure of progression of these contracts. Contract cost included all direct costs on contracts, including labor and material, subcontractor costs and those indirect costs related to contract performance, such as supplies, fuel, tool repairs and depreciation. We recognized revenues from construction services with fees based on time-and-materials, or cost-plus fee as the services were performed and amounts were earned. If contracts included contract incentive or bonus provisions, they were included in estimated contract revenues only when the achievement of such incentive or bonus was reasonably certain.</w:t>
      </w:r>
    </w:p>
    <w:p>
      <w:pPr>
        <w:spacing w:after="0" w:line="68" w:lineRule="exact"/>
        <w:rPr>
          <w:sz w:val="20"/>
          <w:szCs w:val="20"/>
          <w:color w:val="auto"/>
        </w:rPr>
      </w:pPr>
    </w:p>
    <w:p>
      <w:pPr>
        <w:ind w:right="60" w:firstLine="240"/>
        <w:spacing w:after="0" w:line="243" w:lineRule="auto"/>
        <w:rPr>
          <w:sz w:val="20"/>
          <w:szCs w:val="20"/>
          <w:color w:val="auto"/>
        </w:rPr>
      </w:pPr>
      <w:r>
        <w:rPr>
          <w:rFonts w:ascii="Arial" w:cs="Arial" w:eastAsia="Arial" w:hAnsi="Arial"/>
          <w:sz w:val="12"/>
          <w:szCs w:val="12"/>
          <w:color w:val="auto"/>
        </w:rPr>
        <w:t>Under Topic 605, contract costs incurred to date and expected total contract costs were continuously monitored during the term of the contract. Changes in job performance, job conditions and final contract settlements were factors that influenced management’s assessment of total contract value and the total estimated costs to complete those contracts and therefore, our profit recognition. These changes, which included contracts with estimated costs in excess of estimated revenues, were recognized in contract costs in the period in which the revisions were determined. At the point we anticipated a loss on a contract, we estimated the ultimate loss through completion and recognized that loss in the period in which the possible loss was identified.</w:t>
      </w:r>
    </w:p>
    <w:p>
      <w:pPr>
        <w:spacing w:after="0" w:line="126" w:lineRule="exact"/>
        <w:rPr>
          <w:sz w:val="20"/>
          <w:szCs w:val="20"/>
          <w:color w:val="auto"/>
        </w:rPr>
      </w:pPr>
    </w:p>
    <w:p>
      <w:pPr>
        <w:ind w:right="160" w:firstLine="240"/>
        <w:spacing w:after="0" w:line="263" w:lineRule="auto"/>
        <w:rPr>
          <w:sz w:val="20"/>
          <w:szCs w:val="20"/>
          <w:color w:val="auto"/>
        </w:rPr>
      </w:pPr>
      <w:r>
        <w:rPr>
          <w:rFonts w:ascii="Arial" w:cs="Arial" w:eastAsia="Arial" w:hAnsi="Arial"/>
          <w:sz w:val="12"/>
          <w:szCs w:val="12"/>
          <w:i w:val="1"/>
          <w:iCs w:val="1"/>
          <w:color w:val="auto"/>
        </w:rPr>
        <w:t xml:space="preserve">Insurance. </w:t>
      </w:r>
      <w:r>
        <w:rPr>
          <w:rFonts w:ascii="Arial" w:cs="Arial" w:eastAsia="Arial" w:hAnsi="Arial"/>
          <w:sz w:val="12"/>
          <w:szCs w:val="12"/>
          <w:color w:val="auto"/>
        </w:rPr>
        <w:t>We carry insurance policies, which are subject to certain deductibles, for workers’ compensation, general liability, automobile liability and other coverages. Our deductible for each line of coverage is up to $1.0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except for wildfire coverage which has a deductible of $2.0 million. Certain health benefit plans are subject to a deductible up to $0.2 million, for qualified individuals. Losses up to the deductible amounts are accrued based upon our estimates of the ultimate liability for claims reported and an estimate of claims incurred but not yet reported.</w:t>
      </w:r>
    </w:p>
    <w:p>
      <w:pPr>
        <w:spacing w:after="0" w:line="69" w:lineRule="exact"/>
        <w:rPr>
          <w:sz w:val="20"/>
          <w:szCs w:val="20"/>
          <w:color w:val="auto"/>
        </w:rPr>
      </w:pPr>
    </w:p>
    <w:p>
      <w:pPr>
        <w:ind w:right="180" w:firstLine="240"/>
        <w:spacing w:after="0" w:line="276" w:lineRule="auto"/>
        <w:rPr>
          <w:sz w:val="20"/>
          <w:szCs w:val="20"/>
          <w:color w:val="auto"/>
        </w:rPr>
      </w:pPr>
      <w:r>
        <w:rPr>
          <w:rFonts w:ascii="Arial" w:cs="Arial" w:eastAsia="Arial" w:hAnsi="Arial"/>
          <w:sz w:val="12"/>
          <w:szCs w:val="12"/>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our consolidated balance sheets.</w:t>
      </w:r>
    </w:p>
    <w:p>
      <w:pPr>
        <w:spacing w:after="0" w:line="115" w:lineRule="exact"/>
        <w:rPr>
          <w:sz w:val="20"/>
          <w:szCs w:val="20"/>
          <w:color w:val="auto"/>
        </w:rPr>
      </w:pPr>
    </w:p>
    <w:p>
      <w:pPr>
        <w:ind w:firstLine="240"/>
        <w:spacing w:after="0" w:line="259" w:lineRule="auto"/>
        <w:rPr>
          <w:sz w:val="20"/>
          <w:szCs w:val="20"/>
          <w:color w:val="auto"/>
        </w:rPr>
      </w:pPr>
      <w:r>
        <w:rPr>
          <w:rFonts w:ascii="Arial" w:cs="Arial" w:eastAsia="Arial" w:hAnsi="Arial"/>
          <w:sz w:val="12"/>
          <w:szCs w:val="12"/>
          <w:i w:val="1"/>
          <w:iCs w:val="1"/>
          <w:color w:val="auto"/>
        </w:rPr>
        <w:t xml:space="preserve">Stock-Based Compensation. </w:t>
      </w:r>
      <w:r>
        <w:rPr>
          <w:rFonts w:ascii="Arial" w:cs="Arial" w:eastAsia="Arial" w:hAnsi="Arial"/>
          <w:sz w:val="12"/>
          <w:szCs w:val="12"/>
          <w:color w:val="auto"/>
        </w:rPr>
        <w:t>We determine compensation expense for stock-based awards based on the estimated fair values at the grant date and recognize the related compensation expense over the vesting period. We use the</w:t>
      </w:r>
      <w:r>
        <w:rPr>
          <w:rFonts w:ascii="Arial" w:cs="Arial" w:eastAsia="Arial" w:hAnsi="Arial"/>
          <w:sz w:val="12"/>
          <w:szCs w:val="12"/>
          <w:i w:val="1"/>
          <w:iCs w:val="1"/>
          <w:color w:val="auto"/>
        </w:rPr>
        <w:t xml:space="preserve"> </w:t>
      </w:r>
      <w:r>
        <w:rPr>
          <w:rFonts w:ascii="Arial" w:cs="Arial" w:eastAsia="Arial" w:hAnsi="Arial"/>
          <w:sz w:val="12"/>
          <w:szCs w:val="12"/>
          <w:color w:val="auto"/>
        </w:rPr>
        <w:t>straight-line amortization method to recognize compensation expense related to stock-based awards, such as restricted stock, restricted stock units and phantom stock units, that have only service conditions. This method recognizes stock compensation expense on a straight-line basis over the requisite service period for the entire award. We recognize compensation expense related to performance awards that vest based on internal performance metrics and service conditions on a straight-line basis over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53" w:name="page54"/>
    <w:bookmarkEnd w:id="53"/>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ind w:right="60"/>
        <w:spacing w:after="0" w:line="259" w:lineRule="auto"/>
        <w:rPr>
          <w:sz w:val="20"/>
          <w:szCs w:val="20"/>
          <w:color w:val="auto"/>
        </w:rPr>
      </w:pPr>
      <w:r>
        <w:rPr>
          <w:rFonts w:ascii="Arial" w:cs="Arial" w:eastAsia="Arial" w:hAnsi="Arial"/>
          <w:sz w:val="12"/>
          <w:szCs w:val="12"/>
          <w:color w:val="auto"/>
        </w:rPr>
        <w:t xml:space="preserve">the service period, but adjust inception-to-date expense based upon our determination of the expected achievement of the performance target at each reporting date. We recognize compensation expense related to performance awards with market-based performance metrics on a straight-line basis over the requisite service period. Upon adoption of ASU No. 2016-09, </w:t>
      </w:r>
      <w:r>
        <w:rPr>
          <w:rFonts w:ascii="Arial" w:cs="Arial" w:eastAsia="Arial" w:hAnsi="Arial"/>
          <w:sz w:val="12"/>
          <w:szCs w:val="12"/>
          <w:i w:val="1"/>
          <w:iCs w:val="1"/>
          <w:color w:val="auto"/>
        </w:rPr>
        <w:t>Compensation — Stock Compensation (Topic 718)</w:t>
      </w:r>
      <w:r>
        <w:rPr>
          <w:rFonts w:ascii="Arial" w:cs="Arial" w:eastAsia="Arial" w:hAnsi="Arial"/>
          <w:sz w:val="12"/>
          <w:szCs w:val="12"/>
          <w:color w:val="auto"/>
        </w:rPr>
        <w:t xml:space="preserve"> in January of 2017, we elected to discontinue estimating future forfeitures and recognize forfeitures as they occur. Prior to the adoption, we used historical data to estimate the forfeiture rate applied to stock grants. Shares issued under the Company’s stock-based compensation program are taken out of authorized but unissued shares.</w:t>
      </w:r>
    </w:p>
    <w:p>
      <w:pPr>
        <w:spacing w:after="0" w:line="125" w:lineRule="exact"/>
        <w:rPr>
          <w:sz w:val="20"/>
          <w:szCs w:val="20"/>
          <w:color w:val="auto"/>
        </w:rPr>
      </w:pPr>
    </w:p>
    <w:p>
      <w:pPr>
        <w:ind w:firstLine="240"/>
        <w:spacing w:after="0" w:line="280" w:lineRule="auto"/>
        <w:rPr>
          <w:sz w:val="20"/>
          <w:szCs w:val="20"/>
          <w:color w:val="auto"/>
        </w:rPr>
      </w:pPr>
      <w:r>
        <w:rPr>
          <w:rFonts w:ascii="Arial" w:cs="Arial" w:eastAsia="Arial" w:hAnsi="Arial"/>
          <w:sz w:val="11"/>
          <w:szCs w:val="11"/>
          <w:i w:val="1"/>
          <w:iCs w:val="1"/>
          <w:color w:val="auto"/>
        </w:rPr>
        <w:t xml:space="preserve">Goodwill and Intangibles. </w:t>
      </w:r>
      <w:r>
        <w:rPr>
          <w:rFonts w:ascii="Arial" w:cs="Arial" w:eastAsia="Arial" w:hAnsi="Arial"/>
          <w:sz w:val="11"/>
          <w:szCs w:val="11"/>
          <w:color w:val="auto"/>
        </w:rPr>
        <w:t>Goodwill and intangible assets with indefinite lives are not amortized. Intangible assets with finite lives are amortized on a straight-line basis over their estimated useful lives. We review goodwill and</w:t>
      </w:r>
      <w:r>
        <w:rPr>
          <w:rFonts w:ascii="Arial" w:cs="Arial" w:eastAsia="Arial" w:hAnsi="Arial"/>
          <w:sz w:val="11"/>
          <w:szCs w:val="11"/>
          <w:i w:val="1"/>
          <w:iCs w:val="1"/>
          <w:color w:val="auto"/>
        </w:rPr>
        <w:t xml:space="preserve"> </w:t>
      </w:r>
      <w:r>
        <w:rPr>
          <w:rFonts w:ascii="Arial" w:cs="Arial" w:eastAsia="Arial" w:hAnsi="Arial"/>
          <w:sz w:val="11"/>
          <w:szCs w:val="11"/>
          <w:color w:val="auto"/>
        </w:rPr>
        <w:t>intangible assets with indefinite lives for impairment on an annual basis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We may perform either a qualitative assessment or a two-step goodwill impairment test. The qualitative assessment considers financial, industry, segment and macroeconomic factors. If the qualitative assessment indicates a potential for impairment, the two-step method is used to determine if impairment exists. The two-step method begins with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The company also performs a qualitative assessment on intangible assets with indefinite lives. If the qualitative assessment indicates a potential for impairment, a quantitative impairment test would be performed to compare the fair value of the indefinite-lived intangible asset with its carrying value. If the carrying value of goodwill or other indefinite lived assets exceeds its implied fair value, an impairment charge would be recorded in the statement of operations.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a result of the annual qualitative review process in 2019 we determined it was not necessary to perform a two-step analysis.</w:t>
      </w:r>
    </w:p>
    <w:p>
      <w:pPr>
        <w:spacing w:after="0" w:line="105" w:lineRule="exact"/>
        <w:rPr>
          <w:sz w:val="20"/>
          <w:szCs w:val="20"/>
          <w:color w:val="auto"/>
        </w:rPr>
      </w:pPr>
    </w:p>
    <w:p>
      <w:pPr>
        <w:ind w:right="40" w:firstLine="240"/>
        <w:spacing w:after="0" w:line="298" w:lineRule="auto"/>
        <w:rPr>
          <w:sz w:val="20"/>
          <w:szCs w:val="20"/>
          <w:color w:val="auto"/>
        </w:rPr>
      </w:pPr>
      <w:r>
        <w:rPr>
          <w:rFonts w:ascii="Arial" w:cs="Arial" w:eastAsia="Arial" w:hAnsi="Arial"/>
          <w:sz w:val="11"/>
          <w:szCs w:val="11"/>
          <w:color w:val="auto"/>
        </w:rPr>
        <w:t>In 2018, we performed a two-step analysis on our goodwill and intangible assets with indefinite lives. The first step involves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If the carrying value of goodwill exceeds its implied fair value, an impairment charge is recorded in the statement of operations. The step-one analysis did not indicate that our goodwill or indefinite lived intangible assets were impaired. As a result, no step-two analysis was performed.</w:t>
      </w:r>
    </w:p>
    <w:p>
      <w:pPr>
        <w:spacing w:after="0" w:line="105" w:lineRule="exact"/>
        <w:rPr>
          <w:sz w:val="20"/>
          <w:szCs w:val="20"/>
          <w:color w:val="auto"/>
        </w:rPr>
      </w:pPr>
    </w:p>
    <w:p>
      <w:pPr>
        <w:ind w:right="140" w:firstLine="240"/>
        <w:spacing w:after="0" w:line="323" w:lineRule="auto"/>
        <w:rPr>
          <w:sz w:val="20"/>
          <w:szCs w:val="20"/>
          <w:color w:val="auto"/>
        </w:rPr>
      </w:pPr>
      <w:r>
        <w:rPr>
          <w:rFonts w:ascii="Arial" w:cs="Arial" w:eastAsia="Arial" w:hAnsi="Arial"/>
          <w:sz w:val="11"/>
          <w:szCs w:val="11"/>
          <w:i w:val="1"/>
          <w:iCs w:val="1"/>
          <w:color w:val="auto"/>
        </w:rPr>
        <w:t xml:space="preserve">Accounts Receivable and Allowance for Doubtful Accounts. </w:t>
      </w:r>
      <w:r>
        <w:rPr>
          <w:rFonts w:ascii="Arial" w:cs="Arial" w:eastAsia="Arial" w:hAnsi="Arial"/>
          <w:sz w:val="11"/>
          <w:szCs w:val="11"/>
          <w:color w:val="auto"/>
        </w:rPr>
        <w:t>We do not generally charge interest to our customers, and we carry our customer receivables at their face amounts, less an allowance for doubtful accounts. Based on our</w:t>
      </w:r>
      <w:r>
        <w:rPr>
          <w:rFonts w:ascii="Arial" w:cs="Arial" w:eastAsia="Arial" w:hAnsi="Arial"/>
          <w:sz w:val="11"/>
          <w:szCs w:val="11"/>
          <w:i w:val="1"/>
          <w:iCs w:val="1"/>
          <w:color w:val="auto"/>
        </w:rPr>
        <w:t xml:space="preserve"> </w:t>
      </w:r>
      <w:r>
        <w:rPr>
          <w:rFonts w:ascii="Arial" w:cs="Arial" w:eastAsia="Arial" w:hAnsi="Arial"/>
          <w:sz w:val="11"/>
          <w:szCs w:val="11"/>
          <w:color w:val="auto"/>
        </w:rPr>
        <w:t>experience in recent years, the majority of customer balances at each balance sheet date are collected within twelve months. As is common practice in the industry, we classify all accounts receivable as current assets.</w:t>
      </w:r>
    </w:p>
    <w:p>
      <w:pPr>
        <w:spacing w:after="0" w:line="47" w:lineRule="exact"/>
        <w:rPr>
          <w:sz w:val="20"/>
          <w:szCs w:val="20"/>
          <w:color w:val="auto"/>
        </w:rPr>
      </w:pPr>
    </w:p>
    <w:p>
      <w:pPr>
        <w:ind w:right="20" w:firstLine="240"/>
        <w:spacing w:after="0" w:line="263" w:lineRule="auto"/>
        <w:rPr>
          <w:sz w:val="20"/>
          <w:szCs w:val="20"/>
          <w:color w:val="auto"/>
        </w:rPr>
      </w:pPr>
      <w:r>
        <w:rPr>
          <w:rFonts w:ascii="Arial" w:cs="Arial" w:eastAsia="Arial" w:hAnsi="Arial"/>
          <w:sz w:val="12"/>
          <w:szCs w:val="12"/>
          <w:color w:val="auto"/>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54" w:name="page55"/>
    <w:bookmarkEnd w:id="54"/>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December 31, 2019, we were not parties to any derivative instruments and had no derivative financial instruments during the years ended December 31, 2019, 2018 or 2017.</w:t>
      </w:r>
    </w:p>
    <w:p>
      <w:pPr>
        <w:spacing w:after="0" w:line="105" w:lineRule="exact"/>
        <w:rPr>
          <w:sz w:val="20"/>
          <w:szCs w:val="20"/>
          <w:color w:val="auto"/>
        </w:rPr>
      </w:pPr>
    </w:p>
    <w:p>
      <w:pPr>
        <w:ind w:firstLine="240"/>
        <w:spacing w:after="0" w:line="286" w:lineRule="auto"/>
        <w:rPr>
          <w:sz w:val="20"/>
          <w:szCs w:val="20"/>
          <w:color w:val="auto"/>
        </w:rPr>
      </w:pPr>
      <w:r>
        <w:rPr>
          <w:rFonts w:ascii="Arial" w:cs="Arial" w:eastAsia="Arial" w:hAnsi="Arial"/>
          <w:sz w:val="11"/>
          <w:szCs w:val="11"/>
          <w:color w:val="auto"/>
        </w:rPr>
        <w:t>Borrowings under our Facility are based upon interest rates that will vary depending upon the prime rate, Canadian prime rate, federal funds rate and LIBOR. If the prime rate, Canadian prime rate, federal funds rate or LIBOR rises, our interest payment obligations will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December 31, 2019, which is subject to variable rates, permanently increased by 1%, the increase in interest expense on all revolving debt would decrease future income before income tax expense and cash flows by approximately $1.0 million annually. If market rates of interest on all our revolving debt, which is subject to variable rates as of December 31, 2019, permanently decreased by 1%, the decrease in interest expense on all debt would increase future income before income tax expense and cash flows by the same amount.</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Borrowings under our Equipment Notes are at fixed rates established on the date the note was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55" w:name="page56"/>
    <w:bookmarkEnd w:id="55"/>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2"/>
                <w:szCs w:val="12"/>
                <w:b w:val="1"/>
                <w:bCs w:val="1"/>
                <w:color w:val="auto"/>
              </w:rPr>
              <w:t>Item 8.</w:t>
            </w:r>
          </w:p>
        </w:tc>
        <w:tc>
          <w:tcPr>
            <w:tcW w:w="8580" w:type="dxa"/>
            <w:vAlign w:val="bottom"/>
            <w:gridSpan w:val="8"/>
          </w:tcPr>
          <w:p>
            <w:pPr>
              <w:ind w:left="100"/>
              <w:spacing w:after="0"/>
              <w:rPr>
                <w:sz w:val="20"/>
                <w:szCs w:val="20"/>
                <w:color w:val="auto"/>
              </w:rPr>
            </w:pPr>
            <w:r>
              <w:rPr>
                <w:rFonts w:ascii="Arial" w:cs="Arial" w:eastAsia="Arial" w:hAnsi="Arial"/>
                <w:sz w:val="12"/>
                <w:szCs w:val="12"/>
                <w:b w:val="1"/>
                <w:bCs w:val="1"/>
                <w:color w:val="auto"/>
              </w:rPr>
              <w:t>Financial Statements and Supplementary Data</w:t>
            </w: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40" w:type="dxa"/>
            <w:vAlign w:val="bottom"/>
            <w:gridSpan w:val="3"/>
          </w:tcPr>
          <w:p>
            <w:pPr>
              <w:ind w:left="60"/>
              <w:spacing w:after="0"/>
              <w:rPr>
                <w:sz w:val="20"/>
                <w:szCs w:val="20"/>
                <w:color w:val="auto"/>
              </w:rPr>
            </w:pPr>
            <w:r>
              <w:rPr>
                <w:rFonts w:ascii="Arial" w:cs="Arial" w:eastAsia="Arial" w:hAnsi="Arial"/>
                <w:sz w:val="12"/>
                <w:szCs w:val="12"/>
                <w:b w:val="1"/>
                <w:bCs w:val="1"/>
                <w:color w:val="auto"/>
              </w:rPr>
              <w:t>INDEX TO FINANCIAL STATEMENTS</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7"/>
        </w:trPr>
        <w:tc>
          <w:tcPr>
            <w:tcW w:w="1440" w:type="dxa"/>
            <w:vAlign w:val="bottom"/>
            <w:gridSpan w:val="2"/>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8"/>
        </w:trPr>
        <w:tc>
          <w:tcPr>
            <w:tcW w:w="3280" w:type="dxa"/>
            <w:vAlign w:val="bottom"/>
            <w:tcBorders>
              <w:bottom w:val="single" w:sz="8" w:color="0000EE"/>
            </w:tcBorders>
            <w:gridSpan w:val="5"/>
            <w:shd w:val="clear" w:color="auto" w:fill="CCEEFF"/>
          </w:tcPr>
          <w:p>
            <w:pPr>
              <w:spacing w:after="0" w:line="108" w:lineRule="exact"/>
              <w:rPr>
                <w:rFonts w:ascii="Arial" w:cs="Arial" w:eastAsia="Arial" w:hAnsi="Arial"/>
                <w:sz w:val="12"/>
                <w:szCs w:val="12"/>
                <w:color w:val="0000EE"/>
                <w:w w:val="91"/>
              </w:rPr>
            </w:pPr>
            <w:hyperlink w:anchor="page56">
              <w:r>
                <w:rPr>
                  <w:rFonts w:ascii="Arial" w:cs="Arial" w:eastAsia="Arial" w:hAnsi="Arial"/>
                  <w:sz w:val="12"/>
                  <w:szCs w:val="12"/>
                  <w:color w:val="0000EE"/>
                  <w:w w:val="91"/>
                </w:rPr>
                <w:t>Management’s Report on Internal Control Over Financial Reporting</w:t>
              </w:r>
            </w:hyperlink>
          </w:p>
        </w:tc>
        <w:tc>
          <w:tcPr>
            <w:tcW w:w="5760" w:type="dxa"/>
            <w:vAlign w:val="bottom"/>
            <w:tcBorders>
              <w:bottom w:val="single" w:sz="8" w:color="CCEEFF"/>
            </w:tcBorders>
            <w:gridSpan w:val="4"/>
            <w:shd w:val="clear" w:color="auto" w:fill="CCEEFF"/>
          </w:tcPr>
          <w:p>
            <w:pPr>
              <w:spacing w:after="0"/>
              <w:rPr>
                <w:sz w:val="9"/>
                <w:szCs w:val="9"/>
                <w:color w:val="auto"/>
              </w:rPr>
            </w:pPr>
          </w:p>
        </w:tc>
        <w:tc>
          <w:tcPr>
            <w:tcW w:w="22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0000EE"/>
            </w:tcBorders>
            <w:shd w:val="clear" w:color="auto" w:fill="CCEEFF"/>
          </w:tcPr>
          <w:p>
            <w:pPr>
              <w:jc w:val="right"/>
              <w:spacing w:after="0" w:line="108" w:lineRule="exact"/>
              <w:rPr>
                <w:rFonts w:ascii="Arial" w:cs="Arial" w:eastAsia="Arial" w:hAnsi="Arial"/>
                <w:sz w:val="12"/>
                <w:szCs w:val="12"/>
                <w:color w:val="0000EE"/>
                <w:w w:val="74"/>
              </w:rPr>
            </w:pPr>
            <w:hyperlink w:anchor="page56">
              <w:r>
                <w:rPr>
                  <w:rFonts w:ascii="Arial" w:cs="Arial" w:eastAsia="Arial" w:hAnsi="Arial"/>
                  <w:sz w:val="12"/>
                  <w:szCs w:val="12"/>
                  <w:color w:val="0000EE"/>
                  <w:w w:val="74"/>
                </w:rPr>
                <w:t>56</w:t>
              </w:r>
            </w:hyperlink>
          </w:p>
        </w:tc>
        <w:tc>
          <w:tcPr>
            <w:tcW w:w="80" w:type="dxa"/>
            <w:vAlign w:val="bottom"/>
            <w:tcBorders>
              <w:bottom w:val="single" w:sz="8" w:color="CCEEFF"/>
            </w:tcBorders>
            <w:shd w:val="clear" w:color="auto" w:fill="CCEEFF"/>
          </w:tcPr>
          <w:p>
            <w:pPr>
              <w:spacing w:after="0"/>
              <w:rPr>
                <w:sz w:val="9"/>
                <w:szCs w:val="9"/>
                <w:color w:val="auto"/>
              </w:rPr>
            </w:pPr>
          </w:p>
        </w:tc>
      </w:tr>
      <w:tr>
        <w:trPr>
          <w:trHeight w:val="149"/>
        </w:trPr>
        <w:tc>
          <w:tcPr>
            <w:tcW w:w="2820" w:type="dxa"/>
            <w:vAlign w:val="bottom"/>
            <w:tcBorders>
              <w:bottom w:val="single" w:sz="8" w:color="0000EE"/>
            </w:tcBorders>
            <w:gridSpan w:val="3"/>
          </w:tcPr>
          <w:p>
            <w:pPr>
              <w:spacing w:after="0"/>
              <w:rPr>
                <w:rFonts w:ascii="Arial" w:cs="Arial" w:eastAsia="Arial" w:hAnsi="Arial"/>
                <w:sz w:val="12"/>
                <w:szCs w:val="12"/>
                <w:color w:val="0000EE"/>
                <w:w w:val="91"/>
              </w:rPr>
            </w:pPr>
            <w:hyperlink w:anchor="page57">
              <w:r>
                <w:rPr>
                  <w:rFonts w:ascii="Arial" w:cs="Arial" w:eastAsia="Arial" w:hAnsi="Arial"/>
                  <w:sz w:val="12"/>
                  <w:szCs w:val="12"/>
                  <w:color w:val="0000EE"/>
                  <w:w w:val="91"/>
                </w:rPr>
                <w:t>Report of Independent Registered Public Accounting Firm</w:t>
              </w:r>
            </w:hyperlink>
          </w:p>
        </w:tc>
        <w:tc>
          <w:tcPr>
            <w:tcW w:w="6220" w:type="dxa"/>
            <w:vAlign w:val="bottom"/>
            <w:gridSpan w:val="6"/>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57">
              <w:r>
                <w:rPr>
                  <w:rFonts w:ascii="Arial" w:cs="Arial" w:eastAsia="Arial" w:hAnsi="Arial"/>
                  <w:sz w:val="12"/>
                  <w:szCs w:val="12"/>
                  <w:color w:val="0000EE"/>
                  <w:w w:val="74"/>
                </w:rPr>
                <w:t>57</w:t>
              </w:r>
            </w:hyperlink>
          </w:p>
        </w:tc>
        <w:tc>
          <w:tcPr>
            <w:tcW w:w="80" w:type="dxa"/>
            <w:vAlign w:val="bottom"/>
          </w:tcPr>
          <w:p>
            <w:pPr>
              <w:spacing w:after="0"/>
              <w:rPr>
                <w:sz w:val="12"/>
                <w:szCs w:val="12"/>
                <w:color w:val="auto"/>
              </w:rPr>
            </w:pPr>
          </w:p>
        </w:tc>
      </w:tr>
      <w:tr>
        <w:trPr>
          <w:trHeight w:val="144"/>
        </w:trPr>
        <w:tc>
          <w:tcPr>
            <w:tcW w:w="9040" w:type="dxa"/>
            <w:vAlign w:val="bottom"/>
            <w:gridSpan w:val="9"/>
            <w:shd w:val="clear" w:color="auto" w:fill="CCEEFF"/>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Consolidated Balance Sheets as of December 31, 2019 and 2018</w:t>
              </w:r>
            </w:hyperlink>
          </w:p>
        </w:tc>
        <w:tc>
          <w:tcPr>
            <w:tcW w:w="2360" w:type="dxa"/>
            <w:vAlign w:val="bottom"/>
            <w:gridSpan w:val="2"/>
            <w:shd w:val="clear" w:color="auto" w:fill="CCEEFF"/>
          </w:tcPr>
          <w:p>
            <w:pPr>
              <w:jc w:val="right"/>
              <w:spacing w:after="0"/>
              <w:rPr>
                <w:rFonts w:ascii="Arial" w:cs="Arial" w:eastAsia="Arial" w:hAnsi="Arial"/>
                <w:sz w:val="12"/>
                <w:szCs w:val="12"/>
                <w:color w:val="0000EE"/>
              </w:rPr>
            </w:pPr>
            <w:hyperlink w:anchor="page59">
              <w:r>
                <w:rPr>
                  <w:rFonts w:ascii="Arial" w:cs="Arial" w:eastAsia="Arial" w:hAnsi="Arial"/>
                  <w:sz w:val="12"/>
                  <w:szCs w:val="12"/>
                  <w:color w:val="0000EE"/>
                </w:rPr>
                <w:t>59</w:t>
              </w:r>
            </w:hyperlink>
          </w:p>
        </w:tc>
        <w:tc>
          <w:tcPr>
            <w:tcW w:w="80" w:type="dxa"/>
            <w:vAlign w:val="bottom"/>
            <w:shd w:val="clear" w:color="auto" w:fill="CCEEFF"/>
          </w:tcPr>
          <w:p>
            <w:pPr>
              <w:spacing w:after="0"/>
              <w:rPr>
                <w:sz w:val="12"/>
                <w:szCs w:val="12"/>
                <w:color w:val="auto"/>
              </w:rPr>
            </w:pPr>
          </w:p>
        </w:tc>
      </w:tr>
      <w:tr>
        <w:trPr>
          <w:trHeight w:val="27"/>
        </w:trPr>
        <w:tc>
          <w:tcPr>
            <w:tcW w:w="46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3"/>
        </w:trPr>
        <w:tc>
          <w:tcPr>
            <w:tcW w:w="9040" w:type="dxa"/>
            <w:vAlign w:val="bottom"/>
            <w:gridSpan w:val="9"/>
          </w:tcPr>
          <w:p>
            <w:pPr>
              <w:spacing w:after="0" w:line="135" w:lineRule="exact"/>
              <w:rPr>
                <w:rFonts w:ascii="Arial" w:cs="Arial" w:eastAsia="Arial" w:hAnsi="Arial"/>
                <w:sz w:val="12"/>
                <w:szCs w:val="12"/>
                <w:color w:val="0000EE"/>
              </w:rPr>
            </w:pPr>
            <w:hyperlink w:anchor="page60">
              <w:r>
                <w:rPr>
                  <w:rFonts w:ascii="Arial" w:cs="Arial" w:eastAsia="Arial" w:hAnsi="Arial"/>
                  <w:sz w:val="12"/>
                  <w:szCs w:val="12"/>
                  <w:color w:val="0000EE"/>
                </w:rPr>
                <w:t>Consolidated Statements of Operations and Comprehensive Income for the years ended December 31, 2019, 2018 and 2017</w:t>
              </w:r>
            </w:hyperlink>
          </w:p>
        </w:tc>
        <w:tc>
          <w:tcPr>
            <w:tcW w:w="2360" w:type="dxa"/>
            <w:vAlign w:val="bottom"/>
            <w:gridSpan w:val="2"/>
          </w:tcPr>
          <w:p>
            <w:pPr>
              <w:jc w:val="right"/>
              <w:spacing w:after="0" w:line="135" w:lineRule="exact"/>
              <w:rPr>
                <w:rFonts w:ascii="Arial" w:cs="Arial" w:eastAsia="Arial" w:hAnsi="Arial"/>
                <w:sz w:val="12"/>
                <w:szCs w:val="12"/>
                <w:color w:val="0000EE"/>
              </w:rPr>
            </w:pPr>
            <w:hyperlink w:anchor="page60">
              <w:r>
                <w:rPr>
                  <w:rFonts w:ascii="Arial" w:cs="Arial" w:eastAsia="Arial" w:hAnsi="Arial"/>
                  <w:sz w:val="12"/>
                  <w:szCs w:val="12"/>
                  <w:color w:val="0000EE"/>
                </w:rPr>
                <w:t>60</w:t>
              </w:r>
            </w:hyperlink>
          </w:p>
        </w:tc>
        <w:tc>
          <w:tcPr>
            <w:tcW w:w="80" w:type="dxa"/>
            <w:vAlign w:val="bottom"/>
          </w:tcPr>
          <w:p>
            <w:pPr>
              <w:spacing w:after="0"/>
              <w:rPr>
                <w:sz w:val="12"/>
                <w:szCs w:val="12"/>
                <w:color w:val="auto"/>
              </w:rPr>
            </w:pPr>
          </w:p>
        </w:tc>
      </w:tr>
      <w:tr>
        <w:trPr>
          <w:trHeight w:val="159"/>
        </w:trPr>
        <w:tc>
          <w:tcPr>
            <w:tcW w:w="5940" w:type="dxa"/>
            <w:vAlign w:val="bottom"/>
            <w:tcBorders>
              <w:top w:val="single" w:sz="8" w:color="0000EE"/>
            </w:tcBorders>
            <w:gridSpan w:val="8"/>
            <w:shd w:val="clear" w:color="auto" w:fill="CCEEFF"/>
          </w:tcPr>
          <w:p>
            <w:pPr>
              <w:spacing w:after="0"/>
              <w:rPr>
                <w:rFonts w:ascii="Arial" w:cs="Arial" w:eastAsia="Arial" w:hAnsi="Arial"/>
                <w:sz w:val="12"/>
                <w:szCs w:val="12"/>
                <w:color w:val="0000EE"/>
              </w:rPr>
            </w:pPr>
            <w:hyperlink w:anchor="page61">
              <w:r>
                <w:rPr>
                  <w:rFonts w:ascii="Arial" w:cs="Arial" w:eastAsia="Arial" w:hAnsi="Arial"/>
                  <w:sz w:val="12"/>
                  <w:szCs w:val="12"/>
                  <w:color w:val="0000EE"/>
                </w:rPr>
                <w:t>Consolidated Statements of Stockholders’ Equity for the years ended December 31, 2019, 2018 and 2017</w:t>
              </w:r>
            </w:hyperlink>
          </w:p>
        </w:tc>
        <w:tc>
          <w:tcPr>
            <w:tcW w:w="31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20" w:type="dxa"/>
            <w:vAlign w:val="bottom"/>
            <w:tcBorders>
              <w:top w:val="single" w:sz="8" w:color="0000EE"/>
            </w:tcBorders>
            <w:shd w:val="clear" w:color="auto" w:fill="CCEEFF"/>
          </w:tcPr>
          <w:p>
            <w:pPr>
              <w:jc w:val="right"/>
              <w:spacing w:after="0"/>
              <w:rPr>
                <w:rFonts w:ascii="Arial" w:cs="Arial" w:eastAsia="Arial" w:hAnsi="Arial"/>
                <w:sz w:val="12"/>
                <w:szCs w:val="12"/>
                <w:color w:val="0000EE"/>
                <w:w w:val="74"/>
              </w:rPr>
            </w:pPr>
            <w:hyperlink w:anchor="page61">
              <w:r>
                <w:rPr>
                  <w:rFonts w:ascii="Arial" w:cs="Arial" w:eastAsia="Arial" w:hAnsi="Arial"/>
                  <w:sz w:val="12"/>
                  <w:szCs w:val="12"/>
                  <w:color w:val="0000EE"/>
                  <w:w w:val="74"/>
                </w:rPr>
                <w:t>61</w:t>
              </w:r>
            </w:hyperlink>
          </w:p>
        </w:tc>
        <w:tc>
          <w:tcPr>
            <w:tcW w:w="80" w:type="dxa"/>
            <w:vAlign w:val="bottom"/>
            <w:shd w:val="clear" w:color="auto" w:fill="CCEEFF"/>
          </w:tcPr>
          <w:p>
            <w:pPr>
              <w:spacing w:after="0"/>
              <w:rPr>
                <w:sz w:val="13"/>
                <w:szCs w:val="13"/>
                <w:color w:val="auto"/>
              </w:rPr>
            </w:pPr>
          </w:p>
        </w:tc>
      </w:tr>
      <w:tr>
        <w:trPr>
          <w:trHeight w:val="151"/>
        </w:trPr>
        <w:tc>
          <w:tcPr>
            <w:tcW w:w="5060" w:type="dxa"/>
            <w:vAlign w:val="bottom"/>
            <w:tcBorders>
              <w:top w:val="single" w:sz="8" w:color="0000EE"/>
            </w:tcBorders>
            <w:gridSpan w:val="7"/>
          </w:tcPr>
          <w:p>
            <w:pPr>
              <w:spacing w:after="0"/>
              <w:rPr>
                <w:rFonts w:ascii="Arial" w:cs="Arial" w:eastAsia="Arial" w:hAnsi="Arial"/>
                <w:sz w:val="12"/>
                <w:szCs w:val="12"/>
                <w:color w:val="0000EE"/>
                <w:w w:val="97"/>
              </w:rPr>
            </w:pPr>
            <w:hyperlink w:anchor="page62">
              <w:r>
                <w:rPr>
                  <w:rFonts w:ascii="Arial" w:cs="Arial" w:eastAsia="Arial" w:hAnsi="Arial"/>
                  <w:sz w:val="12"/>
                  <w:szCs w:val="12"/>
                  <w:color w:val="0000EE"/>
                  <w:w w:val="97"/>
                </w:rPr>
                <w:t>Consolidated Statements of Cash Flows for the years ended December 31, 2019, 2018 and 2017</w:t>
              </w:r>
            </w:hyperlink>
          </w:p>
        </w:tc>
        <w:tc>
          <w:tcPr>
            <w:tcW w:w="3980" w:type="dxa"/>
            <w:vAlign w:val="bottom"/>
            <w:tcBorders>
              <w:top w:val="single" w:sz="8" w:color="CCEEFF"/>
            </w:tcBorders>
            <w:gridSpan w:val="2"/>
          </w:tcPr>
          <w:p>
            <w:pPr>
              <w:spacing w:after="0"/>
              <w:rPr>
                <w:sz w:val="13"/>
                <w:szCs w:val="13"/>
                <w:color w:val="auto"/>
              </w:rPr>
            </w:pPr>
          </w:p>
        </w:tc>
        <w:tc>
          <w:tcPr>
            <w:tcW w:w="2240" w:type="dxa"/>
            <w:vAlign w:val="bottom"/>
            <w:tcBorders>
              <w:top w:val="single" w:sz="8" w:color="CCEEFF"/>
            </w:tcBorders>
          </w:tcPr>
          <w:p>
            <w:pPr>
              <w:spacing w:after="0"/>
              <w:rPr>
                <w:sz w:val="13"/>
                <w:szCs w:val="13"/>
                <w:color w:val="auto"/>
              </w:rPr>
            </w:pPr>
          </w:p>
        </w:tc>
        <w:tc>
          <w:tcPr>
            <w:tcW w:w="120" w:type="dxa"/>
            <w:vAlign w:val="bottom"/>
            <w:tcBorders>
              <w:top w:val="single" w:sz="8" w:color="0000EE"/>
            </w:tcBorders>
          </w:tcPr>
          <w:p>
            <w:pPr>
              <w:jc w:val="right"/>
              <w:spacing w:after="0"/>
              <w:rPr>
                <w:rFonts w:ascii="Arial" w:cs="Arial" w:eastAsia="Arial" w:hAnsi="Arial"/>
                <w:sz w:val="12"/>
                <w:szCs w:val="12"/>
                <w:color w:val="0000EE"/>
                <w:w w:val="74"/>
              </w:rPr>
            </w:pPr>
            <w:hyperlink w:anchor="page62">
              <w:r>
                <w:rPr>
                  <w:rFonts w:ascii="Arial" w:cs="Arial" w:eastAsia="Arial" w:hAnsi="Arial"/>
                  <w:sz w:val="12"/>
                  <w:szCs w:val="12"/>
                  <w:color w:val="0000EE"/>
                  <w:w w:val="74"/>
                </w:rPr>
                <w:t>62</w:t>
              </w:r>
            </w:hyperlink>
          </w:p>
        </w:tc>
        <w:tc>
          <w:tcPr>
            <w:tcW w:w="80" w:type="dxa"/>
            <w:vAlign w:val="bottom"/>
            <w:tcBorders>
              <w:top w:val="single" w:sz="8" w:color="CCEEFF"/>
            </w:tcBorders>
          </w:tcPr>
          <w:p>
            <w:pPr>
              <w:spacing w:after="0"/>
              <w:rPr>
                <w:sz w:val="13"/>
                <w:szCs w:val="13"/>
                <w:color w:val="auto"/>
              </w:rPr>
            </w:pPr>
          </w:p>
        </w:tc>
      </w:tr>
      <w:tr>
        <w:trPr>
          <w:trHeight w:val="151"/>
        </w:trPr>
        <w:tc>
          <w:tcPr>
            <w:tcW w:w="1440" w:type="dxa"/>
            <w:vAlign w:val="bottom"/>
            <w:tcBorders>
              <w:top w:val="single" w:sz="8" w:color="0000EE"/>
              <w:bottom w:val="single" w:sz="8" w:color="0000EE"/>
            </w:tcBorders>
            <w:gridSpan w:val="2"/>
            <w:shd w:val="clear" w:color="auto" w:fill="CCEEFF"/>
          </w:tcPr>
          <w:p>
            <w:pPr>
              <w:spacing w:after="0"/>
              <w:rPr>
                <w:rFonts w:ascii="Arial" w:cs="Arial" w:eastAsia="Arial" w:hAnsi="Arial"/>
                <w:sz w:val="12"/>
                <w:szCs w:val="12"/>
                <w:color w:val="0000EE"/>
                <w:w w:val="88"/>
              </w:rPr>
            </w:pPr>
            <w:hyperlink w:anchor="page63">
              <w:r>
                <w:rPr>
                  <w:rFonts w:ascii="Arial" w:cs="Arial" w:eastAsia="Arial" w:hAnsi="Arial"/>
                  <w:sz w:val="12"/>
                  <w:szCs w:val="12"/>
                  <w:color w:val="0000EE"/>
                  <w:w w:val="88"/>
                </w:rPr>
                <w:t>Notes to Financial Statements</w:t>
              </w:r>
            </w:hyperlink>
          </w:p>
        </w:tc>
        <w:tc>
          <w:tcPr>
            <w:tcW w:w="316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4440" w:type="dxa"/>
            <w:vAlign w:val="bottom"/>
            <w:tcBorders>
              <w:bottom w:val="single" w:sz="8" w:color="CCEEFF"/>
            </w:tcBorders>
            <w:gridSpan w:val="3"/>
            <w:shd w:val="clear" w:color="auto" w:fill="CCEEFF"/>
          </w:tcPr>
          <w:p>
            <w:pPr>
              <w:spacing w:after="0"/>
              <w:rPr>
                <w:sz w:val="13"/>
                <w:szCs w:val="13"/>
                <w:color w:val="auto"/>
              </w:rPr>
            </w:pPr>
          </w:p>
        </w:tc>
        <w:tc>
          <w:tcPr>
            <w:tcW w:w="2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0000EE"/>
              <w:bottom w:val="single" w:sz="8" w:color="0000EE"/>
            </w:tcBorders>
            <w:shd w:val="clear" w:color="auto" w:fill="CCEEFF"/>
          </w:tcPr>
          <w:p>
            <w:pPr>
              <w:jc w:val="right"/>
              <w:spacing w:after="0"/>
              <w:rPr>
                <w:rFonts w:ascii="Arial" w:cs="Arial" w:eastAsia="Arial" w:hAnsi="Arial"/>
                <w:sz w:val="12"/>
                <w:szCs w:val="12"/>
                <w:color w:val="0000EE"/>
                <w:w w:val="74"/>
              </w:rPr>
            </w:pPr>
            <w:hyperlink w:anchor="page63">
              <w:r>
                <w:rPr>
                  <w:rFonts w:ascii="Arial" w:cs="Arial" w:eastAsia="Arial" w:hAnsi="Arial"/>
                  <w:sz w:val="12"/>
                  <w:szCs w:val="12"/>
                  <w:color w:val="0000EE"/>
                  <w:w w:val="74"/>
                </w:rPr>
                <w:t>63</w:t>
              </w:r>
            </w:hyperlink>
          </w:p>
        </w:tc>
        <w:tc>
          <w:tcPr>
            <w:tcW w:w="80" w:type="dxa"/>
            <w:vAlign w:val="bottom"/>
            <w:tcBorders>
              <w:bottom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00" w:lineRule="exact"/>
        <w:rPr>
          <w:sz w:val="20"/>
          <w:szCs w:val="20"/>
          <w:color w:val="auto"/>
        </w:rPr>
      </w:pPr>
    </w:p>
    <w:p>
      <w:pPr>
        <w:ind w:right="60" w:firstLine="240"/>
        <w:spacing w:after="0" w:line="320" w:lineRule="auto"/>
        <w:rPr>
          <w:sz w:val="20"/>
          <w:szCs w:val="20"/>
          <w:color w:val="auto"/>
        </w:rPr>
      </w:pPr>
      <w:r>
        <w:rPr>
          <w:rFonts w:ascii="Arial" w:cs="Arial" w:eastAsia="Arial" w:hAnsi="Arial"/>
          <w:sz w:val="10"/>
          <w:szCs w:val="10"/>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3" w:lineRule="exact"/>
        <w:rPr>
          <w:sz w:val="20"/>
          <w:szCs w:val="20"/>
          <w:color w:val="auto"/>
        </w:rPr>
      </w:pPr>
    </w:p>
    <w:p>
      <w:pPr>
        <w:ind w:right="40" w:firstLine="240"/>
        <w:spacing w:after="0" w:line="259" w:lineRule="auto"/>
        <w:rPr>
          <w:sz w:val="20"/>
          <w:szCs w:val="20"/>
          <w:color w:val="auto"/>
        </w:rPr>
      </w:pPr>
      <w:r>
        <w:rPr>
          <w:rFonts w:ascii="Arial" w:cs="Arial" w:eastAsia="Arial" w:hAnsi="Arial"/>
          <w:sz w:val="12"/>
          <w:szCs w:val="12"/>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(2013 framework). Based on this evaluation, our management has concluded that our internal control over financial reporting was effective as of December 31, 2019 in providing reasonable assurance regarding the reliability of financial reporting and the preparation of financial statements for external reporting purposes in accordance with GAAP.</w:t>
      </w:r>
    </w:p>
    <w:p>
      <w:pPr>
        <w:spacing w:after="0" w:line="80" w:lineRule="exact"/>
        <w:rPr>
          <w:sz w:val="20"/>
          <w:szCs w:val="20"/>
          <w:color w:val="auto"/>
        </w:rPr>
      </w:pPr>
    </w:p>
    <w:p>
      <w:pPr>
        <w:ind w:firstLine="240"/>
        <w:spacing w:after="0" w:line="276" w:lineRule="auto"/>
        <w:rPr>
          <w:sz w:val="20"/>
          <w:szCs w:val="20"/>
          <w:color w:val="auto"/>
        </w:rPr>
      </w:pPr>
      <w:r>
        <w:rPr>
          <w:rFonts w:ascii="Arial" w:cs="Arial" w:eastAsia="Arial" w:hAnsi="Arial"/>
          <w:sz w:val="12"/>
          <w:szCs w:val="12"/>
          <w:color w:val="auto"/>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61" w:lineRule="exact"/>
        <w:rPr>
          <w:sz w:val="20"/>
          <w:szCs w:val="20"/>
          <w:color w:val="auto"/>
        </w:rPr>
      </w:pPr>
    </w:p>
    <w:p>
      <w:pPr>
        <w:ind w:right="20" w:firstLine="240"/>
        <w:spacing w:after="0" w:line="259" w:lineRule="auto"/>
        <w:rPr>
          <w:sz w:val="20"/>
          <w:szCs w:val="20"/>
          <w:color w:val="auto"/>
        </w:rPr>
      </w:pPr>
      <w:r>
        <w:rPr>
          <w:rFonts w:ascii="Arial" w:cs="Arial" w:eastAsia="Arial" w:hAnsi="Arial"/>
          <w:sz w:val="12"/>
          <w:szCs w:val="12"/>
          <w:color w:val="auto"/>
        </w:rPr>
        <w:t>Management’s assessment of and conclusion on the Company’s internal control over financial reporting as of December 31, 2019 excluded the internal control over financial reporting of CSI Electrical Contractors, Inc., which was acquired on July 15, 2019. CSI Electrical Contractors, Inc. represented a total of approximately 14.8% and 20.4% of total assets and net assets, respectively, as of December 31, 2019, and 6.7% and (2.9)% of contract revenues and income before income taxes, respectively, for the year then ended. Such exclusion is in accordance with Securities and Exchange Commission guidance that the assessment of a recently acquired business may be omitted in management’s report on internal controls over financial reporting, provided the acquisition took place during the fiscal year being assessed.</w:t>
      </w:r>
    </w:p>
    <w:p>
      <w:pPr>
        <w:spacing w:after="0" w:line="80" w:lineRule="exact"/>
        <w:rPr>
          <w:sz w:val="20"/>
          <w:szCs w:val="20"/>
          <w:color w:val="auto"/>
        </w:rPr>
      </w:pPr>
    </w:p>
    <w:p>
      <w:pPr>
        <w:ind w:right="80" w:firstLine="240"/>
        <w:spacing w:after="0" w:line="276" w:lineRule="auto"/>
        <w:rPr>
          <w:sz w:val="20"/>
          <w:szCs w:val="20"/>
          <w:color w:val="auto"/>
        </w:rPr>
      </w:pPr>
      <w:r>
        <w:rPr>
          <w:rFonts w:ascii="Arial" w:cs="Arial" w:eastAsia="Arial" w:hAnsi="Arial"/>
          <w:sz w:val="12"/>
          <w:szCs w:val="12"/>
          <w:color w:val="auto"/>
        </w:rPr>
        <w:t>Crowe LLP, an independent registered public accounting firm, who audited and reported on the 2019 Financial Statements included in this Annual Report on Form 10-K, has audited the effectiveness of MYR Group’s internal control over financial reporting as of December 31, 2019 as stated in their report which appears herein.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March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MYR Group Inc.</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Rolling Meadows, IL</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Opinions on the Financial Statements and Internal Control Over Financial Reporting</w:t>
      </w:r>
    </w:p>
    <w:p>
      <w:pPr>
        <w:spacing w:after="0" w:line="109"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We have audited the accompanying consolidated balance sheets of MYR Group Inc. (the “Company”) as of December 31, 2019 and 2018, the related consolidated statements of operations and comprehensive income, stockholders’ equity, and cash flows for each of the years in the three-year period ended December 31, 2019, and the related notes (collectively referred to as the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60" w:lineRule="exact"/>
        <w:rPr>
          <w:sz w:val="20"/>
          <w:szCs w:val="20"/>
          <w:color w:val="auto"/>
        </w:rPr>
      </w:pPr>
    </w:p>
    <w:p>
      <w:pPr>
        <w:ind w:right="220"/>
        <w:spacing w:after="0" w:line="248"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COSO.</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Opinions</w:t>
      </w:r>
    </w:p>
    <w:p>
      <w:pPr>
        <w:spacing w:after="0" w:line="100" w:lineRule="exact"/>
        <w:rPr>
          <w:sz w:val="20"/>
          <w:szCs w:val="20"/>
          <w:color w:val="auto"/>
        </w:rPr>
      </w:pPr>
    </w:p>
    <w:p>
      <w:pPr>
        <w:ind w:right="40"/>
        <w:spacing w:after="0" w:line="243" w:lineRule="auto"/>
        <w:rPr>
          <w:sz w:val="20"/>
          <w:szCs w:val="20"/>
          <w:color w:val="auto"/>
        </w:rPr>
      </w:pPr>
      <w:r>
        <w:rPr>
          <w:rFonts w:ascii="Arial" w:cs="Arial" w:eastAsia="Arial" w:hAnsi="Arial"/>
          <w:sz w:val="12"/>
          <w:szCs w:val="12"/>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spacing w:after="0" w:line="316" w:lineRule="auto"/>
        <w:rPr>
          <w:sz w:val="20"/>
          <w:szCs w:val="20"/>
          <w:color w:val="auto"/>
        </w:rPr>
      </w:pPr>
      <w:r>
        <w:rPr>
          <w:rFonts w:ascii="Arial" w:cs="Arial" w:eastAsia="Arial" w:hAnsi="Arial"/>
          <w:sz w:val="10"/>
          <w:szCs w:val="10"/>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As permitted, the Company has excluded the operations of CSI Electrical Contractors, Inc. acquired during 2019, which is described in Note 2 of the consolidated financial statements, from the scope of management’s report on internal control over financial reporting. As such, it has also been excluded from the scope of our audit of internal control over financial reporting. Our audits also included performing such other procedures as we considered necessary in the circumstances. We believe that our audits provide a reasonable basis for our opinions.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58" w:name="page59"/>
    <w:bookmarkEnd w:id="58"/>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/s/ Crowe LLP</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2017.</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Oak Brook, Illinois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280"/>
          </w:cols>
          <w:pgMar w:left="220" w:top="134" w:right="399" w:bottom="1440" w:gutter="0" w:footer="0" w:header="0"/>
        </w:sectPr>
      </w:pPr>
    </w:p>
    <w:bookmarkStart w:id="59" w:name="page60"/>
    <w:bookmarkEnd w:id="59"/>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MYR GROUP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1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 except share and per share data)</w:t>
            </w: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December 31,</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91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120"/>
              <w:spacing w:after="0" w:line="97" w:lineRule="exact"/>
              <w:rPr>
                <w:sz w:val="20"/>
                <w:szCs w:val="20"/>
                <w:color w:val="auto"/>
              </w:rPr>
            </w:pPr>
            <w:r>
              <w:rPr>
                <w:rFonts w:ascii="Arial" w:cs="Arial" w:eastAsia="Arial" w:hAnsi="Arial"/>
                <w:sz w:val="10"/>
                <w:szCs w:val="10"/>
                <w:b w:val="1"/>
                <w:bCs w:val="1"/>
                <w:color w:val="auto"/>
              </w:rPr>
              <w:t>2019</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ind w:right="80"/>
              <w:spacing w:after="0" w:line="97" w:lineRule="exact"/>
              <w:rPr>
                <w:sz w:val="20"/>
                <w:szCs w:val="20"/>
                <w:color w:val="auto"/>
              </w:rPr>
            </w:pPr>
            <w:r>
              <w:rPr>
                <w:rFonts w:ascii="Arial" w:cs="Arial" w:eastAsia="Arial" w:hAnsi="Arial"/>
                <w:sz w:val="10"/>
                <w:szCs w:val="10"/>
                <w:b w:val="1"/>
                <w:bCs w:val="1"/>
                <w:color w:val="auto"/>
              </w:rPr>
              <w:t>2018</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8980" w:type="dxa"/>
            <w:vAlign w:val="bottom"/>
            <w:tcBorders>
              <w:top w:val="single" w:sz="8" w:color="auto"/>
            </w:tcBorders>
            <w:shd w:val="clear" w:color="auto" w:fill="CCEEFF"/>
          </w:tcPr>
          <w:p>
            <w:pPr>
              <w:ind w:left="4260"/>
              <w:spacing w:after="0" w:line="115" w:lineRule="exact"/>
              <w:rPr>
                <w:sz w:val="20"/>
                <w:szCs w:val="20"/>
                <w:color w:val="auto"/>
              </w:rPr>
            </w:pPr>
            <w:r>
              <w:rPr>
                <w:rFonts w:ascii="Arial" w:cs="Arial" w:eastAsia="Arial" w:hAnsi="Arial"/>
                <w:sz w:val="12"/>
                <w:szCs w:val="12"/>
                <w:b w:val="1"/>
                <w:bCs w:val="1"/>
                <w:color w:val="auto"/>
              </w:rPr>
              <w:t>ASSETS</w:t>
            </w: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40" w:type="dxa"/>
            <w:vAlign w:val="bottom"/>
            <w:gridSpan w:val="3"/>
          </w:tcPr>
          <w:p>
            <w:pPr>
              <w:spacing w:after="0" w:line="135" w:lineRule="exact"/>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272"/>
              <w:spacing w:after="0" w:line="135" w:lineRule="exact"/>
              <w:rPr>
                <w:sz w:val="20"/>
                <w:szCs w:val="20"/>
                <w:color w:val="auto"/>
              </w:rPr>
            </w:pPr>
            <w:r>
              <w:rPr>
                <w:rFonts w:ascii="Arial" w:cs="Arial" w:eastAsia="Arial" w:hAnsi="Arial"/>
                <w:sz w:val="12"/>
                <w:szCs w:val="12"/>
                <w:color w:val="auto"/>
              </w:rPr>
              <w:t>12,397</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7,507</w:t>
            </w:r>
          </w:p>
        </w:tc>
        <w:tc>
          <w:tcPr>
            <w:tcW w:w="0" w:type="dxa"/>
            <w:vAlign w:val="bottom"/>
          </w:tcPr>
          <w:p>
            <w:pPr>
              <w:spacing w:after="0"/>
              <w:rPr>
                <w:sz w:val="1"/>
                <w:szCs w:val="1"/>
                <w:color w:val="auto"/>
              </w:rPr>
            </w:pPr>
          </w:p>
        </w:tc>
      </w:tr>
      <w:tr>
        <w:trPr>
          <w:trHeight w:val="135"/>
        </w:trPr>
        <w:tc>
          <w:tcPr>
            <w:tcW w:w="9440" w:type="dxa"/>
            <w:vAlign w:val="bottom"/>
            <w:gridSpan w:val="3"/>
          </w:tcPr>
          <w:p>
            <w:pPr>
              <w:ind w:left="120"/>
              <w:spacing w:after="0" w:line="135" w:lineRule="exact"/>
              <w:rPr>
                <w:sz w:val="20"/>
                <w:szCs w:val="20"/>
                <w:color w:val="auto"/>
              </w:rPr>
            </w:pPr>
            <w:r>
              <w:rPr>
                <w:rFonts w:ascii="Arial" w:cs="Arial" w:eastAsia="Arial" w:hAnsi="Arial"/>
                <w:sz w:val="12"/>
                <w:szCs w:val="12"/>
                <w:color w:val="auto"/>
              </w:rPr>
              <w:t>Accounts receivable, net of allowances of $3,364 and $1,331, respectively</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388,479</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w w:val="87"/>
              </w:rPr>
              <w:t>288,427</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2"/>
                <w:szCs w:val="12"/>
                <w:color w:val="auto"/>
              </w:rPr>
              <w:t>Contract assets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217,109</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w w:val="87"/>
              </w:rPr>
              <w:t>160,281</w:t>
            </w:r>
          </w:p>
        </w:tc>
        <w:tc>
          <w:tcPr>
            <w:tcW w:w="0" w:type="dxa"/>
            <w:vAlign w:val="bottom"/>
          </w:tcPr>
          <w:p>
            <w:pPr>
              <w:spacing w:after="0"/>
              <w:rPr>
                <w:sz w:val="1"/>
                <w:szCs w:val="1"/>
                <w:color w:val="auto"/>
              </w:rPr>
            </w:pPr>
          </w:p>
        </w:tc>
      </w:tr>
      <w:tr>
        <w:trPr>
          <w:trHeight w:val="135"/>
        </w:trPr>
        <w:tc>
          <w:tcPr>
            <w:tcW w:w="9440" w:type="dxa"/>
            <w:vAlign w:val="bottom"/>
            <w:gridSpan w:val="3"/>
          </w:tcPr>
          <w:p>
            <w:pPr>
              <w:ind w:left="120"/>
              <w:spacing w:after="0" w:line="135" w:lineRule="exact"/>
              <w:rPr>
                <w:sz w:val="20"/>
                <w:szCs w:val="20"/>
                <w:color w:val="auto"/>
              </w:rPr>
            </w:pPr>
            <w:r>
              <w:rPr>
                <w:rFonts w:ascii="Arial" w:cs="Arial" w:eastAsia="Arial" w:hAnsi="Arial"/>
                <w:sz w:val="12"/>
                <w:szCs w:val="12"/>
                <w:color w:val="auto"/>
              </w:rPr>
              <w:t>Current portion of receivable for insurance claims in excess of deductibles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6,415</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10,572</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2"/>
                <w:szCs w:val="12"/>
                <w:color w:val="auto"/>
              </w:rPr>
              <w:t>Refundable income taxes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1,973</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9440" w:type="dxa"/>
            <w:vAlign w:val="bottom"/>
            <w:gridSpan w:val="3"/>
          </w:tcPr>
          <w:p>
            <w:pPr>
              <w:ind w:left="120"/>
              <w:spacing w:after="0"/>
              <w:rPr>
                <w:sz w:val="20"/>
                <w:szCs w:val="20"/>
                <w:color w:val="auto"/>
              </w:rPr>
            </w:pPr>
            <w:r>
              <w:rPr>
                <w:rFonts w:ascii="Arial" w:cs="Arial" w:eastAsia="Arial" w:hAnsi="Arial"/>
                <w:sz w:val="12"/>
                <w:szCs w:val="12"/>
                <w:color w:val="auto"/>
              </w:rPr>
              <w:t>Other current assets</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12,811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8,847</w:t>
            </w:r>
          </w:p>
        </w:tc>
        <w:tc>
          <w:tcPr>
            <w:tcW w:w="0" w:type="dxa"/>
            <w:vAlign w:val="bottom"/>
          </w:tcPr>
          <w:p>
            <w:pPr>
              <w:spacing w:after="0"/>
              <w:rPr>
                <w:sz w:val="1"/>
                <w:szCs w:val="1"/>
                <w:color w:val="auto"/>
              </w:rPr>
            </w:pPr>
          </w:p>
        </w:tc>
      </w:tr>
      <w:tr>
        <w:trPr>
          <w:trHeight w:val="115"/>
        </w:trPr>
        <w:tc>
          <w:tcPr>
            <w:tcW w:w="9440" w:type="dxa"/>
            <w:vAlign w:val="bottom"/>
            <w:tcBorders>
              <w:top w:val="single" w:sz="8" w:color="CCEEFF"/>
            </w:tcBorders>
            <w:gridSpan w:val="3"/>
            <w:shd w:val="clear" w:color="auto" w:fill="CCEEFF"/>
          </w:tcPr>
          <w:p>
            <w:pPr>
              <w:ind w:left="240"/>
              <w:spacing w:after="0" w:line="115" w:lineRule="exact"/>
              <w:rPr>
                <w:sz w:val="20"/>
                <w:szCs w:val="20"/>
                <w:color w:val="auto"/>
              </w:rPr>
            </w:pPr>
            <w:r>
              <w:rPr>
                <w:rFonts w:ascii="Arial" w:cs="Arial" w:eastAsia="Arial" w:hAnsi="Arial"/>
                <w:sz w:val="12"/>
                <w:szCs w:val="12"/>
                <w:color w:val="auto"/>
              </w:rPr>
              <w:t>Total current assets</w:t>
            </w: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639,184</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w w:val="87"/>
              </w:rPr>
              <w:t>475,634</w:t>
            </w: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440" w:type="dxa"/>
            <w:vAlign w:val="bottom"/>
            <w:gridSpan w:val="3"/>
          </w:tcPr>
          <w:p>
            <w:pPr>
              <w:spacing w:after="0"/>
              <w:rPr>
                <w:sz w:val="20"/>
                <w:szCs w:val="20"/>
                <w:color w:val="auto"/>
              </w:rPr>
            </w:pPr>
            <w:r>
              <w:rPr>
                <w:rFonts w:ascii="Arial" w:cs="Arial" w:eastAsia="Arial" w:hAnsi="Arial"/>
                <w:sz w:val="12"/>
                <w:szCs w:val="12"/>
                <w:color w:val="auto"/>
              </w:rPr>
              <w:t>Property and equipment, net of accumulated depreciation of $272,865 and $253,495, respectively</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185,344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w w:val="87"/>
              </w:rPr>
              <w:t>161,892</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Operating lease right-of-use assets</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72"/>
              <w:spacing w:after="0" w:line="135" w:lineRule="exact"/>
              <w:rPr>
                <w:sz w:val="20"/>
                <w:szCs w:val="20"/>
                <w:color w:val="auto"/>
              </w:rPr>
            </w:pPr>
            <w:r>
              <w:rPr>
                <w:rFonts w:ascii="Arial" w:cs="Arial" w:eastAsia="Arial" w:hAnsi="Arial"/>
                <w:sz w:val="12"/>
                <w:szCs w:val="12"/>
                <w:color w:val="auto"/>
              </w:rPr>
              <w:t>22,958</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9440" w:type="dxa"/>
            <w:vAlign w:val="bottom"/>
            <w:gridSpan w:val="3"/>
          </w:tcPr>
          <w:p>
            <w:pPr>
              <w:spacing w:after="0" w:line="135" w:lineRule="exact"/>
              <w:rPr>
                <w:sz w:val="20"/>
                <w:szCs w:val="20"/>
                <w:color w:val="auto"/>
              </w:rPr>
            </w:pPr>
            <w:r>
              <w:rPr>
                <w:rFonts w:ascii="Arial" w:cs="Arial" w:eastAsia="Arial" w:hAnsi="Arial"/>
                <w:sz w:val="12"/>
                <w:szCs w:val="12"/>
                <w:color w:val="auto"/>
              </w:rPr>
              <w:t>Goodwill</w:t>
            </w:r>
          </w:p>
        </w:tc>
        <w:tc>
          <w:tcPr>
            <w:tcW w:w="80" w:type="dxa"/>
            <w:vAlign w:val="bottom"/>
          </w:tcPr>
          <w:p>
            <w:pPr>
              <w:spacing w:after="0"/>
              <w:rPr>
                <w:sz w:val="11"/>
                <w:szCs w:val="11"/>
                <w:color w:val="auto"/>
              </w:rPr>
            </w:pPr>
          </w:p>
        </w:tc>
        <w:tc>
          <w:tcPr>
            <w:tcW w:w="800" w:type="dxa"/>
            <w:vAlign w:val="bottom"/>
            <w:gridSpan w:val="2"/>
          </w:tcPr>
          <w:p>
            <w:pPr>
              <w:jc w:val="right"/>
              <w:ind w:right="272"/>
              <w:spacing w:after="0" w:line="135" w:lineRule="exact"/>
              <w:rPr>
                <w:sz w:val="20"/>
                <w:szCs w:val="20"/>
                <w:color w:val="auto"/>
              </w:rPr>
            </w:pPr>
            <w:r>
              <w:rPr>
                <w:rFonts w:ascii="Arial" w:cs="Arial" w:eastAsia="Arial" w:hAnsi="Arial"/>
                <w:sz w:val="12"/>
                <w:szCs w:val="12"/>
                <w:color w:val="auto"/>
              </w:rPr>
              <w:t>66,060</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56,588</w:t>
            </w:r>
          </w:p>
        </w:tc>
        <w:tc>
          <w:tcPr>
            <w:tcW w:w="0" w:type="dxa"/>
            <w:vAlign w:val="bottom"/>
          </w:tcPr>
          <w:p>
            <w:pPr>
              <w:spacing w:after="0"/>
              <w:rPr>
                <w:sz w:val="1"/>
                <w:szCs w:val="1"/>
                <w:color w:val="auto"/>
              </w:rPr>
            </w:pPr>
          </w:p>
        </w:tc>
      </w:tr>
      <w:tr>
        <w:trPr>
          <w:trHeight w:val="144"/>
        </w:trPr>
        <w:tc>
          <w:tcPr>
            <w:tcW w:w="94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Intangible assets, net of accumulated amortization of $10,880 and $7,031, respectively</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54,940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33,266</w:t>
            </w:r>
          </w:p>
        </w:tc>
        <w:tc>
          <w:tcPr>
            <w:tcW w:w="0" w:type="dxa"/>
            <w:vAlign w:val="bottom"/>
          </w:tcPr>
          <w:p>
            <w:pPr>
              <w:spacing w:after="0"/>
              <w:rPr>
                <w:sz w:val="1"/>
                <w:szCs w:val="1"/>
                <w:color w:val="auto"/>
              </w:rPr>
            </w:pPr>
          </w:p>
        </w:tc>
      </w:tr>
      <w:tr>
        <w:trPr>
          <w:trHeight w:val="135"/>
        </w:trPr>
        <w:tc>
          <w:tcPr>
            <w:tcW w:w="9440" w:type="dxa"/>
            <w:vAlign w:val="bottom"/>
            <w:gridSpan w:val="3"/>
          </w:tcPr>
          <w:p>
            <w:pPr>
              <w:spacing w:after="0" w:line="135" w:lineRule="exact"/>
              <w:rPr>
                <w:sz w:val="20"/>
                <w:szCs w:val="20"/>
                <w:color w:val="auto"/>
              </w:rPr>
            </w:pPr>
            <w:r>
              <w:rPr>
                <w:rFonts w:ascii="Arial" w:cs="Arial" w:eastAsia="Arial" w:hAnsi="Arial"/>
                <w:sz w:val="12"/>
                <w:szCs w:val="12"/>
                <w:color w:val="auto"/>
              </w:rPr>
              <w:t>Receivable for insurance claims in excess of deductibles</w:t>
            </w:r>
          </w:p>
        </w:tc>
        <w:tc>
          <w:tcPr>
            <w:tcW w:w="80" w:type="dxa"/>
            <w:vAlign w:val="bottom"/>
          </w:tcPr>
          <w:p>
            <w:pPr>
              <w:spacing w:after="0"/>
              <w:rPr>
                <w:sz w:val="11"/>
                <w:szCs w:val="11"/>
                <w:color w:val="auto"/>
              </w:rPr>
            </w:pPr>
          </w:p>
        </w:tc>
        <w:tc>
          <w:tcPr>
            <w:tcW w:w="800" w:type="dxa"/>
            <w:vAlign w:val="bottom"/>
            <w:gridSpan w:val="2"/>
          </w:tcPr>
          <w:p>
            <w:pPr>
              <w:jc w:val="right"/>
              <w:ind w:right="272"/>
              <w:spacing w:after="0" w:line="135" w:lineRule="exact"/>
              <w:rPr>
                <w:sz w:val="20"/>
                <w:szCs w:val="20"/>
                <w:color w:val="auto"/>
              </w:rPr>
            </w:pPr>
            <w:r>
              <w:rPr>
                <w:rFonts w:ascii="Arial" w:cs="Arial" w:eastAsia="Arial" w:hAnsi="Arial"/>
                <w:sz w:val="12"/>
                <w:szCs w:val="12"/>
                <w:color w:val="auto"/>
              </w:rPr>
              <w:t>30,976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17,173</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Investment in joint venture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4,722</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1,324</w:t>
            </w:r>
          </w:p>
        </w:tc>
        <w:tc>
          <w:tcPr>
            <w:tcW w:w="0" w:type="dxa"/>
            <w:vAlign w:val="bottom"/>
          </w:tcPr>
          <w:p>
            <w:pPr>
              <w:spacing w:after="0"/>
              <w:rPr>
                <w:sz w:val="1"/>
                <w:szCs w:val="1"/>
                <w:color w:val="auto"/>
              </w:rPr>
            </w:pPr>
          </w:p>
        </w:tc>
      </w:tr>
      <w:tr>
        <w:trPr>
          <w:trHeight w:val="144"/>
        </w:trPr>
        <w:tc>
          <w:tcPr>
            <w:tcW w:w="9440" w:type="dxa"/>
            <w:vAlign w:val="bottom"/>
            <w:gridSpan w:val="3"/>
          </w:tcPr>
          <w:p>
            <w:pPr>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3,687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2,878</w:t>
            </w:r>
          </w:p>
        </w:tc>
        <w:tc>
          <w:tcPr>
            <w:tcW w:w="0" w:type="dxa"/>
            <w:vAlign w:val="bottom"/>
          </w:tcPr>
          <w:p>
            <w:pPr>
              <w:spacing w:after="0"/>
              <w:rPr>
                <w:sz w:val="1"/>
                <w:szCs w:val="1"/>
                <w:color w:val="auto"/>
              </w:rPr>
            </w:pPr>
          </w:p>
        </w:tc>
      </w:tr>
      <w:tr>
        <w:trPr>
          <w:trHeight w:val="144"/>
        </w:trPr>
        <w:tc>
          <w:tcPr>
            <w:tcW w:w="9440" w:type="dxa"/>
            <w:vAlign w:val="bottom"/>
            <w:tcBorders>
              <w:top w:val="single" w:sz="8" w:color="CCEEFF"/>
              <w:bottom w:val="single" w:sz="8" w:color="CCEEFF"/>
            </w:tcBorders>
            <w:gridSpan w:val="3"/>
            <w:shd w:val="clear" w:color="auto" w:fill="CCEEFF"/>
          </w:tcPr>
          <w:p>
            <w:pPr>
              <w:ind w:left="240"/>
              <w:spacing w:after="0" w:line="124" w:lineRule="exact"/>
              <w:rPr>
                <w:sz w:val="20"/>
                <w:szCs w:val="20"/>
                <w:color w:val="auto"/>
              </w:rPr>
            </w:pPr>
            <w:r>
              <w:rPr>
                <w:rFonts w:ascii="Arial" w:cs="Arial" w:eastAsia="Arial" w:hAnsi="Arial"/>
                <w:sz w:val="12"/>
                <w:szCs w:val="12"/>
                <w:color w:val="auto"/>
              </w:rPr>
              <w:t>Total assets</w:t>
            </w: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u w:val="single" w:color="auto"/>
                <w:color w:val="auto"/>
                <w:w w:val="89"/>
              </w:rPr>
              <w:t>$</w:t>
            </w: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6"/>
              </w:rPr>
              <w:t>1,007,871</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7"/>
              </w:rPr>
              <w:t>748,755</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9440" w:type="dxa"/>
            <w:vAlign w:val="bottom"/>
            <w:gridSpan w:val="3"/>
          </w:tcPr>
          <w:p>
            <w:pPr>
              <w:ind w:left="3180"/>
              <w:spacing w:after="0" w:line="105" w:lineRule="exact"/>
              <w:rPr>
                <w:sz w:val="20"/>
                <w:szCs w:val="20"/>
                <w:color w:val="auto"/>
              </w:rPr>
            </w:pPr>
            <w:r>
              <w:rPr>
                <w:rFonts w:ascii="Arial" w:cs="Arial" w:eastAsia="Arial" w:hAnsi="Arial"/>
                <w:sz w:val="12"/>
                <w:szCs w:val="12"/>
                <w:b w:val="1"/>
                <w:bCs w:val="1"/>
                <w:color w:val="auto"/>
              </w:rPr>
              <w:t>LIABILITIES AND STOCKHOLDERS’ EQUITY</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Current liabilities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40" w:type="dxa"/>
            <w:vAlign w:val="bottom"/>
            <w:gridSpan w:val="3"/>
          </w:tcPr>
          <w:p>
            <w:pPr>
              <w:ind w:left="120"/>
              <w:spacing w:after="0" w:line="135" w:lineRule="exact"/>
              <w:rPr>
                <w:sz w:val="20"/>
                <w:szCs w:val="20"/>
                <w:color w:val="auto"/>
              </w:rPr>
            </w:pPr>
            <w:r>
              <w:rPr>
                <w:rFonts w:ascii="Arial" w:cs="Arial" w:eastAsia="Arial" w:hAnsi="Arial"/>
                <w:sz w:val="12"/>
                <w:szCs w:val="12"/>
                <w:color w:val="auto"/>
              </w:rPr>
              <w:t>Current portion of long-term debt</w:t>
            </w:r>
          </w:p>
        </w:tc>
        <w:tc>
          <w:tcPr>
            <w:tcW w:w="8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8,737</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3,681</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2"/>
                <w:szCs w:val="12"/>
                <w:color w:val="auto"/>
              </w:rPr>
              <w:t>Current portion of operating lease obligations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6,205</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9440" w:type="dxa"/>
            <w:vAlign w:val="bottom"/>
            <w:gridSpan w:val="3"/>
          </w:tcPr>
          <w:p>
            <w:pPr>
              <w:ind w:left="120"/>
              <w:spacing w:after="0" w:line="135" w:lineRule="exact"/>
              <w:rPr>
                <w:sz w:val="20"/>
                <w:szCs w:val="20"/>
                <w:color w:val="auto"/>
              </w:rPr>
            </w:pPr>
            <w:r>
              <w:rPr>
                <w:rFonts w:ascii="Arial" w:cs="Arial" w:eastAsia="Arial" w:hAnsi="Arial"/>
                <w:sz w:val="12"/>
                <w:szCs w:val="12"/>
                <w:color w:val="auto"/>
              </w:rPr>
              <w:t>Current portion of finance lease obligations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1,135</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1,119</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192,107</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w w:val="87"/>
              </w:rPr>
              <w:t>139,480</w:t>
            </w:r>
          </w:p>
        </w:tc>
        <w:tc>
          <w:tcPr>
            <w:tcW w:w="0" w:type="dxa"/>
            <w:vAlign w:val="bottom"/>
          </w:tcPr>
          <w:p>
            <w:pPr>
              <w:spacing w:after="0"/>
              <w:rPr>
                <w:sz w:val="1"/>
                <w:szCs w:val="1"/>
                <w:color w:val="auto"/>
              </w:rPr>
            </w:pPr>
          </w:p>
        </w:tc>
      </w:tr>
      <w:tr>
        <w:trPr>
          <w:trHeight w:val="135"/>
        </w:trPr>
        <w:tc>
          <w:tcPr>
            <w:tcW w:w="9440" w:type="dxa"/>
            <w:vAlign w:val="bottom"/>
            <w:gridSpan w:val="3"/>
          </w:tcPr>
          <w:p>
            <w:pPr>
              <w:ind w:left="120"/>
              <w:spacing w:after="0" w:line="135" w:lineRule="exact"/>
              <w:rPr>
                <w:sz w:val="20"/>
                <w:szCs w:val="20"/>
                <w:color w:val="auto"/>
              </w:rPr>
            </w:pPr>
            <w:r>
              <w:rPr>
                <w:rFonts w:ascii="Arial" w:cs="Arial" w:eastAsia="Arial" w:hAnsi="Arial"/>
                <w:sz w:val="12"/>
                <w:szCs w:val="12"/>
                <w:color w:val="auto"/>
              </w:rPr>
              <w:t>Contract liabilities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105,486</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58,534</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2"/>
                <w:szCs w:val="12"/>
                <w:color w:val="auto"/>
              </w:rPr>
              <w:t>Current portion of accrued self-insurance</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72"/>
              <w:spacing w:after="0" w:line="135" w:lineRule="exact"/>
              <w:rPr>
                <w:sz w:val="20"/>
                <w:szCs w:val="20"/>
                <w:color w:val="auto"/>
              </w:rPr>
            </w:pPr>
            <w:r>
              <w:rPr>
                <w:rFonts w:ascii="Arial" w:cs="Arial" w:eastAsia="Arial" w:hAnsi="Arial"/>
                <w:sz w:val="12"/>
                <w:szCs w:val="12"/>
                <w:color w:val="auto"/>
              </w:rPr>
              <w:t>18,780</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19,633</w:t>
            </w:r>
          </w:p>
        </w:tc>
        <w:tc>
          <w:tcPr>
            <w:tcW w:w="0" w:type="dxa"/>
            <w:vAlign w:val="bottom"/>
          </w:tcPr>
          <w:p>
            <w:pPr>
              <w:spacing w:after="0"/>
              <w:rPr>
                <w:sz w:val="1"/>
                <w:szCs w:val="1"/>
                <w:color w:val="auto"/>
              </w:rPr>
            </w:pPr>
          </w:p>
        </w:tc>
      </w:tr>
      <w:tr>
        <w:trPr>
          <w:trHeight w:val="144"/>
        </w:trPr>
        <w:tc>
          <w:tcPr>
            <w:tcW w:w="9440" w:type="dxa"/>
            <w:vAlign w:val="bottom"/>
            <w:gridSpan w:val="3"/>
          </w:tcPr>
          <w:p>
            <w:pPr>
              <w:ind w:left="120"/>
              <w:spacing w:after="0"/>
              <w:rPr>
                <w:sz w:val="20"/>
                <w:szCs w:val="20"/>
                <w:color w:val="auto"/>
              </w:rPr>
            </w:pPr>
            <w:r>
              <w:rPr>
                <w:rFonts w:ascii="Arial" w:cs="Arial" w:eastAsia="Arial" w:hAnsi="Arial"/>
                <w:sz w:val="12"/>
                <w:szCs w:val="12"/>
                <w:color w:val="auto"/>
              </w:rPr>
              <w:t>Other current liabilities</w:t>
            </w:r>
          </w:p>
        </w:tc>
        <w:tc>
          <w:tcPr>
            <w:tcW w:w="80" w:type="dxa"/>
            <w:vAlign w:val="bottom"/>
          </w:tcPr>
          <w:p>
            <w:pPr>
              <w:spacing w:after="0"/>
              <w:rPr>
                <w:sz w:val="12"/>
                <w:szCs w:val="12"/>
                <w:color w:val="auto"/>
              </w:rPr>
            </w:pPr>
          </w:p>
        </w:tc>
        <w:tc>
          <w:tcPr>
            <w:tcW w:w="800" w:type="dxa"/>
            <w:vAlign w:val="bottom"/>
            <w:gridSpan w:val="2"/>
          </w:tcPr>
          <w:p>
            <w:pPr>
              <w:jc w:val="right"/>
              <w:ind w:right="272"/>
              <w:spacing w:after="0"/>
              <w:rPr>
                <w:sz w:val="20"/>
                <w:szCs w:val="20"/>
                <w:color w:val="auto"/>
              </w:rPr>
            </w:pPr>
            <w:r>
              <w:rPr>
                <w:rFonts w:ascii="Arial" w:cs="Arial" w:eastAsia="Arial" w:hAnsi="Arial"/>
                <w:sz w:val="12"/>
                <w:szCs w:val="12"/>
                <w:color w:val="auto"/>
              </w:rPr>
              <w:t>64,364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61,358</w:t>
            </w:r>
          </w:p>
        </w:tc>
        <w:tc>
          <w:tcPr>
            <w:tcW w:w="0" w:type="dxa"/>
            <w:vAlign w:val="bottom"/>
          </w:tcPr>
          <w:p>
            <w:pPr>
              <w:spacing w:after="0"/>
              <w:rPr>
                <w:sz w:val="1"/>
                <w:szCs w:val="1"/>
                <w:color w:val="auto"/>
              </w:rPr>
            </w:pPr>
          </w:p>
        </w:tc>
      </w:tr>
      <w:tr>
        <w:trPr>
          <w:trHeight w:val="115"/>
        </w:trPr>
        <w:tc>
          <w:tcPr>
            <w:tcW w:w="9440" w:type="dxa"/>
            <w:vAlign w:val="bottom"/>
            <w:tcBorders>
              <w:top w:val="single" w:sz="8" w:color="CCEEFF"/>
            </w:tcBorders>
            <w:gridSpan w:val="3"/>
            <w:shd w:val="clear" w:color="auto" w:fill="CCEEFF"/>
          </w:tcPr>
          <w:p>
            <w:pPr>
              <w:ind w:left="240"/>
              <w:spacing w:after="0" w:line="115" w:lineRule="exact"/>
              <w:rPr>
                <w:sz w:val="20"/>
                <w:szCs w:val="20"/>
                <w:color w:val="auto"/>
              </w:rPr>
            </w:pPr>
            <w:r>
              <w:rPr>
                <w:rFonts w:ascii="Arial" w:cs="Arial" w:eastAsia="Arial" w:hAnsi="Arial"/>
                <w:sz w:val="12"/>
                <w:szCs w:val="12"/>
                <w:color w:val="auto"/>
              </w:rPr>
              <w:t>Total current liabilities</w:t>
            </w: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396,814</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w w:val="87"/>
              </w:rPr>
              <w:t>283,805</w:t>
            </w: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40" w:type="dxa"/>
            <w:vAlign w:val="bottom"/>
            <w:gridSpan w:val="3"/>
          </w:tcPr>
          <w:p>
            <w:pPr>
              <w:spacing w:after="0" w:line="135" w:lineRule="exact"/>
              <w:rPr>
                <w:sz w:val="20"/>
                <w:szCs w:val="20"/>
                <w:color w:val="auto"/>
              </w:rPr>
            </w:pPr>
            <w:r>
              <w:rPr>
                <w:rFonts w:ascii="Arial" w:cs="Arial" w:eastAsia="Arial" w:hAnsi="Arial"/>
                <w:sz w:val="12"/>
                <w:szCs w:val="12"/>
                <w:color w:val="auto"/>
              </w:rPr>
              <w:t>Deferred income tax liabilities</w:t>
            </w:r>
          </w:p>
        </w:tc>
        <w:tc>
          <w:tcPr>
            <w:tcW w:w="80" w:type="dxa"/>
            <w:vAlign w:val="bottom"/>
          </w:tcPr>
          <w:p>
            <w:pPr>
              <w:spacing w:after="0"/>
              <w:rPr>
                <w:sz w:val="11"/>
                <w:szCs w:val="11"/>
                <w:color w:val="auto"/>
              </w:rPr>
            </w:pPr>
          </w:p>
        </w:tc>
        <w:tc>
          <w:tcPr>
            <w:tcW w:w="800" w:type="dxa"/>
            <w:vAlign w:val="bottom"/>
            <w:gridSpan w:val="2"/>
          </w:tcPr>
          <w:p>
            <w:pPr>
              <w:jc w:val="right"/>
              <w:ind w:right="272"/>
              <w:spacing w:after="0" w:line="135" w:lineRule="exact"/>
              <w:rPr>
                <w:sz w:val="20"/>
                <w:szCs w:val="20"/>
                <w:color w:val="auto"/>
              </w:rPr>
            </w:pPr>
            <w:r>
              <w:rPr>
                <w:rFonts w:ascii="Arial" w:cs="Arial" w:eastAsia="Arial" w:hAnsi="Arial"/>
                <w:sz w:val="12"/>
                <w:szCs w:val="12"/>
                <w:color w:val="auto"/>
              </w:rPr>
              <w:t>20,945</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17,398</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Long-term debt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157,087</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86,111</w:t>
            </w:r>
          </w:p>
        </w:tc>
        <w:tc>
          <w:tcPr>
            <w:tcW w:w="0" w:type="dxa"/>
            <w:vAlign w:val="bottom"/>
          </w:tcPr>
          <w:p>
            <w:pPr>
              <w:spacing w:after="0"/>
              <w:rPr>
                <w:sz w:val="1"/>
                <w:szCs w:val="1"/>
                <w:color w:val="auto"/>
              </w:rPr>
            </w:pPr>
          </w:p>
        </w:tc>
      </w:tr>
      <w:tr>
        <w:trPr>
          <w:trHeight w:val="135"/>
        </w:trPr>
        <w:tc>
          <w:tcPr>
            <w:tcW w:w="9440" w:type="dxa"/>
            <w:vAlign w:val="bottom"/>
            <w:gridSpan w:val="3"/>
          </w:tcPr>
          <w:p>
            <w:pPr>
              <w:spacing w:after="0" w:line="135" w:lineRule="exact"/>
              <w:rPr>
                <w:sz w:val="20"/>
                <w:szCs w:val="20"/>
                <w:color w:val="auto"/>
              </w:rPr>
            </w:pPr>
            <w:r>
              <w:rPr>
                <w:rFonts w:ascii="Arial" w:cs="Arial" w:eastAsia="Arial" w:hAnsi="Arial"/>
                <w:sz w:val="12"/>
                <w:szCs w:val="12"/>
                <w:color w:val="auto"/>
              </w:rPr>
              <w:t>Accrued self-insurance</w:t>
            </w:r>
          </w:p>
        </w:tc>
        <w:tc>
          <w:tcPr>
            <w:tcW w:w="80" w:type="dxa"/>
            <w:vAlign w:val="bottom"/>
          </w:tcPr>
          <w:p>
            <w:pPr>
              <w:spacing w:after="0"/>
              <w:rPr>
                <w:sz w:val="11"/>
                <w:szCs w:val="11"/>
                <w:color w:val="auto"/>
              </w:rPr>
            </w:pPr>
          </w:p>
        </w:tc>
        <w:tc>
          <w:tcPr>
            <w:tcW w:w="800" w:type="dxa"/>
            <w:vAlign w:val="bottom"/>
            <w:gridSpan w:val="2"/>
          </w:tcPr>
          <w:p>
            <w:pPr>
              <w:jc w:val="right"/>
              <w:ind w:right="272"/>
              <w:spacing w:after="0" w:line="135" w:lineRule="exact"/>
              <w:rPr>
                <w:sz w:val="20"/>
                <w:szCs w:val="20"/>
                <w:color w:val="auto"/>
              </w:rPr>
            </w:pPr>
            <w:r>
              <w:rPr>
                <w:rFonts w:ascii="Arial" w:cs="Arial" w:eastAsia="Arial" w:hAnsi="Arial"/>
                <w:sz w:val="12"/>
                <w:szCs w:val="12"/>
                <w:color w:val="auto"/>
              </w:rPr>
              <w:t>48,024</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34,406</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Operating lease obligations, net of current maturities</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72"/>
              <w:spacing w:after="0" w:line="135" w:lineRule="exact"/>
              <w:rPr>
                <w:sz w:val="20"/>
                <w:szCs w:val="20"/>
                <w:color w:val="auto"/>
              </w:rPr>
            </w:pPr>
            <w:r>
              <w:rPr>
                <w:rFonts w:ascii="Arial" w:cs="Arial" w:eastAsia="Arial" w:hAnsi="Arial"/>
                <w:sz w:val="12"/>
                <w:szCs w:val="12"/>
                <w:color w:val="auto"/>
              </w:rPr>
              <w:t>16,884</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9440" w:type="dxa"/>
            <w:vAlign w:val="bottom"/>
            <w:gridSpan w:val="3"/>
          </w:tcPr>
          <w:p>
            <w:pPr>
              <w:spacing w:after="0" w:line="135" w:lineRule="exact"/>
              <w:rPr>
                <w:sz w:val="20"/>
                <w:szCs w:val="20"/>
                <w:color w:val="auto"/>
              </w:rPr>
            </w:pPr>
            <w:r>
              <w:rPr>
                <w:rFonts w:ascii="Arial" w:cs="Arial" w:eastAsia="Arial" w:hAnsi="Arial"/>
                <w:sz w:val="12"/>
                <w:szCs w:val="12"/>
                <w:color w:val="auto"/>
              </w:rPr>
              <w:t>Finance lease obligations, net of current maturities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338</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1,514</w:t>
            </w:r>
          </w:p>
        </w:tc>
        <w:tc>
          <w:tcPr>
            <w:tcW w:w="0" w:type="dxa"/>
            <w:vAlign w:val="bottom"/>
          </w:tcPr>
          <w:p>
            <w:pPr>
              <w:spacing w:after="0"/>
              <w:rPr>
                <w:sz w:val="1"/>
                <w:szCs w:val="1"/>
                <w:color w:val="auto"/>
              </w:rPr>
            </w:pPr>
          </w:p>
        </w:tc>
      </w:tr>
      <w:tr>
        <w:trPr>
          <w:trHeight w:val="144"/>
        </w:trPr>
        <w:tc>
          <w:tcPr>
            <w:tcW w:w="898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1,057</w:t>
            </w:r>
          </w:p>
        </w:tc>
        <w:tc>
          <w:tcPr>
            <w:tcW w:w="0" w:type="dxa"/>
            <w:vAlign w:val="bottom"/>
          </w:tcPr>
          <w:p>
            <w:pPr>
              <w:spacing w:after="0"/>
              <w:rPr>
                <w:sz w:val="1"/>
                <w:szCs w:val="1"/>
                <w:color w:val="auto"/>
              </w:rPr>
            </w:pPr>
          </w:p>
        </w:tc>
      </w:tr>
      <w:tr>
        <w:trPr>
          <w:trHeight w:val="124"/>
        </w:trPr>
        <w:tc>
          <w:tcPr>
            <w:tcW w:w="9440" w:type="dxa"/>
            <w:vAlign w:val="bottom"/>
            <w:tcBorders>
              <w:top w:val="single" w:sz="8" w:color="CCEEFF"/>
              <w:bottom w:val="single" w:sz="8" w:color="CCEEFF"/>
            </w:tcBorders>
            <w:gridSpan w:val="3"/>
          </w:tcPr>
          <w:p>
            <w:pPr>
              <w:ind w:left="240"/>
              <w:spacing w:after="0" w:line="124" w:lineRule="exact"/>
              <w:rPr>
                <w:sz w:val="20"/>
                <w:szCs w:val="20"/>
                <w:color w:val="auto"/>
              </w:rPr>
            </w:pPr>
            <w:r>
              <w:rPr>
                <w:rFonts w:ascii="Arial" w:cs="Arial" w:eastAsia="Arial" w:hAnsi="Arial"/>
                <w:sz w:val="12"/>
                <w:szCs w:val="12"/>
                <w:color w:val="auto"/>
              </w:rPr>
              <w:t>Total liabilities</w:t>
            </w: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643,396</w:t>
            </w:r>
          </w:p>
        </w:tc>
        <w:tc>
          <w:tcPr>
            <w:tcW w:w="320" w:type="dxa"/>
            <w:vAlign w:val="bottom"/>
            <w:tcBorders>
              <w:top w:val="single" w:sz="8" w:color="CCEEFF"/>
              <w:bottom w:val="single" w:sz="8" w:color="CCEEFF"/>
            </w:tcBorders>
          </w:tcPr>
          <w:p>
            <w:pPr>
              <w:spacing w:after="0"/>
              <w:rPr>
                <w:sz w:val="10"/>
                <w:szCs w:val="10"/>
                <w:color w:val="auto"/>
              </w:rPr>
            </w:pPr>
          </w:p>
        </w:tc>
        <w:tc>
          <w:tcPr>
            <w:tcW w:w="140" w:type="dxa"/>
            <w:vAlign w:val="bottom"/>
            <w:tcBorders>
              <w:top w:val="single" w:sz="8" w:color="CCEEFF"/>
              <w:bottom w:val="single" w:sz="8" w:color="CCEEFF"/>
            </w:tcBorders>
          </w:tcPr>
          <w:p>
            <w:pPr>
              <w:spacing w:after="0"/>
              <w:rPr>
                <w:sz w:val="10"/>
                <w:szCs w:val="10"/>
                <w:color w:val="auto"/>
              </w:rPr>
            </w:pPr>
          </w:p>
        </w:tc>
        <w:tc>
          <w:tcPr>
            <w:tcW w:w="28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w w:val="87"/>
              </w:rPr>
              <w:t>424,291</w:t>
            </w:r>
          </w:p>
        </w:tc>
        <w:tc>
          <w:tcPr>
            <w:tcW w:w="280" w:type="dxa"/>
            <w:vAlign w:val="bottom"/>
            <w:tcBorders>
              <w:top w:val="single" w:sz="8" w:color="CCEEFF"/>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440" w:type="dxa"/>
            <w:vAlign w:val="bottom"/>
            <w:gridSpan w:val="3"/>
            <w:shd w:val="clear" w:color="auto" w:fill="CCEEFF"/>
          </w:tcPr>
          <w:p>
            <w:pPr>
              <w:spacing w:after="0" w:line="115" w:lineRule="exact"/>
              <w:rPr>
                <w:sz w:val="20"/>
                <w:szCs w:val="20"/>
                <w:color w:val="auto"/>
              </w:rPr>
            </w:pPr>
            <w:r>
              <w:rPr>
                <w:rFonts w:ascii="Arial" w:cs="Arial" w:eastAsia="Arial" w:hAnsi="Arial"/>
                <w:sz w:val="12"/>
                <w:szCs w:val="12"/>
                <w:color w:val="auto"/>
              </w:rPr>
              <w:t>Commitments and contingencies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40" w:type="dxa"/>
            <w:vAlign w:val="bottom"/>
            <w:gridSpan w:val="3"/>
          </w:tcPr>
          <w:p>
            <w:pPr>
              <w:spacing w:after="0" w:line="135" w:lineRule="exact"/>
              <w:rPr>
                <w:sz w:val="20"/>
                <w:szCs w:val="20"/>
                <w:color w:val="auto"/>
              </w:rPr>
            </w:pPr>
            <w:r>
              <w:rPr>
                <w:rFonts w:ascii="Arial" w:cs="Arial" w:eastAsia="Arial" w:hAnsi="Arial"/>
                <w:sz w:val="12"/>
                <w:szCs w:val="12"/>
                <w:color w:val="auto"/>
              </w:rPr>
              <w:t>Stockholders’ equity</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4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Preferred stock – $0.01 par value per share; 4,000,000 authorized shares; none issued and outstanding at December 31, 2019 and December 31, 2018</w:t>
            </w:r>
          </w:p>
        </w:tc>
        <w:tc>
          <w:tcPr>
            <w:tcW w:w="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9440" w:type="dxa"/>
            <w:vAlign w:val="bottom"/>
            <w:gridSpan w:val="3"/>
          </w:tcPr>
          <w:p>
            <w:pPr>
              <w:ind w:left="120"/>
              <w:spacing w:after="0" w:line="136" w:lineRule="exact"/>
              <w:rPr>
                <w:sz w:val="20"/>
                <w:szCs w:val="20"/>
                <w:color w:val="auto"/>
              </w:rPr>
            </w:pPr>
            <w:r>
              <w:rPr>
                <w:rFonts w:ascii="Arial" w:cs="Arial" w:eastAsia="Arial" w:hAnsi="Arial"/>
                <w:sz w:val="12"/>
                <w:szCs w:val="12"/>
                <w:color w:val="auto"/>
                <w:w w:val="94"/>
              </w:rPr>
              <w:t>Common stock – $0.01 par value per share; 100,000,000 authorized shares; 16,648,616 and 16,564,961 shares issued and outstanding at December 31, 2019 and December 31, 2018,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440" w:type="dxa"/>
            <w:vAlign w:val="bottom"/>
            <w:gridSpan w:val="3"/>
          </w:tcPr>
          <w:p>
            <w:pPr>
              <w:ind w:left="240"/>
              <w:spacing w:after="0"/>
              <w:rPr>
                <w:sz w:val="20"/>
                <w:szCs w:val="20"/>
                <w:color w:val="auto"/>
              </w:rPr>
            </w:pPr>
            <w:r>
              <w:rPr>
                <w:rFonts w:ascii="Arial" w:cs="Arial" w:eastAsia="Arial" w:hAnsi="Arial"/>
                <w:sz w:val="12"/>
                <w:szCs w:val="12"/>
                <w:color w:val="auto"/>
              </w:rPr>
              <w:t>respectively</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135"/>
        </w:trPr>
        <w:tc>
          <w:tcPr>
            <w:tcW w:w="944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Additional paid-in capital</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152,532</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w w:val="87"/>
              </w:rPr>
              <w:t>148,276</w:t>
            </w:r>
          </w:p>
        </w:tc>
        <w:tc>
          <w:tcPr>
            <w:tcW w:w="0" w:type="dxa"/>
            <w:vAlign w:val="bottom"/>
          </w:tcPr>
          <w:p>
            <w:pPr>
              <w:spacing w:after="0"/>
              <w:rPr>
                <w:sz w:val="1"/>
                <w:szCs w:val="1"/>
                <w:color w:val="auto"/>
              </w:rPr>
            </w:pPr>
          </w:p>
        </w:tc>
      </w:tr>
      <w:tr>
        <w:trPr>
          <w:trHeight w:val="135"/>
        </w:trPr>
        <w:tc>
          <w:tcPr>
            <w:tcW w:w="9440" w:type="dxa"/>
            <w:vAlign w:val="bottom"/>
            <w:gridSpan w:val="3"/>
          </w:tcPr>
          <w:p>
            <w:pPr>
              <w:spacing w:after="0" w:line="135" w:lineRule="exact"/>
              <w:rPr>
                <w:sz w:val="20"/>
                <w:szCs w:val="20"/>
                <w:color w:val="auto"/>
              </w:rPr>
            </w:pPr>
            <w:r>
              <w:rPr>
                <w:rFonts w:ascii="Arial" w:cs="Arial" w:eastAsia="Arial" w:hAnsi="Arial"/>
                <w:sz w:val="12"/>
                <w:szCs w:val="12"/>
                <w:color w:val="auto"/>
              </w:rPr>
              <w:t>Accumulated other comprehensive income (loss)</w:t>
            </w:r>
          </w:p>
        </w:tc>
        <w:tc>
          <w:tcPr>
            <w:tcW w:w="80" w:type="dxa"/>
            <w:vAlign w:val="bottom"/>
          </w:tcPr>
          <w:p>
            <w:pPr>
              <w:spacing w:after="0"/>
              <w:rPr>
                <w:sz w:val="11"/>
                <w:szCs w:val="11"/>
                <w:color w:val="auto"/>
              </w:rPr>
            </w:pPr>
          </w:p>
        </w:tc>
        <w:tc>
          <w:tcPr>
            <w:tcW w:w="800" w:type="dxa"/>
            <w:vAlign w:val="bottom"/>
            <w:gridSpan w:val="2"/>
          </w:tcPr>
          <w:p>
            <w:pPr>
              <w:jc w:val="right"/>
              <w:ind w:right="232"/>
              <w:spacing w:after="0" w:line="135" w:lineRule="exact"/>
              <w:rPr>
                <w:sz w:val="20"/>
                <w:szCs w:val="20"/>
                <w:color w:val="auto"/>
              </w:rPr>
            </w:pPr>
            <w:r>
              <w:rPr>
                <w:rFonts w:ascii="Arial" w:cs="Arial" w:eastAsia="Arial" w:hAnsi="Arial"/>
                <w:sz w:val="12"/>
                <w:szCs w:val="12"/>
                <w:color w:val="auto"/>
              </w:rPr>
              <w:t>(446)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44"/>
        </w:trPr>
        <w:tc>
          <w:tcPr>
            <w:tcW w:w="8980" w:type="dxa"/>
            <w:vAlign w:val="bottom"/>
            <w:shd w:val="clear" w:color="auto" w:fill="CCEEFF"/>
          </w:tcPr>
          <w:p>
            <w:pPr>
              <w:spacing w:after="0"/>
              <w:rPr>
                <w:sz w:val="20"/>
                <w:szCs w:val="20"/>
                <w:color w:val="auto"/>
              </w:rPr>
            </w:pPr>
            <w:r>
              <w:rPr>
                <w:rFonts w:ascii="Arial" w:cs="Arial" w:eastAsia="Arial" w:hAnsi="Arial"/>
                <w:sz w:val="12"/>
                <w:szCs w:val="12"/>
                <w:color w:val="auto"/>
              </w:rPr>
              <w:t>Retained earnings</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212,219</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7"/>
              </w:rPr>
              <w:t>174,736</w:t>
            </w:r>
          </w:p>
        </w:tc>
        <w:tc>
          <w:tcPr>
            <w:tcW w:w="0" w:type="dxa"/>
            <w:vAlign w:val="bottom"/>
          </w:tcPr>
          <w:p>
            <w:pPr>
              <w:spacing w:after="0"/>
              <w:rPr>
                <w:sz w:val="1"/>
                <w:szCs w:val="1"/>
                <w:color w:val="auto"/>
              </w:rPr>
            </w:pPr>
          </w:p>
        </w:tc>
      </w:tr>
      <w:tr>
        <w:trPr>
          <w:trHeight w:val="124"/>
        </w:trPr>
        <w:tc>
          <w:tcPr>
            <w:tcW w:w="9440" w:type="dxa"/>
            <w:vAlign w:val="bottom"/>
            <w:tcBorders>
              <w:top w:val="single" w:sz="8" w:color="CCEEFF"/>
              <w:bottom w:val="single" w:sz="8" w:color="CCEEFF"/>
            </w:tcBorders>
            <w:gridSpan w:val="3"/>
          </w:tcPr>
          <w:p>
            <w:pPr>
              <w:ind w:left="240"/>
              <w:spacing w:after="0" w:line="124" w:lineRule="exact"/>
              <w:rPr>
                <w:sz w:val="20"/>
                <w:szCs w:val="20"/>
                <w:color w:val="auto"/>
              </w:rPr>
            </w:pPr>
            <w:r>
              <w:rPr>
                <w:rFonts w:ascii="Arial" w:cs="Arial" w:eastAsia="Arial" w:hAnsi="Arial"/>
                <w:sz w:val="12"/>
                <w:szCs w:val="12"/>
                <w:color w:val="auto"/>
              </w:rPr>
              <w:t>Total stockholders’ equity attributable to MYR Group Inc.</w:t>
            </w: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364,471</w:t>
            </w:r>
          </w:p>
        </w:tc>
        <w:tc>
          <w:tcPr>
            <w:tcW w:w="320" w:type="dxa"/>
            <w:vAlign w:val="bottom"/>
            <w:tcBorders>
              <w:top w:val="single" w:sz="8" w:color="CCEEFF"/>
              <w:bottom w:val="single" w:sz="8" w:color="CCEEFF"/>
            </w:tcBorders>
          </w:tcPr>
          <w:p>
            <w:pPr>
              <w:spacing w:after="0"/>
              <w:rPr>
                <w:sz w:val="10"/>
                <w:szCs w:val="10"/>
                <w:color w:val="auto"/>
              </w:rPr>
            </w:pPr>
          </w:p>
        </w:tc>
        <w:tc>
          <w:tcPr>
            <w:tcW w:w="140" w:type="dxa"/>
            <w:vAlign w:val="bottom"/>
            <w:tcBorders>
              <w:top w:val="single" w:sz="8" w:color="CCEEFF"/>
              <w:bottom w:val="single" w:sz="8" w:color="CCEEFF"/>
            </w:tcBorders>
          </w:tcPr>
          <w:p>
            <w:pPr>
              <w:spacing w:after="0"/>
              <w:rPr>
                <w:sz w:val="10"/>
                <w:szCs w:val="10"/>
                <w:color w:val="auto"/>
              </w:rPr>
            </w:pPr>
          </w:p>
        </w:tc>
        <w:tc>
          <w:tcPr>
            <w:tcW w:w="28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w w:val="87"/>
              </w:rPr>
              <w:t>322,984</w:t>
            </w:r>
          </w:p>
        </w:tc>
        <w:tc>
          <w:tcPr>
            <w:tcW w:w="280" w:type="dxa"/>
            <w:vAlign w:val="bottom"/>
            <w:tcBorders>
              <w:top w:val="single" w:sz="8" w:color="CCEEFF"/>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98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Noncontrolling interest</w:t>
            </w:r>
          </w:p>
        </w:tc>
        <w:tc>
          <w:tcPr>
            <w:tcW w:w="1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w:t>
            </w:r>
          </w:p>
        </w:tc>
        <w:tc>
          <w:tcPr>
            <w:tcW w:w="3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1,480</w:t>
            </w:r>
          </w:p>
        </w:tc>
        <w:tc>
          <w:tcPr>
            <w:tcW w:w="2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440" w:type="dxa"/>
            <w:vAlign w:val="bottom"/>
            <w:tcBorders>
              <w:bottom w:val="single" w:sz="8" w:color="CCEEFF"/>
            </w:tcBorders>
            <w:gridSpan w:val="3"/>
          </w:tcPr>
          <w:p>
            <w:pPr>
              <w:ind w:left="240"/>
              <w:spacing w:after="0" w:line="124" w:lineRule="exact"/>
              <w:rPr>
                <w:sz w:val="20"/>
                <w:szCs w:val="20"/>
                <w:color w:val="auto"/>
              </w:rPr>
            </w:pPr>
            <w:r>
              <w:rPr>
                <w:rFonts w:ascii="Arial" w:cs="Arial" w:eastAsia="Arial" w:hAnsi="Arial"/>
                <w:sz w:val="12"/>
                <w:szCs w:val="12"/>
                <w:color w:val="auto"/>
              </w:rPr>
              <w:t>Total stockholders’ equity</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364,475</w:t>
            </w:r>
          </w:p>
        </w:tc>
        <w:tc>
          <w:tcPr>
            <w:tcW w:w="3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w w:val="87"/>
              </w:rPr>
              <w:t>324,464</w:t>
            </w:r>
          </w:p>
        </w:tc>
        <w:tc>
          <w:tcPr>
            <w:tcW w:w="2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9440" w:type="dxa"/>
            <w:vAlign w:val="bottom"/>
            <w:tcBorders>
              <w:bottom w:val="single" w:sz="8" w:color="CCEEFF"/>
            </w:tcBorders>
            <w:gridSpan w:val="3"/>
            <w:shd w:val="clear" w:color="auto" w:fill="CCEEFF"/>
          </w:tcPr>
          <w:p>
            <w:pPr>
              <w:ind w:left="240"/>
              <w:spacing w:after="0" w:line="124" w:lineRule="exact"/>
              <w:rPr>
                <w:sz w:val="20"/>
                <w:szCs w:val="20"/>
                <w:color w:val="auto"/>
              </w:rPr>
            </w:pPr>
            <w:r>
              <w:rPr>
                <w:rFonts w:ascii="Arial" w:cs="Arial" w:eastAsia="Arial" w:hAnsi="Arial"/>
                <w:sz w:val="12"/>
                <w:szCs w:val="12"/>
                <w:color w:val="auto"/>
              </w:rPr>
              <w:t>Total liabilities and stockholders’ equity</w:t>
            </w:r>
          </w:p>
        </w:tc>
        <w:tc>
          <w:tcPr>
            <w:tcW w:w="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u w:val="single" w:color="auto"/>
                <w:color w:val="auto"/>
                <w:w w:val="89"/>
              </w:rPr>
              <w:t>$</w:t>
            </w: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6"/>
              </w:rPr>
              <w:t>1,007,871</w:t>
            </w:r>
          </w:p>
        </w:tc>
        <w:tc>
          <w:tcPr>
            <w:tcW w:w="3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7"/>
              </w:rPr>
              <w:t>748,755</w:t>
            </w:r>
          </w:p>
        </w:tc>
        <w:tc>
          <w:tcPr>
            <w:tcW w:w="2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923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-290830</wp:posOffset>
            </wp:positionV>
            <wp:extent cx="72923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-1091565</wp:posOffset>
            </wp:positionV>
            <wp:extent cx="72923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-1789430</wp:posOffset>
            </wp:positionV>
            <wp:extent cx="72923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-2664460</wp:posOffset>
            </wp:positionV>
            <wp:extent cx="72923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-3368040</wp:posOffset>
            </wp:positionV>
            <wp:extent cx="72923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-4060190</wp:posOffset>
            </wp:positionV>
            <wp:extent cx="914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-4060190</wp:posOffset>
            </wp:positionV>
            <wp:extent cx="914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MYR GROUP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INCOME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r>
        <w:trPr>
          <w:trHeight w:val="142"/>
        </w:trPr>
        <w:tc>
          <w:tcPr>
            <w:tcW w:w="7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2019</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2018</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2017</w:t>
            </w:r>
          </w:p>
        </w:tc>
        <w:tc>
          <w:tcPr>
            <w:tcW w:w="340" w:type="dxa"/>
            <w:vAlign w:val="bottom"/>
            <w:tcBorders>
              <w:bottom w:val="single" w:sz="8" w:color="auto"/>
            </w:tcBorders>
          </w:tcPr>
          <w:p>
            <w:pPr>
              <w:spacing w:after="0"/>
              <w:rPr>
                <w:sz w:val="12"/>
                <w:szCs w:val="12"/>
                <w:color w:val="auto"/>
              </w:rPr>
            </w:pPr>
          </w:p>
        </w:tc>
      </w:tr>
      <w:tr>
        <w:trPr>
          <w:trHeight w:val="169"/>
        </w:trPr>
        <w:tc>
          <w:tcPr>
            <w:tcW w:w="79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Contract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6"/>
              </w:rPr>
              <w:t>2,071,159</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1,531,169</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1,403,317</w:t>
            </w:r>
          </w:p>
        </w:tc>
        <w:tc>
          <w:tcPr>
            <w:tcW w:w="340" w:type="dxa"/>
            <w:vAlign w:val="bottom"/>
            <w:shd w:val="clear" w:color="auto" w:fill="CCEEFF"/>
          </w:tcPr>
          <w:p>
            <w:pPr>
              <w:spacing w:after="0"/>
              <w:rPr>
                <w:sz w:val="14"/>
                <w:szCs w:val="14"/>
                <w:color w:val="auto"/>
              </w:rPr>
            </w:pPr>
          </w:p>
        </w:tc>
      </w:tr>
      <w:tr>
        <w:trPr>
          <w:trHeight w:val="176"/>
        </w:trPr>
        <w:tc>
          <w:tcPr>
            <w:tcW w:w="7900" w:type="dxa"/>
            <w:vAlign w:val="bottom"/>
            <w:gridSpan w:val="3"/>
          </w:tcPr>
          <w:p>
            <w:pPr>
              <w:spacing w:after="0"/>
              <w:rPr>
                <w:sz w:val="20"/>
                <w:szCs w:val="20"/>
                <w:color w:val="auto"/>
              </w:rPr>
            </w:pPr>
            <w:r>
              <w:rPr>
                <w:rFonts w:ascii="Arial" w:cs="Arial" w:eastAsia="Arial" w:hAnsi="Arial"/>
                <w:sz w:val="12"/>
                <w:szCs w:val="12"/>
                <w:color w:val="auto"/>
              </w:rPr>
              <w:t>Contract costs</w:t>
            </w:r>
          </w:p>
        </w:tc>
        <w:tc>
          <w:tcPr>
            <w:tcW w:w="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w w:val="86"/>
              </w:rPr>
              <w:t>1,857,001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1,364,109</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1,278,313</w:t>
            </w:r>
          </w:p>
        </w:tc>
        <w:tc>
          <w:tcPr>
            <w:tcW w:w="340" w:type="dxa"/>
            <w:vAlign w:val="bottom"/>
          </w:tcPr>
          <w:p>
            <w:pPr>
              <w:spacing w:after="0"/>
              <w:rPr>
                <w:sz w:val="15"/>
                <w:szCs w:val="15"/>
                <w:color w:val="auto"/>
              </w:rPr>
            </w:pPr>
          </w:p>
        </w:tc>
      </w:tr>
      <w:tr>
        <w:trPr>
          <w:trHeight w:val="20"/>
        </w:trPr>
        <w:tc>
          <w:tcPr>
            <w:tcW w:w="7560" w:type="dxa"/>
            <w:vAlign w:val="bottom"/>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5"/>
        </w:trPr>
        <w:tc>
          <w:tcPr>
            <w:tcW w:w="79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Gross profit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214,158</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167,060</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125,004</w:t>
            </w:r>
          </w:p>
        </w:tc>
      </w:tr>
      <w:tr>
        <w:trPr>
          <w:trHeight w:val="171"/>
        </w:trPr>
        <w:tc>
          <w:tcPr>
            <w:tcW w:w="7900" w:type="dxa"/>
            <w:vAlign w:val="bottom"/>
            <w:gridSpan w:val="3"/>
          </w:tcPr>
          <w:p>
            <w:pPr>
              <w:spacing w:after="0"/>
              <w:rPr>
                <w:sz w:val="20"/>
                <w:szCs w:val="20"/>
                <w:color w:val="auto"/>
              </w:rPr>
            </w:pPr>
            <w:r>
              <w:rPr>
                <w:rFonts w:ascii="Arial" w:cs="Arial" w:eastAsia="Arial" w:hAnsi="Arial"/>
                <w:sz w:val="12"/>
                <w:szCs w:val="12"/>
                <w:color w:val="auto"/>
              </w:rPr>
              <w:t>Selling, general and administrative expenses</w:t>
            </w:r>
          </w:p>
        </w:tc>
        <w:tc>
          <w:tcPr>
            <w:tcW w:w="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156,674</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118,737</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98,611</w:t>
            </w:r>
          </w:p>
        </w:tc>
      </w:tr>
      <w:tr>
        <w:trPr>
          <w:trHeight w:val="171"/>
        </w:trPr>
        <w:tc>
          <w:tcPr>
            <w:tcW w:w="79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3,849</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1,843</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499</w:t>
            </w:r>
          </w:p>
        </w:tc>
      </w:tr>
      <w:tr>
        <w:trPr>
          <w:trHeight w:val="176"/>
        </w:trPr>
        <w:tc>
          <w:tcPr>
            <w:tcW w:w="7900" w:type="dxa"/>
            <w:vAlign w:val="bottom"/>
            <w:gridSpan w:val="3"/>
          </w:tcPr>
          <w:p>
            <w:pPr>
              <w:spacing w:after="0"/>
              <w:rPr>
                <w:sz w:val="20"/>
                <w:szCs w:val="20"/>
                <w:color w:val="auto"/>
              </w:rPr>
            </w:pPr>
            <w:r>
              <w:rPr>
                <w:rFonts w:ascii="Arial" w:cs="Arial" w:eastAsia="Arial" w:hAnsi="Arial"/>
                <w:sz w:val="12"/>
                <w:szCs w:val="12"/>
                <w:color w:val="auto"/>
              </w:rPr>
              <w:t>Gain on sale of property and equipment</w:t>
            </w:r>
          </w:p>
        </w:tc>
        <w:tc>
          <w:tcPr>
            <w:tcW w:w="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(3,543)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(3,832)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(3,664)</w:t>
            </w:r>
          </w:p>
        </w:tc>
      </w:tr>
      <w:tr>
        <w:trPr>
          <w:trHeight w:val="20"/>
        </w:trPr>
        <w:tc>
          <w:tcPr>
            <w:tcW w:w="7560" w:type="dxa"/>
            <w:vAlign w:val="bottom"/>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5"/>
        </w:trPr>
        <w:tc>
          <w:tcPr>
            <w:tcW w:w="79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Income from operations</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57,178</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50,312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29,558</w:t>
            </w:r>
          </w:p>
        </w:tc>
      </w:tr>
      <w:tr>
        <w:trPr>
          <w:trHeight w:val="171"/>
        </w:trPr>
        <w:tc>
          <w:tcPr>
            <w:tcW w:w="7900" w:type="dxa"/>
            <w:vAlign w:val="bottom"/>
            <w:gridSpan w:val="3"/>
          </w:tcPr>
          <w:p>
            <w:pPr>
              <w:spacing w:after="0"/>
              <w:rPr>
                <w:sz w:val="20"/>
                <w:szCs w:val="20"/>
                <w:color w:val="auto"/>
              </w:rPr>
            </w:pPr>
            <w:r>
              <w:rPr>
                <w:rFonts w:ascii="Arial" w:cs="Arial" w:eastAsia="Arial" w:hAnsi="Arial"/>
                <w:sz w:val="12"/>
                <w:szCs w:val="12"/>
                <w:color w:val="auto"/>
              </w:rPr>
              <w:t>Other income (expense):</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1"/>
        </w:trPr>
        <w:tc>
          <w:tcPr>
            <w:tcW w:w="79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w:t>
            </w:r>
          </w:p>
        </w:tc>
      </w:tr>
      <w:tr>
        <w:trPr>
          <w:trHeight w:val="171"/>
        </w:trPr>
        <w:tc>
          <w:tcPr>
            <w:tcW w:w="7900" w:type="dxa"/>
            <w:vAlign w:val="bottom"/>
            <w:gridSpan w:val="3"/>
          </w:tcPr>
          <w:p>
            <w:pPr>
              <w:ind w:left="12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(6,225)</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(3,652)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(2,603)</w:t>
            </w:r>
          </w:p>
        </w:tc>
      </w:tr>
      <w:tr>
        <w:trPr>
          <w:trHeight w:val="176"/>
        </w:trPr>
        <w:tc>
          <w:tcPr>
            <w:tcW w:w="74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(515)</w:t>
            </w:r>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(3,616)</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(2,319)</w:t>
            </w:r>
          </w:p>
        </w:tc>
      </w:tr>
      <w:tr>
        <w:trPr>
          <w:trHeight w:val="20"/>
        </w:trPr>
        <w:tc>
          <w:tcPr>
            <w:tcW w:w="7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5"/>
        </w:trPr>
        <w:tc>
          <w:tcPr>
            <w:tcW w:w="7900" w:type="dxa"/>
            <w:vAlign w:val="bottom"/>
            <w:gridSpan w:val="3"/>
          </w:tcPr>
          <w:p>
            <w:pPr>
              <w:ind w:left="240"/>
              <w:spacing w:after="0"/>
              <w:rPr>
                <w:sz w:val="20"/>
                <w:szCs w:val="20"/>
                <w:color w:val="auto"/>
              </w:rPr>
            </w:pPr>
            <w:r>
              <w:rPr>
                <w:rFonts w:ascii="Arial" w:cs="Arial" w:eastAsia="Arial" w:hAnsi="Arial"/>
                <w:sz w:val="12"/>
                <w:szCs w:val="12"/>
                <w:color w:val="auto"/>
              </w:rPr>
              <w:t>Income before income tax expense</w:t>
            </w:r>
          </w:p>
        </w:tc>
        <w:tc>
          <w:tcPr>
            <w:tcW w:w="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50,442</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43,068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24,640</w:t>
            </w:r>
          </w:p>
        </w:tc>
      </w:tr>
      <w:tr>
        <w:trPr>
          <w:trHeight w:val="176"/>
        </w:trPr>
        <w:tc>
          <w:tcPr>
            <w:tcW w:w="74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14,228</w:t>
            </w:r>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11,774</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3,486</w:t>
            </w:r>
          </w:p>
        </w:tc>
      </w:tr>
      <w:tr>
        <w:trPr>
          <w:trHeight w:val="20"/>
        </w:trPr>
        <w:tc>
          <w:tcPr>
            <w:tcW w:w="7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5"/>
        </w:trPr>
        <w:tc>
          <w:tcPr>
            <w:tcW w:w="7900" w:type="dxa"/>
            <w:vAlign w:val="bottom"/>
            <w:gridSpan w:val="3"/>
          </w:tcPr>
          <w:p>
            <w:pPr>
              <w:spacing w:after="0"/>
              <w:rPr>
                <w:sz w:val="20"/>
                <w:szCs w:val="20"/>
                <w:color w:val="auto"/>
              </w:rPr>
            </w:pPr>
            <w:r>
              <w:rPr>
                <w:rFonts w:ascii="Arial" w:cs="Arial" w:eastAsia="Arial" w:hAnsi="Arial"/>
                <w:sz w:val="12"/>
                <w:szCs w:val="12"/>
                <w:color w:val="auto"/>
              </w:rPr>
              <w:t>Net income</w:t>
            </w:r>
          </w:p>
        </w:tc>
        <w:tc>
          <w:tcPr>
            <w:tcW w:w="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36,214</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31,294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21,154</w:t>
            </w:r>
          </w:p>
        </w:tc>
      </w:tr>
      <w:tr>
        <w:trPr>
          <w:trHeight w:val="176"/>
        </w:trPr>
        <w:tc>
          <w:tcPr>
            <w:tcW w:w="742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(loss) attributable to noncontrolling interest</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(1,476)</w:t>
            </w:r>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207</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r>
      <w:tr>
        <w:trPr>
          <w:trHeight w:val="20"/>
        </w:trPr>
        <w:tc>
          <w:tcPr>
            <w:tcW w:w="7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81"/>
        </w:trPr>
        <w:tc>
          <w:tcPr>
            <w:tcW w:w="7900" w:type="dxa"/>
            <w:vAlign w:val="bottom"/>
            <w:gridSpan w:val="3"/>
          </w:tcPr>
          <w:p>
            <w:pPr>
              <w:spacing w:after="0"/>
              <w:rPr>
                <w:sz w:val="20"/>
                <w:szCs w:val="20"/>
                <w:color w:val="auto"/>
              </w:rPr>
            </w:pPr>
            <w:r>
              <w:rPr>
                <w:rFonts w:ascii="Arial" w:cs="Arial" w:eastAsia="Arial" w:hAnsi="Arial"/>
                <w:sz w:val="12"/>
                <w:szCs w:val="12"/>
                <w:color w:val="auto"/>
              </w:rPr>
              <w:t>Net income attributable to MYR Group Inc.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37,690</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31,087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21,154</w:t>
            </w:r>
          </w:p>
        </w:tc>
      </w:tr>
      <w:tr>
        <w:trPr>
          <w:trHeight w:val="144"/>
        </w:trPr>
        <w:tc>
          <w:tcPr>
            <w:tcW w:w="7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Income per common share attributable to MYR Group Inc.:</w:t>
            </w: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r>
      <w:tr>
        <w:trPr>
          <w:trHeight w:val="171"/>
        </w:trPr>
        <w:tc>
          <w:tcPr>
            <w:tcW w:w="7900" w:type="dxa"/>
            <w:vAlign w:val="bottom"/>
            <w:gridSpan w:val="3"/>
          </w:tcPr>
          <w:p>
            <w:pPr>
              <w:ind w:left="120"/>
              <w:spacing w:after="0"/>
              <w:rPr>
                <w:sz w:val="20"/>
                <w:szCs w:val="20"/>
                <w:color w:val="auto"/>
              </w:rPr>
            </w:pPr>
            <w:r>
              <w:rPr>
                <w:rFonts w:ascii="Arial" w:cs="Arial" w:eastAsia="Arial" w:hAnsi="Arial"/>
                <w:sz w:val="12"/>
                <w:szCs w:val="12"/>
                <w:color w:val="auto"/>
              </w:rPr>
              <w:t>– 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2.27</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1.89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1.30</w:t>
            </w:r>
          </w:p>
        </w:tc>
      </w:tr>
      <w:tr>
        <w:trPr>
          <w:trHeight w:val="171"/>
        </w:trPr>
        <w:tc>
          <w:tcPr>
            <w:tcW w:w="79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 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2.26</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1.87</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1.28</w:t>
            </w:r>
          </w:p>
        </w:tc>
      </w:tr>
      <w:tr>
        <w:trPr>
          <w:trHeight w:val="167"/>
        </w:trPr>
        <w:tc>
          <w:tcPr>
            <w:tcW w:w="7900" w:type="dxa"/>
            <w:vAlign w:val="bottom"/>
            <w:gridSpan w:val="3"/>
          </w:tcPr>
          <w:p>
            <w:pPr>
              <w:spacing w:after="0"/>
              <w:rPr>
                <w:sz w:val="20"/>
                <w:szCs w:val="20"/>
                <w:color w:val="auto"/>
              </w:rPr>
            </w:pPr>
            <w:r>
              <w:rPr>
                <w:rFonts w:ascii="Arial" w:cs="Arial" w:eastAsia="Arial" w:hAnsi="Arial"/>
                <w:sz w:val="12"/>
                <w:szCs w:val="12"/>
                <w:color w:val="auto"/>
              </w:rPr>
              <w:t>Weighted average number of common shares and potential common shares outstanding:</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6"/>
        </w:trPr>
        <w:tc>
          <w:tcPr>
            <w:tcW w:w="79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 Basic</w:t>
            </w: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16,587</w:t>
            </w:r>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16,441</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16,273</w:t>
            </w:r>
          </w:p>
        </w:tc>
      </w:tr>
      <w:tr>
        <w:trPr>
          <w:trHeight w:val="171"/>
        </w:trPr>
        <w:tc>
          <w:tcPr>
            <w:tcW w:w="7900" w:type="dxa"/>
            <w:vAlign w:val="bottom"/>
            <w:gridSpan w:val="3"/>
          </w:tcPr>
          <w:p>
            <w:pPr>
              <w:ind w:left="120"/>
              <w:spacing w:after="0"/>
              <w:rPr>
                <w:sz w:val="20"/>
                <w:szCs w:val="20"/>
                <w:color w:val="auto"/>
              </w:rPr>
            </w:pPr>
            <w:r>
              <w:rPr>
                <w:rFonts w:ascii="Arial" w:cs="Arial" w:eastAsia="Arial" w:hAnsi="Arial"/>
                <w:sz w:val="12"/>
                <w:szCs w:val="12"/>
                <w:color w:val="auto"/>
              </w:rPr>
              <w:t>– Diluted</w:t>
            </w:r>
          </w:p>
        </w:tc>
        <w:tc>
          <w:tcPr>
            <w:tcW w:w="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color w:val="auto"/>
              </w:rPr>
              <w:t>16,699</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16,585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16,496</w:t>
            </w:r>
          </w:p>
        </w:tc>
      </w:tr>
      <w:tr>
        <w:trPr>
          <w:trHeight w:val="171"/>
        </w:trPr>
        <w:tc>
          <w:tcPr>
            <w:tcW w:w="79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36,214</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31,294</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21,154</w:t>
            </w:r>
          </w:p>
        </w:tc>
      </w:tr>
      <w:tr>
        <w:trPr>
          <w:trHeight w:val="171"/>
        </w:trPr>
        <w:tc>
          <w:tcPr>
            <w:tcW w:w="7900" w:type="dxa"/>
            <w:vAlign w:val="bottom"/>
            <w:gridSpan w:val="3"/>
          </w:tcPr>
          <w:p>
            <w:pPr>
              <w:spacing w:after="0"/>
              <w:rPr>
                <w:sz w:val="20"/>
                <w:szCs w:val="20"/>
                <w:color w:val="auto"/>
              </w:rPr>
            </w:pPr>
            <w:r>
              <w:rPr>
                <w:rFonts w:ascii="Arial" w:cs="Arial" w:eastAsia="Arial" w:hAnsi="Arial"/>
                <w:sz w:val="12"/>
                <w:szCs w:val="12"/>
                <w:color w:val="auto"/>
              </w:rPr>
              <w:t>Other comprehensive income (loss):</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6"/>
        </w:trPr>
        <w:tc>
          <w:tcPr>
            <w:tcW w:w="74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currency translation adjustment</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(253)</w:t>
            </w:r>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106</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134</w:t>
            </w:r>
          </w:p>
        </w:tc>
      </w:tr>
      <w:tr>
        <w:trPr>
          <w:trHeight w:val="20"/>
        </w:trPr>
        <w:tc>
          <w:tcPr>
            <w:tcW w:w="7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9"/>
        </w:trPr>
        <w:tc>
          <w:tcPr>
            <w:tcW w:w="7900" w:type="dxa"/>
            <w:vAlign w:val="bottom"/>
            <w:gridSpan w:val="3"/>
          </w:tcPr>
          <w:p>
            <w:pPr>
              <w:spacing w:after="0"/>
              <w:rPr>
                <w:sz w:val="20"/>
                <w:szCs w:val="20"/>
                <w:color w:val="auto"/>
              </w:rPr>
            </w:pPr>
            <w:r>
              <w:rPr>
                <w:rFonts w:ascii="Arial" w:cs="Arial" w:eastAsia="Arial" w:hAnsi="Arial"/>
                <w:sz w:val="12"/>
                <w:szCs w:val="12"/>
                <w:color w:val="auto"/>
              </w:rPr>
              <w:t>Other comprehensive income (loss)</w:t>
            </w: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(253)</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106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134</w:t>
            </w:r>
          </w:p>
        </w:tc>
      </w:tr>
      <w:tr>
        <w:trPr>
          <w:trHeight w:val="20"/>
        </w:trPr>
        <w:tc>
          <w:tcPr>
            <w:tcW w:w="7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5"/>
        </w:trPr>
        <w:tc>
          <w:tcPr>
            <w:tcW w:w="79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comprehensive income</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35,961</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31,400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21,288</w:t>
            </w:r>
          </w:p>
        </w:tc>
      </w:tr>
      <w:tr>
        <w:trPr>
          <w:trHeight w:val="176"/>
        </w:trPr>
        <w:tc>
          <w:tcPr>
            <w:tcW w:w="7900" w:type="dxa"/>
            <w:vAlign w:val="bottom"/>
            <w:gridSpan w:val="3"/>
          </w:tcPr>
          <w:p>
            <w:pPr>
              <w:spacing w:after="0"/>
              <w:rPr>
                <w:sz w:val="20"/>
                <w:szCs w:val="20"/>
                <w:color w:val="auto"/>
              </w:rPr>
            </w:pPr>
            <w:r>
              <w:rPr>
                <w:rFonts w:ascii="Arial" w:cs="Arial" w:eastAsia="Arial" w:hAnsi="Arial"/>
                <w:sz w:val="12"/>
                <w:szCs w:val="12"/>
                <w:color w:val="auto"/>
              </w:rPr>
              <w:t>Less: net income (loss) attributable to noncontrolling interest</w:t>
            </w:r>
          </w:p>
        </w:tc>
        <w:tc>
          <w:tcPr>
            <w:tcW w:w="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(1,476)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207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r>
      <w:tr>
        <w:trPr>
          <w:trHeight w:val="20"/>
        </w:trPr>
        <w:tc>
          <w:tcPr>
            <w:tcW w:w="7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9"/>
        </w:trPr>
        <w:tc>
          <w:tcPr>
            <w:tcW w:w="79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comprehensive income attributable to MYR Group Inc.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37,437</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31,193</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21,288</w:t>
            </w:r>
          </w:p>
        </w:tc>
      </w:tr>
      <w:tr>
        <w:trPr>
          <w:trHeight w:val="32"/>
        </w:trPr>
        <w:tc>
          <w:tcPr>
            <w:tcW w:w="7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7075805</wp:posOffset>
            </wp:positionH>
            <wp:positionV relativeFrom="paragraph">
              <wp:posOffset>-136525</wp:posOffset>
            </wp:positionV>
            <wp:extent cx="21145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67316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1635" cy="571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-365125</wp:posOffset>
            </wp:positionV>
            <wp:extent cx="21145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67316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1635" cy="571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-2601595</wp:posOffset>
            </wp:positionV>
            <wp:extent cx="2114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-2601595</wp:posOffset>
            </wp:positionV>
            <wp:extent cx="67316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1635" cy="571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-3048000</wp:posOffset>
            </wp:positionV>
            <wp:extent cx="21145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-3048000</wp:posOffset>
            </wp:positionV>
            <wp:extent cx="67316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1635" cy="5715"/>
                    </a:xfrm>
                    <a:prstGeom prst="rect">
                      <a:avLst/>
                    </a:prstGeom>
                    <a:noFill/>
                  </pic:spPr>
                </pic:pic>
              </a:graphicData>
            </a:graphic>
          </wp:anchor>
        </w:drawing>
        <w:drawing>
          <wp:anchor simplePos="0" relativeHeight="251657728" behindDoc="1" locked="0" layoutInCell="0" allowOverlap="1">
            <wp:simplePos x="0" y="0"/>
            <wp:positionH relativeFrom="column">
              <wp:posOffset>6423660</wp:posOffset>
            </wp:positionH>
            <wp:positionV relativeFrom="paragraph">
              <wp:posOffset>-3276600</wp:posOffset>
            </wp:positionV>
            <wp:extent cx="914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-3276600</wp:posOffset>
            </wp:positionV>
            <wp:extent cx="914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4713605</wp:posOffset>
            </wp:positionH>
            <wp:positionV relativeFrom="paragraph">
              <wp:posOffset>-3276600</wp:posOffset>
            </wp:positionV>
            <wp:extent cx="914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1" w:name="page62"/>
    <w:bookmarkEnd w:id="61"/>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MYR GROUP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9"/>
              </w:rPr>
              <w:t>Accumulated</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rPr>
              <w:t>MYR</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6"/>
            <w:vMerge w:val="restart"/>
          </w:tcPr>
          <w:p>
            <w:pPr>
              <w:jc w:val="right"/>
              <w:ind w:right="280"/>
              <w:spacing w:after="0"/>
              <w:rPr>
                <w:sz w:val="20"/>
                <w:szCs w:val="20"/>
                <w:color w:val="auto"/>
              </w:rPr>
            </w:pPr>
            <w:r>
              <w:rPr>
                <w:rFonts w:ascii="Arial" w:cs="Arial" w:eastAsia="Arial" w:hAnsi="Arial"/>
                <w:sz w:val="10"/>
                <w:szCs w:val="10"/>
                <w:b w:val="1"/>
                <w:bCs w:val="1"/>
                <w:color w:val="auto"/>
              </w:rPr>
              <w:t>Common Stock</w:t>
            </w:r>
          </w:p>
        </w:tc>
        <w:tc>
          <w:tcPr>
            <w:tcW w:w="60" w:type="dxa"/>
            <w:vAlign w:val="bottom"/>
          </w:tcPr>
          <w:p>
            <w:pPr>
              <w:spacing w:after="0"/>
              <w:rPr>
                <w:sz w:val="9"/>
                <w:szCs w:val="9"/>
                <w:color w:val="auto"/>
              </w:rPr>
            </w:pPr>
          </w:p>
        </w:tc>
        <w:tc>
          <w:tcPr>
            <w:tcW w:w="900" w:type="dxa"/>
            <w:vAlign w:val="bottom"/>
            <w:gridSpan w:val="4"/>
          </w:tcPr>
          <w:p>
            <w:pPr>
              <w:jc w:val="center"/>
              <w:ind w:right="60"/>
              <w:spacing w:after="0" w:line="108" w:lineRule="exact"/>
              <w:rPr>
                <w:sz w:val="20"/>
                <w:szCs w:val="20"/>
                <w:color w:val="auto"/>
              </w:rPr>
            </w:pPr>
            <w:r>
              <w:rPr>
                <w:rFonts w:ascii="Arial" w:cs="Arial" w:eastAsia="Arial" w:hAnsi="Arial"/>
                <w:sz w:val="10"/>
                <w:szCs w:val="10"/>
                <w:b w:val="1"/>
                <w:bCs w:val="1"/>
                <w:color w:val="auto"/>
                <w:w w:val="89"/>
              </w:rPr>
              <w:t>Additional</w:t>
            </w:r>
          </w:p>
        </w:tc>
        <w:tc>
          <w:tcPr>
            <w:tcW w:w="1180" w:type="dxa"/>
            <w:vAlign w:val="bottom"/>
            <w:gridSpan w:val="4"/>
          </w:tcPr>
          <w:p>
            <w:pPr>
              <w:jc w:val="center"/>
              <w:ind w:right="60"/>
              <w:spacing w:after="0" w:line="108" w:lineRule="exact"/>
              <w:rPr>
                <w:sz w:val="20"/>
                <w:szCs w:val="20"/>
                <w:color w:val="auto"/>
              </w:rPr>
            </w:pPr>
            <w:r>
              <w:rPr>
                <w:rFonts w:ascii="Arial" w:cs="Arial" w:eastAsia="Arial" w:hAnsi="Arial"/>
                <w:sz w:val="10"/>
                <w:szCs w:val="10"/>
                <w:b w:val="1"/>
                <w:bCs w:val="1"/>
                <w:color w:val="auto"/>
                <w:w w:val="89"/>
              </w:rPr>
              <w:t>Other</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4"/>
          </w:tcPr>
          <w:p>
            <w:pPr>
              <w:jc w:val="center"/>
              <w:ind w:right="80"/>
              <w:spacing w:after="0" w:line="108" w:lineRule="exact"/>
              <w:rPr>
                <w:sz w:val="20"/>
                <w:szCs w:val="20"/>
                <w:color w:val="auto"/>
              </w:rPr>
            </w:pPr>
            <w:r>
              <w:rPr>
                <w:rFonts w:ascii="Arial" w:cs="Arial" w:eastAsia="Arial" w:hAnsi="Arial"/>
                <w:sz w:val="10"/>
                <w:szCs w:val="10"/>
                <w:b w:val="1"/>
                <w:bCs w:val="1"/>
                <w:color w:val="auto"/>
                <w:w w:val="87"/>
              </w:rPr>
              <w:t>Group Inc.</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4"/>
            <w:vMerge w:val="restart"/>
          </w:tcPr>
          <w:p>
            <w:pPr>
              <w:jc w:val="center"/>
              <w:ind w:right="60"/>
              <w:spacing w:after="0" w:line="108" w:lineRule="exact"/>
              <w:rPr>
                <w:sz w:val="20"/>
                <w:szCs w:val="20"/>
                <w:color w:val="auto"/>
              </w:rPr>
            </w:pPr>
            <w:r>
              <w:rPr>
                <w:rFonts w:ascii="Arial" w:cs="Arial" w:eastAsia="Arial" w:hAnsi="Arial"/>
                <w:sz w:val="10"/>
                <w:szCs w:val="10"/>
                <w:b w:val="1"/>
                <w:bCs w:val="1"/>
                <w:color w:val="auto"/>
                <w:w w:val="89"/>
              </w:rPr>
              <w:t>Preferred</w:t>
            </w: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gridSpan w:val="3"/>
            <w:vMerge w:val="restart"/>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Paid-In</w:t>
            </w:r>
          </w:p>
        </w:tc>
        <w:tc>
          <w:tcPr>
            <w:tcW w:w="1180" w:type="dxa"/>
            <w:vAlign w:val="bottom"/>
            <w:gridSpan w:val="4"/>
            <w:vMerge w:val="restart"/>
          </w:tcPr>
          <w:p>
            <w:pPr>
              <w:jc w:val="center"/>
              <w:ind w:right="60"/>
              <w:spacing w:after="0" w:line="108" w:lineRule="exact"/>
              <w:rPr>
                <w:sz w:val="20"/>
                <w:szCs w:val="20"/>
                <w:color w:val="auto"/>
              </w:rPr>
            </w:pPr>
            <w:r>
              <w:rPr>
                <w:rFonts w:ascii="Arial" w:cs="Arial" w:eastAsia="Arial" w:hAnsi="Arial"/>
                <w:sz w:val="10"/>
                <w:szCs w:val="10"/>
                <w:b w:val="1"/>
                <w:bCs w:val="1"/>
                <w:color w:val="auto"/>
                <w:w w:val="85"/>
              </w:rPr>
              <w:t>Comprehensive</w:t>
            </w:r>
          </w:p>
        </w:tc>
        <w:tc>
          <w:tcPr>
            <w:tcW w:w="200" w:type="dxa"/>
            <w:vAlign w:val="bottom"/>
          </w:tcPr>
          <w:p>
            <w:pPr>
              <w:spacing w:after="0"/>
              <w:rPr>
                <w:sz w:val="5"/>
                <w:szCs w:val="5"/>
                <w:color w:val="auto"/>
              </w:rPr>
            </w:pPr>
          </w:p>
        </w:tc>
        <w:tc>
          <w:tcPr>
            <w:tcW w:w="620" w:type="dxa"/>
            <w:vAlign w:val="bottom"/>
            <w:gridSpan w:val="3"/>
            <w:vMerge w:val="restart"/>
          </w:tcPr>
          <w:p>
            <w:pPr>
              <w:jc w:val="right"/>
              <w:ind w:right="260"/>
              <w:spacing w:after="0" w:line="108" w:lineRule="exact"/>
              <w:rPr>
                <w:sz w:val="20"/>
                <w:szCs w:val="20"/>
                <w:color w:val="auto"/>
              </w:rPr>
            </w:pPr>
            <w:r>
              <w:rPr>
                <w:rFonts w:ascii="Arial" w:cs="Arial" w:eastAsia="Arial" w:hAnsi="Arial"/>
                <w:sz w:val="10"/>
                <w:szCs w:val="10"/>
                <w:b w:val="1"/>
                <w:bCs w:val="1"/>
                <w:color w:val="auto"/>
                <w:w w:val="80"/>
              </w:rPr>
              <w:t>Retained</w:t>
            </w:r>
          </w:p>
        </w:tc>
        <w:tc>
          <w:tcPr>
            <w:tcW w:w="1120" w:type="dxa"/>
            <w:vAlign w:val="bottom"/>
            <w:gridSpan w:val="4"/>
            <w:vMerge w:val="restart"/>
          </w:tcPr>
          <w:p>
            <w:pPr>
              <w:jc w:val="center"/>
              <w:ind w:right="80"/>
              <w:spacing w:after="0" w:line="108" w:lineRule="exact"/>
              <w:rPr>
                <w:sz w:val="20"/>
                <w:szCs w:val="20"/>
                <w:color w:val="auto"/>
              </w:rPr>
            </w:pPr>
            <w:r>
              <w:rPr>
                <w:rFonts w:ascii="Arial" w:cs="Arial" w:eastAsia="Arial" w:hAnsi="Arial"/>
                <w:sz w:val="10"/>
                <w:szCs w:val="10"/>
                <w:b w:val="1"/>
                <w:bCs w:val="1"/>
                <w:color w:val="auto"/>
                <w:w w:val="83"/>
              </w:rPr>
              <w:t>Shareholders’</w:t>
            </w:r>
          </w:p>
        </w:tc>
        <w:tc>
          <w:tcPr>
            <w:tcW w:w="1360" w:type="dxa"/>
            <w:vAlign w:val="bottom"/>
            <w:gridSpan w:val="5"/>
            <w:vMerge w:val="restart"/>
          </w:tcPr>
          <w:p>
            <w:pPr>
              <w:ind w:left="240"/>
              <w:spacing w:after="0" w:line="108" w:lineRule="exact"/>
              <w:rPr>
                <w:sz w:val="20"/>
                <w:szCs w:val="20"/>
                <w:color w:val="auto"/>
              </w:rPr>
            </w:pPr>
            <w:r>
              <w:rPr>
                <w:rFonts w:ascii="Arial" w:cs="Arial" w:eastAsia="Arial" w:hAnsi="Arial"/>
                <w:sz w:val="10"/>
                <w:szCs w:val="10"/>
                <w:b w:val="1"/>
                <w:bCs w:val="1"/>
                <w:color w:val="auto"/>
              </w:rPr>
              <w:t>Noncontrolling</w:t>
            </w: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1120" w:type="dxa"/>
            <w:vAlign w:val="bottom"/>
            <w:gridSpan w:val="4"/>
            <w:vMerge w:val="continue"/>
          </w:tcPr>
          <w:p>
            <w:pPr>
              <w:spacing w:after="0" w:line="20" w:lineRule="exact"/>
              <w:rPr>
                <w:sz w:val="1"/>
                <w:szCs w:val="1"/>
                <w:color w:val="auto"/>
              </w:rPr>
            </w:pPr>
          </w:p>
        </w:tc>
        <w:tc>
          <w:tcPr>
            <w:tcW w:w="1360" w:type="dxa"/>
            <w:vAlign w:val="bottom"/>
            <w:gridSpan w:val="5"/>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7"/>
              </w:rPr>
              <w:t>Stock</w:t>
            </w: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2"/>
              </w:rPr>
              <w:t>Income (Loss)</w:t>
            </w: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1"/>
              </w:rPr>
              <w:t>Equity</w:t>
            </w: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rPr>
              <w:t>Interest</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2016</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w w:val="89"/>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16,333</w:t>
            </w:r>
          </w:p>
        </w:tc>
        <w:tc>
          <w:tcPr>
            <w:tcW w:w="6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$162</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0"/>
                <w:szCs w:val="10"/>
                <w:color w:val="auto"/>
              </w:rPr>
              <w:t>$140,100</w:t>
            </w:r>
          </w:p>
        </w:tc>
        <w:tc>
          <w:tcPr>
            <w:tcW w:w="80" w:type="dxa"/>
            <w:vAlign w:val="bottom"/>
            <w:shd w:val="clear" w:color="auto" w:fill="CCEEFF"/>
          </w:tcPr>
          <w:p>
            <w:pPr>
              <w:spacing w:after="0"/>
              <w:rPr>
                <w:sz w:val="10"/>
                <w:szCs w:val="10"/>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$(433)</w:t>
            </w:r>
          </w:p>
        </w:tc>
        <w:tc>
          <w:tcPr>
            <w:tcW w:w="6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$123,345</w:t>
            </w:r>
          </w:p>
        </w:tc>
        <w:tc>
          <w:tcPr>
            <w:tcW w:w="8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$263,174</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5"/>
                <w:szCs w:val="5"/>
                <w:color w:val="auto"/>
                <w:w w:val="70"/>
              </w:rPr>
              <w:t>$</w:t>
            </w: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6"/>
              </w:rPr>
              <w:t>$263,174</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Net income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0"/>
                <w:szCs w:val="1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0"/>
                <w:szCs w:val="10"/>
                <w:color w:val="auto"/>
              </w:rPr>
              <w:t>21,154</w:t>
            </w:r>
          </w:p>
        </w:tc>
        <w:tc>
          <w:tcPr>
            <w:tcW w:w="80" w:type="dxa"/>
            <w:vAlign w:val="bottom"/>
          </w:tcPr>
          <w:p>
            <w:pPr>
              <w:spacing w:after="0"/>
              <w:rPr>
                <w:sz w:val="10"/>
                <w:szCs w:val="1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21,154</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21,154</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Adjustment to adopt ASU No. 2016-09</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225</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0"/>
                <w:szCs w:val="10"/>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(225)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Stock issued under compensation plans, net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224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0"/>
                <w:szCs w:val="10"/>
                <w:color w:val="auto"/>
              </w:rPr>
              <w:t>2</w:t>
            </w:r>
          </w:p>
        </w:tc>
        <w:tc>
          <w:tcPr>
            <w:tcW w:w="880" w:type="dxa"/>
            <w:vAlign w:val="bottom"/>
            <w:gridSpan w:val="4"/>
          </w:tcPr>
          <w:p>
            <w:pPr>
              <w:jc w:val="right"/>
              <w:ind w:right="220"/>
              <w:spacing w:after="0"/>
              <w:rPr>
                <w:sz w:val="20"/>
                <w:szCs w:val="20"/>
                <w:color w:val="auto"/>
              </w:rPr>
            </w:pPr>
            <w:r>
              <w:rPr>
                <w:rFonts w:ascii="Arial" w:cs="Arial" w:eastAsia="Arial" w:hAnsi="Arial"/>
                <w:sz w:val="10"/>
                <w:szCs w:val="10"/>
                <w:color w:val="auto"/>
              </w:rPr>
              <w:t>1,230</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1,232</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1,232</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 expense</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0"/>
                <w:szCs w:val="10"/>
                <w:color w:val="auto"/>
              </w:rPr>
              <w:t>4,376</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4,376</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4,376</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Shares repurchased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500" w:type="dxa"/>
            <w:vAlign w:val="bottom"/>
            <w:gridSpan w:val="3"/>
          </w:tcPr>
          <w:p>
            <w:pPr>
              <w:jc w:val="right"/>
              <w:ind w:right="80"/>
              <w:spacing w:after="0"/>
              <w:rPr>
                <w:sz w:val="20"/>
                <w:szCs w:val="20"/>
                <w:color w:val="auto"/>
              </w:rPr>
            </w:pPr>
            <w:r>
              <w:rPr>
                <w:rFonts w:ascii="Arial" w:cs="Arial" w:eastAsia="Arial" w:hAnsi="Arial"/>
                <w:sz w:val="10"/>
                <w:szCs w:val="10"/>
                <w:color w:val="auto"/>
              </w:rPr>
              <w:t>(93)</w:t>
            </w:r>
          </w:p>
        </w:tc>
        <w:tc>
          <w:tcPr>
            <w:tcW w:w="60" w:type="dxa"/>
            <w:vAlign w:val="bottom"/>
          </w:tcPr>
          <w:p>
            <w:pPr>
              <w:spacing w:after="0"/>
              <w:rPr>
                <w:sz w:val="10"/>
                <w:szCs w:val="10"/>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0"/>
                <w:szCs w:val="10"/>
                <w:color w:val="auto"/>
              </w:rPr>
              <w:t>(1)</w:t>
            </w:r>
          </w:p>
        </w:tc>
        <w:tc>
          <w:tcPr>
            <w:tcW w:w="880" w:type="dxa"/>
            <w:vAlign w:val="bottom"/>
            <w:gridSpan w:val="4"/>
          </w:tcPr>
          <w:p>
            <w:pPr>
              <w:jc w:val="right"/>
              <w:ind w:right="180"/>
              <w:spacing w:after="0"/>
              <w:rPr>
                <w:sz w:val="20"/>
                <w:szCs w:val="20"/>
                <w:color w:val="auto"/>
              </w:rPr>
            </w:pPr>
            <w:r>
              <w:rPr>
                <w:rFonts w:ascii="Arial" w:cs="Arial" w:eastAsia="Arial" w:hAnsi="Arial"/>
                <w:sz w:val="10"/>
                <w:szCs w:val="10"/>
                <w:color w:val="auto"/>
              </w:rPr>
              <w:t>(2,025)</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0"/>
                <w:szCs w:val="10"/>
                <w:color w:val="auto"/>
              </w:rPr>
              <w:t>(1,033)</w:t>
            </w:r>
          </w:p>
        </w:tc>
        <w:tc>
          <w:tcPr>
            <w:tcW w:w="80" w:type="dxa"/>
            <w:vAlign w:val="bottom"/>
          </w:tcPr>
          <w:p>
            <w:pPr>
              <w:spacing w:after="0"/>
              <w:rPr>
                <w:sz w:val="10"/>
                <w:szCs w:val="1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0"/>
                <w:szCs w:val="10"/>
                <w:color w:val="auto"/>
              </w:rPr>
              <w:t>(3,059)</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(3,059)</w:t>
            </w: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Other comprehensive income</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0"/>
                <w:szCs w:val="10"/>
                <w:color w:val="auto"/>
              </w:rPr>
              <w:t>134</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134</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360" w:type="dxa"/>
            <w:vAlign w:val="bottom"/>
          </w:tcPr>
          <w:p>
            <w:pPr>
              <w:spacing w:after="0"/>
              <w:rPr>
                <w:sz w:val="20"/>
                <w:szCs w:val="20"/>
                <w:color w:val="auto"/>
              </w:rPr>
            </w:pPr>
            <w:r>
              <w:rPr>
                <w:rFonts w:ascii="Arial" w:cs="Arial" w:eastAsia="Arial" w:hAnsi="Arial"/>
                <w:sz w:val="10"/>
                <w:szCs w:val="10"/>
                <w:color w:val="auto"/>
              </w:rPr>
              <w:t>Stock issued – other</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28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28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2017</w:t>
            </w: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36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8"/>
              </w:rPr>
              <w:t>16,465</w:t>
            </w:r>
          </w:p>
        </w:tc>
        <w:tc>
          <w:tcPr>
            <w:tcW w:w="6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163</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0"/>
                <w:szCs w:val="10"/>
                <w:color w:val="auto"/>
              </w:rPr>
              <w:t>143,934</w:t>
            </w:r>
          </w:p>
        </w:tc>
        <w:tc>
          <w:tcPr>
            <w:tcW w:w="80" w:type="dxa"/>
            <w:vAlign w:val="bottom"/>
            <w:shd w:val="clear" w:color="auto" w:fill="CCEEFF"/>
          </w:tcPr>
          <w:p>
            <w:pPr>
              <w:spacing w:after="0"/>
              <w:rPr>
                <w:sz w:val="10"/>
                <w:szCs w:val="10"/>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(299)</w:t>
            </w:r>
          </w:p>
        </w:tc>
        <w:tc>
          <w:tcPr>
            <w:tcW w:w="6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143,241</w:t>
            </w:r>
          </w:p>
        </w:tc>
        <w:tc>
          <w:tcPr>
            <w:tcW w:w="8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287,039</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287,039</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Net income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0"/>
                <w:szCs w:val="1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0"/>
                <w:szCs w:val="10"/>
                <w:color w:val="auto"/>
              </w:rPr>
              <w:t>31,087</w:t>
            </w:r>
          </w:p>
        </w:tc>
        <w:tc>
          <w:tcPr>
            <w:tcW w:w="80" w:type="dxa"/>
            <w:vAlign w:val="bottom"/>
          </w:tcPr>
          <w:p>
            <w:pPr>
              <w:spacing w:after="0"/>
              <w:rPr>
                <w:sz w:val="10"/>
                <w:szCs w:val="1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31,087</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207</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31,294</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Adjustment to adopt ASC 606</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0"/>
                <w:szCs w:val="10"/>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695</w:t>
            </w:r>
          </w:p>
        </w:tc>
        <w:tc>
          <w:tcPr>
            <w:tcW w:w="8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695</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695</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Stock issued under compensation plans, net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132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0"/>
                <w:szCs w:val="10"/>
                <w:color w:val="auto"/>
              </w:rPr>
              <w:t>2</w:t>
            </w:r>
          </w:p>
        </w:tc>
        <w:tc>
          <w:tcPr>
            <w:tcW w:w="880" w:type="dxa"/>
            <w:vAlign w:val="bottom"/>
            <w:gridSpan w:val="4"/>
          </w:tcPr>
          <w:p>
            <w:pPr>
              <w:jc w:val="right"/>
              <w:ind w:right="220"/>
              <w:spacing w:after="0"/>
              <w:rPr>
                <w:sz w:val="20"/>
                <w:szCs w:val="20"/>
                <w:color w:val="auto"/>
              </w:rPr>
            </w:pPr>
            <w:r>
              <w:rPr>
                <w:rFonts w:ascii="Arial" w:cs="Arial" w:eastAsia="Arial" w:hAnsi="Arial"/>
                <w:sz w:val="10"/>
                <w:szCs w:val="10"/>
                <w:color w:val="auto"/>
              </w:rPr>
              <w:t>1,895</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1,897</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1,897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 expense</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0"/>
                <w:szCs w:val="10"/>
                <w:color w:val="auto"/>
              </w:rPr>
              <w:t>3,165</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3,165</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3,165</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Shares repurchased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500" w:type="dxa"/>
            <w:vAlign w:val="bottom"/>
            <w:gridSpan w:val="3"/>
          </w:tcPr>
          <w:p>
            <w:pPr>
              <w:jc w:val="right"/>
              <w:ind w:right="80"/>
              <w:spacing w:after="0"/>
              <w:rPr>
                <w:sz w:val="20"/>
                <w:szCs w:val="20"/>
                <w:color w:val="auto"/>
              </w:rPr>
            </w:pPr>
            <w:r>
              <w:rPr>
                <w:rFonts w:ascii="Arial" w:cs="Arial" w:eastAsia="Arial" w:hAnsi="Arial"/>
                <w:sz w:val="10"/>
                <w:szCs w:val="10"/>
                <w:color w:val="auto"/>
              </w:rPr>
              <w:t>(33)</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4"/>
          </w:tcPr>
          <w:p>
            <w:pPr>
              <w:jc w:val="right"/>
              <w:ind w:right="180"/>
              <w:spacing w:after="0"/>
              <w:rPr>
                <w:sz w:val="20"/>
                <w:szCs w:val="20"/>
                <w:color w:val="auto"/>
              </w:rPr>
            </w:pPr>
            <w:r>
              <w:rPr>
                <w:rFonts w:ascii="Arial" w:cs="Arial" w:eastAsia="Arial" w:hAnsi="Arial"/>
                <w:sz w:val="10"/>
                <w:szCs w:val="10"/>
                <w:color w:val="auto"/>
              </w:rPr>
              <w:t>(756)</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0"/>
                <w:szCs w:val="10"/>
                <w:color w:val="auto"/>
              </w:rPr>
              <w:t>(287)</w:t>
            </w:r>
          </w:p>
        </w:tc>
        <w:tc>
          <w:tcPr>
            <w:tcW w:w="80" w:type="dxa"/>
            <w:vAlign w:val="bottom"/>
          </w:tcPr>
          <w:p>
            <w:pPr>
              <w:spacing w:after="0"/>
              <w:rPr>
                <w:sz w:val="10"/>
                <w:szCs w:val="1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0"/>
                <w:szCs w:val="10"/>
                <w:color w:val="auto"/>
              </w:rPr>
              <w:t>(1,043)</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(1,043)</w:t>
            </w: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Noncontrolling interest acquired</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7"/>
              </w:rPr>
              <w:t>1,273</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1,273</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Other comprehensive income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1120" w:type="dxa"/>
            <w:vAlign w:val="bottom"/>
            <w:gridSpan w:val="3"/>
          </w:tcPr>
          <w:p>
            <w:pPr>
              <w:jc w:val="right"/>
              <w:ind w:right="440"/>
              <w:spacing w:after="0"/>
              <w:rPr>
                <w:sz w:val="20"/>
                <w:szCs w:val="20"/>
                <w:color w:val="auto"/>
              </w:rPr>
            </w:pPr>
            <w:r>
              <w:rPr>
                <w:rFonts w:ascii="Arial" w:cs="Arial" w:eastAsia="Arial" w:hAnsi="Arial"/>
                <w:sz w:val="10"/>
                <w:szCs w:val="10"/>
                <w:color w:val="auto"/>
              </w:rPr>
              <w:t>106</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106</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106</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Stock issued – other</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38</w:t>
            </w:r>
          </w:p>
        </w:tc>
        <w:tc>
          <w:tcPr>
            <w:tcW w:w="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360" w:type="dxa"/>
            <w:vAlign w:val="bottom"/>
          </w:tcPr>
          <w:p>
            <w:pPr>
              <w:spacing w:after="0"/>
              <w:rPr>
                <w:sz w:val="20"/>
                <w:szCs w:val="20"/>
                <w:color w:val="auto"/>
              </w:rPr>
            </w:pPr>
            <w:r>
              <w:rPr>
                <w:rFonts w:ascii="Arial" w:cs="Arial" w:eastAsia="Arial" w:hAnsi="Arial"/>
                <w:sz w:val="10"/>
                <w:szCs w:val="10"/>
                <w:b w:val="1"/>
                <w:bCs w:val="1"/>
                <w:color w:val="auto"/>
              </w:rPr>
              <w:t>Balance at December 31, 2018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w w:val="78"/>
              </w:rPr>
              <w:t>16,565</w:t>
            </w:r>
          </w:p>
        </w:tc>
        <w:tc>
          <w:tcPr>
            <w:tcW w:w="60" w:type="dxa"/>
            <w:vAlign w:val="bottom"/>
          </w:tcPr>
          <w:p>
            <w:pPr>
              <w:spacing w:after="0"/>
              <w:rPr>
                <w:sz w:val="10"/>
                <w:szCs w:val="10"/>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0"/>
                <w:szCs w:val="10"/>
                <w:color w:val="auto"/>
              </w:rPr>
              <w:t>165</w:t>
            </w:r>
          </w:p>
        </w:tc>
        <w:tc>
          <w:tcPr>
            <w:tcW w:w="880" w:type="dxa"/>
            <w:vAlign w:val="bottom"/>
            <w:gridSpan w:val="4"/>
          </w:tcPr>
          <w:p>
            <w:pPr>
              <w:jc w:val="right"/>
              <w:ind w:right="220"/>
              <w:spacing w:after="0"/>
              <w:rPr>
                <w:sz w:val="20"/>
                <w:szCs w:val="20"/>
                <w:color w:val="auto"/>
              </w:rPr>
            </w:pPr>
            <w:r>
              <w:rPr>
                <w:rFonts w:ascii="Arial" w:cs="Arial" w:eastAsia="Arial" w:hAnsi="Arial"/>
                <w:sz w:val="10"/>
                <w:szCs w:val="10"/>
                <w:color w:val="auto"/>
              </w:rPr>
              <w:t>148,276</w:t>
            </w:r>
          </w:p>
        </w:tc>
        <w:tc>
          <w:tcPr>
            <w:tcW w:w="80" w:type="dxa"/>
            <w:vAlign w:val="bottom"/>
          </w:tcPr>
          <w:p>
            <w:pPr>
              <w:spacing w:after="0"/>
              <w:rPr>
                <w:sz w:val="10"/>
                <w:szCs w:val="10"/>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0"/>
                <w:szCs w:val="10"/>
                <w:color w:val="auto"/>
              </w:rPr>
              <w:t>(193)</w:t>
            </w:r>
          </w:p>
        </w:tc>
        <w:tc>
          <w:tcPr>
            <w:tcW w:w="60" w:type="dxa"/>
            <w:vAlign w:val="bottom"/>
          </w:tcPr>
          <w:p>
            <w:pPr>
              <w:spacing w:after="0"/>
              <w:rPr>
                <w:sz w:val="10"/>
                <w:szCs w:val="10"/>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0"/>
                <w:szCs w:val="10"/>
                <w:color w:val="auto"/>
              </w:rPr>
              <w:t>174,736</w:t>
            </w:r>
          </w:p>
        </w:tc>
        <w:tc>
          <w:tcPr>
            <w:tcW w:w="80" w:type="dxa"/>
            <w:vAlign w:val="bottom"/>
          </w:tcPr>
          <w:p>
            <w:pPr>
              <w:spacing w:after="0"/>
              <w:rPr>
                <w:sz w:val="10"/>
                <w:szCs w:val="1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322,984</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w w:val="87"/>
              </w:rPr>
              <w:t>1,480</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9"/>
              </w:rPr>
              <w:t>324,464</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0"/>
                <w:szCs w:val="10"/>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37,690</w:t>
            </w:r>
          </w:p>
        </w:tc>
        <w:tc>
          <w:tcPr>
            <w:tcW w:w="8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37,690</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0"/>
                <w:szCs w:val="10"/>
                <w:color w:val="auto"/>
                <w:w w:val="81"/>
              </w:rPr>
              <w:t>(1,476)</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36,214</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Stock issued under compensation plans, net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105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0"/>
                <w:szCs w:val="10"/>
                <w:color w:val="auto"/>
              </w:rPr>
              <w:t>1</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340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341</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341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 expense</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0"/>
                <w:szCs w:val="10"/>
                <w:color w:val="auto"/>
              </w:rPr>
              <w:t>4,403</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4,403</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4,403</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Shares repurchased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500" w:type="dxa"/>
            <w:vAlign w:val="bottom"/>
            <w:gridSpan w:val="3"/>
          </w:tcPr>
          <w:p>
            <w:pPr>
              <w:jc w:val="right"/>
              <w:ind w:right="80"/>
              <w:spacing w:after="0"/>
              <w:rPr>
                <w:sz w:val="20"/>
                <w:szCs w:val="20"/>
                <w:color w:val="auto"/>
              </w:rPr>
            </w:pPr>
            <w:r>
              <w:rPr>
                <w:rFonts w:ascii="Arial" w:cs="Arial" w:eastAsia="Arial" w:hAnsi="Arial"/>
                <w:sz w:val="10"/>
                <w:szCs w:val="10"/>
                <w:color w:val="auto"/>
              </w:rPr>
              <w:t>(23)</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4"/>
          </w:tcPr>
          <w:p>
            <w:pPr>
              <w:jc w:val="right"/>
              <w:ind w:right="180"/>
              <w:spacing w:after="0"/>
              <w:rPr>
                <w:sz w:val="20"/>
                <w:szCs w:val="20"/>
                <w:color w:val="auto"/>
              </w:rPr>
            </w:pPr>
            <w:r>
              <w:rPr>
                <w:rFonts w:ascii="Arial" w:cs="Arial" w:eastAsia="Arial" w:hAnsi="Arial"/>
                <w:sz w:val="10"/>
                <w:szCs w:val="10"/>
                <w:color w:val="auto"/>
              </w:rPr>
              <w:t>(571)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0"/>
                <w:szCs w:val="10"/>
                <w:color w:val="auto"/>
              </w:rPr>
              <w:t>(207)</w:t>
            </w:r>
          </w:p>
        </w:tc>
        <w:tc>
          <w:tcPr>
            <w:tcW w:w="80" w:type="dxa"/>
            <w:vAlign w:val="bottom"/>
          </w:tcPr>
          <w:p>
            <w:pPr>
              <w:spacing w:after="0"/>
              <w:rPr>
                <w:sz w:val="10"/>
                <w:szCs w:val="1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0"/>
                <w:szCs w:val="10"/>
                <w:color w:val="auto"/>
              </w:rPr>
              <w:t>(778)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(778)</w:t>
            </w: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20"/>
                <w:szCs w:val="20"/>
                <w:color w:val="auto"/>
              </w:rPr>
            </w:pPr>
            <w:r>
              <w:rPr>
                <w:rFonts w:ascii="Arial" w:cs="Arial" w:eastAsia="Arial" w:hAnsi="Arial"/>
                <w:sz w:val="10"/>
                <w:szCs w:val="10"/>
                <w:color w:val="auto"/>
              </w:rPr>
              <w:t>Other comprehensive loss</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(253)</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(253)</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4"/>
            <w:shd w:val="clear" w:color="auto" w:fill="CCEEFF"/>
          </w:tcPr>
          <w:p>
            <w:pPr>
              <w:jc w:val="right"/>
              <w:ind w:right="6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(253)</w:t>
            </w:r>
          </w:p>
        </w:tc>
        <w:tc>
          <w:tcPr>
            <w:tcW w:w="0" w:type="dxa"/>
            <w:vAlign w:val="bottom"/>
          </w:tcPr>
          <w:p>
            <w:pPr>
              <w:spacing w:after="0"/>
              <w:rPr>
                <w:sz w:val="1"/>
                <w:szCs w:val="1"/>
                <w:color w:val="auto"/>
              </w:rPr>
            </w:pPr>
          </w:p>
        </w:tc>
      </w:tr>
      <w:tr>
        <w:trPr>
          <w:trHeight w:val="145"/>
        </w:trPr>
        <w:tc>
          <w:tcPr>
            <w:tcW w:w="3360" w:type="dxa"/>
            <w:vAlign w:val="bottom"/>
          </w:tcPr>
          <w:p>
            <w:pPr>
              <w:spacing w:after="0"/>
              <w:rPr>
                <w:sz w:val="20"/>
                <w:szCs w:val="20"/>
                <w:color w:val="auto"/>
              </w:rPr>
            </w:pPr>
            <w:r>
              <w:rPr>
                <w:rFonts w:ascii="Arial" w:cs="Arial" w:eastAsia="Arial" w:hAnsi="Arial"/>
                <w:sz w:val="10"/>
                <w:szCs w:val="10"/>
                <w:color w:val="auto"/>
              </w:rPr>
              <w:t>Stock issued – other</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0"/>
                <w:szCs w:val="10"/>
                <w:color w:val="auto"/>
              </w:rPr>
              <w:t>84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4"/>
          </w:tcPr>
          <w:p>
            <w:pPr>
              <w:jc w:val="right"/>
              <w:ind w:right="660"/>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84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2019</w:t>
            </w: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3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8"/>
              </w:rPr>
              <w:t>16,649</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$166</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0"/>
                <w:szCs w:val="10"/>
                <w:color w:val="auto"/>
              </w:rPr>
              <w:t>$152,532</w:t>
            </w: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color w:val="auto"/>
              </w:rPr>
              <w:t>$(446)</w:t>
            </w: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$212,219</w:t>
            </w:r>
          </w:p>
        </w:tc>
        <w:tc>
          <w:tcPr>
            <w:tcW w:w="8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$364,471</w:t>
            </w:r>
          </w:p>
        </w:tc>
        <w:tc>
          <w:tcPr>
            <w:tcW w:w="8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6"/>
              </w:rPr>
              <w:t>$364,475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3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7172960</wp:posOffset>
            </wp:positionH>
            <wp:positionV relativeFrom="paragraph">
              <wp:posOffset>-113665</wp:posOffset>
            </wp:positionV>
            <wp:extent cx="1143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-113665</wp:posOffset>
            </wp:positionV>
            <wp:extent cx="694309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43090" cy="5715"/>
                    </a:xfrm>
                    <a:prstGeom prst="rect">
                      <a:avLst/>
                    </a:prstGeom>
                    <a:noFill/>
                  </pic:spPr>
                </pic:pic>
              </a:graphicData>
            </a:graphic>
          </wp:anchor>
        </w:drawing>
        <w:drawing>
          <wp:anchor simplePos="0" relativeHeight="251657728" behindDoc="1" locked="0" layoutInCell="0" allowOverlap="1">
            <wp:simplePos x="0" y="0"/>
            <wp:positionH relativeFrom="column">
              <wp:posOffset>7172960</wp:posOffset>
            </wp:positionH>
            <wp:positionV relativeFrom="paragraph">
              <wp:posOffset>-1440815</wp:posOffset>
            </wp:positionV>
            <wp:extent cx="11430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-1440815</wp:posOffset>
            </wp:positionV>
            <wp:extent cx="69430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43090" cy="571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-2104390</wp:posOffset>
            </wp:positionV>
            <wp:extent cx="4572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-2104390</wp:posOffset>
            </wp:positionV>
            <wp:extent cx="4572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-2104390</wp:posOffset>
            </wp:positionV>
            <wp:extent cx="4572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-2104390</wp:posOffset>
            </wp:positionV>
            <wp:extent cx="4572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4799330</wp:posOffset>
            </wp:positionH>
            <wp:positionV relativeFrom="paragraph">
              <wp:posOffset>-2104390</wp:posOffset>
            </wp:positionV>
            <wp:extent cx="4572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-2104390</wp:posOffset>
            </wp:positionV>
            <wp:extent cx="4572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-2104390</wp:posOffset>
            </wp:positionV>
            <wp:extent cx="4572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-2104390</wp:posOffset>
            </wp:positionV>
            <wp:extent cx="4572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-2104390</wp:posOffset>
            </wp:positionV>
            <wp:extent cx="914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2" w:name="page63"/>
    <w:bookmarkEnd w:id="62"/>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MYR GROUP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6"/>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180" w:type="dxa"/>
            <w:vAlign w:val="bottom"/>
            <w:gridSpan w:val="3"/>
          </w:tcPr>
          <w:p>
            <w:pPr>
              <w:spacing w:after="0" w:line="106" w:lineRule="exact"/>
              <w:rPr>
                <w:sz w:val="20"/>
                <w:szCs w:val="20"/>
                <w:color w:val="auto"/>
              </w:rPr>
            </w:pPr>
            <w:r>
              <w:rPr>
                <w:rFonts w:ascii="Arial" w:cs="Arial" w:eastAsia="Arial" w:hAnsi="Arial"/>
                <w:sz w:val="10"/>
                <w:szCs w:val="10"/>
                <w:b w:val="1"/>
                <w:bCs w:val="1"/>
                <w:color w:val="auto"/>
              </w:rPr>
              <w:t>(in thousands)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ind w:right="80"/>
              <w:spacing w:after="0" w:line="106" w:lineRule="exact"/>
              <w:rPr>
                <w:sz w:val="20"/>
                <w:szCs w:val="20"/>
                <w:color w:val="auto"/>
              </w:rPr>
            </w:pPr>
            <w:r>
              <w:rPr>
                <w:rFonts w:ascii="Arial" w:cs="Arial" w:eastAsia="Arial" w:hAnsi="Arial"/>
                <w:sz w:val="10"/>
                <w:szCs w:val="10"/>
                <w:b w:val="1"/>
                <w:bCs w:val="1"/>
                <w:color w:val="auto"/>
              </w:rPr>
              <w:t>2019</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jc w:val="right"/>
              <w:ind w:right="60"/>
              <w:spacing w:after="0" w:line="106" w:lineRule="exact"/>
              <w:rPr>
                <w:sz w:val="20"/>
                <w:szCs w:val="20"/>
                <w:color w:val="auto"/>
              </w:rPr>
            </w:pPr>
            <w:r>
              <w:rPr>
                <w:rFonts w:ascii="Arial" w:cs="Arial" w:eastAsia="Arial" w:hAnsi="Arial"/>
                <w:sz w:val="10"/>
                <w:szCs w:val="10"/>
                <w:b w:val="1"/>
                <w:bCs w:val="1"/>
                <w:color w:val="auto"/>
              </w:rPr>
              <w:t>2018</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60"/>
              <w:spacing w:after="0" w:line="106" w:lineRule="exact"/>
              <w:rPr>
                <w:sz w:val="20"/>
                <w:szCs w:val="20"/>
                <w:color w:val="auto"/>
              </w:rPr>
            </w:pPr>
            <w:r>
              <w:rPr>
                <w:rFonts w:ascii="Arial" w:cs="Arial" w:eastAsia="Arial" w:hAnsi="Arial"/>
                <w:sz w:val="10"/>
                <w:szCs w:val="10"/>
                <w:b w:val="1"/>
                <w:bCs w:val="1"/>
                <w:color w:val="auto"/>
                <w:w w:val="98"/>
              </w:rPr>
              <w:t>2017</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2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operating activities:</w:t>
            </w: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right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60" w:type="dxa"/>
            <w:vAlign w:val="bottom"/>
            <w:gridSpan w:val="4"/>
          </w:tcPr>
          <w:p>
            <w:pPr>
              <w:spacing w:after="0" w:line="135" w:lineRule="exact"/>
              <w:rPr>
                <w:sz w:val="20"/>
                <w:szCs w:val="20"/>
                <w:color w:val="auto"/>
              </w:rPr>
            </w:pPr>
            <w:r>
              <w:rPr>
                <w:rFonts w:ascii="Arial" w:cs="Arial" w:eastAsia="Arial" w:hAnsi="Arial"/>
                <w:sz w:val="12"/>
                <w:szCs w:val="12"/>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36,214</w:t>
            </w:r>
          </w:p>
        </w:tc>
        <w:tc>
          <w:tcPr>
            <w:tcW w:w="4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7"/>
              </w:rPr>
              <w:t>31,294</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w w:val="92"/>
              </w:rPr>
              <w:t>21,154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Adjustments to reconcile net income to net cash flows provided by (used in) 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Depreciation and amortization of property and equipment</w:t>
            </w:r>
          </w:p>
        </w:tc>
        <w:tc>
          <w:tcPr>
            <w:tcW w:w="8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40,667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7"/>
              </w:rPr>
              <w:t>38,070</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w w:val="92"/>
              </w:rPr>
              <w:t>38,077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Amortization of intangible assets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3,849</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1,843</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Stock-based compensation expense</w:t>
            </w:r>
          </w:p>
        </w:tc>
        <w:tc>
          <w:tcPr>
            <w:tcW w:w="8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4,403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3,165</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4,376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Deferred income taxes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3,602</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3,649</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w w:val="99"/>
              </w:rPr>
              <w:t>(5,091)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Gain on sale of property and equipment</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(3,543)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(3,832)</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9"/>
              </w:rPr>
              <w:t>(3,664)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Other non-cash items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1,029</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237</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1,194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Changes in operating assets and liabilities, net of acquisitions: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340"/>
              <w:spacing w:after="0" w:line="135" w:lineRule="exact"/>
              <w:rPr>
                <w:sz w:val="20"/>
                <w:szCs w:val="20"/>
                <w:color w:val="auto"/>
              </w:rPr>
            </w:pPr>
            <w:r>
              <w:rPr>
                <w:rFonts w:ascii="Arial" w:cs="Arial" w:eastAsia="Arial" w:hAnsi="Arial"/>
                <w:sz w:val="12"/>
                <w:szCs w:val="12"/>
                <w:color w:val="auto"/>
              </w:rPr>
              <w:t>Accounts receivable, net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98"/>
              </w:rPr>
              <w:t>(39,710)</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w w:val="89"/>
              </w:rPr>
              <w:t>(15,871)</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w w:val="84"/>
              </w:rPr>
              <w:t>(35,944)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340"/>
              <w:spacing w:after="0" w:line="135" w:lineRule="exact"/>
              <w:rPr>
                <w:sz w:val="20"/>
                <w:szCs w:val="20"/>
                <w:color w:val="auto"/>
              </w:rPr>
            </w:pPr>
            <w:r>
              <w:rPr>
                <w:rFonts w:ascii="Arial" w:cs="Arial" w:eastAsia="Arial" w:hAnsi="Arial"/>
                <w:sz w:val="12"/>
                <w:szCs w:val="12"/>
                <w:color w:val="auto"/>
              </w:rPr>
              <w:t>Contract assets</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8"/>
              </w:rPr>
              <w:t>(16,443)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9"/>
              </w:rPr>
              <w:t>(28,141)</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84"/>
              </w:rPr>
              <w:t>(17,857)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340"/>
              <w:spacing w:after="0" w:line="135" w:lineRule="exact"/>
              <w:rPr>
                <w:sz w:val="20"/>
                <w:szCs w:val="20"/>
                <w:color w:val="auto"/>
              </w:rPr>
            </w:pPr>
            <w:r>
              <w:rPr>
                <w:rFonts w:ascii="Arial" w:cs="Arial" w:eastAsia="Arial" w:hAnsi="Arial"/>
                <w:sz w:val="12"/>
                <w:szCs w:val="12"/>
                <w:color w:val="auto"/>
              </w:rPr>
              <w:t>Receivable for insurance claims in excess of deductibles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(9,646)</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(9,229)</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340"/>
              <w:spacing w:after="0" w:line="135" w:lineRule="exact"/>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8"/>
              </w:rPr>
              <w:t>(10,327)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2,280</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9"/>
              </w:rPr>
              <w:t>(2,213)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340"/>
              <w:spacing w:after="0" w:line="135" w:lineRule="exact"/>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22,492</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97"/>
              </w:rPr>
              <w:t>19,953</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8,149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340"/>
              <w:spacing w:after="0" w:line="135" w:lineRule="exact"/>
              <w:rPr>
                <w:sz w:val="20"/>
                <w:szCs w:val="20"/>
                <w:color w:val="auto"/>
              </w:rPr>
            </w:pPr>
            <w:r>
              <w:rPr>
                <w:rFonts w:ascii="Arial" w:cs="Arial" w:eastAsia="Arial" w:hAnsi="Arial"/>
                <w:sz w:val="12"/>
                <w:szCs w:val="12"/>
                <w:color w:val="auto"/>
              </w:rPr>
              <w:t>Contract liabilities</w:t>
            </w:r>
          </w:p>
        </w:tc>
        <w:tc>
          <w:tcPr>
            <w:tcW w:w="8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28,163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7"/>
              </w:rPr>
              <w:t>22,551</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84"/>
              </w:rPr>
              <w:t>(14,317)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340"/>
              <w:spacing w:after="0" w:line="135" w:lineRule="exact"/>
              <w:rPr>
                <w:sz w:val="20"/>
                <w:szCs w:val="20"/>
                <w:color w:val="auto"/>
              </w:rPr>
            </w:pPr>
            <w:r>
              <w:rPr>
                <w:rFonts w:ascii="Arial" w:cs="Arial" w:eastAsia="Arial" w:hAnsi="Arial"/>
                <w:sz w:val="12"/>
                <w:szCs w:val="12"/>
                <w:color w:val="auto"/>
              </w:rPr>
              <w:t>Accrued self-insurance</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12,755</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8,701</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2,765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40" w:type="dxa"/>
            <w:vAlign w:val="bottom"/>
            <w:gridSpan w:val="3"/>
          </w:tcPr>
          <w:p>
            <w:pPr>
              <w:ind w:left="340"/>
              <w:spacing w:after="0"/>
              <w:rPr>
                <w:sz w:val="20"/>
                <w:szCs w:val="20"/>
                <w:color w:val="auto"/>
              </w:rPr>
            </w:pPr>
            <w:r>
              <w:rPr>
                <w:rFonts w:ascii="Arial" w:cs="Arial" w:eastAsia="Arial" w:hAnsi="Arial"/>
                <w:sz w:val="12"/>
                <w:szCs w:val="12"/>
                <w:color w:val="auto"/>
              </w:rPr>
              <w:t>Other liabilities</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(8,606)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10,119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w w:val="99"/>
              </w:rPr>
              <w:t>(6,287)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shd w:val="clear" w:color="auto" w:fill="CCEEFF"/>
          </w:tcPr>
          <w:p>
            <w:pPr>
              <w:ind w:left="460"/>
              <w:spacing w:after="0"/>
              <w:rPr>
                <w:sz w:val="20"/>
                <w:szCs w:val="20"/>
                <w:color w:val="auto"/>
              </w:rPr>
            </w:pPr>
            <w:r>
              <w:rPr>
                <w:rFonts w:ascii="Arial" w:cs="Arial" w:eastAsia="Arial" w:hAnsi="Arial"/>
                <w:sz w:val="12"/>
                <w:szCs w:val="12"/>
                <w:color w:val="auto"/>
              </w:rPr>
              <w:t>Net cash flows provided by (used in) operating activities</w:t>
            </w: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64,899</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w w:val="97"/>
              </w:rPr>
              <w:t>84,789</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9"/>
              </w:rPr>
              <w:t>(9,198)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20" w:type="dxa"/>
            <w:vAlign w:val="bottom"/>
            <w:tcBorders>
              <w:top w:val="single" w:sz="8" w:color="CCEEFF"/>
            </w:tcBorders>
          </w:tcPr>
          <w:p>
            <w:pPr>
              <w:spacing w:after="0" w:line="124" w:lineRule="exact"/>
              <w:rPr>
                <w:sz w:val="20"/>
                <w:szCs w:val="20"/>
                <w:color w:val="auto"/>
              </w:rPr>
            </w:pPr>
            <w:r>
              <w:rPr>
                <w:rFonts w:ascii="Arial" w:cs="Arial" w:eastAsia="Arial" w:hAnsi="Arial"/>
                <w:sz w:val="12"/>
                <w:szCs w:val="12"/>
                <w:b w:val="1"/>
                <w:bCs w:val="1"/>
                <w:color w:val="auto"/>
              </w:rPr>
              <w:t>Cash flows from investing activities:</w:t>
            </w:r>
          </w:p>
        </w:tc>
        <w:tc>
          <w:tcPr>
            <w:tcW w:w="14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2"/>
                <w:szCs w:val="12"/>
                <w:color w:val="auto"/>
              </w:rPr>
              <w:t>Proceeds from sale of property and equipment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4,051</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4,583</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4,342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100"/>
              <w:spacing w:after="0" w:line="135" w:lineRule="exact"/>
              <w:rPr>
                <w:sz w:val="20"/>
                <w:szCs w:val="20"/>
                <w:color w:val="auto"/>
              </w:rPr>
            </w:pPr>
            <w:r>
              <w:rPr>
                <w:rFonts w:ascii="Arial" w:cs="Arial" w:eastAsia="Arial" w:hAnsi="Arial"/>
                <w:sz w:val="12"/>
                <w:szCs w:val="12"/>
                <w:color w:val="auto"/>
              </w:rPr>
              <w:t>Cash paid for acquisitions, net of cash acquired</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8"/>
              </w:rPr>
              <w:t>(79,720)</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9"/>
              </w:rPr>
              <w:t>(47,082)</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Purchases of property and equipment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98"/>
              </w:rPr>
              <w:t>(57,828)</w:t>
            </w:r>
          </w:p>
        </w:tc>
        <w:tc>
          <w:tcPr>
            <w:tcW w:w="1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(50,704)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4"/>
              </w:rPr>
              <w:t>(30,843)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440" w:type="dxa"/>
            <w:vAlign w:val="bottom"/>
            <w:gridSpan w:val="3"/>
          </w:tcPr>
          <w:p>
            <w:pPr>
              <w:ind w:left="460"/>
              <w:spacing w:after="0" w:line="133" w:lineRule="exact"/>
              <w:rPr>
                <w:sz w:val="20"/>
                <w:szCs w:val="20"/>
                <w:color w:val="auto"/>
              </w:rPr>
            </w:pPr>
            <w:r>
              <w:rPr>
                <w:rFonts w:ascii="Arial" w:cs="Arial" w:eastAsia="Arial" w:hAnsi="Arial"/>
                <w:sz w:val="12"/>
                <w:szCs w:val="12"/>
                <w:color w:val="auto"/>
              </w:rPr>
              <w:t>Net cash flows used in investing activities</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w w:val="85"/>
              </w:rPr>
              <w:t>(133,497)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w w:val="89"/>
              </w:rPr>
              <w:t>(93,203)</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w w:val="84"/>
              </w:rPr>
              <w:t>(26,501)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40" w:type="dxa"/>
            <w:vAlign w:val="bottom"/>
            <w:tcBorders>
              <w:top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financing activities:</w:t>
            </w: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right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100"/>
              <w:spacing w:after="0" w:line="135" w:lineRule="exact"/>
              <w:rPr>
                <w:sz w:val="20"/>
                <w:szCs w:val="20"/>
                <w:color w:val="auto"/>
              </w:rPr>
            </w:pPr>
            <w:r>
              <w:rPr>
                <w:rFonts w:ascii="Arial" w:cs="Arial" w:eastAsia="Arial" w:hAnsi="Arial"/>
                <w:sz w:val="12"/>
                <w:szCs w:val="12"/>
                <w:color w:val="auto"/>
              </w:rPr>
              <w:t>Net borrowings (repayments) under revolving lines of credit</w:t>
            </w:r>
          </w:p>
        </w:tc>
        <w:tc>
          <w:tcPr>
            <w:tcW w:w="8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45,514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9"/>
              </w:rPr>
              <w:t>(20,655)</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w w:val="92"/>
              </w:rPr>
              <w:t>19,890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2"/>
                <w:szCs w:val="12"/>
                <w:color w:val="auto"/>
              </w:rPr>
              <w:t>Payment of principal obligations under equipment notes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(4,550)</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40" w:type="dxa"/>
            <w:vAlign w:val="bottom"/>
            <w:gridSpan w:val="4"/>
            <w:shd w:val="clear" w:color="auto" w:fill="CCEEFF"/>
          </w:tcPr>
          <w:p>
            <w:pPr>
              <w:jc w:val="right"/>
              <w:ind w:right="6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100"/>
              <w:spacing w:after="0" w:line="135" w:lineRule="exact"/>
              <w:rPr>
                <w:sz w:val="20"/>
                <w:szCs w:val="20"/>
                <w:color w:val="auto"/>
              </w:rPr>
            </w:pPr>
            <w:r>
              <w:rPr>
                <w:rFonts w:ascii="Arial" w:cs="Arial" w:eastAsia="Arial" w:hAnsi="Arial"/>
                <w:sz w:val="12"/>
                <w:szCs w:val="12"/>
                <w:color w:val="auto"/>
              </w:rPr>
              <w:t>Payment of principal obligations under finance leases</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(1,201)</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(1,081)</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9"/>
              </w:rPr>
              <w:t>(1,203)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2"/>
                <w:szCs w:val="12"/>
                <w:color w:val="auto"/>
              </w:rPr>
              <w:t>Borrowings under equipment notes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35,068</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97"/>
              </w:rPr>
              <w:t>31,486</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100"/>
              <w:spacing w:after="0" w:line="135" w:lineRule="exact"/>
              <w:rPr>
                <w:sz w:val="20"/>
                <w:szCs w:val="20"/>
                <w:color w:val="auto"/>
              </w:rPr>
            </w:pPr>
            <w:r>
              <w:rPr>
                <w:rFonts w:ascii="Arial" w:cs="Arial" w:eastAsia="Arial" w:hAnsi="Arial"/>
                <w:sz w:val="12"/>
                <w:szCs w:val="12"/>
                <w:color w:val="auto"/>
              </w:rPr>
              <w:t>Proceeds from exercise of stock options</w:t>
            </w:r>
          </w:p>
        </w:tc>
        <w:tc>
          <w:tcPr>
            <w:tcW w:w="8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341</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1,897</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1,232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2"/>
                <w:szCs w:val="12"/>
                <w:color w:val="auto"/>
              </w:rPr>
              <w:t>Debt refinancing costs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(1,122)</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40" w:type="dxa"/>
            <w:vAlign w:val="bottom"/>
            <w:gridSpan w:val="4"/>
            <w:shd w:val="clear" w:color="auto" w:fill="CCEEFF"/>
          </w:tcPr>
          <w:p>
            <w:pPr>
              <w:jc w:val="right"/>
              <w:ind w:right="6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100"/>
              <w:spacing w:after="0" w:line="135" w:lineRule="exact"/>
              <w:rPr>
                <w:sz w:val="20"/>
                <w:szCs w:val="20"/>
                <w:color w:val="auto"/>
              </w:rPr>
            </w:pPr>
            <w:r>
              <w:rPr>
                <w:rFonts w:ascii="Arial" w:cs="Arial" w:eastAsia="Arial" w:hAnsi="Arial"/>
                <w:sz w:val="12"/>
                <w:szCs w:val="12"/>
                <w:color w:val="auto"/>
              </w:rPr>
              <w:t>Repurchase of common shares</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(778)</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(1,043)</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9"/>
              </w:rPr>
              <w:t>(3,058)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financing activities</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84</w:t>
            </w:r>
          </w:p>
        </w:tc>
        <w:tc>
          <w:tcPr>
            <w:tcW w:w="1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440" w:type="dxa"/>
            <w:vAlign w:val="bottom"/>
            <w:gridSpan w:val="3"/>
          </w:tcPr>
          <w:p>
            <w:pPr>
              <w:ind w:left="460"/>
              <w:spacing w:after="0" w:line="133" w:lineRule="exact"/>
              <w:rPr>
                <w:sz w:val="20"/>
                <w:szCs w:val="20"/>
                <w:color w:val="auto"/>
              </w:rPr>
            </w:pPr>
            <w:r>
              <w:rPr>
                <w:rFonts w:ascii="Arial" w:cs="Arial" w:eastAsia="Arial" w:hAnsi="Arial"/>
                <w:sz w:val="12"/>
                <w:szCs w:val="12"/>
                <w:color w:val="auto"/>
              </w:rPr>
              <w:t>Net cash flows provided by financing activities</w:t>
            </w:r>
          </w:p>
        </w:tc>
        <w:tc>
          <w:tcPr>
            <w:tcW w:w="80" w:type="dxa"/>
            <w:vAlign w:val="bottom"/>
          </w:tcPr>
          <w:p>
            <w:pPr>
              <w:spacing w:after="0"/>
              <w:rPr>
                <w:sz w:val="11"/>
                <w:szCs w:val="11"/>
                <w:color w:val="auto"/>
              </w:rPr>
            </w:pPr>
          </w:p>
        </w:tc>
        <w:tc>
          <w:tcPr>
            <w:tcW w:w="720" w:type="dxa"/>
            <w:vAlign w:val="bottom"/>
            <w:gridSpan w:val="2"/>
          </w:tcPr>
          <w:p>
            <w:pPr>
              <w:jc w:val="right"/>
              <w:ind w:right="300"/>
              <w:spacing w:after="0" w:line="133" w:lineRule="exact"/>
              <w:rPr>
                <w:sz w:val="20"/>
                <w:szCs w:val="20"/>
                <w:color w:val="auto"/>
              </w:rPr>
            </w:pPr>
            <w:r>
              <w:rPr>
                <w:rFonts w:ascii="Arial" w:cs="Arial" w:eastAsia="Arial" w:hAnsi="Arial"/>
                <w:sz w:val="12"/>
                <w:szCs w:val="12"/>
                <w:color w:val="auto"/>
              </w:rPr>
              <w:t>73,356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w w:val="97"/>
              </w:rPr>
              <w:t>10,642</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3" w:lineRule="exact"/>
              <w:rPr>
                <w:sz w:val="20"/>
                <w:szCs w:val="20"/>
                <w:color w:val="auto"/>
              </w:rPr>
            </w:pPr>
            <w:r>
              <w:rPr>
                <w:rFonts w:ascii="Arial" w:cs="Arial" w:eastAsia="Arial" w:hAnsi="Arial"/>
                <w:sz w:val="12"/>
                <w:szCs w:val="12"/>
                <w:color w:val="auto"/>
                <w:w w:val="92"/>
              </w:rPr>
              <w:t>16,889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shd w:val="clear" w:color="auto" w:fill="CCEEFF"/>
          </w:tcPr>
          <w:p>
            <w:pPr>
              <w:ind w:left="460"/>
              <w:spacing w:after="0"/>
              <w:rPr>
                <w:sz w:val="20"/>
                <w:szCs w:val="20"/>
                <w:color w:val="auto"/>
              </w:rPr>
            </w:pPr>
            <w:r>
              <w:rPr>
                <w:rFonts w:ascii="Arial" w:cs="Arial" w:eastAsia="Arial" w:hAnsi="Arial"/>
                <w:sz w:val="12"/>
                <w:szCs w:val="12"/>
                <w:color w:val="auto"/>
              </w:rPr>
              <w:t>Effect of exchange rate changes on cash</w:t>
            </w: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132</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(64)</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460" w:type="dxa"/>
            <w:vAlign w:val="bottom"/>
            <w:gridSpan w:val="4"/>
          </w:tcPr>
          <w:p>
            <w:pPr>
              <w:spacing w:after="0" w:line="124" w:lineRule="exact"/>
              <w:rPr>
                <w:sz w:val="20"/>
                <w:szCs w:val="20"/>
                <w:color w:val="auto"/>
              </w:rPr>
            </w:pPr>
            <w:r>
              <w:rPr>
                <w:rFonts w:ascii="Arial" w:cs="Arial" w:eastAsia="Arial" w:hAnsi="Arial"/>
                <w:sz w:val="12"/>
                <w:szCs w:val="12"/>
                <w:color w:val="auto"/>
              </w:rPr>
              <w:t>Net increase (decrease) in cash and cash equivalents</w:t>
            </w:r>
          </w:p>
        </w:tc>
        <w:tc>
          <w:tcPr>
            <w:tcW w:w="80" w:type="dxa"/>
            <w:vAlign w:val="bottom"/>
          </w:tcPr>
          <w:p>
            <w:pPr>
              <w:spacing w:after="0"/>
              <w:rPr>
                <w:sz w:val="10"/>
                <w:szCs w:val="10"/>
                <w:color w:val="auto"/>
              </w:rPr>
            </w:pPr>
          </w:p>
        </w:tc>
        <w:tc>
          <w:tcPr>
            <w:tcW w:w="720" w:type="dxa"/>
            <w:vAlign w:val="bottom"/>
            <w:gridSpan w:val="2"/>
          </w:tcPr>
          <w:p>
            <w:pPr>
              <w:jc w:val="right"/>
              <w:ind w:right="300"/>
              <w:spacing w:after="0" w:line="124" w:lineRule="exact"/>
              <w:rPr>
                <w:sz w:val="20"/>
                <w:szCs w:val="20"/>
                <w:color w:val="auto"/>
              </w:rPr>
            </w:pPr>
            <w:r>
              <w:rPr>
                <w:rFonts w:ascii="Arial" w:cs="Arial" w:eastAsia="Arial" w:hAnsi="Arial"/>
                <w:sz w:val="12"/>
                <w:szCs w:val="12"/>
                <w:color w:val="auto"/>
              </w:rPr>
              <w:t>4,890</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2,164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w w:val="84"/>
              </w:rPr>
              <w:t>(18,503)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8460" w:type="dxa"/>
            <w:vAlign w:val="bottom"/>
            <w:gridSpan w:val="4"/>
          </w:tcPr>
          <w:p>
            <w:pPr>
              <w:spacing w:after="0"/>
              <w:rPr>
                <w:sz w:val="20"/>
                <w:szCs w:val="20"/>
                <w:color w:val="auto"/>
              </w:rPr>
            </w:pPr>
            <w:r>
              <w:rPr>
                <w:rFonts w:ascii="Arial" w:cs="Arial" w:eastAsia="Arial" w:hAnsi="Arial"/>
                <w:sz w:val="12"/>
                <w:szCs w:val="12"/>
                <w:color w:val="auto"/>
              </w:rPr>
              <w:t>Beginning of period</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7,507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5,343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w w:val="92"/>
              </w:rPr>
              <w:t>23,846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gridSpan w:val="3"/>
            <w:vMerge w:val="restart"/>
            <w:shd w:val="clear" w:color="auto" w:fill="CCEEFF"/>
          </w:tcPr>
          <w:p>
            <w:pPr>
              <w:spacing w:after="0"/>
              <w:rPr>
                <w:sz w:val="20"/>
                <w:szCs w:val="20"/>
                <w:color w:val="auto"/>
              </w:rPr>
            </w:pPr>
            <w:r>
              <w:rPr>
                <w:rFonts w:ascii="Arial" w:cs="Arial" w:eastAsia="Arial" w:hAnsi="Arial"/>
                <w:sz w:val="12"/>
                <w:szCs w:val="12"/>
                <w:color w:val="auto"/>
              </w:rPr>
              <w:t>End of period</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44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12,397</w:t>
            </w:r>
          </w:p>
        </w:tc>
        <w:tc>
          <w:tcPr>
            <w:tcW w:w="46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7,507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5,343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440" w:type="dxa"/>
            <w:vAlign w:val="bottom"/>
            <w:tcBorders>
              <w:top w:val="single" w:sz="8" w:color="CCEEFF"/>
            </w:tcBorders>
            <w:gridSpan w:val="3"/>
          </w:tcPr>
          <w:p>
            <w:pPr>
              <w:ind w:left="100"/>
              <w:spacing w:after="0" w:line="105" w:lineRule="exact"/>
              <w:rPr>
                <w:sz w:val="20"/>
                <w:szCs w:val="20"/>
                <w:color w:val="auto"/>
              </w:rPr>
            </w:pPr>
            <w:r>
              <w:rPr>
                <w:rFonts w:ascii="Arial" w:cs="Arial" w:eastAsia="Arial" w:hAnsi="Arial"/>
                <w:sz w:val="12"/>
                <w:szCs w:val="12"/>
                <w:color w:val="auto"/>
              </w:rPr>
              <w:t>Supplemental Cash Flow Information:</w:t>
            </w: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2"/>
                <w:szCs w:val="12"/>
                <w:color w:val="auto"/>
              </w:rPr>
              <w:t>Cash paid during the period for:</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Income taxes payments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13,381</w:t>
            </w:r>
          </w:p>
        </w:tc>
        <w:tc>
          <w:tcPr>
            <w:tcW w:w="4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7,247</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6,597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Interest payments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5,737</w:t>
            </w: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3,097</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2,259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40" w:type="dxa"/>
            <w:vAlign w:val="bottom"/>
            <w:gridSpan w:val="3"/>
          </w:tcPr>
          <w:p>
            <w:pPr>
              <w:ind w:left="100"/>
              <w:spacing w:after="0" w:line="135" w:lineRule="exact"/>
              <w:rPr>
                <w:sz w:val="20"/>
                <w:szCs w:val="20"/>
                <w:color w:val="auto"/>
              </w:rPr>
            </w:pPr>
            <w:r>
              <w:rPr>
                <w:rFonts w:ascii="Arial" w:cs="Arial" w:eastAsia="Arial" w:hAnsi="Arial"/>
                <w:sz w:val="12"/>
                <w:szCs w:val="12"/>
                <w:color w:val="auto"/>
              </w:rPr>
              <w:t>Noncash investing activities: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4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Acquisition of property and equipment for which payment is pending</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43</w:t>
            </w:r>
          </w:p>
        </w:tc>
        <w:tc>
          <w:tcPr>
            <w:tcW w:w="1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953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-622935</wp:posOffset>
            </wp:positionV>
            <wp:extent cx="72923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-1034415</wp:posOffset>
            </wp:positionV>
            <wp:extent cx="72923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-1915160</wp:posOffset>
            </wp:positionV>
            <wp:extent cx="72923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-2464435</wp:posOffset>
            </wp:positionV>
            <wp:extent cx="72923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6577965</wp:posOffset>
            </wp:positionH>
            <wp:positionV relativeFrom="paragraph">
              <wp:posOffset>-4025900</wp:posOffset>
            </wp:positionV>
            <wp:extent cx="914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-4025900</wp:posOffset>
            </wp:positionV>
            <wp:extent cx="914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-4025900</wp:posOffset>
            </wp:positionV>
            <wp:extent cx="914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3" w:name="page64"/>
    <w:bookmarkEnd w:id="63"/>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MYR GROUP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Business and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Organization and Business</w:t>
      </w:r>
    </w:p>
    <w:p>
      <w:pPr>
        <w:spacing w:after="0" w:line="100" w:lineRule="exact"/>
        <w:rPr>
          <w:sz w:val="20"/>
          <w:szCs w:val="20"/>
          <w:color w:val="auto"/>
        </w:rPr>
      </w:pPr>
    </w:p>
    <w:p>
      <w:pPr>
        <w:ind w:right="20" w:firstLine="240"/>
        <w:spacing w:after="0" w:line="241" w:lineRule="auto"/>
        <w:rPr>
          <w:sz w:val="20"/>
          <w:szCs w:val="20"/>
          <w:color w:val="auto"/>
        </w:rPr>
      </w:pPr>
      <w:r>
        <w:rPr>
          <w:rFonts w:ascii="Arial" w:cs="Arial" w:eastAsia="Arial" w:hAnsi="Arial"/>
          <w:sz w:val="12"/>
          <w:szCs w:val="12"/>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82" w:lineRule="exact"/>
        <w:rPr>
          <w:sz w:val="20"/>
          <w:szCs w:val="20"/>
          <w:color w:val="auto"/>
        </w:rPr>
      </w:pPr>
    </w:p>
    <w:p>
      <w:pPr>
        <w:ind w:right="160" w:firstLine="240"/>
        <w:spacing w:after="0" w:line="241" w:lineRule="auto"/>
        <w:rPr>
          <w:sz w:val="20"/>
          <w:szCs w:val="20"/>
          <w:color w:val="auto"/>
        </w:rPr>
      </w:pPr>
      <w:r>
        <w:rPr>
          <w:rFonts w:ascii="Arial" w:cs="Arial" w:eastAsia="Arial" w:hAnsi="Arial"/>
          <w:sz w:val="12"/>
          <w:szCs w:val="12"/>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design, installation, maintenance and repair of commercial and industrial wiring, the installation of traffic networks and the installation of bridge, roadway and tunnel lighting.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Consolidation</w:t>
      </w:r>
    </w:p>
    <w:p>
      <w:pPr>
        <w:spacing w:after="0" w:line="105" w:lineRule="exact"/>
        <w:rPr>
          <w:sz w:val="20"/>
          <w:szCs w:val="20"/>
          <w:color w:val="auto"/>
        </w:rPr>
      </w:pPr>
    </w:p>
    <w:p>
      <w:pPr>
        <w:ind w:firstLine="240"/>
        <w:spacing w:after="0" w:line="261" w:lineRule="auto"/>
        <w:rPr>
          <w:sz w:val="20"/>
          <w:szCs w:val="20"/>
          <w:color w:val="auto"/>
        </w:rPr>
      </w:pPr>
      <w:r>
        <w:rPr>
          <w:rFonts w:ascii="Arial" w:cs="Arial" w:eastAsia="Arial" w:hAnsi="Arial"/>
          <w:sz w:val="12"/>
          <w:szCs w:val="12"/>
          <w:color w:val="auto"/>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96" w:lineRule="exact"/>
        <w:rPr>
          <w:sz w:val="20"/>
          <w:szCs w:val="20"/>
          <w:color w:val="auto"/>
        </w:rPr>
      </w:pPr>
    </w:p>
    <w:p>
      <w:pPr>
        <w:jc w:val="both"/>
        <w:ind w:right="40" w:firstLine="240"/>
        <w:spacing w:after="0" w:line="243" w:lineRule="auto"/>
        <w:rPr>
          <w:sz w:val="20"/>
          <w:szCs w:val="20"/>
          <w:color w:val="auto"/>
        </w:rPr>
      </w:pPr>
      <w:r>
        <w:rPr>
          <w:rFonts w:ascii="Arial" w:cs="Arial" w:eastAsia="Arial" w:hAnsi="Arial"/>
          <w:sz w:val="12"/>
          <w:szCs w:val="12"/>
          <w:color w:val="auto"/>
        </w:rPr>
        <w:t xml:space="preserve">On January 1, 2018, the Company adopted accounting standards update (“ASU”)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using the modified retrospective method for contracts that were not completed as of January 1, 2018. Results for reporting periods beginning after January 1, 2018 are presented under this new pronouncement, while prior period amounts were not adjusted and continue to be reported under the accounting standard </w:t>
      </w:r>
      <w:r>
        <w:rPr>
          <w:rFonts w:ascii="Arial" w:cs="Arial" w:eastAsia="Arial" w:hAnsi="Arial"/>
          <w:sz w:val="12"/>
          <w:szCs w:val="12"/>
          <w:i w:val="1"/>
          <w:iCs w:val="1"/>
          <w:color w:val="auto"/>
        </w:rPr>
        <w:t>Revenue</w:t>
      </w:r>
      <w:r>
        <w:rPr>
          <w:rFonts w:ascii="Arial" w:cs="Arial" w:eastAsia="Arial" w:hAnsi="Arial"/>
          <w:sz w:val="12"/>
          <w:szCs w:val="12"/>
          <w:color w:val="auto"/>
        </w:rPr>
        <w:t xml:space="preserve"> </w:t>
      </w:r>
      <w:r>
        <w:rPr>
          <w:rFonts w:ascii="Arial" w:cs="Arial" w:eastAsia="Arial" w:hAnsi="Arial"/>
          <w:sz w:val="12"/>
          <w:szCs w:val="12"/>
          <w:i w:val="1"/>
          <w:iCs w:val="1"/>
          <w:color w:val="auto"/>
        </w:rPr>
        <w:t>Recognition (Topic 605)</w:t>
      </w:r>
      <w:r>
        <w:rPr>
          <w:rFonts w:ascii="Arial" w:cs="Arial" w:eastAsia="Arial" w:hAnsi="Arial"/>
          <w:sz w:val="12"/>
          <w:szCs w:val="12"/>
          <w:color w:val="auto"/>
        </w:rPr>
        <w:t>, which was in effect for those periods. Differences in revenue recognition under Topic 606 were due to accelerated recognition of contract provisions related to variable consideration previously not permitted to be</w:t>
      </w:r>
      <w:r>
        <w:rPr>
          <w:rFonts w:ascii="Arial" w:cs="Arial" w:eastAsia="Arial" w:hAnsi="Arial"/>
          <w:sz w:val="12"/>
          <w:szCs w:val="12"/>
          <w:i w:val="1"/>
          <w:iCs w:val="1"/>
          <w:color w:val="auto"/>
        </w:rPr>
        <w:t xml:space="preserve"> </w:t>
      </w:r>
      <w:r>
        <w:rPr>
          <w:rFonts w:ascii="Arial" w:cs="Arial" w:eastAsia="Arial" w:hAnsi="Arial"/>
          <w:sz w:val="12"/>
          <w:szCs w:val="12"/>
          <w:color w:val="auto"/>
        </w:rPr>
        <w:t>recognized under Topic 605 until no remaining contingency existed related to this consideration.</w:t>
      </w:r>
    </w:p>
    <w:p>
      <w:pPr>
        <w:spacing w:after="0" w:line="81" w:lineRule="exact"/>
        <w:rPr>
          <w:sz w:val="20"/>
          <w:szCs w:val="20"/>
          <w:color w:val="auto"/>
        </w:rPr>
      </w:pPr>
    </w:p>
    <w:p>
      <w:pPr>
        <w:ind w:right="40" w:firstLine="240"/>
        <w:spacing w:after="0" w:line="308" w:lineRule="auto"/>
        <w:rPr>
          <w:sz w:val="20"/>
          <w:szCs w:val="20"/>
          <w:color w:val="auto"/>
        </w:rPr>
      </w:pPr>
      <w:r>
        <w:rPr>
          <w:rFonts w:ascii="Arial" w:cs="Arial" w:eastAsia="Arial" w:hAnsi="Arial"/>
          <w:sz w:val="10"/>
          <w:szCs w:val="10"/>
          <w:color w:val="auto"/>
        </w:rPr>
        <w:t>Under Topic 606, 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 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64" w:name="page65"/>
    <w:bookmarkEnd w:id="64"/>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73" w:lineRule="auto"/>
        <w:rPr>
          <w:sz w:val="20"/>
          <w:szCs w:val="20"/>
          <w:color w:val="auto"/>
        </w:rPr>
      </w:pPr>
      <w:r>
        <w:rPr>
          <w:rFonts w:ascii="Arial" w:cs="Arial" w:eastAsia="Arial" w:hAnsi="Arial"/>
          <w:sz w:val="11"/>
          <w:szCs w:val="11"/>
          <w:color w:val="auto"/>
        </w:rPr>
        <w:t>from the contract cost portion of this accrual based on current gross margin rates to be consistent with its cost method of revenue recognition. The estimated value of unbilled amounts are determined using a regression analysis that estimates value based on the Company’s historical experience, and is adjusted for large individual projects. The profit and corresponding revenue is recognized over the contract term based on costs incurred under the cost-to-cost method. The Company utilizes the cost-to-cost method as it believes cost incurred best represents the amount of work completed and remaining on projects, and is the most common basis for computing percentage of completion in the industry. For purposes of recognizing revenue, the Company follows the five-step approach outlined in Accounting Standards Codification (“ASC”) 606-10-25.</w:t>
      </w:r>
    </w:p>
    <w:p>
      <w:pPr>
        <w:spacing w:after="0" w:line="55" w:lineRule="exact"/>
        <w:rPr>
          <w:sz w:val="20"/>
          <w:szCs w:val="20"/>
          <w:color w:val="auto"/>
        </w:rPr>
      </w:pPr>
    </w:p>
    <w:p>
      <w:pPr>
        <w:ind w:firstLine="240"/>
        <w:spacing w:after="0" w:line="266" w:lineRule="auto"/>
        <w:rPr>
          <w:sz w:val="20"/>
          <w:szCs w:val="20"/>
          <w:color w:val="auto"/>
        </w:rPr>
      </w:pPr>
      <w:r>
        <w:rPr>
          <w:rFonts w:ascii="Arial" w:cs="Arial" w:eastAsia="Arial" w:hAnsi="Arial"/>
          <w:sz w:val="11"/>
          <w:szCs w:val="11"/>
          <w:color w:val="auto"/>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the Company’s billings are based on contract terms and do not coincide with our progress in a project, revenue recognition also includes an amount related to a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69" w:lineRule="exact"/>
        <w:rPr>
          <w:sz w:val="20"/>
          <w:szCs w:val="20"/>
          <w:color w:val="auto"/>
        </w:rPr>
      </w:pPr>
    </w:p>
    <w:p>
      <w:pPr>
        <w:ind w:firstLine="240"/>
        <w:spacing w:after="0" w:line="281" w:lineRule="auto"/>
        <w:rPr>
          <w:sz w:val="20"/>
          <w:szCs w:val="20"/>
          <w:color w:val="auto"/>
        </w:rPr>
      </w:pPr>
      <w:r>
        <w:rPr>
          <w:rFonts w:ascii="Arial" w:cs="Arial" w:eastAsia="Arial" w:hAnsi="Arial"/>
          <w:sz w:val="11"/>
          <w:szCs w:val="11"/>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The Company includes these estimated amounts of variable consideration to the extent that it is probable there will not be a significant reversal of revenue.</w:t>
      </w:r>
    </w:p>
    <w:p>
      <w:pPr>
        <w:spacing w:after="0" w:line="71" w:lineRule="exact"/>
        <w:rPr>
          <w:sz w:val="20"/>
          <w:szCs w:val="20"/>
          <w:color w:val="auto"/>
        </w:rPr>
      </w:pPr>
    </w:p>
    <w:p>
      <w:pPr>
        <w:ind w:firstLine="240"/>
        <w:spacing w:after="0" w:line="283" w:lineRule="auto"/>
        <w:rPr>
          <w:sz w:val="20"/>
          <w:szCs w:val="20"/>
          <w:color w:val="auto"/>
        </w:rPr>
      </w:pPr>
      <w:r>
        <w:rPr>
          <w:rFonts w:ascii="Arial" w:cs="Arial" w:eastAsia="Arial" w:hAnsi="Arial"/>
          <w:sz w:val="11"/>
          <w:szCs w:val="11"/>
          <w:color w:val="auto"/>
        </w:rPr>
        <w:t>Some of the Company’s contracts may have contract terms that include variable consideration such as safety or performance bonuses or liquidated damages. In accordance with ASC 606-10-32,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606-10-32-11,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 portion of the work the Company performs requires financial assurances in the form of performance and payment bonds or letters of credit at the time of execution of the contract. Many of the Company’s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65" w:name="page66"/>
    <w:bookmarkEnd w:id="65"/>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contracts include retention provisions of up to 10%, which are generally withheld from each progress payment as retainage until the contract work has been completed and approved.</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Company provides warranties to customers on a basis customary to the industry; however, the warranty period does not typically exceed one year. Historically, warranty claims have not been material to the Company.</w:t>
      </w:r>
    </w:p>
    <w:p>
      <w:pPr>
        <w:spacing w:after="0" w:line="108" w:lineRule="exact"/>
        <w:rPr>
          <w:sz w:val="20"/>
          <w:szCs w:val="20"/>
          <w:color w:val="auto"/>
        </w:rPr>
      </w:pPr>
    </w:p>
    <w:p>
      <w:pPr>
        <w:ind w:right="120" w:firstLine="240"/>
        <w:spacing w:after="0" w:line="261" w:lineRule="auto"/>
        <w:rPr>
          <w:sz w:val="20"/>
          <w:szCs w:val="20"/>
          <w:color w:val="auto"/>
        </w:rPr>
      </w:pPr>
      <w:r>
        <w:rPr>
          <w:rFonts w:ascii="Arial" w:cs="Arial" w:eastAsia="Arial" w:hAnsi="Arial"/>
          <w:sz w:val="12"/>
          <w:szCs w:val="12"/>
          <w:color w:val="auto"/>
        </w:rPr>
        <w:t>Total revenues do not include sales tax as the Company considers itself a pass-through conduit for collecting and remitting sales taxes. Sales tax and value added tax collected from customers is included in other current liabilities on the Company’s consolidated balance sheets.</w:t>
      </w:r>
    </w:p>
    <w:p>
      <w:pPr>
        <w:spacing w:after="0" w:line="69" w:lineRule="exact"/>
        <w:rPr>
          <w:sz w:val="20"/>
          <w:szCs w:val="20"/>
          <w:color w:val="auto"/>
        </w:rPr>
      </w:pPr>
    </w:p>
    <w:p>
      <w:pPr>
        <w:ind w:right="20" w:firstLine="240"/>
        <w:spacing w:after="0" w:line="248" w:lineRule="auto"/>
        <w:rPr>
          <w:sz w:val="20"/>
          <w:szCs w:val="20"/>
          <w:color w:val="auto"/>
        </w:rPr>
      </w:pPr>
      <w:r>
        <w:rPr>
          <w:rFonts w:ascii="Arial" w:cs="Arial" w:eastAsia="Arial" w:hAnsi="Arial"/>
          <w:sz w:val="12"/>
          <w:szCs w:val="12"/>
          <w:color w:val="auto"/>
        </w:rPr>
        <w:t xml:space="preserve">Prior to January 1, 2018 the Company reported revenue under the accounting standard </w:t>
      </w:r>
      <w:r>
        <w:rPr>
          <w:rFonts w:ascii="Arial" w:cs="Arial" w:eastAsia="Arial" w:hAnsi="Arial"/>
          <w:sz w:val="12"/>
          <w:szCs w:val="12"/>
          <w:i w:val="1"/>
          <w:iCs w:val="1"/>
          <w:color w:val="auto"/>
        </w:rPr>
        <w:t>Revenue Recognition (Topic 605)</w:t>
      </w:r>
      <w:r>
        <w:rPr>
          <w:rFonts w:ascii="Arial" w:cs="Arial" w:eastAsia="Arial" w:hAnsi="Arial"/>
          <w:sz w:val="12"/>
          <w:szCs w:val="12"/>
          <w:color w:val="auto"/>
        </w:rPr>
        <w:t>, under which revenues from long-term contracts were accounted for using the percentage-of-completion method of accounting. Under the percentage-of-completion method, the Company estimated profit as the difference between total estimated revenue and total estimated cost of a contract and recognized that profit over the contract term based on costs incurred under the cost-to-cost method.</w:t>
      </w:r>
    </w:p>
    <w:p>
      <w:pPr>
        <w:spacing w:after="0" w:line="68" w:lineRule="exact"/>
        <w:rPr>
          <w:sz w:val="20"/>
          <w:szCs w:val="20"/>
          <w:color w:val="auto"/>
        </w:rPr>
      </w:pPr>
    </w:p>
    <w:p>
      <w:pPr>
        <w:ind w:right="20" w:firstLine="240"/>
        <w:spacing w:after="0" w:line="268" w:lineRule="auto"/>
        <w:rPr>
          <w:sz w:val="20"/>
          <w:szCs w:val="20"/>
          <w:color w:val="auto"/>
        </w:rPr>
      </w:pPr>
      <w:r>
        <w:rPr>
          <w:rFonts w:ascii="Arial" w:cs="Arial" w:eastAsia="Arial" w:hAnsi="Arial"/>
          <w:sz w:val="11"/>
          <w:szCs w:val="11"/>
          <w:color w:val="auto"/>
        </w:rPr>
        <w:t>Under Topic 605, revenues from the Company’s construction services were performed under fixed-price, time-and-equipment, time-and-materials, unit-price, and cost-plus fee contracts. For fixed-price and unit-price contracts, the Company used the ratio of cost incurred to date on the contract to management’s estimate of the contract’s total cost, to determine the percentage of completion on each contract. This method was used as management considered expended costs to be the best available measure of progression of these contracts. Contract cost included all direct costs on contracts, including labor and material, subcontractor costs and those indirect costs related to contract performance, such as supplies, fuel, tool repairs and depreciation. The Company recognized revenues from construction services with fees based on time-and-materials, or cost-plus fee as the services were performed and amounts were earned. If contracts included contract incentive or bonus provisions, they were included in estimated contract revenues only when the achievement of such incentive or bonus was reasonably certain.</w:t>
      </w:r>
    </w:p>
    <w:p>
      <w:pPr>
        <w:spacing w:after="0" w:line="68" w:lineRule="exact"/>
        <w:rPr>
          <w:sz w:val="20"/>
          <w:szCs w:val="20"/>
          <w:color w:val="auto"/>
        </w:rPr>
      </w:pPr>
    </w:p>
    <w:p>
      <w:pPr>
        <w:ind w:right="40" w:firstLine="240"/>
        <w:spacing w:after="0" w:line="243" w:lineRule="auto"/>
        <w:rPr>
          <w:sz w:val="20"/>
          <w:szCs w:val="20"/>
          <w:color w:val="auto"/>
        </w:rPr>
      </w:pPr>
      <w:r>
        <w:rPr>
          <w:rFonts w:ascii="Arial" w:cs="Arial" w:eastAsia="Arial" w:hAnsi="Arial"/>
          <w:sz w:val="12"/>
          <w:szCs w:val="12"/>
          <w:color w:val="auto"/>
        </w:rPr>
        <w:t>Under Topic 605, contract costs incurred to date and expected total contract costs were continuously monitored during the term of the contract. Changes in job performance, job conditions and final contract settlements were factors that influenced management’s assessment of total contract value and the total estimated costs to complete those contracts and therefore, the Company’s profit recognition. These changes, which included contracts with estimated costs in excess of estimated revenues, were recognized in contract costs in the period in which the revisions were determined. At the point the Company anticipated a loss on a contract, the Company estimated the ultimate loss through completion and recognized that loss in the period in which the possible loss was identified.</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Joint Ventures and Noncontrolling Interests</w:t>
      </w:r>
    </w:p>
    <w:p>
      <w:pPr>
        <w:spacing w:after="0" w:line="105" w:lineRule="exact"/>
        <w:rPr>
          <w:sz w:val="20"/>
          <w:szCs w:val="20"/>
          <w:color w:val="auto"/>
        </w:rPr>
      </w:pPr>
    </w:p>
    <w:p>
      <w:pPr>
        <w:ind w:firstLine="240"/>
        <w:spacing w:after="0" w:line="263" w:lineRule="auto"/>
        <w:rPr>
          <w:sz w:val="20"/>
          <w:szCs w:val="20"/>
          <w:color w:val="auto"/>
        </w:rPr>
      </w:pPr>
      <w:r>
        <w:rPr>
          <w:rFonts w:ascii="Arial" w:cs="Arial" w:eastAsia="Arial" w:hAnsi="Arial"/>
          <w:sz w:val="11"/>
          <w:szCs w:val="11"/>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 For joint ventures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66" w:name="page67"/>
    <w:bookmarkEnd w:id="66"/>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 See Note 17–Noncontrolling Interests to the Financial Statements for further information related to joint ventures in which the Company has a majority controlling interest.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w:t>
      </w:r>
    </w:p>
    <w:p>
      <w:pPr>
        <w:spacing w:after="0" w:line="96" w:lineRule="exact"/>
        <w:rPr>
          <w:sz w:val="20"/>
          <w:szCs w:val="20"/>
          <w:color w:val="auto"/>
        </w:rPr>
      </w:pPr>
    </w:p>
    <w:p>
      <w:pPr>
        <w:jc w:val="both"/>
        <w:ind w:firstLine="240"/>
        <w:spacing w:after="0" w:line="320" w:lineRule="auto"/>
        <w:rPr>
          <w:sz w:val="20"/>
          <w:szCs w:val="20"/>
          <w:color w:val="auto"/>
        </w:rPr>
      </w:pPr>
      <w:r>
        <w:rPr>
          <w:rFonts w:ascii="Arial" w:cs="Arial" w:eastAsia="Arial" w:hAnsi="Arial"/>
          <w:sz w:val="10"/>
          <w:szCs w:val="10"/>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Company’s consolidated statements of operations. For the year ended December 31, 2019, the Company recorded foreign currency gains of approximately $0.1 million. Effective foreign currency transaction gains and losses, arising primarily from long-term assets and liabilities are recorded in the foreign currency translation adjustment line on the Company’s consolidated statements of comprehensive income.</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05" w:lineRule="exact"/>
        <w:rPr>
          <w:sz w:val="20"/>
          <w:szCs w:val="20"/>
          <w:color w:val="auto"/>
        </w:rPr>
      </w:pPr>
    </w:p>
    <w:p>
      <w:pPr>
        <w:jc w:val="both"/>
        <w:ind w:firstLine="240"/>
        <w:spacing w:after="0" w:line="323" w:lineRule="auto"/>
        <w:rPr>
          <w:sz w:val="20"/>
          <w:szCs w:val="20"/>
          <w:color w:val="auto"/>
        </w:rPr>
      </w:pPr>
      <w:r>
        <w:rPr>
          <w:rFonts w:ascii="Arial" w:cs="Arial" w:eastAsia="Arial" w:hAnsi="Arial"/>
          <w:sz w:val="11"/>
          <w:szCs w:val="11"/>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spacing w:after="0" w:line="47"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 Actual results could differ from these estimates.</w:t>
      </w:r>
    </w:p>
    <w:p>
      <w:pPr>
        <w:spacing w:after="0" w:line="61" w:lineRule="exact"/>
        <w:rPr>
          <w:sz w:val="20"/>
          <w:szCs w:val="20"/>
          <w:color w:val="auto"/>
        </w:rPr>
      </w:pPr>
    </w:p>
    <w:p>
      <w:pPr>
        <w:ind w:right="60" w:firstLine="240"/>
        <w:spacing w:after="0" w:line="298" w:lineRule="auto"/>
        <w:rPr>
          <w:sz w:val="20"/>
          <w:szCs w:val="20"/>
          <w:color w:val="auto"/>
        </w:rPr>
      </w:pPr>
      <w:r>
        <w:rPr>
          <w:rFonts w:ascii="Arial" w:cs="Arial" w:eastAsia="Arial" w:hAnsi="Arial"/>
          <w:sz w:val="11"/>
          <w:szCs w:val="11"/>
          <w:color w:val="auto"/>
        </w:rPr>
        <w:t>As of December 31, 2019 and 2018, the Company recognized revenues of $35.9 million and $3.4 million, respectively, related to significant change orders and/or claims that had been included as contract price adjustments on certain contracts which were in the process of being negotiated in the normal course of business. These aggregate amounts, which were included in “Contract assets” in the accompanying consolidated balance sheets, represent the Company’s estimates of additional contract revenues that were earned and probable of collection, however, the amount ultimately realized could be significantly higher or lower than the estimated amount.</w:t>
      </w:r>
    </w:p>
    <w:p>
      <w:pPr>
        <w:spacing w:after="0" w:line="60" w:lineRule="exact"/>
        <w:rPr>
          <w:sz w:val="20"/>
          <w:szCs w:val="20"/>
          <w:color w:val="auto"/>
        </w:rPr>
      </w:pPr>
    </w:p>
    <w:p>
      <w:pPr>
        <w:ind w:right="80" w:firstLine="240"/>
        <w:spacing w:after="0" w:line="255" w:lineRule="auto"/>
        <w:rPr>
          <w:sz w:val="20"/>
          <w:szCs w:val="20"/>
          <w:color w:val="auto"/>
        </w:rPr>
      </w:pPr>
      <w:r>
        <w:rPr>
          <w:rFonts w:ascii="Arial" w:cs="Arial" w:eastAsia="Arial" w:hAnsi="Arial"/>
          <w:sz w:val="12"/>
          <w:szCs w:val="12"/>
          <w:color w:val="auto"/>
        </w:rPr>
        <w:t>The cost-to-cost method of accounting requires the Company to make estimates about the expected revenue and gross profit on each of its contracts in process. During the year ended December 31, 2019, changes in estimates pertaining to certain projects decreased consolidated gross margin by 0.8%, which resulted in decreases in operating income of $11.7 million, net income attributable to MYR Group Inc. of $7.5 million and diluted earnings per common share attributable to MYR Group Inc. of $0.45. The estimates are reviewed and revised quarterly, as needed. During the year ended December 31, 2018, changes in estimates pertaining to certain projects decreased consolidated gross margin by 0.7%, which resulted in decreases in operating income of $10.5 million, net income attributable to MYR Group Inc. of $8.2 million and diluted earnings per common share attributable to MYR Group Inc. of $0.49. During the year ended December 31, 2017, changes in estimates pertaining to certain projects decreased consolidated gross margin by 0.7%, which resulted in decreases in operating income of $10.4 million, net income attributable to MYR Group Inc. of $6.2 million and diluted earnings per common share attributable to MYR Group Inc. of $0.38.</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67" w:name="page68"/>
    <w:bookmarkEnd w:id="67"/>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Advertising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0"/>
          <w:szCs w:val="10"/>
          <w:color w:val="auto"/>
        </w:rPr>
        <w:t>Advertising costs are expensed when incurred. Advertising costs, included in selling, general and administrative expenses, were $0.8 million for the year ended December 31, 2019, and $0.7 million for the years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2018 and 2017,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05" w:lineRule="exact"/>
        <w:rPr>
          <w:sz w:val="20"/>
          <w:szCs w:val="20"/>
          <w:color w:val="auto"/>
        </w:rPr>
      </w:pPr>
    </w:p>
    <w:p>
      <w:pPr>
        <w:ind w:firstLine="240"/>
        <w:spacing w:after="0" w:line="263" w:lineRule="auto"/>
        <w:rPr>
          <w:sz w:val="20"/>
          <w:szCs w:val="20"/>
          <w:color w:val="auto"/>
        </w:rPr>
      </w:pPr>
      <w:r>
        <w:rPr>
          <w:rFonts w:ascii="Arial" w:cs="Arial" w:eastAsia="Arial" w:hAnsi="Arial"/>
          <w:sz w:val="12"/>
          <w:szCs w:val="12"/>
          <w:color w:val="auto"/>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spacing w:after="0" w:line="78" w:lineRule="exact"/>
        <w:rPr>
          <w:sz w:val="20"/>
          <w:szCs w:val="20"/>
          <w:color w:val="auto"/>
        </w:rPr>
      </w:pPr>
    </w:p>
    <w:p>
      <w:pPr>
        <w:ind w:right="160" w:firstLine="240"/>
        <w:spacing w:after="0" w:line="276" w:lineRule="auto"/>
        <w:rPr>
          <w:sz w:val="20"/>
          <w:szCs w:val="20"/>
          <w:color w:val="auto"/>
        </w:rPr>
      </w:pPr>
      <w:r>
        <w:rPr>
          <w:rFonts w:ascii="Arial" w:cs="Arial" w:eastAsia="Arial" w:hAnsi="Arial"/>
          <w:sz w:val="12"/>
          <w:szCs w:val="12"/>
          <w:color w:val="auto"/>
        </w:rPr>
        <w:t>Interest and penalties related to uncertain income tax positions are included in income tax expense on the Company’s consolidated statements of operations. Interest and penalties actually incurred are charged to interest expense and the “other income, net” line,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96" w:lineRule="exact"/>
        <w:rPr>
          <w:sz w:val="20"/>
          <w:szCs w:val="20"/>
          <w:color w:val="auto"/>
        </w:rPr>
      </w:pPr>
    </w:p>
    <w:p>
      <w:pPr>
        <w:ind w:right="60" w:firstLine="240"/>
        <w:spacing w:after="0" w:line="281" w:lineRule="auto"/>
        <w:rPr>
          <w:sz w:val="20"/>
          <w:szCs w:val="20"/>
          <w:color w:val="auto"/>
        </w:rPr>
      </w:pPr>
      <w:r>
        <w:rPr>
          <w:rFonts w:ascii="Arial" w:cs="Arial" w:eastAsia="Arial" w:hAnsi="Arial"/>
          <w:sz w:val="11"/>
          <w:szCs w:val="11"/>
          <w:color w:val="auto"/>
        </w:rPr>
        <w:t xml:space="preserve">The Company determines compensation expense for stock-based awards based on the estimated fair values at the grant date and recognize the related compensation expense over the vesting period. The Company uses the straight-line amortization method to recognize compensation expense related to stock-based awards, such as restricted stock, restricted stock units and phantom stock units,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Upon adoption ASU No. 2016-09, </w:t>
      </w:r>
      <w:r>
        <w:rPr>
          <w:rFonts w:ascii="Arial" w:cs="Arial" w:eastAsia="Arial" w:hAnsi="Arial"/>
          <w:sz w:val="11"/>
          <w:szCs w:val="11"/>
          <w:i w:val="1"/>
          <w:iCs w:val="1"/>
          <w:color w:val="auto"/>
        </w:rPr>
        <w:t>Compensation — Stock Compensation (Topic 718)</w:t>
      </w:r>
      <w:r>
        <w:rPr>
          <w:rFonts w:ascii="Arial" w:cs="Arial" w:eastAsia="Arial" w:hAnsi="Arial"/>
          <w:sz w:val="11"/>
          <w:szCs w:val="11"/>
          <w:color w:val="auto"/>
        </w:rPr>
        <w:t xml:space="preserve"> in January of 2017, the Company elected to discontinue estimating future forfeitures and recognize forfeitures as they occur. Prior to the adoption, the Company used historical data to estimate the forfeiture rate applied to stock grants. Shares issued under the Company’s stock-based compensation program are taken out of authorized but unissued shares.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Earnings Per Share</w:t>
      </w:r>
    </w:p>
    <w:p>
      <w:pPr>
        <w:spacing w:after="0" w:line="105" w:lineRule="exact"/>
        <w:rPr>
          <w:sz w:val="20"/>
          <w:szCs w:val="20"/>
          <w:color w:val="auto"/>
        </w:rPr>
      </w:pPr>
    </w:p>
    <w:p>
      <w:pPr>
        <w:ind w:right="60" w:firstLine="240"/>
        <w:spacing w:after="0" w:line="298" w:lineRule="auto"/>
        <w:rPr>
          <w:sz w:val="20"/>
          <w:szCs w:val="20"/>
          <w:color w:val="auto"/>
        </w:rPr>
      </w:pPr>
      <w:r>
        <w:rPr>
          <w:rFonts w:ascii="Arial" w:cs="Arial" w:eastAsia="Arial" w:hAnsi="Arial"/>
          <w:sz w:val="11"/>
          <w:szCs w:val="11"/>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05" w:lineRule="exact"/>
        <w:rPr>
          <w:sz w:val="20"/>
          <w:szCs w:val="20"/>
          <w:color w:val="auto"/>
        </w:rPr>
      </w:pPr>
    </w:p>
    <w:p>
      <w:pPr>
        <w:ind w:right="280" w:firstLine="240"/>
        <w:spacing w:after="0" w:line="259" w:lineRule="auto"/>
        <w:rPr>
          <w:sz w:val="20"/>
          <w:szCs w:val="20"/>
          <w:color w:val="auto"/>
        </w:rPr>
      </w:pPr>
      <w:r>
        <w:rPr>
          <w:rFonts w:ascii="Arial" w:cs="Arial" w:eastAsia="Arial" w:hAnsi="Arial"/>
          <w:sz w:val="12"/>
          <w:szCs w:val="12"/>
          <w:color w:val="auto"/>
        </w:rPr>
        <w:t>The Company considers all highly liquid investments purchased with an original maturity of three months or less to be cash equivalents. As of December 31, 2019 and 2018, the Company held its cash in checking accounts or in highly liquid money market funds. The Company’s banking arrangements allow the Company to fund outstanding checks when presented to financial institutions for payment. The Company funds all intraday bank balances overdrafts during the same business day. Checks issued and outstanding in excess of bank balance are recorded in accounts payable on the Company’s consolidated balance sheets and are reflected as a financing activity on the Company’s Consolidated Statements of Cash Flows.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8" w:name="page69"/>
    <w:bookmarkEnd w:id="68"/>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Receivable and Allowance for Doubtful Accounts</w:t>
      </w:r>
    </w:p>
    <w:p>
      <w:pPr>
        <w:spacing w:after="0" w:line="96" w:lineRule="exact"/>
        <w:rPr>
          <w:sz w:val="20"/>
          <w:szCs w:val="20"/>
          <w:color w:val="auto"/>
        </w:rPr>
      </w:pPr>
    </w:p>
    <w:p>
      <w:pPr>
        <w:ind w:right="40" w:firstLine="240"/>
        <w:spacing w:after="0" w:line="261" w:lineRule="auto"/>
        <w:rPr>
          <w:sz w:val="20"/>
          <w:szCs w:val="20"/>
          <w:color w:val="auto"/>
        </w:rPr>
      </w:pPr>
      <w:r>
        <w:rPr>
          <w:rFonts w:ascii="Arial" w:cs="Arial" w:eastAsia="Arial" w:hAnsi="Arial"/>
          <w:sz w:val="12"/>
          <w:szCs w:val="12"/>
          <w:color w:val="auto"/>
        </w:rPr>
        <w:t>The Company does not charge interest to its customers and carries its customer receivables at their face amounts, less an allowance for doubtful accounts. Based on the Company’s experience in recent years, the majority of customer balances at each balance sheet date are collected within twelve months. As is common practice in the industry, the Company classifies all accounts receivable as current assets.</w:t>
      </w:r>
    </w:p>
    <w:p>
      <w:pPr>
        <w:spacing w:after="0" w:line="69" w:lineRule="exact"/>
        <w:rPr>
          <w:sz w:val="20"/>
          <w:szCs w:val="20"/>
          <w:color w:val="auto"/>
        </w:rPr>
      </w:pPr>
    </w:p>
    <w:p>
      <w:pPr>
        <w:ind w:right="180" w:firstLine="240"/>
        <w:spacing w:after="0" w:line="281" w:lineRule="auto"/>
        <w:rPr>
          <w:sz w:val="20"/>
          <w:szCs w:val="20"/>
          <w:color w:val="auto"/>
        </w:rPr>
      </w:pPr>
      <w:r>
        <w:rPr>
          <w:rFonts w:ascii="Arial" w:cs="Arial" w:eastAsia="Arial" w:hAnsi="Arial"/>
          <w:sz w:val="11"/>
          <w:szCs w:val="11"/>
          <w:color w:val="auto"/>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Classification of Contract Assets and Liabilities</w:t>
      </w:r>
    </w:p>
    <w:p>
      <w:pPr>
        <w:spacing w:after="0" w:line="105" w:lineRule="exact"/>
        <w:rPr>
          <w:sz w:val="20"/>
          <w:szCs w:val="20"/>
          <w:color w:val="auto"/>
        </w:rPr>
      </w:pPr>
    </w:p>
    <w:p>
      <w:pPr>
        <w:ind w:right="200" w:firstLine="240"/>
        <w:spacing w:after="0" w:line="261" w:lineRule="auto"/>
        <w:rPr>
          <w:sz w:val="20"/>
          <w:szCs w:val="20"/>
          <w:color w:val="auto"/>
        </w:rPr>
      </w:pPr>
      <w:r>
        <w:rPr>
          <w:rFonts w:ascii="Arial" w:cs="Arial" w:eastAsia="Arial" w:hAnsi="Arial"/>
          <w:sz w:val="12"/>
          <w:szCs w:val="12"/>
          <w:color w:val="auto"/>
        </w:rPr>
        <w:t>The Company recognizes revenue associated with its contracts with customers over time, for which the Company has an enforceable right to receive compensation. Many of our contracts contain specific provisions that determine when the Company can bill for its work performed under these contracts.</w:t>
      </w:r>
    </w:p>
    <w:p>
      <w:pPr>
        <w:spacing w:after="0" w:line="60" w:lineRule="exact"/>
        <w:rPr>
          <w:sz w:val="20"/>
          <w:szCs w:val="20"/>
          <w:color w:val="auto"/>
        </w:rPr>
      </w:pPr>
    </w:p>
    <w:p>
      <w:pPr>
        <w:ind w:right="60" w:firstLine="240"/>
        <w:spacing w:after="0" w:line="248" w:lineRule="auto"/>
        <w:rPr>
          <w:sz w:val="20"/>
          <w:szCs w:val="20"/>
          <w:color w:val="auto"/>
        </w:rPr>
      </w:pPr>
      <w:r>
        <w:rPr>
          <w:rFonts w:ascii="Arial" w:cs="Arial" w:eastAsia="Arial" w:hAnsi="Arial"/>
          <w:sz w:val="12"/>
          <w:szCs w:val="12"/>
          <w:color w:val="auto"/>
        </w:rPr>
        <w:t>Any revenue earned on a contract that has not yet been billed to the customer is recorded as a contract asset on the Company’s consolidated balance sheets. Contract retainages associated with contract work that has been completed and billed but not paid by its customers until the contracts are substantially complete, pursuant to contract retainage provisions under the contract, are also included in contract assets. The allowance for collection of contract retainage was not significant as of December 31, 2019 and 2018.</w:t>
      </w:r>
    </w:p>
    <w:p>
      <w:pPr>
        <w:spacing w:after="0" w:line="77" w:lineRule="exact"/>
        <w:rPr>
          <w:sz w:val="20"/>
          <w:szCs w:val="20"/>
          <w:color w:val="auto"/>
        </w:rPr>
      </w:pPr>
    </w:p>
    <w:p>
      <w:pPr>
        <w:ind w:right="100" w:firstLine="240"/>
        <w:spacing w:after="0" w:line="261" w:lineRule="auto"/>
        <w:rPr>
          <w:sz w:val="20"/>
          <w:szCs w:val="20"/>
          <w:color w:val="auto"/>
        </w:rPr>
      </w:pPr>
      <w:r>
        <w:rPr>
          <w:rFonts w:ascii="Arial" w:cs="Arial" w:eastAsia="Arial" w:hAnsi="Arial"/>
          <w:sz w:val="12"/>
          <w:szCs w:val="12"/>
          <w:color w:val="auto"/>
        </w:rPr>
        <w:t>The Company’s consolidated balance sheets present contract liabilities that contain deferred revenue that represent any costs incurred on contracts in process for which revenue has not yet been recognized. Additionally, accruals for contracts in a loss provision are included in contract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05" w:lineRule="exact"/>
        <w:rPr>
          <w:sz w:val="20"/>
          <w:szCs w:val="20"/>
          <w:color w:val="auto"/>
        </w:rPr>
      </w:pPr>
    </w:p>
    <w:p>
      <w:pPr>
        <w:ind w:right="40" w:firstLine="240"/>
        <w:spacing w:after="0" w:line="273" w:lineRule="auto"/>
        <w:rPr>
          <w:sz w:val="20"/>
          <w:szCs w:val="20"/>
          <w:color w:val="auto"/>
        </w:rPr>
      </w:pPr>
      <w:r>
        <w:rPr>
          <w:rFonts w:ascii="Arial" w:cs="Arial" w:eastAsia="Arial" w:hAnsi="Arial"/>
          <w:sz w:val="11"/>
          <w:szCs w:val="11"/>
          <w:color w:val="auto"/>
        </w:rPr>
        <w:t>Property and equipment is carried at cost.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 Property and equipment is reviewed for impairment and tested for recoverability whenever events or changes in circumstances indicate that the carrying amount may not be recoverable. If the carrying value of property and equipment exceeds its fair value, an impairment charge would be recorded in the statement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96" w:lineRule="exact"/>
        <w:rPr>
          <w:sz w:val="20"/>
          <w:szCs w:val="20"/>
          <w:color w:val="auto"/>
        </w:rPr>
      </w:pPr>
    </w:p>
    <w:p>
      <w:pPr>
        <w:ind w:firstLine="240"/>
        <w:spacing w:after="0" w:line="268" w:lineRule="auto"/>
        <w:rPr>
          <w:sz w:val="20"/>
          <w:szCs w:val="20"/>
          <w:color w:val="auto"/>
        </w:rPr>
      </w:pPr>
      <w:r>
        <w:rPr>
          <w:rFonts w:ascii="Arial" w:cs="Arial" w:eastAsia="Arial" w:hAnsi="Arial"/>
          <w:sz w:val="11"/>
          <w:szCs w:val="11"/>
          <w:color w:val="auto"/>
        </w:rPr>
        <w:t xml:space="preserve">On January 1, 2019, the Company adopted ASU No. 2016-02, </w:t>
      </w:r>
      <w:r>
        <w:rPr>
          <w:rFonts w:ascii="Arial" w:cs="Arial" w:eastAsia="Arial" w:hAnsi="Arial"/>
          <w:sz w:val="11"/>
          <w:szCs w:val="11"/>
          <w:i w:val="1"/>
          <w:iCs w:val="1"/>
          <w:color w:val="auto"/>
        </w:rPr>
        <w:t>Leases (Topic 842)</w:t>
      </w:r>
      <w:r>
        <w:rPr>
          <w:rFonts w:ascii="Arial" w:cs="Arial" w:eastAsia="Arial" w:hAnsi="Arial"/>
          <w:sz w:val="11"/>
          <w:szCs w:val="11"/>
          <w:color w:val="auto"/>
        </w:rPr>
        <w:t xml:space="preserve"> using the modified retrospective method. Under this guidance, the net present value of future lease payments are recorded as right-of-use assets and liabilities. In addition, the Company elected the ‘package of practical expedients’ permitted under the transition guidance within the new standard, which among other things, allowed the Company to carry forward the historical lease classification. In addition, the Company elected not to utilize the hindsight practical expedient to determine the lease term for existing leases. The Company elected the short-term lease recognition exemption for all leases that qualify. This means, for those leases that qualify, the Company did not recognize right-of-use assets or lease liabilities, including not recognizing right-of-use assets or lease liabilities for existing short-term leases of those assets in transition. The Company also elected the practical expedient to not separate lease and non-lease components for our real estate and vehicle leases.</w:t>
      </w:r>
    </w:p>
    <w:p>
      <w:pPr>
        <w:spacing w:after="0" w:line="68" w:lineRule="exact"/>
        <w:rPr>
          <w:sz w:val="20"/>
          <w:szCs w:val="20"/>
          <w:color w:val="auto"/>
        </w:rPr>
      </w:pPr>
    </w:p>
    <w:p>
      <w:pPr>
        <w:ind w:right="320" w:firstLine="240"/>
        <w:spacing w:after="0" w:line="261" w:lineRule="auto"/>
        <w:rPr>
          <w:sz w:val="20"/>
          <w:szCs w:val="20"/>
          <w:color w:val="auto"/>
        </w:rPr>
      </w:pPr>
      <w:r>
        <w:rPr>
          <w:rFonts w:ascii="Arial" w:cs="Arial" w:eastAsia="Arial" w:hAnsi="Arial"/>
          <w:sz w:val="12"/>
          <w:szCs w:val="12"/>
          <w:color w:val="auto"/>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69" w:name="page70"/>
    <w:bookmarkEnd w:id="69"/>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64" w:lineRule="auto"/>
        <w:rPr>
          <w:sz w:val="20"/>
          <w:szCs w:val="20"/>
          <w:color w:val="auto"/>
        </w:rPr>
      </w:pPr>
      <w:r>
        <w:rPr>
          <w:rFonts w:ascii="Arial" w:cs="Arial" w:eastAsia="Arial" w:hAnsi="Arial"/>
          <w:sz w:val="11"/>
          <w:szCs w:val="11"/>
          <w:color w:val="auto"/>
        </w:rPr>
        <w:t>from one to seven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As of December 31, 2019, the Company had several leases with residual value guarantees, due to the acquisition of CSI. The total amount probable of being owed of residual leases guarantees is not significant.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finance leases, depending on the terms of the lease.</w:t>
      </w:r>
    </w:p>
    <w:p>
      <w:pPr>
        <w:spacing w:after="0" w:line="62" w:lineRule="exact"/>
        <w:rPr>
          <w:sz w:val="20"/>
          <w:szCs w:val="20"/>
          <w:color w:val="auto"/>
        </w:rPr>
      </w:pPr>
    </w:p>
    <w:p>
      <w:pPr>
        <w:ind w:right="60" w:firstLine="240"/>
        <w:spacing w:after="0" w:line="268" w:lineRule="auto"/>
        <w:rPr>
          <w:sz w:val="20"/>
          <w:szCs w:val="20"/>
          <w:color w:val="auto"/>
        </w:rPr>
      </w:pPr>
      <w:r>
        <w:rPr>
          <w:rFonts w:ascii="Arial" w:cs="Arial" w:eastAsia="Arial" w:hAnsi="Arial"/>
          <w:sz w:val="11"/>
          <w:szCs w:val="11"/>
          <w:i w:val="1"/>
          <w:iCs w:val="1"/>
          <w:color w:val="auto"/>
        </w:rPr>
        <w:t xml:space="preserve">Finance Leases. </w:t>
      </w:r>
      <w:r>
        <w:rPr>
          <w:rFonts w:ascii="Arial" w:cs="Arial" w:eastAsia="Arial" w:hAnsi="Arial"/>
          <w:sz w:val="11"/>
          <w:szCs w:val="11"/>
          <w:color w:val="auto"/>
        </w:rPr>
        <w:t>The Company leases some vehicles and certain equipment under finance leases. The economic substance of the leases is a financing transaction for acquisition of the vehicles and equipment. Accordingly, the right-of-use assets for these leases are included on the Company’s consolidated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financing component associated with finance lease obligations is included in interest expense. Generally, for the Company’s finance leases an implicit rate to calculate present value is provided in the lease agreement, however if a rate in not provided the Company determines this rate by estimating the Company’s incremental borrowing rate, utilizing the borrowing rates associated with the Company’s various debt instruments.</w:t>
      </w:r>
    </w:p>
    <w:p>
      <w:pPr>
        <w:spacing w:after="0" w:line="68" w:lineRule="exact"/>
        <w:rPr>
          <w:sz w:val="20"/>
          <w:szCs w:val="20"/>
          <w:color w:val="auto"/>
        </w:rPr>
      </w:pPr>
    </w:p>
    <w:p>
      <w:pPr>
        <w:ind w:right="100" w:firstLine="240"/>
        <w:spacing w:after="0" w:line="268" w:lineRule="auto"/>
        <w:rPr>
          <w:sz w:val="20"/>
          <w:szCs w:val="20"/>
          <w:color w:val="auto"/>
        </w:rPr>
      </w:pPr>
      <w:r>
        <w:rPr>
          <w:rFonts w:ascii="Arial" w:cs="Arial" w:eastAsia="Arial" w:hAnsi="Arial"/>
          <w:sz w:val="11"/>
          <w:szCs w:val="11"/>
          <w:i w:val="1"/>
          <w:iCs w:val="1"/>
          <w:color w:val="auto"/>
        </w:rPr>
        <w:t xml:space="preserve">Operating Right-of-Use Leases. </w:t>
      </w:r>
      <w:r>
        <w:rPr>
          <w:rFonts w:ascii="Arial" w:cs="Arial" w:eastAsia="Arial" w:hAnsi="Arial"/>
          <w:sz w:val="11"/>
          <w:szCs w:val="11"/>
          <w:color w:val="auto"/>
        </w:rPr>
        <w:t>Operating right-of-use leases are included in operating lease right-of-use assets, current portion of operating lease obligations and operating lease obligations, net of current maturities on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Company’s consolidated balance sheets,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68" w:lineRule="exact"/>
        <w:rPr>
          <w:sz w:val="20"/>
          <w:szCs w:val="20"/>
          <w:color w:val="auto"/>
        </w:rPr>
      </w:pPr>
    </w:p>
    <w:p>
      <w:pPr>
        <w:ind w:right="20" w:firstLine="240"/>
        <w:spacing w:after="0" w:line="273" w:lineRule="auto"/>
        <w:rPr>
          <w:sz w:val="20"/>
          <w:szCs w:val="20"/>
          <w:color w:val="auto"/>
        </w:rPr>
      </w:pPr>
      <w:r>
        <w:rPr>
          <w:rFonts w:ascii="Arial" w:cs="Arial" w:eastAsia="Arial" w:hAnsi="Arial"/>
          <w:sz w:val="11"/>
          <w:szCs w:val="11"/>
          <w:color w:val="auto"/>
        </w:rPr>
        <w:t xml:space="preserve">Prior to January, 2019 the Company accounted for its leases in accordance with </w:t>
      </w:r>
      <w:r>
        <w:rPr>
          <w:rFonts w:ascii="Arial" w:cs="Arial" w:eastAsia="Arial" w:hAnsi="Arial"/>
          <w:sz w:val="11"/>
          <w:szCs w:val="11"/>
          <w:i w:val="1"/>
          <w:iCs w:val="1"/>
          <w:color w:val="auto"/>
        </w:rPr>
        <w:t>Leases (Topic 840)</w:t>
      </w:r>
      <w:r>
        <w:rPr>
          <w:rFonts w:ascii="Arial" w:cs="Arial" w:eastAsia="Arial" w:hAnsi="Arial"/>
          <w:sz w:val="11"/>
          <w:szCs w:val="11"/>
          <w:color w:val="auto"/>
        </w:rPr>
        <w:t>. Leases with characteristics of operating leases were expensed on a straight-line basis over the life of the lease on the Company’s consolidated statements of operations. Leases with the characteristics of capital leases were recorded at fair value on the Company’s consolidated balance sheets. The asset portion was included in property and equipment on the Company’s consolidated balance sheets and was amortized as depreciation expense on the Company’s consolidated statements of operations. The liability portion was included on the Company’s consolidated balance sheets as current and long term portions of capital leases. These liabilities were amortized as interest expense and lease expense on the Company’s consolidated statements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Insurance</w:t>
      </w:r>
    </w:p>
    <w:p>
      <w:pPr>
        <w:spacing w:after="0" w:line="96" w:lineRule="exact"/>
        <w:rPr>
          <w:sz w:val="20"/>
          <w:szCs w:val="20"/>
          <w:color w:val="auto"/>
        </w:rPr>
      </w:pPr>
    </w:p>
    <w:p>
      <w:pPr>
        <w:ind w:right="160" w:firstLine="240"/>
        <w:spacing w:after="0" w:line="248" w:lineRule="auto"/>
        <w:rPr>
          <w:sz w:val="20"/>
          <w:szCs w:val="20"/>
          <w:color w:val="auto"/>
        </w:rPr>
      </w:pPr>
      <w:r>
        <w:rPr>
          <w:rFonts w:ascii="Arial" w:cs="Arial" w:eastAsia="Arial" w:hAnsi="Arial"/>
          <w:sz w:val="12"/>
          <w:szCs w:val="12"/>
          <w:color w:val="auto"/>
        </w:rPr>
        <w:t>The Company carries insurance policies, which are subject to certain deductibles, for workers’ compensation, general liability, automobile liability and other coverages. The deductible for each line of coverage is up to $1.0 million, except for wildfire coverage which has a deductible of $2.0 million. Certain health benefit plans are subject to a deductible up to $0.2 million, for qualified individuals. Losses up to the deductible amounts are accrued based upon the Company’s estimates of the ultimate liability for claims reported and an estimate of claims incurred but not yet reported.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70" w:name="page71"/>
    <w:bookmarkEnd w:id="70"/>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00" w:firstLine="240"/>
        <w:spacing w:after="0" w:line="276" w:lineRule="auto"/>
        <w:rPr>
          <w:sz w:val="20"/>
          <w:szCs w:val="20"/>
          <w:color w:val="auto"/>
        </w:rPr>
      </w:pPr>
      <w:r>
        <w:rPr>
          <w:rFonts w:ascii="Arial" w:cs="Arial" w:eastAsia="Arial" w:hAnsi="Arial"/>
          <w:sz w:val="12"/>
          <w:szCs w:val="12"/>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the Company’s consolidated balance sheets.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Intangible Assets</w:t>
      </w:r>
    </w:p>
    <w:p>
      <w:pPr>
        <w:spacing w:after="0" w:line="96" w:lineRule="exact"/>
        <w:rPr>
          <w:sz w:val="20"/>
          <w:szCs w:val="20"/>
          <w:color w:val="auto"/>
        </w:rPr>
      </w:pPr>
    </w:p>
    <w:p>
      <w:pPr>
        <w:ind w:right="40" w:firstLine="240"/>
        <w:spacing w:after="0" w:line="280" w:lineRule="auto"/>
        <w:rPr>
          <w:sz w:val="20"/>
          <w:szCs w:val="20"/>
          <w:color w:val="auto"/>
        </w:rPr>
      </w:pPr>
      <w:r>
        <w:rPr>
          <w:rFonts w:ascii="Arial" w:cs="Arial" w:eastAsia="Arial" w:hAnsi="Arial"/>
          <w:sz w:val="11"/>
          <w:szCs w:val="11"/>
          <w:color w:val="auto"/>
        </w:rPr>
        <w:t>Goodwill and intangible assets with indefinite lives are not amortized. Intangible assets with finite lives are amortized on a straight-line basis over their estimated useful lives. The Company reviews goodwill and intangible assets with indefinite lives for impairment on an annual basis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The Company may perform either a qualitative assessment or a two-step goodwill impairment test. The qualitative assessment considers financial, industry, segment and macroeconomic factors. If the qualitative assessment indicates a potential for impairment, the two-step method is used to determine if impairment exists. The two-step method begins with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The company also performs a qualitative assessment on intangible assets with indefinite lives. If the qualitative assessment indicates a potential for impairment, a quantitative impairment test would be performed to compare the fair value of the indefinite-lived intangible asset with its carrying value. If the carrying value of goodwill or other indefinite-lived assets exceeds its implied fair value, an impairment charge would be recorded in the statement of operations.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a result of the annual qualitative review process in 2019 and 2017, the Company determined it was not necessary to perform a two-step analysis.</w:t>
      </w:r>
    </w:p>
    <w:p>
      <w:pPr>
        <w:spacing w:after="0" w:line="105" w:lineRule="exact"/>
        <w:rPr>
          <w:sz w:val="20"/>
          <w:szCs w:val="20"/>
          <w:color w:val="auto"/>
        </w:rPr>
      </w:pPr>
    </w:p>
    <w:p>
      <w:pPr>
        <w:ind w:right="20" w:firstLine="240"/>
        <w:spacing w:after="0" w:line="298" w:lineRule="auto"/>
        <w:rPr>
          <w:sz w:val="20"/>
          <w:szCs w:val="20"/>
          <w:color w:val="auto"/>
        </w:rPr>
      </w:pPr>
      <w:r>
        <w:rPr>
          <w:rFonts w:ascii="Arial" w:cs="Arial" w:eastAsia="Arial" w:hAnsi="Arial"/>
          <w:sz w:val="11"/>
          <w:szCs w:val="11"/>
          <w:color w:val="auto"/>
        </w:rPr>
        <w:t>In 2018, the Company performed a two-step analysis on goodwill and intangible assets with indefinite lives. The first step involves a comparison of the fair value of the reporting unit with its carrying value. If the carrying amount of the reporting unit exceeds its fair value, the second step of the process involves a comparison of the implied fair value and carrying value of the goodwill of that reporting unit. If the carrying value of goodwill exceeds its implied fair value, an impairment charge is recorded in the statement of operations. The step-one analysis did not indicate that the Company’s goodwill or indefinite-lived intangible assets were impaired. As a result, no step-two analysis was performed.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w:t>
      </w:r>
    </w:p>
    <w:p>
      <w:pPr>
        <w:spacing w:after="0" w:line="96" w:lineRule="exact"/>
        <w:rPr>
          <w:sz w:val="20"/>
          <w:szCs w:val="20"/>
          <w:color w:val="auto"/>
        </w:rPr>
      </w:pPr>
    </w:p>
    <w:p>
      <w:pPr>
        <w:ind w:right="400" w:firstLine="240"/>
        <w:spacing w:after="0" w:line="276" w:lineRule="auto"/>
        <w:rPr>
          <w:sz w:val="20"/>
          <w:szCs w:val="20"/>
          <w:color w:val="auto"/>
        </w:rPr>
      </w:pPr>
      <w:r>
        <w:rPr>
          <w:rFonts w:ascii="Arial" w:cs="Arial" w:eastAsia="Arial" w:hAnsi="Arial"/>
          <w:sz w:val="12"/>
          <w:szCs w:val="12"/>
          <w:color w:val="auto"/>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spacing w:after="0" w:line="70" w:lineRule="exact"/>
        <w:rPr>
          <w:sz w:val="20"/>
          <w:szCs w:val="20"/>
          <w:color w:val="auto"/>
        </w:rPr>
      </w:pPr>
    </w:p>
    <w:p>
      <w:pPr>
        <w:ind w:firstLine="240"/>
        <w:spacing w:after="0" w:line="263" w:lineRule="auto"/>
        <w:rPr>
          <w:sz w:val="20"/>
          <w:szCs w:val="20"/>
          <w:color w:val="auto"/>
        </w:rPr>
      </w:pPr>
      <w:r>
        <w:rPr>
          <w:rFonts w:ascii="Arial" w:cs="Arial" w:eastAsia="Arial" w:hAnsi="Arial"/>
          <w:sz w:val="12"/>
          <w:szCs w:val="12"/>
          <w:color w:val="auto"/>
        </w:rPr>
        <w:t>The Company is subject to a concentration of risk because it derives a significant portion of its revenues from a few customers. The Company’s top ten customers accounted for approximately 30.8%, 32.9%, and 40.4% of consolidated revenues for the years ended December 31, 2019, 2018 and 2017, respectively. For the years ended December 31, 2019 and 2018, no single customer accounted for more than 10.0% of annual revenues. For the year ended December 31, 2017, one T&amp;D customer accounted for 10.7% of our revenues.</w:t>
      </w:r>
    </w:p>
    <w:p>
      <w:pPr>
        <w:spacing w:after="0" w:line="78" w:lineRule="exact"/>
        <w:rPr>
          <w:sz w:val="20"/>
          <w:szCs w:val="20"/>
          <w:color w:val="auto"/>
        </w:rPr>
      </w:pPr>
    </w:p>
    <w:p>
      <w:pPr>
        <w:ind w:right="100" w:firstLine="240"/>
        <w:spacing w:after="0" w:line="259" w:lineRule="auto"/>
        <w:rPr>
          <w:sz w:val="20"/>
          <w:szCs w:val="20"/>
          <w:color w:val="auto"/>
        </w:rPr>
      </w:pPr>
      <w:r>
        <w:rPr>
          <w:rFonts w:ascii="Arial" w:cs="Arial" w:eastAsia="Arial" w:hAnsi="Arial"/>
          <w:sz w:val="12"/>
          <w:szCs w:val="12"/>
          <w:color w:val="auto"/>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2019 and 2018, none of the Company’s customers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1" w:name="page72"/>
    <w:bookmarkEnd w:id="71"/>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individually exceeded 10.0% of accounts receivable. The Company believes the terms and conditions in its contracts, billing and collection policies are adequate to minimize the potential credit risk.</w:t>
      </w:r>
    </w:p>
    <w:p>
      <w:pPr>
        <w:spacing w:after="0" w:line="96" w:lineRule="exact"/>
        <w:rPr>
          <w:sz w:val="20"/>
          <w:szCs w:val="20"/>
          <w:color w:val="auto"/>
        </w:rPr>
      </w:pPr>
    </w:p>
    <w:p>
      <w:pPr>
        <w:ind w:right="40" w:firstLine="240"/>
        <w:spacing w:after="0" w:line="276" w:lineRule="auto"/>
        <w:rPr>
          <w:sz w:val="20"/>
          <w:szCs w:val="20"/>
          <w:color w:val="auto"/>
        </w:rPr>
      </w:pPr>
      <w:r>
        <w:rPr>
          <w:rFonts w:ascii="Arial" w:cs="Arial" w:eastAsia="Arial" w:hAnsi="Arial"/>
          <w:sz w:val="12"/>
          <w:szCs w:val="12"/>
          <w:color w:val="auto"/>
        </w:rPr>
        <w:t>As of December 31, 2019, approximately 90% of the Company’s craft labor employees were covered by collective bargaining agreements. Although the majority of these agreements prohibit strikes and work stoppages, the Company cannot be certain that strikes or work stoppages will not occur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09" w:lineRule="exact"/>
        <w:rPr>
          <w:sz w:val="20"/>
          <w:szCs w:val="20"/>
          <w:color w:val="auto"/>
        </w:rPr>
      </w:pPr>
    </w:p>
    <w:p>
      <w:pPr>
        <w:jc w:val="both"/>
        <w:ind w:right="100" w:firstLine="240"/>
        <w:spacing w:after="0" w:line="263" w:lineRule="auto"/>
        <w:rPr>
          <w:sz w:val="20"/>
          <w:szCs w:val="20"/>
          <w:color w:val="auto"/>
        </w:rPr>
      </w:pPr>
      <w:r>
        <w:rPr>
          <w:rFonts w:ascii="Arial" w:cs="Arial" w:eastAsia="Arial" w:hAnsi="Arial"/>
          <w:sz w:val="12"/>
          <w:szCs w:val="12"/>
          <w:color w:val="auto"/>
        </w:rPr>
        <w:t>Changes to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may have minimal impact on its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105" w:lineRule="exact"/>
        <w:rPr>
          <w:sz w:val="20"/>
          <w:szCs w:val="20"/>
          <w:color w:val="auto"/>
        </w:rPr>
      </w:pPr>
    </w:p>
    <w:p>
      <w:pPr>
        <w:ind w:firstLine="240"/>
        <w:spacing w:after="0" w:line="280"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 (Topic 842)</w:t>
      </w:r>
      <w:r>
        <w:rPr>
          <w:rFonts w:ascii="Arial" w:cs="Arial" w:eastAsia="Arial" w:hAnsi="Arial"/>
          <w:sz w:val="11"/>
          <w:szCs w:val="11"/>
          <w:color w:val="auto"/>
        </w:rPr>
        <w:t>. The amendments under this pronouncement changed the way all leases with durations in excess of one year are treated. Under this guidance, lessees are required to recognize virtually all leases on the balance sheet as a right-of-use asset and an associated finance lease liability or operating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finance leases or operating leases. Finance lease liabilities, which contain provisions similar to capitalized leases under the prior accounting standards, are amortized as amortization expense and interest expense in the statement of operations. Operating lease liabilities and right-of-use assets are adjusted to result in a single straight-line lease expense over the life of the lease. On January 1, 2019, the Company adopted ASU No. 2016-02</w:t>
      </w:r>
      <w:r>
        <w:rPr>
          <w:rFonts w:ascii="Arial" w:cs="Arial" w:eastAsia="Arial" w:hAnsi="Arial"/>
          <w:sz w:val="11"/>
          <w:szCs w:val="11"/>
          <w:i w:val="1"/>
          <w:iCs w:val="1"/>
          <w:color w:val="auto"/>
        </w:rPr>
        <w:t>, Leases (Topic 842)</w:t>
      </w:r>
      <w:r>
        <w:rPr>
          <w:rFonts w:ascii="Arial" w:cs="Arial" w:eastAsia="Arial" w:hAnsi="Arial"/>
          <w:sz w:val="11"/>
          <w:szCs w:val="11"/>
          <w:color w:val="auto"/>
        </w:rPr>
        <w:t xml:space="preserve"> using the modified retrospective method. The modified retrospective basis provides a method for recording existing leases at adoption and in comparative periods that approximates the results of a full retrospective approach using the cumulative-effect approach for recording the transition adjustment as of the effective date. Financial results reported in prior periods are unchanged. See Note 4–Lease Obligations for further information related to the Company’s accounting policy and transition disclosures associated with the adoption of this pronouncement.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96" w:lineRule="exact"/>
        <w:rPr>
          <w:sz w:val="20"/>
          <w:szCs w:val="20"/>
          <w:color w:val="auto"/>
        </w:rPr>
      </w:pPr>
    </w:p>
    <w:p>
      <w:pPr>
        <w:ind w:right="60" w:firstLine="240"/>
        <w:spacing w:after="0" w:line="259" w:lineRule="auto"/>
        <w:rPr>
          <w:sz w:val="20"/>
          <w:szCs w:val="20"/>
          <w:color w:val="auto"/>
        </w:rPr>
      </w:pPr>
      <w:r>
        <w:rPr>
          <w:rFonts w:ascii="Arial" w:cs="Arial" w:eastAsia="Arial" w:hAnsi="Arial"/>
          <w:sz w:val="12"/>
          <w:szCs w:val="12"/>
          <w:color w:val="auto"/>
        </w:rPr>
        <w:t xml:space="preserve">In January 2017, the FASB issued ASU No. 2017-04, </w:t>
      </w:r>
      <w:r>
        <w:rPr>
          <w:rFonts w:ascii="Arial" w:cs="Arial" w:eastAsia="Arial" w:hAnsi="Arial"/>
          <w:sz w:val="12"/>
          <w:szCs w:val="12"/>
          <w:i w:val="1"/>
          <w:iCs w:val="1"/>
          <w:color w:val="auto"/>
        </w:rPr>
        <w:t>Intangibles — Goodwill and Other (Topic 350): Simplifying the Test for Goodwill Impairment</w:t>
      </w:r>
      <w:r>
        <w:rPr>
          <w:rFonts w:ascii="Arial" w:cs="Arial" w:eastAsia="Arial" w:hAnsi="Arial"/>
          <w:sz w:val="12"/>
          <w:szCs w:val="12"/>
          <w:color w:val="auto"/>
        </w:rPr>
        <w:t>, which simplifies the subsequent measurement of goodwill, through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80" w:lineRule="exact"/>
        <w:rPr>
          <w:sz w:val="20"/>
          <w:szCs w:val="20"/>
          <w:color w:val="auto"/>
        </w:rPr>
      </w:pPr>
    </w:p>
    <w:p>
      <w:pPr>
        <w:ind w:firstLine="240"/>
        <w:spacing w:after="0" w:line="257" w:lineRule="auto"/>
        <w:rPr>
          <w:sz w:val="20"/>
          <w:szCs w:val="20"/>
          <w:color w:val="auto"/>
        </w:rPr>
      </w:pPr>
      <w:r>
        <w:rPr>
          <w:rFonts w:ascii="Arial" w:cs="Arial" w:eastAsia="Arial" w:hAnsi="Arial"/>
          <w:sz w:val="12"/>
          <w:szCs w:val="12"/>
          <w:color w:val="auto"/>
        </w:rPr>
        <w:t xml:space="preserve">In June 2016, the FASB issued ASU 2016-13, </w:t>
      </w:r>
      <w:r>
        <w:rPr>
          <w:rFonts w:ascii="Arial" w:cs="Arial" w:eastAsia="Arial" w:hAnsi="Arial"/>
          <w:sz w:val="12"/>
          <w:szCs w:val="12"/>
          <w:i w:val="1"/>
          <w:iCs w:val="1"/>
          <w:color w:val="auto"/>
        </w:rPr>
        <w:t>Financial Instruments — Credit Losses (Topic 326), Measurement of Credit Losses on Financial Instruments</w:t>
      </w:r>
      <w:r>
        <w:rPr>
          <w:rFonts w:ascii="Arial" w:cs="Arial" w:eastAsia="Arial" w:hAnsi="Arial"/>
          <w:sz w:val="12"/>
          <w:szCs w:val="12"/>
          <w:color w:val="auto"/>
        </w:rPr>
        <w:t>, which introduced an expected credit loss methodology for the measurement and recognition of credit losses on most financial instruments, including trade receivables and off-balance sheet credit exposures. Under this guidance, an entity is required to consider a broader range of information to estimate expected credit losses, which may result in earlier recognition of losses. This ASU also requires disclosure of information regarding how a company developed its allowance, including changes in the factors that influenced management’s estimate of expected credit losses and the reasons for those changes. The ASU and its related clarifying updates are effective for fiscal years beginning after December 15, 2019, and interim periods within those fiscal years, with early adoption permitted. The adoption of this standard will be through a cumulative-effect adjustment to retained earnings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72" w:name="page73"/>
    <w:bookmarkEnd w:id="72"/>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as of the effective date. Based on our historical experience, the Company does not expect that this pronouncement will have a significant impact in its financial statements or on the estimate of the allowance for uncollectable accounts.</w:t>
      </w:r>
    </w:p>
    <w:p>
      <w:pPr>
        <w:spacing w:after="0" w:line="108" w:lineRule="exact"/>
        <w:rPr>
          <w:sz w:val="20"/>
          <w:szCs w:val="20"/>
          <w:color w:val="auto"/>
        </w:rPr>
      </w:pPr>
    </w:p>
    <w:p>
      <w:pPr>
        <w:ind w:right="220" w:firstLine="240"/>
        <w:spacing w:after="0" w:line="298" w:lineRule="auto"/>
        <w:rPr>
          <w:sz w:val="20"/>
          <w:szCs w:val="20"/>
          <w:color w:val="auto"/>
        </w:rPr>
      </w:pPr>
      <w:r>
        <w:rPr>
          <w:rFonts w:ascii="Arial" w:cs="Arial" w:eastAsia="Arial" w:hAnsi="Arial"/>
          <w:sz w:val="11"/>
          <w:szCs w:val="11"/>
          <w:color w:val="auto"/>
        </w:rPr>
        <w:t xml:space="preserve">In August 2018, the FASB issued ASU 2018-13, </w:t>
      </w:r>
      <w:r>
        <w:rPr>
          <w:rFonts w:ascii="Arial" w:cs="Arial" w:eastAsia="Arial" w:hAnsi="Arial"/>
          <w:sz w:val="11"/>
          <w:szCs w:val="11"/>
          <w:i w:val="1"/>
          <w:iCs w:val="1"/>
          <w:color w:val="auto"/>
        </w:rPr>
        <w:t>Fair Value Measurement (Topic 820): Disclosure Framework-Changes to the Disclosure Requirements for Fair Value Measurement</w:t>
      </w:r>
      <w:r>
        <w:rPr>
          <w:rFonts w:ascii="Arial" w:cs="Arial" w:eastAsia="Arial" w:hAnsi="Arial"/>
          <w:sz w:val="11"/>
          <w:szCs w:val="11"/>
          <w:color w:val="auto"/>
        </w:rPr>
        <w:t>, which modifies the disclosure requirements for Level 1, Level 2 and Level 3 instruments in the fair value hierarchy. The guidance is effective for fiscal years beginning after December 15, 2019, and interim periods within those fiscal years, with early adoption permitted for any eliminated or modified disclosures. The adoption of this standard is not expected to have a material impact on the Company’s consolidated financial statements or disclosures.</w:t>
      </w:r>
    </w:p>
    <w:p>
      <w:pPr>
        <w:spacing w:after="0" w:line="60" w:lineRule="exact"/>
        <w:rPr>
          <w:sz w:val="20"/>
          <w:szCs w:val="20"/>
          <w:color w:val="auto"/>
        </w:rPr>
      </w:pPr>
    </w:p>
    <w:p>
      <w:pPr>
        <w:ind w:right="160" w:firstLine="240"/>
        <w:spacing w:after="0" w:line="290" w:lineRule="auto"/>
        <w:rPr>
          <w:sz w:val="20"/>
          <w:szCs w:val="20"/>
          <w:color w:val="auto"/>
        </w:rPr>
      </w:pPr>
      <w:r>
        <w:rPr>
          <w:rFonts w:ascii="Arial" w:cs="Arial" w:eastAsia="Arial" w:hAnsi="Arial"/>
          <w:sz w:val="11"/>
          <w:szCs w:val="11"/>
          <w:color w:val="auto"/>
        </w:rPr>
        <w:t xml:space="preserve">In December 2019, the FASB issued ASU 2019-12, </w:t>
      </w:r>
      <w:r>
        <w:rPr>
          <w:rFonts w:ascii="Arial" w:cs="Arial" w:eastAsia="Arial" w:hAnsi="Arial"/>
          <w:sz w:val="11"/>
          <w:szCs w:val="11"/>
          <w:i w:val="1"/>
          <w:iCs w:val="1"/>
          <w:color w:val="auto"/>
        </w:rPr>
        <w:t>Simplifying the Accounting for Income Taxes</w:t>
      </w:r>
      <w:r>
        <w:rPr>
          <w:rFonts w:ascii="Arial" w:cs="Arial" w:eastAsia="Arial" w:hAnsi="Arial"/>
          <w:sz w:val="11"/>
          <w:szCs w:val="11"/>
          <w:color w:val="auto"/>
        </w:rPr>
        <w:t xml:space="preserve">, which simplifies the accounting for income taxes, eliminates certain exceptions within ASC 740, </w:t>
      </w:r>
      <w:r>
        <w:rPr>
          <w:rFonts w:ascii="Arial" w:cs="Arial" w:eastAsia="Arial" w:hAnsi="Arial"/>
          <w:sz w:val="11"/>
          <w:szCs w:val="11"/>
          <w:i w:val="1"/>
          <w:iCs w:val="1"/>
          <w:color w:val="auto"/>
        </w:rPr>
        <w:t>Income Taxes</w:t>
      </w:r>
      <w:r>
        <w:rPr>
          <w:rFonts w:ascii="Arial" w:cs="Arial" w:eastAsia="Arial" w:hAnsi="Arial"/>
          <w:sz w:val="11"/>
          <w:szCs w:val="11"/>
          <w:color w:val="auto"/>
        </w:rPr>
        <w:t>, and clarifies certain aspects of the current guidance to promote consistent application among reporting entities. The guidance is effective for fiscal years beginning after December 15, 2020, and interim periods within those fiscal years, with early adoption permitted. Upon adoption, the Company must apply certain aspects of this standard retrospectively for all periods presented while other aspects are applied on a modified retrospective basis through a cumulative-effect adjustment to retained earnings as of the beginning of the fiscal year of adoption. The Company is evaluating the impact this update will have on its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CSI Electrical Contractors, Inc.</w:t>
      </w:r>
    </w:p>
    <w:p>
      <w:pPr>
        <w:spacing w:after="0" w:line="105" w:lineRule="exact"/>
        <w:rPr>
          <w:sz w:val="20"/>
          <w:szCs w:val="20"/>
          <w:color w:val="auto"/>
        </w:rPr>
      </w:pPr>
    </w:p>
    <w:p>
      <w:pPr>
        <w:ind w:right="120" w:firstLine="240"/>
        <w:spacing w:after="0" w:line="263" w:lineRule="auto"/>
        <w:rPr>
          <w:sz w:val="20"/>
          <w:szCs w:val="20"/>
          <w:color w:val="auto"/>
        </w:rPr>
      </w:pPr>
      <w:r>
        <w:rPr>
          <w:rFonts w:ascii="Arial" w:cs="Arial" w:eastAsia="Arial" w:hAnsi="Arial"/>
          <w:sz w:val="12"/>
          <w:szCs w:val="12"/>
          <w:color w:val="auto"/>
        </w:rPr>
        <w:t>On July 15, 2019, the Company completed the acquisition of substantially all the assets of CSI Electrical Contractors, Inc. (“CSI”), an electrical contracting firm based in California. CSI provides services to a broad array of end markets under the Company’s C&amp;I segment. The total consideration, after net asset adjustments of approximately $1.0 million, was $80.7 million which was funded through borrowings under the Company’s credit facility. The Company has finalized the purchase price accounting relating to the acquisition of CSI.</w:t>
      </w:r>
    </w:p>
    <w:p>
      <w:pPr>
        <w:spacing w:after="0" w:line="69" w:lineRule="exact"/>
        <w:rPr>
          <w:sz w:val="20"/>
          <w:szCs w:val="20"/>
          <w:color w:val="auto"/>
        </w:rPr>
      </w:pPr>
    </w:p>
    <w:p>
      <w:pPr>
        <w:ind w:firstLine="240"/>
        <w:spacing w:after="0" w:line="255" w:lineRule="auto"/>
        <w:rPr>
          <w:sz w:val="20"/>
          <w:szCs w:val="20"/>
          <w:color w:val="auto"/>
        </w:rPr>
      </w:pPr>
      <w:r>
        <w:rPr>
          <w:rFonts w:ascii="Arial" w:cs="Arial" w:eastAsia="Arial" w:hAnsi="Arial"/>
          <w:sz w:val="12"/>
          <w:szCs w:val="12"/>
          <w:color w:val="auto"/>
        </w:rPr>
        <w:t>The purchase agreement also includes contingent consideration provisions for margin guarantee adjustments based upon contract performance subsequent to the acquisition. The contracts were valued at fair value at the acquisition date, causing no margin guarantee estimate or adjustments for fair value. Changes in contract estimates, such as modified costs to complete or change order recognition, will result in changes to these margin guarantee estimates. Changes in contingent consideration, subsequent to the acquisition, related to the margin guarantee adjustments on contracts of approximately $2.0 million were recorded in other expense for the year ended December 31, 2019. Future margin guarantee adjustments, if any, are expected to be recognized through 2020. The Company could also be required to make compensation payments contingent on the successful achievement of certain performance targets and continued employment of certain key executives of CSI. These payments are recognized as compensation expense on the Company’s consolidated statements of operations as incurred. For the year ended December 31, 2019 the Company recognized $0.4 million of compensation expense associated with these contingent payments.</w:t>
      </w:r>
    </w:p>
    <w:p>
      <w:pPr>
        <w:spacing w:after="0" w:line="84" w:lineRule="exact"/>
        <w:rPr>
          <w:sz w:val="20"/>
          <w:szCs w:val="20"/>
          <w:color w:val="auto"/>
        </w:rPr>
      </w:pPr>
    </w:p>
    <w:p>
      <w:pPr>
        <w:ind w:right="80" w:firstLine="240"/>
        <w:spacing w:after="0" w:line="276" w:lineRule="auto"/>
        <w:rPr>
          <w:sz w:val="20"/>
          <w:szCs w:val="20"/>
          <w:color w:val="auto"/>
        </w:rPr>
      </w:pPr>
      <w:r>
        <w:rPr>
          <w:rFonts w:ascii="Arial" w:cs="Arial" w:eastAsia="Arial" w:hAnsi="Arial"/>
          <w:sz w:val="12"/>
          <w:szCs w:val="12"/>
          <w:color w:val="auto"/>
        </w:rPr>
        <w:t>The results of operations for CSI are included on the Company’s consolidated statement of operations and the C&amp;I segment from the date of acquisition. Costs of approximately $0.6 million related to the acquisition were included in selling, general and administrative expenses on the Company’s consolidated statement of operations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73" w:name="page74"/>
    <w:bookmarkEnd w:id="73"/>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allocation of the opening balance sheet from the date of the CSI acquisition: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5"/>
          </w:tcPr>
          <w:p>
            <w:pPr>
              <w:jc w:val="center"/>
              <w:ind w:right="140"/>
              <w:spacing w:after="0"/>
              <w:rPr>
                <w:sz w:val="20"/>
                <w:szCs w:val="20"/>
                <w:color w:val="auto"/>
              </w:rPr>
            </w:pPr>
            <w:r>
              <w:rPr>
                <w:rFonts w:ascii="Arial" w:cs="Arial" w:eastAsia="Arial" w:hAnsi="Arial"/>
                <w:sz w:val="10"/>
                <w:szCs w:val="10"/>
                <w:b w:val="1"/>
                <w:bCs w:val="1"/>
                <w:color w:val="auto"/>
                <w:w w:val="86"/>
              </w:rPr>
              <w:t>Measurement</w:t>
            </w: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08"/>
        </w:trPr>
        <w:tc>
          <w:tcPr>
            <w:tcW w:w="6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gridSpan w:val="4"/>
          </w:tcPr>
          <w:p>
            <w:pPr>
              <w:ind w:left="480"/>
              <w:spacing w:after="0" w:line="108" w:lineRule="exact"/>
              <w:rPr>
                <w:sz w:val="20"/>
                <w:szCs w:val="20"/>
                <w:color w:val="auto"/>
              </w:rPr>
            </w:pPr>
            <w:r>
              <w:rPr>
                <w:rFonts w:ascii="Arial" w:cs="Arial" w:eastAsia="Arial" w:hAnsi="Arial"/>
                <w:sz w:val="10"/>
                <w:szCs w:val="10"/>
                <w:b w:val="1"/>
                <w:bCs w:val="1"/>
                <w:color w:val="auto"/>
              </w:rPr>
              <w:t>(as of acquisition</w:t>
            </w:r>
          </w:p>
        </w:tc>
        <w:tc>
          <w:tcPr>
            <w:tcW w:w="400" w:type="dxa"/>
            <w:vAlign w:val="bottom"/>
          </w:tcPr>
          <w:p>
            <w:pPr>
              <w:spacing w:after="0"/>
              <w:rPr>
                <w:sz w:val="9"/>
                <w:szCs w:val="9"/>
                <w:color w:val="auto"/>
              </w:rPr>
            </w:pPr>
          </w:p>
        </w:tc>
        <w:tc>
          <w:tcPr>
            <w:tcW w:w="940" w:type="dxa"/>
            <w:vAlign w:val="bottom"/>
            <w:gridSpan w:val="4"/>
          </w:tcPr>
          <w:p>
            <w:pPr>
              <w:jc w:val="center"/>
              <w:ind w:right="540"/>
              <w:spacing w:after="0" w:line="108" w:lineRule="exact"/>
              <w:rPr>
                <w:sz w:val="20"/>
                <w:szCs w:val="20"/>
                <w:color w:val="auto"/>
              </w:rPr>
            </w:pPr>
            <w:r>
              <w:rPr>
                <w:rFonts w:ascii="Arial" w:cs="Arial" w:eastAsia="Arial" w:hAnsi="Arial"/>
                <w:sz w:val="10"/>
                <w:szCs w:val="10"/>
                <w:b w:val="1"/>
                <w:bCs w:val="1"/>
                <w:color w:val="auto"/>
                <w:w w:val="89"/>
              </w:rPr>
              <w:t>Period</w:t>
            </w:r>
          </w:p>
        </w:tc>
        <w:tc>
          <w:tcPr>
            <w:tcW w:w="1520" w:type="dxa"/>
            <w:vAlign w:val="bottom"/>
            <w:gridSpan w:val="3"/>
          </w:tcPr>
          <w:p>
            <w:pPr>
              <w:jc w:val="right"/>
              <w:ind w:right="400"/>
              <w:spacing w:after="0" w:line="108" w:lineRule="exact"/>
              <w:rPr>
                <w:sz w:val="20"/>
                <w:szCs w:val="20"/>
                <w:color w:val="auto"/>
              </w:rPr>
            </w:pPr>
            <w:r>
              <w:rPr>
                <w:rFonts w:ascii="Arial" w:cs="Arial" w:eastAsia="Arial" w:hAnsi="Arial"/>
                <w:sz w:val="10"/>
                <w:szCs w:val="10"/>
                <w:b w:val="1"/>
                <w:bCs w:val="1"/>
                <w:color w:val="auto"/>
              </w:rPr>
              <w:t>Final Acquisition</w:t>
            </w:r>
          </w:p>
        </w:tc>
      </w:tr>
      <w:tr>
        <w:trPr>
          <w:trHeight w:val="128"/>
        </w:trPr>
        <w:tc>
          <w:tcPr>
            <w:tcW w:w="6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0"/>
                <w:szCs w:val="10"/>
                <w:b w:val="1"/>
                <w:bCs w:val="1"/>
                <w:color w:val="auto"/>
              </w:rPr>
              <w:t>date) July 15, 2019</w:t>
            </w:r>
          </w:p>
        </w:tc>
        <w:tc>
          <w:tcPr>
            <w:tcW w:w="16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5"/>
              </w:rPr>
              <w:t>Adjustments</w:t>
            </w: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Allocation</w:t>
            </w:r>
          </w:p>
        </w:tc>
      </w:tr>
      <w:tr>
        <w:trPr>
          <w:trHeight w:val="137"/>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Consideration paid</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w w:val="97"/>
              </w:rPr>
              <w:t>79,720</w:t>
            </w: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w w:val="97"/>
              </w:rPr>
              <w:t>79,720</w:t>
            </w:r>
          </w:p>
        </w:tc>
      </w:tr>
      <w:tr>
        <w:trPr>
          <w:trHeight w:val="162"/>
        </w:trPr>
        <w:tc>
          <w:tcPr>
            <w:tcW w:w="6660" w:type="dxa"/>
            <w:vAlign w:val="bottom"/>
          </w:tcPr>
          <w:p>
            <w:pPr>
              <w:spacing w:after="0"/>
              <w:rPr>
                <w:sz w:val="20"/>
                <w:szCs w:val="20"/>
                <w:color w:val="auto"/>
              </w:rPr>
            </w:pPr>
            <w:r>
              <w:rPr>
                <w:rFonts w:ascii="Arial" w:cs="Arial" w:eastAsia="Arial" w:hAnsi="Arial"/>
                <w:sz w:val="12"/>
                <w:szCs w:val="12"/>
                <w:color w:val="auto"/>
              </w:rPr>
              <w:t>Net asset adjustments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633</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2"/>
                <w:szCs w:val="12"/>
                <w:color w:val="auto"/>
              </w:rPr>
              <w:t>354</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rPr>
              <w:t>987</w:t>
            </w:r>
          </w:p>
        </w:tc>
      </w:tr>
      <w:tr>
        <w:trPr>
          <w:trHeight w:val="20"/>
        </w:trPr>
        <w:tc>
          <w:tcPr>
            <w:tcW w:w="6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33"/>
        </w:trPr>
        <w:tc>
          <w:tcPr>
            <w:tcW w:w="66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consideration, net of net asset adjustments</w:t>
            </w:r>
          </w:p>
        </w:tc>
        <w:tc>
          <w:tcPr>
            <w:tcW w:w="8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600"/>
              <w:spacing w:after="0" w:line="133" w:lineRule="exact"/>
              <w:rPr>
                <w:sz w:val="20"/>
                <w:szCs w:val="20"/>
                <w:color w:val="auto"/>
              </w:rPr>
            </w:pPr>
            <w:r>
              <w:rPr>
                <w:rFonts w:ascii="Arial" w:cs="Arial" w:eastAsia="Arial" w:hAnsi="Arial"/>
                <w:sz w:val="12"/>
                <w:szCs w:val="12"/>
                <w:color w:val="auto"/>
                <w:w w:val="97"/>
              </w:rPr>
              <w:t>80,353</w:t>
            </w: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420"/>
              <w:spacing w:after="0" w:line="133" w:lineRule="exact"/>
              <w:rPr>
                <w:sz w:val="20"/>
                <w:szCs w:val="20"/>
                <w:color w:val="auto"/>
              </w:rPr>
            </w:pPr>
            <w:r>
              <w:rPr>
                <w:rFonts w:ascii="Arial" w:cs="Arial" w:eastAsia="Arial" w:hAnsi="Arial"/>
                <w:sz w:val="12"/>
                <w:szCs w:val="12"/>
                <w:color w:val="auto"/>
              </w:rPr>
              <w:t>354</w:t>
            </w:r>
          </w:p>
        </w:tc>
        <w:tc>
          <w:tcPr>
            <w:tcW w:w="14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540"/>
              <w:spacing w:after="0" w:line="133" w:lineRule="exact"/>
              <w:rPr>
                <w:sz w:val="20"/>
                <w:szCs w:val="20"/>
                <w:color w:val="auto"/>
              </w:rPr>
            </w:pPr>
            <w:r>
              <w:rPr>
                <w:rFonts w:ascii="Arial" w:cs="Arial" w:eastAsia="Arial" w:hAnsi="Arial"/>
                <w:sz w:val="12"/>
                <w:szCs w:val="12"/>
                <w:color w:val="auto"/>
                <w:w w:val="97"/>
              </w:rPr>
              <w:t>80,707</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Accounts receivable, net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2"/>
                <w:szCs w:val="12"/>
                <w:color w:val="auto"/>
                <w:w w:val="97"/>
              </w:rPr>
              <w:t>59,579</w:t>
            </w:r>
          </w:p>
        </w:tc>
        <w:tc>
          <w:tcPr>
            <w:tcW w:w="1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20"/>
              <w:spacing w:after="0"/>
              <w:rPr>
                <w:sz w:val="20"/>
                <w:szCs w:val="20"/>
                <w:color w:val="auto"/>
              </w:rPr>
            </w:pPr>
            <w:r>
              <w:rPr>
                <w:rFonts w:ascii="Arial" w:cs="Arial" w:eastAsia="Arial" w:hAnsi="Arial"/>
                <w:sz w:val="12"/>
                <w:szCs w:val="12"/>
                <w:color w:val="auto"/>
              </w:rPr>
              <w:t>186</w:t>
            </w:r>
          </w:p>
        </w:tc>
        <w:tc>
          <w:tcPr>
            <w:tcW w:w="140" w:type="dxa"/>
            <w:vAlign w:val="bottom"/>
          </w:tcPr>
          <w:p>
            <w:pPr>
              <w:spacing w:after="0"/>
              <w:rPr>
                <w:sz w:val="12"/>
                <w:szCs w:val="12"/>
                <w:color w:val="auto"/>
              </w:rPr>
            </w:pPr>
          </w:p>
        </w:tc>
        <w:tc>
          <w:tcPr>
            <w:tcW w:w="600" w:type="dxa"/>
            <w:vAlign w:val="bottom"/>
          </w:tcPr>
          <w:p>
            <w:pPr>
              <w:ind w:left="540"/>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w w:val="97"/>
              </w:rPr>
              <w:t>59,765</w:t>
            </w:r>
          </w:p>
        </w:tc>
      </w:tr>
      <w:tr>
        <w:trPr>
          <w:trHeight w:val="144"/>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Contract assets</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w w:val="97"/>
              </w:rPr>
              <w:t>38,970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994</w:t>
            </w:r>
          </w:p>
        </w:tc>
        <w:tc>
          <w:tcPr>
            <w:tcW w:w="1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w w:val="97"/>
              </w:rPr>
              <w:t>39,964</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Other current assets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2"/>
                <w:szCs w:val="12"/>
                <w:color w:val="auto"/>
              </w:rPr>
              <w:t>83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rPr>
              <w:t>83</w:t>
            </w:r>
          </w:p>
        </w:tc>
      </w:tr>
      <w:tr>
        <w:trPr>
          <w:trHeight w:val="144"/>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7,964</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7,964</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2"/>
                <w:szCs w:val="12"/>
                <w:color w:val="auto"/>
              </w:rPr>
              <w:t>9,933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rPr>
              <w:t>9,933</w:t>
            </w:r>
          </w:p>
        </w:tc>
      </w:tr>
      <w:tr>
        <w:trPr>
          <w:trHeight w:val="144"/>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w w:val="97"/>
              </w:rPr>
              <w:t>26,000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(500)</w:t>
            </w:r>
          </w:p>
        </w:tc>
        <w:tc>
          <w:tcPr>
            <w:tcW w:w="1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w w:val="97"/>
              </w:rPr>
              <w:t>25,500</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Other long term assets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2"/>
                <w:szCs w:val="12"/>
                <w:color w:val="auto"/>
              </w:rPr>
              <w:t>149</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rPr>
              <w:t>149</w:t>
            </w:r>
          </w:p>
        </w:tc>
      </w:tr>
      <w:tr>
        <w:trPr>
          <w:trHeight w:val="144"/>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w w:val="89"/>
              </w:rPr>
              <w:t>(29,533)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84"/>
              </w:rPr>
              <w:t>(1,100)</w:t>
            </w:r>
          </w:p>
        </w:tc>
        <w:tc>
          <w:tcPr>
            <w:tcW w:w="1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w w:val="89"/>
              </w:rPr>
              <w:t>(30,633)</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Accrued salaries and benefits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color w:val="auto"/>
              </w:rPr>
              <w:t>(8,091)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(8,091)</w:t>
            </w:r>
          </w:p>
        </w:tc>
      </w:tr>
      <w:tr>
        <w:trPr>
          <w:trHeight w:val="144"/>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Contract liabilities</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w w:val="89"/>
              </w:rPr>
              <w:t>(18,934)</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200</w:t>
            </w:r>
          </w:p>
        </w:tc>
        <w:tc>
          <w:tcPr>
            <w:tcW w:w="1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w w:val="89"/>
              </w:rPr>
              <w:t>(18,734)</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Current portion of operating lease obligations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color w:val="auto"/>
              </w:rPr>
              <w:t>(2,526)</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(2,562)</w:t>
            </w:r>
          </w:p>
        </w:tc>
      </w:tr>
      <w:tr>
        <w:trPr>
          <w:trHeight w:val="144"/>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(4,776)</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73</w:t>
            </w:r>
          </w:p>
        </w:tc>
        <w:tc>
          <w:tcPr>
            <w:tcW w:w="1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(4,703)</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Operating lease obligations, net of current maturities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color w:val="auto"/>
              </w:rPr>
              <w:t>(7,407)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(7,371)</w:t>
            </w:r>
          </w:p>
        </w:tc>
      </w:tr>
      <w:tr>
        <w:trPr>
          <w:trHeight w:val="162"/>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Long-term debt</w:t>
            </w: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(20)</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(20)</w:t>
            </w:r>
          </w:p>
        </w:tc>
      </w:tr>
      <w:tr>
        <w:trPr>
          <w:trHeight w:val="20"/>
        </w:trPr>
        <w:tc>
          <w:tcPr>
            <w:tcW w:w="6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51"/>
        </w:trPr>
        <w:tc>
          <w:tcPr>
            <w:tcW w:w="6660" w:type="dxa"/>
            <w:vAlign w:val="bottom"/>
          </w:tcPr>
          <w:p>
            <w:pPr>
              <w:ind w:left="120"/>
              <w:spacing w:after="0"/>
              <w:rPr>
                <w:sz w:val="20"/>
                <w:szCs w:val="20"/>
                <w:color w:val="auto"/>
              </w:rPr>
            </w:pPr>
            <w:r>
              <w:rPr>
                <w:rFonts w:ascii="Arial" w:cs="Arial" w:eastAsia="Arial" w:hAnsi="Arial"/>
                <w:sz w:val="12"/>
                <w:szCs w:val="12"/>
                <w:color w:val="auto"/>
              </w:rPr>
              <w:t>Net identifiable assets and liabilities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71,391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(147)</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w w:val="97"/>
              </w:rPr>
              <w:t>71,244</w:t>
            </w:r>
          </w:p>
        </w:tc>
      </w:tr>
      <w:tr>
        <w:trPr>
          <w:trHeight w:val="20"/>
        </w:trPr>
        <w:tc>
          <w:tcPr>
            <w:tcW w:w="6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51"/>
        </w:trPr>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8,962</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501</w:t>
            </w:r>
          </w:p>
        </w:tc>
        <w:tc>
          <w:tcPr>
            <w:tcW w:w="14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9,463</w:t>
            </w:r>
          </w:p>
        </w:tc>
      </w:tr>
      <w:tr>
        <w:trPr>
          <w:trHeight w:val="27"/>
        </w:trPr>
        <w:tc>
          <w:tcPr>
            <w:tcW w:w="6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2923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-1623695</wp:posOffset>
            </wp:positionV>
            <wp:extent cx="72923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6235065</wp:posOffset>
            </wp:positionH>
            <wp:positionV relativeFrom="paragraph">
              <wp:posOffset>-1823720</wp:posOffset>
            </wp:positionV>
            <wp:extent cx="914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-1823720</wp:posOffset>
            </wp:positionV>
            <wp:extent cx="914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-1823720</wp:posOffset>
            </wp:positionV>
            <wp:extent cx="914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42" w:lineRule="exact"/>
        <w:rPr>
          <w:sz w:val="20"/>
          <w:szCs w:val="20"/>
          <w:color w:val="auto"/>
        </w:rPr>
      </w:pPr>
    </w:p>
    <w:p>
      <w:pPr>
        <w:ind w:right="80" w:firstLine="240"/>
        <w:spacing w:after="0" w:line="298" w:lineRule="auto"/>
        <w:rPr>
          <w:sz w:val="20"/>
          <w:szCs w:val="20"/>
          <w:color w:val="auto"/>
        </w:rPr>
      </w:pPr>
      <w:r>
        <w:rPr>
          <w:rFonts w:ascii="Arial" w:cs="Arial" w:eastAsia="Arial" w:hAnsi="Arial"/>
          <w:sz w:val="11"/>
          <w:szCs w:val="11"/>
          <w:color w:val="auto"/>
        </w:rPr>
        <w:t>The Company has determined the fair value of the assets acquired and liabilities assumed for the purposes of allocating the purchase price. The goodwill to be recognized, which represents the excess of the purchase price over the net amount of the fair values assigned to assets acquired and liabilities assumed, is primarily attributable to the value of an assembled workforce and other non-identifiable assets. No synergies were anticipated in the acquisition as CSI will function as an individual district within the Company’s operating structure. All of the goodwill and identifiable intangible assets are expected to be tax deductible per applicable Internal Revenue Service regulations.</w:t>
      </w:r>
    </w:p>
    <w:p>
      <w:pPr>
        <w:spacing w:after="0" w:line="60" w:lineRule="exact"/>
        <w:rPr>
          <w:sz w:val="20"/>
          <w:szCs w:val="20"/>
          <w:color w:val="auto"/>
        </w:rPr>
      </w:pPr>
    </w:p>
    <w:p>
      <w:pPr>
        <w:ind w:right="320" w:firstLine="240"/>
        <w:spacing w:after="0" w:line="263" w:lineRule="auto"/>
        <w:rPr>
          <w:sz w:val="20"/>
          <w:szCs w:val="20"/>
          <w:color w:val="auto"/>
        </w:rPr>
      </w:pPr>
      <w:r>
        <w:rPr>
          <w:rFonts w:ascii="Arial" w:cs="Arial" w:eastAsia="Arial" w:hAnsi="Arial"/>
          <w:sz w:val="12"/>
          <w:szCs w:val="12"/>
          <w:color w:val="auto"/>
        </w:rPr>
        <w:t>The following unaudited supplemental pro forma results of operations have been provided for illustrative purposes only and do not purport to be indicative of the actual results that would have been achieved by the combined companies for the periods presented or that may be achieved by the combined companies in the future. Future results may vary significantly from the results reflected in the following pro forma financial information because of future events and transactions, as well as other factors: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9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tcPr>
          <w:p>
            <w:pPr>
              <w:jc w:val="right"/>
              <w:ind w:right="681"/>
              <w:spacing w:after="0"/>
              <w:rPr>
                <w:sz w:val="20"/>
                <w:szCs w:val="20"/>
                <w:color w:val="auto"/>
              </w:rPr>
            </w:pPr>
            <w:r>
              <w:rPr>
                <w:rFonts w:ascii="Arial" w:cs="Arial" w:eastAsia="Arial" w:hAnsi="Arial"/>
                <w:sz w:val="10"/>
                <w:szCs w:val="10"/>
                <w:b w:val="1"/>
                <w:bCs w:val="1"/>
                <w:color w:val="auto"/>
              </w:rPr>
              <w:t>Year ended December 31,</w:t>
            </w:r>
          </w:p>
        </w:tc>
      </w:tr>
      <w:tr>
        <w:trPr>
          <w:trHeight w:val="124"/>
        </w:trPr>
        <w:tc>
          <w:tcPr>
            <w:tcW w:w="49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38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2019</w:t>
            </w:r>
          </w:p>
        </w:tc>
        <w:tc>
          <w:tcPr>
            <w:tcW w:w="1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2018</w:t>
            </w:r>
          </w:p>
        </w:tc>
      </w:tr>
      <w:tr>
        <w:trPr>
          <w:trHeight w:val="110"/>
        </w:trPr>
        <w:tc>
          <w:tcPr>
            <w:tcW w:w="49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3"/>
          </w:tcPr>
          <w:p>
            <w:pPr>
              <w:ind w:left="360"/>
              <w:spacing w:after="0" w:line="110" w:lineRule="exact"/>
              <w:rPr>
                <w:sz w:val="20"/>
                <w:szCs w:val="20"/>
                <w:color w:val="auto"/>
              </w:rPr>
            </w:pPr>
            <w:r>
              <w:rPr>
                <w:rFonts w:ascii="Arial" w:cs="Arial" w:eastAsia="Arial" w:hAnsi="Arial"/>
                <w:sz w:val="10"/>
                <w:szCs w:val="10"/>
                <w:b w:val="1"/>
                <w:bCs w:val="1"/>
                <w:color w:val="auto"/>
              </w:rPr>
              <w:t>(unaudited)</w:t>
            </w:r>
          </w:p>
        </w:tc>
        <w:tc>
          <w:tcPr>
            <w:tcW w:w="1200" w:type="dxa"/>
            <w:vAlign w:val="bottom"/>
            <w:gridSpan w:val="2"/>
          </w:tcPr>
          <w:p>
            <w:pPr>
              <w:jc w:val="right"/>
              <w:ind w:right="301"/>
              <w:spacing w:after="0" w:line="110" w:lineRule="exact"/>
              <w:rPr>
                <w:sz w:val="20"/>
                <w:szCs w:val="20"/>
                <w:color w:val="auto"/>
              </w:rPr>
            </w:pPr>
            <w:r>
              <w:rPr>
                <w:rFonts w:ascii="Arial" w:cs="Arial" w:eastAsia="Arial" w:hAnsi="Arial"/>
                <w:sz w:val="10"/>
                <w:szCs w:val="10"/>
                <w:b w:val="1"/>
                <w:bCs w:val="1"/>
                <w:color w:val="auto"/>
              </w:rPr>
              <w:t>(unaudited)</w:t>
            </w: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Contract revenues</w:t>
            </w:r>
          </w:p>
        </w:tc>
        <w:tc>
          <w:tcPr>
            <w:tcW w:w="4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w w:val="86"/>
              </w:rPr>
              <w:t>2,243,224</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w w:val="89"/>
              </w:rPr>
              <w:t>1,833,645</w:t>
            </w:r>
          </w:p>
        </w:tc>
      </w:tr>
      <w:tr>
        <w:trPr>
          <w:trHeight w:val="144"/>
        </w:trPr>
        <w:tc>
          <w:tcPr>
            <w:tcW w:w="4940" w:type="dxa"/>
            <w:vAlign w:val="bottom"/>
          </w:tcPr>
          <w:p>
            <w:pPr>
              <w:spacing w:after="0"/>
              <w:rPr>
                <w:sz w:val="20"/>
                <w:szCs w:val="20"/>
                <w:color w:val="auto"/>
              </w:rPr>
            </w:pPr>
            <w:r>
              <w:rPr>
                <w:rFonts w:ascii="Arial" w:cs="Arial" w:eastAsia="Arial" w:hAnsi="Arial"/>
                <w:sz w:val="12"/>
                <w:szCs w:val="12"/>
                <w:color w:val="auto"/>
              </w:rPr>
              <w:t>Net income</w:t>
            </w:r>
          </w:p>
        </w:tc>
        <w:tc>
          <w:tcPr>
            <w:tcW w:w="43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83"/>
              <w:spacing w:after="0"/>
              <w:rPr>
                <w:sz w:val="20"/>
                <w:szCs w:val="20"/>
                <w:color w:val="auto"/>
              </w:rPr>
            </w:pPr>
            <w:r>
              <w:rPr>
                <w:rFonts w:ascii="Arial" w:cs="Arial" w:eastAsia="Arial" w:hAnsi="Arial"/>
                <w:sz w:val="12"/>
                <w:szCs w:val="12"/>
                <w:color w:val="auto"/>
              </w:rPr>
              <w:t>39,552</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61"/>
              <w:spacing w:after="0"/>
              <w:rPr>
                <w:sz w:val="20"/>
                <w:szCs w:val="20"/>
                <w:color w:val="auto"/>
              </w:rPr>
            </w:pPr>
            <w:r>
              <w:rPr>
                <w:rFonts w:ascii="Arial" w:cs="Arial" w:eastAsia="Arial" w:hAnsi="Arial"/>
                <w:sz w:val="12"/>
                <w:szCs w:val="12"/>
                <w:color w:val="auto"/>
              </w:rPr>
              <w:t>33,165</w:t>
            </w: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MYR Group, Inc.</w:t>
            </w:r>
          </w:p>
        </w:tc>
        <w:tc>
          <w:tcPr>
            <w:tcW w:w="4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rPr>
              <w:t>41,028</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32,958</w:t>
            </w:r>
          </w:p>
        </w:tc>
      </w:tr>
      <w:tr>
        <w:trPr>
          <w:trHeight w:val="144"/>
        </w:trPr>
        <w:tc>
          <w:tcPr>
            <w:tcW w:w="4940" w:type="dxa"/>
            <w:vAlign w:val="bottom"/>
          </w:tcPr>
          <w:p>
            <w:pPr>
              <w:spacing w:after="0"/>
              <w:rPr>
                <w:sz w:val="20"/>
                <w:szCs w:val="20"/>
                <w:color w:val="auto"/>
              </w:rPr>
            </w:pPr>
            <w:r>
              <w:rPr>
                <w:rFonts w:ascii="Arial" w:cs="Arial" w:eastAsia="Arial" w:hAnsi="Arial"/>
                <w:sz w:val="12"/>
                <w:szCs w:val="12"/>
                <w:color w:val="auto"/>
              </w:rPr>
              <w:t>Income per common share attributable to MYR Group Inc.:</w:t>
            </w: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4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 Basic</w:t>
            </w:r>
          </w:p>
        </w:tc>
        <w:tc>
          <w:tcPr>
            <w:tcW w:w="4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rPr>
              <w:t>2.47</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2.00</w:t>
            </w:r>
          </w:p>
        </w:tc>
      </w:tr>
      <w:tr>
        <w:trPr>
          <w:trHeight w:val="144"/>
        </w:trPr>
        <w:tc>
          <w:tcPr>
            <w:tcW w:w="4940" w:type="dxa"/>
            <w:vAlign w:val="bottom"/>
          </w:tcPr>
          <w:p>
            <w:pPr>
              <w:ind w:left="140"/>
              <w:spacing w:after="0"/>
              <w:rPr>
                <w:sz w:val="20"/>
                <w:szCs w:val="20"/>
                <w:color w:val="auto"/>
              </w:rPr>
            </w:pPr>
            <w:r>
              <w:rPr>
                <w:rFonts w:ascii="Arial" w:cs="Arial" w:eastAsia="Arial" w:hAnsi="Arial"/>
                <w:sz w:val="12"/>
                <w:szCs w:val="12"/>
                <w:color w:val="auto"/>
              </w:rPr>
              <w:t>– Diluted</w:t>
            </w:r>
          </w:p>
        </w:tc>
        <w:tc>
          <w:tcPr>
            <w:tcW w:w="43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83"/>
              <w:spacing w:after="0"/>
              <w:rPr>
                <w:sz w:val="20"/>
                <w:szCs w:val="20"/>
                <w:color w:val="auto"/>
              </w:rPr>
            </w:pPr>
            <w:r>
              <w:rPr>
                <w:rFonts w:ascii="Arial" w:cs="Arial" w:eastAsia="Arial" w:hAnsi="Arial"/>
                <w:sz w:val="12"/>
                <w:szCs w:val="12"/>
                <w:color w:val="auto"/>
              </w:rPr>
              <w:t>2.46</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61"/>
              <w:spacing w:after="0"/>
              <w:rPr>
                <w:sz w:val="20"/>
                <w:szCs w:val="20"/>
                <w:color w:val="auto"/>
              </w:rPr>
            </w:pPr>
            <w:r>
              <w:rPr>
                <w:rFonts w:ascii="Arial" w:cs="Arial" w:eastAsia="Arial" w:hAnsi="Arial"/>
                <w:sz w:val="12"/>
                <w:szCs w:val="12"/>
                <w:color w:val="auto"/>
              </w:rPr>
              <w:t>1.99</w:t>
            </w: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number of common shares and potential common shares outstanding:</w:t>
            </w:r>
          </w:p>
        </w:tc>
        <w:tc>
          <w:tcPr>
            <w:tcW w:w="3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4940" w:type="dxa"/>
            <w:vAlign w:val="bottom"/>
          </w:tcPr>
          <w:p>
            <w:pPr>
              <w:ind w:left="140"/>
              <w:spacing w:after="0"/>
              <w:rPr>
                <w:sz w:val="20"/>
                <w:szCs w:val="20"/>
                <w:color w:val="auto"/>
              </w:rPr>
            </w:pPr>
            <w:r>
              <w:rPr>
                <w:rFonts w:ascii="Arial" w:cs="Arial" w:eastAsia="Arial" w:hAnsi="Arial"/>
                <w:sz w:val="12"/>
                <w:szCs w:val="12"/>
                <w:color w:val="auto"/>
              </w:rPr>
              <w:t>– Basic</w:t>
            </w: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283"/>
              <w:spacing w:after="0"/>
              <w:rPr>
                <w:sz w:val="20"/>
                <w:szCs w:val="20"/>
                <w:color w:val="auto"/>
              </w:rPr>
            </w:pPr>
            <w:r>
              <w:rPr>
                <w:rFonts w:ascii="Arial" w:cs="Arial" w:eastAsia="Arial" w:hAnsi="Arial"/>
                <w:sz w:val="12"/>
                <w:szCs w:val="12"/>
                <w:color w:val="auto"/>
              </w:rPr>
              <w:t>16,587</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261"/>
              <w:spacing w:after="0"/>
              <w:rPr>
                <w:sz w:val="20"/>
                <w:szCs w:val="20"/>
                <w:color w:val="auto"/>
              </w:rPr>
            </w:pPr>
            <w:r>
              <w:rPr>
                <w:rFonts w:ascii="Arial" w:cs="Arial" w:eastAsia="Arial" w:hAnsi="Arial"/>
                <w:sz w:val="12"/>
                <w:szCs w:val="12"/>
                <w:color w:val="auto"/>
              </w:rPr>
              <w:t>16,441</w:t>
            </w:r>
          </w:p>
        </w:tc>
      </w:tr>
      <w:tr>
        <w:trPr>
          <w:trHeight w:val="144"/>
        </w:trPr>
        <w:tc>
          <w:tcPr>
            <w:tcW w:w="4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 Diluted</w:t>
            </w:r>
          </w:p>
        </w:tc>
        <w:tc>
          <w:tcPr>
            <w:tcW w:w="3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rPr>
              <w:t>16,699</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16,585</w:t>
            </w:r>
          </w:p>
        </w:tc>
      </w:tr>
      <w:tr>
        <w:trPr>
          <w:trHeight w:val="405"/>
        </w:trPr>
        <w:tc>
          <w:tcPr>
            <w:tcW w:w="4940" w:type="dxa"/>
            <w:vAlign w:val="bottom"/>
          </w:tcPr>
          <w:p>
            <w:pPr>
              <w:spacing w:after="0"/>
              <w:rPr>
                <w:sz w:val="24"/>
                <w:szCs w:val="24"/>
                <w:color w:val="auto"/>
              </w:rPr>
            </w:pPr>
          </w:p>
        </w:tc>
        <w:tc>
          <w:tcPr>
            <w:tcW w:w="3860" w:type="dxa"/>
            <w:vAlign w:val="bottom"/>
          </w:tcPr>
          <w:p>
            <w:pPr>
              <w:jc w:val="right"/>
              <w:ind w:right="2940"/>
              <w:spacing w:after="0"/>
              <w:rPr>
                <w:sz w:val="20"/>
                <w:szCs w:val="20"/>
                <w:color w:val="auto"/>
              </w:rPr>
            </w:pPr>
            <w:r>
              <w:rPr>
                <w:rFonts w:ascii="Arial" w:cs="Arial" w:eastAsia="Arial" w:hAnsi="Arial"/>
                <w:sz w:val="12"/>
                <w:szCs w:val="12"/>
                <w:color w:val="auto"/>
              </w:rPr>
              <w:t>73</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1"/>
        </w:trPr>
        <w:tc>
          <w:tcPr>
            <w:tcW w:w="4940" w:type="dxa"/>
            <w:vAlign w:val="bottom"/>
            <w:tcBorders>
              <w:bottom w:val="single" w:sz="8" w:color="9A9A9A"/>
            </w:tcBorders>
          </w:tcPr>
          <w:p>
            <w:pPr>
              <w:spacing w:after="0"/>
              <w:rPr>
                <w:sz w:val="22"/>
                <w:szCs w:val="22"/>
                <w:color w:val="auto"/>
              </w:rPr>
            </w:pPr>
          </w:p>
        </w:tc>
        <w:tc>
          <w:tcPr>
            <w:tcW w:w="38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4" w:name="page75"/>
    <w:bookmarkEnd w:id="74"/>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80" w:firstLine="240"/>
        <w:spacing w:after="0" w:line="276" w:lineRule="auto"/>
        <w:rPr>
          <w:sz w:val="20"/>
          <w:szCs w:val="20"/>
          <w:color w:val="auto"/>
        </w:rPr>
      </w:pPr>
      <w:r>
        <w:rPr>
          <w:rFonts w:ascii="Arial" w:cs="Arial" w:eastAsia="Arial" w:hAnsi="Arial"/>
          <w:sz w:val="12"/>
          <w:szCs w:val="12"/>
          <w:color w:val="auto"/>
        </w:rPr>
        <w:t>The pro forma combined results of operations for the year ended December 31, 2019 and 2018 were prepared by adjusting the historical results of the Company to include the historical results of CSI, as if the acquisition occurred on January 1, 2018.</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These pro forma results were adjusted for the following:</w:t>
      </w:r>
    </w:p>
    <w:p>
      <w:pPr>
        <w:spacing w:after="0" w:line="96" w:lineRule="exact"/>
        <w:rPr>
          <w:sz w:val="20"/>
          <w:szCs w:val="20"/>
          <w:color w:val="auto"/>
        </w:rPr>
      </w:pPr>
    </w:p>
    <w:p>
      <w:pPr>
        <w:ind w:left="360" w:hanging="128"/>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additional depreciation associated with the estimated step-up in fair value of the property and equipment acquired;</w:t>
      </w:r>
    </w:p>
    <w:p>
      <w:pPr>
        <w:spacing w:after="0" w:line="87" w:lineRule="exact"/>
        <w:rPr>
          <w:rFonts w:ascii="Arial" w:cs="Arial" w:eastAsia="Arial" w:hAnsi="Arial"/>
          <w:sz w:val="12"/>
          <w:szCs w:val="12"/>
          <w:color w:val="auto"/>
        </w:rPr>
      </w:pPr>
    </w:p>
    <w:p>
      <w:pPr>
        <w:ind w:left="360" w:hanging="128"/>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transaction costs associated with the acquisition;</w:t>
      </w:r>
    </w:p>
    <w:p>
      <w:pPr>
        <w:spacing w:after="0" w:line="96" w:lineRule="exact"/>
        <w:rPr>
          <w:rFonts w:ascii="Arial" w:cs="Arial" w:eastAsia="Arial" w:hAnsi="Arial"/>
          <w:sz w:val="12"/>
          <w:szCs w:val="12"/>
          <w:color w:val="auto"/>
        </w:rPr>
      </w:pPr>
    </w:p>
    <w:p>
      <w:pPr>
        <w:ind w:left="360" w:hanging="128"/>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estimated compensation expense related to contingent payments associated with the achievement of certain performance targets and continued employment of certain key executives of CSI;</w:t>
      </w:r>
    </w:p>
    <w:p>
      <w:pPr>
        <w:spacing w:after="0" w:line="96" w:lineRule="exact"/>
        <w:rPr>
          <w:rFonts w:ascii="Arial" w:cs="Arial" w:eastAsia="Arial" w:hAnsi="Arial"/>
          <w:sz w:val="12"/>
          <w:szCs w:val="12"/>
          <w:color w:val="auto"/>
        </w:rPr>
      </w:pPr>
    </w:p>
    <w:p>
      <w:pPr>
        <w:ind w:left="360" w:hanging="128"/>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estimated amortization related to the acquired intangible assets discussed above;</w:t>
      </w:r>
    </w:p>
    <w:p>
      <w:pPr>
        <w:spacing w:after="0" w:line="87" w:lineRule="exact"/>
        <w:rPr>
          <w:rFonts w:ascii="Arial" w:cs="Arial" w:eastAsia="Arial" w:hAnsi="Arial"/>
          <w:sz w:val="12"/>
          <w:szCs w:val="12"/>
          <w:color w:val="auto"/>
        </w:rPr>
      </w:pPr>
    </w:p>
    <w:p>
      <w:pPr>
        <w:ind w:left="360" w:hanging="128"/>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interest expense recorded by CSI and the additional interest expense related to the incremental borrowings of $79.7 million on the Company’s credit facility as if the borrowing occurred on January 1, 2018; and</w:t>
      </w:r>
    </w:p>
    <w:p>
      <w:pPr>
        <w:spacing w:after="0" w:line="96" w:lineRule="exact"/>
        <w:rPr>
          <w:rFonts w:ascii="Arial" w:cs="Arial" w:eastAsia="Arial" w:hAnsi="Arial"/>
          <w:sz w:val="12"/>
          <w:szCs w:val="12"/>
          <w:color w:val="auto"/>
        </w:rPr>
      </w:pPr>
    </w:p>
    <w:p>
      <w:pPr>
        <w:ind w:left="360" w:hanging="128"/>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income tax effect of pro forma adjustments at the statutory tax rate.</w:t>
      </w:r>
    </w:p>
    <w:p>
      <w:pPr>
        <w:spacing w:after="0" w:line="96" w:lineRule="exact"/>
        <w:rPr>
          <w:sz w:val="20"/>
          <w:szCs w:val="20"/>
          <w:color w:val="auto"/>
        </w:rPr>
      </w:pPr>
    </w:p>
    <w:p>
      <w:pPr>
        <w:ind w:firstLine="240"/>
        <w:spacing w:after="0" w:line="276" w:lineRule="auto"/>
        <w:rPr>
          <w:sz w:val="20"/>
          <w:szCs w:val="20"/>
          <w:color w:val="auto"/>
        </w:rPr>
      </w:pPr>
      <w:r>
        <w:rPr>
          <w:rFonts w:ascii="Arial" w:cs="Arial" w:eastAsia="Arial" w:hAnsi="Arial"/>
          <w:sz w:val="12"/>
          <w:szCs w:val="12"/>
          <w:color w:val="auto"/>
        </w:rPr>
        <w:t>Revenues of approximately $137.7 million and net loss before income taxes of approximately $1.5 million, net of CSI margin guarantee adjustments on contracts of $2.0 million and intangible asset amortization of $1.8 million, were included on the Company’s consolidated results of operations for the year ended December 31, 2019 related to the acquisition of CSI.</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Huen Electric, Inc.</w:t>
      </w:r>
    </w:p>
    <w:p>
      <w:pPr>
        <w:spacing w:after="0" w:line="105" w:lineRule="exact"/>
        <w:rPr>
          <w:sz w:val="20"/>
          <w:szCs w:val="20"/>
          <w:color w:val="auto"/>
        </w:rPr>
      </w:pPr>
    </w:p>
    <w:p>
      <w:pPr>
        <w:ind w:right="20" w:firstLine="240"/>
        <w:spacing w:after="0" w:line="257" w:lineRule="auto"/>
        <w:rPr>
          <w:sz w:val="20"/>
          <w:szCs w:val="20"/>
          <w:color w:val="auto"/>
        </w:rPr>
      </w:pPr>
      <w:r>
        <w:rPr>
          <w:rFonts w:ascii="Arial" w:cs="Arial" w:eastAsia="Arial" w:hAnsi="Arial"/>
          <w:sz w:val="12"/>
          <w:szCs w:val="12"/>
          <w:color w:val="auto"/>
        </w:rPr>
        <w:t>On July 2, 2018, the Company completed the acquisition of substantially all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provide a wide range of commercial and industrial electrical construction capabilities under the Company’s C&amp;I segment in Illinois, New Jersey and New York. The total consideration, after net asset adjustments of approximately $10.8 million, was $57.9 million which was funded through borrowings under the Company’s credit facility. The Company has finalized the purchase price accounting relating to the acquisition of the Huen Companies. All goodwill and identifiable intangible assets are expected to be tax deductible per applicable Internal Revenue Service regulations.</w:t>
      </w:r>
    </w:p>
    <w:p>
      <w:pPr>
        <w:spacing w:after="0" w:line="81" w:lineRule="exact"/>
        <w:rPr>
          <w:sz w:val="20"/>
          <w:szCs w:val="20"/>
          <w:color w:val="auto"/>
        </w:rPr>
      </w:pPr>
    </w:p>
    <w:p>
      <w:pPr>
        <w:ind w:right="20" w:firstLine="240"/>
        <w:spacing w:after="0" w:line="283" w:lineRule="auto"/>
        <w:rPr>
          <w:sz w:val="20"/>
          <w:szCs w:val="20"/>
          <w:color w:val="auto"/>
        </w:rPr>
      </w:pPr>
      <w:r>
        <w:rPr>
          <w:rFonts w:ascii="Arial" w:cs="Arial" w:eastAsia="Arial" w:hAnsi="Arial"/>
          <w:sz w:val="11"/>
          <w:szCs w:val="11"/>
          <w:color w:val="auto"/>
        </w:rPr>
        <w:t>The purchase agreement also includes contingent consideration provisions for margin guarantee adjustments based upon performance subsequent to the acquisition on certain contracts. The contracts are valued at fair value at the acquisition date, causing no margin guarantee estimate or adjustments for fair value. Changes in contract estimates, such as modified costs to complete or change order recognition, have resulted and will continue to result in changes to these margin guarantee estimates. Changes in contingent consideration, subsequent to the acquisition, related to the margin guarantee adjustments on certain contracts of approximately $1.5 million were recorded in other expense for the year ended December 31, 2019. Margin guarantee adjustments are expected to be finalized in early 2020. The Company could also be required to make compensation payments contingent on the successful achievement of certain performance targets and continued employment of certain key executives of the Huen Companies. These payments are recognized as compensation expense on the Company’s consolidated statements of operations as incurred. For the year ended December 31, 2019 the Company recognized $1.9 million of compensation expense associated with these contingent payments.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75" w:name="page76"/>
    <w:bookmarkEnd w:id="75"/>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allocation of the opening balance sheet from the date of the Huen acquisition: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82"/>
              </w:rPr>
              <w:t>(as of</w:t>
            </w:r>
          </w:p>
        </w:tc>
        <w:tc>
          <w:tcPr>
            <w:tcW w:w="136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9"/>
              </w:rPr>
              <w:t>Measurement</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08"/>
        </w:trPr>
        <w:tc>
          <w:tcPr>
            <w:tcW w:w="6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4"/>
          </w:tcPr>
          <w:p>
            <w:pPr>
              <w:jc w:val="center"/>
              <w:ind w:right="160"/>
              <w:spacing w:after="0" w:line="108" w:lineRule="exact"/>
              <w:rPr>
                <w:sz w:val="20"/>
                <w:szCs w:val="20"/>
                <w:color w:val="auto"/>
              </w:rPr>
            </w:pPr>
            <w:r>
              <w:rPr>
                <w:rFonts w:ascii="Arial" w:cs="Arial" w:eastAsia="Arial" w:hAnsi="Arial"/>
                <w:sz w:val="10"/>
                <w:szCs w:val="10"/>
                <w:b w:val="1"/>
                <w:bCs w:val="1"/>
                <w:color w:val="auto"/>
                <w:w w:val="85"/>
              </w:rPr>
              <w:t>acquisition date)</w:t>
            </w:r>
          </w:p>
        </w:tc>
        <w:tc>
          <w:tcPr>
            <w:tcW w:w="460" w:type="dxa"/>
            <w:vAlign w:val="bottom"/>
          </w:tcPr>
          <w:p>
            <w:pPr>
              <w:spacing w:after="0"/>
              <w:rPr>
                <w:sz w:val="9"/>
                <w:szCs w:val="9"/>
                <w:color w:val="auto"/>
              </w:rPr>
            </w:pPr>
          </w:p>
        </w:tc>
        <w:tc>
          <w:tcPr>
            <w:tcW w:w="900" w:type="dxa"/>
            <w:vAlign w:val="bottom"/>
            <w:gridSpan w:val="3"/>
          </w:tcPr>
          <w:p>
            <w:pPr>
              <w:jc w:val="center"/>
              <w:ind w:right="600"/>
              <w:spacing w:after="0" w:line="108" w:lineRule="exact"/>
              <w:rPr>
                <w:sz w:val="20"/>
                <w:szCs w:val="20"/>
                <w:color w:val="auto"/>
              </w:rPr>
            </w:pPr>
            <w:r>
              <w:rPr>
                <w:rFonts w:ascii="Arial" w:cs="Arial" w:eastAsia="Arial" w:hAnsi="Arial"/>
                <w:sz w:val="10"/>
                <w:szCs w:val="10"/>
                <w:b w:val="1"/>
                <w:bCs w:val="1"/>
                <w:color w:val="auto"/>
                <w:w w:val="83"/>
              </w:rPr>
              <w:t>Period</w:t>
            </w:r>
          </w:p>
        </w:tc>
        <w:tc>
          <w:tcPr>
            <w:tcW w:w="1520" w:type="dxa"/>
            <w:vAlign w:val="bottom"/>
            <w:gridSpan w:val="3"/>
          </w:tcPr>
          <w:p>
            <w:pPr>
              <w:ind w:left="400"/>
              <w:spacing w:after="0" w:line="108" w:lineRule="exact"/>
              <w:rPr>
                <w:sz w:val="20"/>
                <w:szCs w:val="20"/>
                <w:color w:val="auto"/>
              </w:rPr>
            </w:pPr>
            <w:r>
              <w:rPr>
                <w:rFonts w:ascii="Arial" w:cs="Arial" w:eastAsia="Arial" w:hAnsi="Arial"/>
                <w:sz w:val="10"/>
                <w:szCs w:val="10"/>
                <w:b w:val="1"/>
                <w:bCs w:val="1"/>
                <w:color w:val="auto"/>
              </w:rPr>
              <w:t>Final Acquisition</w:t>
            </w:r>
          </w:p>
        </w:tc>
      </w:tr>
      <w:tr>
        <w:trPr>
          <w:trHeight w:val="132"/>
        </w:trPr>
        <w:tc>
          <w:tcPr>
            <w:tcW w:w="68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8"/>
              </w:rPr>
              <w:t>July 2, 2018</w:t>
            </w: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9"/>
              </w:rPr>
              <w:t>Adjustments</w:t>
            </w: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Allocation</w:t>
            </w:r>
          </w:p>
        </w:tc>
      </w:tr>
      <w:tr>
        <w:trPr>
          <w:trHeight w:val="169"/>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Consideration paid</w:t>
            </w:r>
          </w:p>
        </w:tc>
        <w:tc>
          <w:tcPr>
            <w:tcW w:w="1600" w:type="dxa"/>
            <w:vAlign w:val="bottom"/>
            <w:gridSpan w:val="4"/>
            <w:shd w:val="clear" w:color="auto" w:fill="CCEEFF"/>
          </w:tcPr>
          <w:p>
            <w:pPr>
              <w:jc w:val="right"/>
              <w:ind w:right="540"/>
              <w:spacing w:after="0"/>
              <w:rPr>
                <w:sz w:val="20"/>
                <w:szCs w:val="20"/>
                <w:color w:val="auto"/>
              </w:rPr>
            </w:pPr>
            <w:r>
              <w:rPr>
                <w:rFonts w:ascii="Arial" w:cs="Arial" w:eastAsia="Arial" w:hAnsi="Arial"/>
                <w:sz w:val="12"/>
                <w:szCs w:val="12"/>
                <w:color w:val="auto"/>
              </w:rPr>
              <w:t>$47,082</w:t>
            </w: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5"/>
                <w:szCs w:val="5"/>
                <w:color w:val="auto"/>
                <w:w w:val="70"/>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47,082</w:t>
            </w:r>
          </w:p>
        </w:tc>
        <w:tc>
          <w:tcPr>
            <w:tcW w:w="520" w:type="dxa"/>
            <w:vAlign w:val="bottom"/>
            <w:shd w:val="clear" w:color="auto" w:fill="CCEEFF"/>
          </w:tcPr>
          <w:p>
            <w:pPr>
              <w:spacing w:after="0"/>
              <w:rPr>
                <w:sz w:val="14"/>
                <w:szCs w:val="14"/>
                <w:color w:val="auto"/>
              </w:rPr>
            </w:pPr>
          </w:p>
        </w:tc>
      </w:tr>
      <w:tr>
        <w:trPr>
          <w:trHeight w:val="176"/>
        </w:trPr>
        <w:tc>
          <w:tcPr>
            <w:tcW w:w="6860" w:type="dxa"/>
            <w:vAlign w:val="bottom"/>
          </w:tcPr>
          <w:p>
            <w:pPr>
              <w:spacing w:after="0"/>
              <w:rPr>
                <w:sz w:val="20"/>
                <w:szCs w:val="20"/>
                <w:color w:val="auto"/>
              </w:rPr>
            </w:pPr>
            <w:r>
              <w:rPr>
                <w:rFonts w:ascii="Arial" w:cs="Arial" w:eastAsia="Arial" w:hAnsi="Arial"/>
                <w:sz w:val="12"/>
                <w:szCs w:val="12"/>
                <w:color w:val="auto"/>
              </w:rPr>
              <w:t>Preliminary estimated net asset adjustments</w:t>
            </w:r>
          </w:p>
        </w:tc>
        <w:tc>
          <w:tcPr>
            <w:tcW w:w="680" w:type="dxa"/>
            <w:vAlign w:val="bottom"/>
            <w:gridSpan w:val="2"/>
          </w:tcPr>
          <w:p>
            <w:pPr>
              <w:spacing w:after="0"/>
              <w:rPr>
                <w:sz w:val="15"/>
                <w:szCs w:val="15"/>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w w:val="97"/>
              </w:rPr>
              <w:t>10,749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85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10,834</w:t>
            </w:r>
          </w:p>
        </w:tc>
        <w:tc>
          <w:tcPr>
            <w:tcW w:w="520" w:type="dxa"/>
            <w:vAlign w:val="bottom"/>
          </w:tcPr>
          <w:p>
            <w:pPr>
              <w:spacing w:after="0"/>
              <w:rPr>
                <w:sz w:val="15"/>
                <w:szCs w:val="15"/>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65"/>
        </w:trPr>
        <w:tc>
          <w:tcPr>
            <w:tcW w:w="6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consideration, net of net asset adjustments</w:t>
            </w:r>
          </w:p>
        </w:tc>
        <w:tc>
          <w:tcPr>
            <w:tcW w:w="1600" w:type="dxa"/>
            <w:vAlign w:val="bottom"/>
            <w:gridSpan w:val="4"/>
            <w:shd w:val="clear" w:color="auto" w:fill="CCEEFF"/>
          </w:tcPr>
          <w:p>
            <w:pPr>
              <w:jc w:val="right"/>
              <w:ind w:right="540"/>
              <w:spacing w:after="0"/>
              <w:rPr>
                <w:sz w:val="20"/>
                <w:szCs w:val="20"/>
                <w:color w:val="auto"/>
              </w:rPr>
            </w:pPr>
            <w:r>
              <w:rPr>
                <w:rFonts w:ascii="Arial" w:cs="Arial" w:eastAsia="Arial" w:hAnsi="Arial"/>
                <w:sz w:val="12"/>
                <w:szCs w:val="12"/>
                <w:color w:val="auto"/>
              </w:rPr>
              <w:t>$57,831</w:t>
            </w: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85</w:t>
            </w:r>
          </w:p>
        </w:tc>
        <w:tc>
          <w:tcPr>
            <w:tcW w:w="14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5"/>
                <w:szCs w:val="5"/>
                <w:color w:val="auto"/>
                <w:w w:val="70"/>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57,916</w:t>
            </w:r>
          </w:p>
        </w:tc>
        <w:tc>
          <w:tcPr>
            <w:tcW w:w="520" w:type="dxa"/>
            <w:vAlign w:val="bottom"/>
            <w:shd w:val="clear" w:color="auto" w:fill="CCEEFF"/>
          </w:tcPr>
          <w:p>
            <w:pPr>
              <w:spacing w:after="0"/>
              <w:rPr>
                <w:sz w:val="14"/>
                <w:szCs w:val="14"/>
                <w:color w:val="auto"/>
              </w:rPr>
            </w:pPr>
          </w:p>
        </w:tc>
      </w:tr>
      <w:tr>
        <w:trPr>
          <w:trHeight w:val="171"/>
        </w:trPr>
        <w:tc>
          <w:tcPr>
            <w:tcW w:w="6860" w:type="dxa"/>
            <w:vAlign w:val="bottom"/>
          </w:tcPr>
          <w:p>
            <w:pPr>
              <w:spacing w:after="0"/>
              <w:rPr>
                <w:sz w:val="20"/>
                <w:szCs w:val="20"/>
                <w:color w:val="auto"/>
              </w:rPr>
            </w:pPr>
            <w:r>
              <w:rPr>
                <w:rFonts w:ascii="Arial" w:cs="Arial" w:eastAsia="Arial" w:hAnsi="Arial"/>
                <w:sz w:val="12"/>
                <w:szCs w:val="12"/>
                <w:color w:val="auto"/>
              </w:rPr>
              <w:t>Accounts receivable, net</w:t>
            </w:r>
          </w:p>
        </w:tc>
        <w:tc>
          <w:tcPr>
            <w:tcW w:w="1600" w:type="dxa"/>
            <w:vAlign w:val="bottom"/>
            <w:gridSpan w:val="4"/>
          </w:tcPr>
          <w:p>
            <w:pPr>
              <w:jc w:val="right"/>
              <w:ind w:right="540"/>
              <w:spacing w:after="0"/>
              <w:rPr>
                <w:sz w:val="20"/>
                <w:szCs w:val="20"/>
                <w:color w:val="auto"/>
              </w:rPr>
            </w:pPr>
            <w:r>
              <w:rPr>
                <w:rFonts w:ascii="Arial" w:cs="Arial" w:eastAsia="Arial" w:hAnsi="Arial"/>
                <w:sz w:val="12"/>
                <w:szCs w:val="12"/>
                <w:color w:val="auto"/>
              </w:rPr>
              <w:t>$33,903</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(207)</w:t>
            </w:r>
          </w:p>
        </w:tc>
        <w:tc>
          <w:tcPr>
            <w:tcW w:w="140" w:type="dxa"/>
            <w:vAlign w:val="bottom"/>
          </w:tcPr>
          <w:p>
            <w:pPr>
              <w:spacing w:after="0"/>
              <w:rPr>
                <w:sz w:val="14"/>
                <w:szCs w:val="14"/>
                <w:color w:val="auto"/>
              </w:rPr>
            </w:pPr>
          </w:p>
        </w:tc>
        <w:tc>
          <w:tcPr>
            <w:tcW w:w="600" w:type="dxa"/>
            <w:vAlign w:val="bottom"/>
          </w:tcPr>
          <w:p>
            <w:pPr>
              <w:ind w:left="540"/>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97"/>
              </w:rPr>
              <w:t>33,696</w:t>
            </w:r>
          </w:p>
        </w:tc>
        <w:tc>
          <w:tcPr>
            <w:tcW w:w="520" w:type="dxa"/>
            <w:vAlign w:val="bottom"/>
          </w:tcPr>
          <w:p>
            <w:pPr>
              <w:spacing w:after="0"/>
              <w:rPr>
                <w:sz w:val="14"/>
                <w:szCs w:val="14"/>
                <w:color w:val="auto"/>
              </w:rPr>
            </w:pPr>
          </w:p>
        </w:tc>
      </w:tr>
      <w:tr>
        <w:trPr>
          <w:trHeight w:val="171"/>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Contract assets</w:t>
            </w:r>
          </w:p>
        </w:tc>
        <w:tc>
          <w:tcPr>
            <w:tcW w:w="1600" w:type="dxa"/>
            <w:vAlign w:val="bottom"/>
            <w:gridSpan w:val="4"/>
            <w:shd w:val="clear" w:color="auto" w:fill="CCEEFF"/>
          </w:tcPr>
          <w:p>
            <w:pPr>
              <w:jc w:val="right"/>
              <w:ind w:right="540"/>
              <w:spacing w:after="0"/>
              <w:rPr>
                <w:sz w:val="20"/>
                <w:szCs w:val="20"/>
                <w:color w:val="auto"/>
              </w:rPr>
            </w:pPr>
            <w:r>
              <w:rPr>
                <w:rFonts w:ascii="Arial" w:cs="Arial" w:eastAsia="Arial" w:hAnsi="Arial"/>
                <w:sz w:val="12"/>
                <w:szCs w:val="12"/>
                <w:color w:val="auto"/>
              </w:rPr>
              <w:t>10,570</w:t>
            </w: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1,010</w:t>
            </w:r>
          </w:p>
        </w:tc>
        <w:tc>
          <w:tcPr>
            <w:tcW w:w="14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11,580</w:t>
            </w:r>
          </w:p>
        </w:tc>
        <w:tc>
          <w:tcPr>
            <w:tcW w:w="520" w:type="dxa"/>
            <w:vAlign w:val="bottom"/>
            <w:shd w:val="clear" w:color="auto" w:fill="CCEEFF"/>
          </w:tcPr>
          <w:p>
            <w:pPr>
              <w:spacing w:after="0"/>
              <w:rPr>
                <w:sz w:val="14"/>
                <w:szCs w:val="14"/>
                <w:color w:val="auto"/>
              </w:rPr>
            </w:pPr>
          </w:p>
        </w:tc>
      </w:tr>
      <w:tr>
        <w:trPr>
          <w:trHeight w:val="171"/>
        </w:trPr>
        <w:tc>
          <w:tcPr>
            <w:tcW w:w="6860" w:type="dxa"/>
            <w:vAlign w:val="bottom"/>
          </w:tcPr>
          <w:p>
            <w:pPr>
              <w:spacing w:after="0"/>
              <w:rPr>
                <w:sz w:val="20"/>
                <w:szCs w:val="20"/>
                <w:color w:val="auto"/>
              </w:rPr>
            </w:pPr>
            <w:r>
              <w:rPr>
                <w:rFonts w:ascii="Arial" w:cs="Arial" w:eastAsia="Arial" w:hAnsi="Arial"/>
                <w:sz w:val="12"/>
                <w:szCs w:val="12"/>
                <w:color w:val="auto"/>
              </w:rPr>
              <w:t>Other current and long term assets</w:t>
            </w:r>
          </w:p>
        </w:tc>
        <w:tc>
          <w:tcPr>
            <w:tcW w:w="1600" w:type="dxa"/>
            <w:vAlign w:val="bottom"/>
            <w:gridSpan w:val="4"/>
          </w:tcPr>
          <w:p>
            <w:pPr>
              <w:jc w:val="right"/>
              <w:ind w:right="540"/>
              <w:spacing w:after="0"/>
              <w:rPr>
                <w:sz w:val="20"/>
                <w:szCs w:val="20"/>
                <w:color w:val="auto"/>
              </w:rPr>
            </w:pPr>
            <w:r>
              <w:rPr>
                <w:rFonts w:ascii="Arial" w:cs="Arial" w:eastAsia="Arial" w:hAnsi="Arial"/>
                <w:sz w:val="12"/>
                <w:szCs w:val="12"/>
                <w:color w:val="auto"/>
              </w:rPr>
              <w:t>88</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77</w:t>
            </w:r>
          </w:p>
        </w:tc>
        <w:tc>
          <w:tcPr>
            <w:tcW w:w="520" w:type="dxa"/>
            <w:vAlign w:val="bottom"/>
          </w:tcPr>
          <w:p>
            <w:pPr>
              <w:spacing w:after="0"/>
              <w:rPr>
                <w:sz w:val="14"/>
                <w:szCs w:val="14"/>
                <w:color w:val="auto"/>
              </w:rPr>
            </w:pPr>
          </w:p>
        </w:tc>
      </w:tr>
      <w:tr>
        <w:trPr>
          <w:trHeight w:val="171"/>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w:t>
            </w:r>
          </w:p>
        </w:tc>
        <w:tc>
          <w:tcPr>
            <w:tcW w:w="1600" w:type="dxa"/>
            <w:vAlign w:val="bottom"/>
            <w:gridSpan w:val="4"/>
            <w:shd w:val="clear" w:color="auto" w:fill="CCEEFF"/>
          </w:tcPr>
          <w:p>
            <w:pPr>
              <w:jc w:val="right"/>
              <w:ind w:right="540"/>
              <w:spacing w:after="0"/>
              <w:rPr>
                <w:sz w:val="20"/>
                <w:szCs w:val="20"/>
                <w:color w:val="auto"/>
              </w:rPr>
            </w:pPr>
            <w:r>
              <w:rPr>
                <w:rFonts w:ascii="Arial" w:cs="Arial" w:eastAsia="Arial" w:hAnsi="Arial"/>
                <w:sz w:val="12"/>
                <w:szCs w:val="12"/>
                <w:color w:val="auto"/>
              </w:rPr>
              <w:t>3,188</w:t>
            </w: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90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3,188</w:t>
            </w:r>
          </w:p>
        </w:tc>
        <w:tc>
          <w:tcPr>
            <w:tcW w:w="520" w:type="dxa"/>
            <w:vAlign w:val="bottom"/>
            <w:shd w:val="clear" w:color="auto" w:fill="CCEEFF"/>
          </w:tcPr>
          <w:p>
            <w:pPr>
              <w:spacing w:after="0"/>
              <w:rPr>
                <w:sz w:val="14"/>
                <w:szCs w:val="14"/>
                <w:color w:val="auto"/>
              </w:rPr>
            </w:pPr>
          </w:p>
        </w:tc>
      </w:tr>
      <w:tr>
        <w:trPr>
          <w:trHeight w:val="171"/>
        </w:trPr>
        <w:tc>
          <w:tcPr>
            <w:tcW w:w="6860" w:type="dxa"/>
            <w:vAlign w:val="bottom"/>
          </w:tcPr>
          <w:p>
            <w:pPr>
              <w:spacing w:after="0"/>
              <w:rPr>
                <w:sz w:val="20"/>
                <w:szCs w:val="20"/>
                <w:color w:val="auto"/>
              </w:rPr>
            </w:pPr>
            <w:r>
              <w:rPr>
                <w:rFonts w:ascii="Arial" w:cs="Arial" w:eastAsia="Arial" w:hAnsi="Arial"/>
                <w:sz w:val="12"/>
                <w:szCs w:val="12"/>
                <w:color w:val="auto"/>
              </w:rPr>
              <w:t>Intangible assets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3"/>
          </w:tcPr>
          <w:p>
            <w:pPr>
              <w:jc w:val="right"/>
              <w:ind w:right="6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w w:val="97"/>
              </w:rPr>
              <w:t>24,300</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24,300</w:t>
            </w:r>
          </w:p>
        </w:tc>
        <w:tc>
          <w:tcPr>
            <w:tcW w:w="520" w:type="dxa"/>
            <w:vAlign w:val="bottom"/>
          </w:tcPr>
          <w:p>
            <w:pPr>
              <w:spacing w:after="0"/>
              <w:rPr>
                <w:sz w:val="14"/>
                <w:szCs w:val="14"/>
                <w:color w:val="auto"/>
              </w:rPr>
            </w:pPr>
          </w:p>
        </w:tc>
      </w:tr>
      <w:tr>
        <w:trPr>
          <w:trHeight w:val="171"/>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1600" w:type="dxa"/>
            <w:vAlign w:val="bottom"/>
            <w:gridSpan w:val="4"/>
            <w:shd w:val="clear" w:color="auto" w:fill="CCEEFF"/>
          </w:tcPr>
          <w:p>
            <w:pPr>
              <w:jc w:val="right"/>
              <w:ind w:right="500"/>
              <w:spacing w:after="0"/>
              <w:rPr>
                <w:sz w:val="20"/>
                <w:szCs w:val="20"/>
                <w:color w:val="auto"/>
              </w:rPr>
            </w:pPr>
            <w:r>
              <w:rPr>
                <w:rFonts w:ascii="Arial" w:cs="Arial" w:eastAsia="Arial" w:hAnsi="Arial"/>
                <w:sz w:val="12"/>
                <w:szCs w:val="12"/>
                <w:color w:val="auto"/>
              </w:rPr>
              <w:t>(9,592)</w:t>
            </w: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(1,274)</w:t>
            </w:r>
          </w:p>
        </w:tc>
        <w:tc>
          <w:tcPr>
            <w:tcW w:w="14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w w:val="89"/>
              </w:rPr>
              <w:t>(10,866)</w:t>
            </w:r>
          </w:p>
        </w:tc>
      </w:tr>
      <w:tr>
        <w:trPr>
          <w:trHeight w:val="171"/>
        </w:trPr>
        <w:tc>
          <w:tcPr>
            <w:tcW w:w="6860" w:type="dxa"/>
            <w:vAlign w:val="bottom"/>
          </w:tcPr>
          <w:p>
            <w:pPr>
              <w:spacing w:after="0"/>
              <w:rPr>
                <w:sz w:val="20"/>
                <w:szCs w:val="20"/>
                <w:color w:val="auto"/>
              </w:rPr>
            </w:pPr>
            <w:r>
              <w:rPr>
                <w:rFonts w:ascii="Arial" w:cs="Arial" w:eastAsia="Arial" w:hAnsi="Arial"/>
                <w:sz w:val="12"/>
                <w:szCs w:val="12"/>
                <w:color w:val="auto"/>
              </w:rPr>
              <w:t>Contract liabilities</w:t>
            </w:r>
          </w:p>
        </w:tc>
        <w:tc>
          <w:tcPr>
            <w:tcW w:w="1600" w:type="dxa"/>
            <w:vAlign w:val="bottom"/>
            <w:gridSpan w:val="4"/>
          </w:tcPr>
          <w:p>
            <w:pPr>
              <w:jc w:val="right"/>
              <w:ind w:right="500"/>
              <w:spacing w:after="0"/>
              <w:rPr>
                <w:sz w:val="20"/>
                <w:szCs w:val="20"/>
                <w:color w:val="auto"/>
              </w:rPr>
            </w:pPr>
            <w:r>
              <w:rPr>
                <w:rFonts w:ascii="Arial" w:cs="Arial" w:eastAsia="Arial" w:hAnsi="Arial"/>
                <w:sz w:val="12"/>
                <w:szCs w:val="12"/>
                <w:color w:val="auto"/>
              </w:rPr>
              <w:t>(6,394)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525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(5,869)</w:t>
            </w:r>
          </w:p>
        </w:tc>
      </w:tr>
      <w:tr>
        <w:trPr>
          <w:trHeight w:val="176"/>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680" w:type="dxa"/>
            <w:vAlign w:val="bottom"/>
            <w:gridSpan w:val="2"/>
            <w:shd w:val="clear" w:color="auto" w:fill="CCEEFF"/>
          </w:tcPr>
          <w:p>
            <w:pPr>
              <w:spacing w:after="0"/>
              <w:rPr>
                <w:sz w:val="15"/>
                <w:szCs w:val="15"/>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(6,570)</w:t>
            </w: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49</w:t>
            </w:r>
          </w:p>
        </w:tc>
        <w:tc>
          <w:tcPr>
            <w:tcW w:w="14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(6,521)</w:t>
            </w:r>
          </w:p>
        </w:tc>
      </w:tr>
      <w:tr>
        <w:trPr>
          <w:trHeight w:val="20"/>
        </w:trPr>
        <w:tc>
          <w:tcPr>
            <w:tcW w:w="6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69"/>
        </w:trPr>
        <w:tc>
          <w:tcPr>
            <w:tcW w:w="6860" w:type="dxa"/>
            <w:vAlign w:val="bottom"/>
          </w:tcPr>
          <w:p>
            <w:pPr>
              <w:ind w:left="120"/>
              <w:spacing w:after="0"/>
              <w:rPr>
                <w:sz w:val="20"/>
                <w:szCs w:val="20"/>
                <w:color w:val="auto"/>
              </w:rPr>
            </w:pPr>
            <w:r>
              <w:rPr>
                <w:rFonts w:ascii="Arial" w:cs="Arial" w:eastAsia="Arial" w:hAnsi="Arial"/>
                <w:sz w:val="12"/>
                <w:szCs w:val="12"/>
                <w:color w:val="auto"/>
              </w:rPr>
              <w:t>Net identifiable assets and liabilites</w:t>
            </w:r>
          </w:p>
        </w:tc>
        <w:tc>
          <w:tcPr>
            <w:tcW w:w="680" w:type="dxa"/>
            <w:vAlign w:val="bottom"/>
            <w:gridSpan w:val="2"/>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w w:val="97"/>
              </w:rPr>
              <w:t>25,193</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w w:val="97"/>
              </w:rPr>
              <w:t>24,392</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49,585</w:t>
            </w:r>
          </w:p>
        </w:tc>
        <w:tc>
          <w:tcPr>
            <w:tcW w:w="520" w:type="dxa"/>
            <w:vAlign w:val="bottom"/>
          </w:tcPr>
          <w:p>
            <w:pPr>
              <w:spacing w:after="0"/>
              <w:rPr>
                <w:sz w:val="14"/>
                <w:szCs w:val="14"/>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69"/>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Unallocated intangible assets</w:t>
            </w:r>
          </w:p>
        </w:tc>
        <w:tc>
          <w:tcPr>
            <w:tcW w:w="680" w:type="dxa"/>
            <w:vAlign w:val="bottom"/>
            <w:gridSpan w:val="2"/>
            <w:shd w:val="clear" w:color="auto" w:fill="CCEEFF"/>
          </w:tcPr>
          <w:p>
            <w:pPr>
              <w:spacing w:after="0"/>
              <w:rPr>
                <w:sz w:val="14"/>
                <w:szCs w:val="14"/>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9,800</w:t>
            </w: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(9,800)</w:t>
            </w:r>
          </w:p>
        </w:tc>
        <w:tc>
          <w:tcPr>
            <w:tcW w:w="14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r>
      <w:tr>
        <w:trPr>
          <w:trHeight w:val="20"/>
        </w:trPr>
        <w:tc>
          <w:tcPr>
            <w:tcW w:w="6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69"/>
        </w:trPr>
        <w:tc>
          <w:tcPr>
            <w:tcW w:w="6860" w:type="dxa"/>
            <w:vAlign w:val="bottom"/>
          </w:tcPr>
          <w:p>
            <w:pPr>
              <w:ind w:left="120"/>
              <w:spacing w:after="0"/>
              <w:rPr>
                <w:sz w:val="20"/>
                <w:szCs w:val="20"/>
                <w:color w:val="auto"/>
              </w:rPr>
            </w:pPr>
            <w:r>
              <w:rPr>
                <w:rFonts w:ascii="Arial" w:cs="Arial" w:eastAsia="Arial" w:hAnsi="Arial"/>
                <w:sz w:val="12"/>
                <w:szCs w:val="12"/>
                <w:color w:val="auto"/>
              </w:rPr>
              <w:t>Total aquired assets and liabilites</w:t>
            </w:r>
          </w:p>
        </w:tc>
        <w:tc>
          <w:tcPr>
            <w:tcW w:w="680" w:type="dxa"/>
            <w:vAlign w:val="bottom"/>
            <w:gridSpan w:val="2"/>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w w:val="97"/>
              </w:rPr>
              <w:t>34,993</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w w:val="97"/>
              </w:rPr>
              <w:t>14,592</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49,585</w:t>
            </w:r>
          </w:p>
        </w:tc>
        <w:tc>
          <w:tcPr>
            <w:tcW w:w="520" w:type="dxa"/>
            <w:vAlign w:val="bottom"/>
          </w:tcPr>
          <w:p>
            <w:pPr>
              <w:spacing w:after="0"/>
              <w:rPr>
                <w:sz w:val="14"/>
                <w:szCs w:val="14"/>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69"/>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Fair value of aquired noncontrolling interests</w:t>
            </w:r>
          </w:p>
        </w:tc>
        <w:tc>
          <w:tcPr>
            <w:tcW w:w="680" w:type="dxa"/>
            <w:vAlign w:val="bottom"/>
            <w:gridSpan w:val="2"/>
            <w:shd w:val="clear" w:color="auto" w:fill="CCEEFF"/>
          </w:tcPr>
          <w:p>
            <w:pPr>
              <w:spacing w:after="0"/>
              <w:rPr>
                <w:sz w:val="14"/>
                <w:szCs w:val="14"/>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(1,273)</w:t>
            </w: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w:t>
            </w:r>
          </w:p>
        </w:tc>
        <w:tc>
          <w:tcPr>
            <w:tcW w:w="14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(1,280)</w:t>
            </w:r>
          </w:p>
        </w:tc>
      </w:tr>
      <w:tr>
        <w:trPr>
          <w:trHeight w:val="20"/>
        </w:trPr>
        <w:tc>
          <w:tcPr>
            <w:tcW w:w="6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69"/>
        </w:trPr>
        <w:tc>
          <w:tcPr>
            <w:tcW w:w="6860" w:type="dxa"/>
            <w:vAlign w:val="bottom"/>
          </w:tcPr>
          <w:p>
            <w:pPr>
              <w:spacing w:after="0"/>
              <w:rPr>
                <w:sz w:val="20"/>
                <w:szCs w:val="20"/>
                <w:color w:val="auto"/>
              </w:rPr>
            </w:pPr>
            <w:r>
              <w:rPr>
                <w:rFonts w:ascii="Arial" w:cs="Arial" w:eastAsia="Arial" w:hAnsi="Arial"/>
                <w:sz w:val="12"/>
                <w:szCs w:val="12"/>
                <w:color w:val="auto"/>
              </w:rPr>
              <w:t>Goodwill</w:t>
            </w:r>
          </w:p>
        </w:tc>
        <w:tc>
          <w:tcPr>
            <w:tcW w:w="1600" w:type="dxa"/>
            <w:vAlign w:val="bottom"/>
            <w:gridSpan w:val="4"/>
          </w:tcPr>
          <w:p>
            <w:pPr>
              <w:jc w:val="right"/>
              <w:ind w:right="540"/>
              <w:spacing w:after="0"/>
              <w:rPr>
                <w:sz w:val="20"/>
                <w:szCs w:val="20"/>
                <w:color w:val="auto"/>
              </w:rPr>
            </w:pPr>
            <w:r>
              <w:rPr>
                <w:rFonts w:ascii="Arial" w:cs="Arial" w:eastAsia="Arial" w:hAnsi="Arial"/>
                <w:sz w:val="12"/>
                <w:szCs w:val="12"/>
                <w:color w:val="auto"/>
              </w:rPr>
              <w:t>$ 24,111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w w:val="89"/>
              </w:rPr>
              <w:t>(14,500)</w:t>
            </w:r>
          </w:p>
        </w:tc>
        <w:tc>
          <w:tcPr>
            <w:tcW w:w="140" w:type="dxa"/>
            <w:vAlign w:val="bottom"/>
          </w:tcPr>
          <w:p>
            <w:pPr>
              <w:spacing w:after="0"/>
              <w:rPr>
                <w:sz w:val="14"/>
                <w:szCs w:val="14"/>
                <w:color w:val="auto"/>
              </w:rPr>
            </w:pPr>
          </w:p>
        </w:tc>
        <w:tc>
          <w:tcPr>
            <w:tcW w:w="600" w:type="dxa"/>
            <w:vAlign w:val="bottom"/>
          </w:tcPr>
          <w:p>
            <w:pPr>
              <w:ind w:left="540"/>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9,611</w:t>
            </w:r>
          </w:p>
        </w:tc>
        <w:tc>
          <w:tcPr>
            <w:tcW w:w="520" w:type="dxa"/>
            <w:vAlign w:val="bottom"/>
          </w:tcPr>
          <w:p>
            <w:pPr>
              <w:spacing w:after="0"/>
              <w:rPr>
                <w:sz w:val="14"/>
                <w:szCs w:val="14"/>
                <w:color w:val="auto"/>
              </w:rPr>
            </w:pPr>
          </w:p>
        </w:tc>
      </w:tr>
      <w:tr>
        <w:trPr>
          <w:trHeight w:val="32"/>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2923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-497205</wp:posOffset>
            </wp:positionV>
            <wp:extent cx="72923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-1606550</wp:posOffset>
            </wp:positionV>
            <wp:extent cx="72923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6235065</wp:posOffset>
            </wp:positionH>
            <wp:positionV relativeFrom="paragraph">
              <wp:posOffset>-1835150</wp:posOffset>
            </wp:positionV>
            <wp:extent cx="914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-1835150</wp:posOffset>
            </wp:positionV>
            <wp:extent cx="914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-1835150</wp:posOffset>
            </wp:positionV>
            <wp:extent cx="914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Contract Assets and Liabilities</w:t>
      </w:r>
    </w:p>
    <w:p>
      <w:pPr>
        <w:spacing w:after="0" w:line="100" w:lineRule="exact"/>
        <w:rPr>
          <w:sz w:val="20"/>
          <w:szCs w:val="20"/>
          <w:color w:val="auto"/>
        </w:rPr>
      </w:pPr>
    </w:p>
    <w:p>
      <w:pPr>
        <w:ind w:right="320" w:firstLine="240"/>
        <w:spacing w:after="0" w:line="261" w:lineRule="auto"/>
        <w:rPr>
          <w:sz w:val="20"/>
          <w:szCs w:val="20"/>
          <w:color w:val="auto"/>
        </w:rPr>
      </w:pPr>
      <w:r>
        <w:rPr>
          <w:rFonts w:ascii="Arial" w:cs="Arial" w:eastAsia="Arial" w:hAnsi="Arial"/>
          <w:sz w:val="12"/>
          <w:szCs w:val="12"/>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60" w:lineRule="exact"/>
        <w:rPr>
          <w:sz w:val="20"/>
          <w:szCs w:val="20"/>
          <w:color w:val="auto"/>
        </w:rPr>
      </w:pPr>
    </w:p>
    <w:p>
      <w:pPr>
        <w:ind w:firstLine="240"/>
        <w:spacing w:after="0" w:line="248" w:lineRule="auto"/>
        <w:rPr>
          <w:sz w:val="20"/>
          <w:szCs w:val="20"/>
          <w:color w:val="auto"/>
        </w:rPr>
      </w:pPr>
      <w:r>
        <w:rPr>
          <w:rFonts w:ascii="Arial" w:cs="Arial" w:eastAsia="Arial" w:hAnsi="Arial"/>
          <w:sz w:val="12"/>
          <w:szCs w:val="12"/>
          <w:color w:val="auto"/>
        </w:rPr>
        <w:t>The Company’s consolidated balance sheets present contract assets which contains unbilled revenue (previously identified as costs and estimated earnings in excess of billings) and contract retainages associated with contract work that has been completed and billed but not paid by customers, pursuant to retainage provisions, that are generally due once the job is completed and approved. The allowance for collection of contract retainage was not significant as of December 31, 2019 and 2018.</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Contract assets consisted of the following at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02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2018</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Change</w:t>
            </w:r>
          </w:p>
        </w:tc>
      </w:tr>
      <w:tr>
        <w:trPr>
          <w:trHeight w:val="169"/>
        </w:trPr>
        <w:tc>
          <w:tcPr>
            <w:tcW w:w="846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Unbilled revenue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7"/>
              </w:rPr>
              <w:t>$126,087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2"/>
              </w:rPr>
              <w:t>$ 111,153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$14,934</w:t>
            </w:r>
          </w:p>
        </w:tc>
      </w:tr>
      <w:tr>
        <w:trPr>
          <w:trHeight w:val="176"/>
        </w:trPr>
        <w:tc>
          <w:tcPr>
            <w:tcW w:w="8460" w:type="dxa"/>
            <w:vAlign w:val="bottom"/>
            <w:tcBorders>
              <w:bottom w:val="single" w:sz="8" w:color="CCEEFF"/>
            </w:tcBorders>
            <w:gridSpan w:val="3"/>
          </w:tcPr>
          <w:p>
            <w:pPr>
              <w:ind w:left="560"/>
              <w:spacing w:after="0"/>
              <w:rPr>
                <w:sz w:val="20"/>
                <w:szCs w:val="20"/>
                <w:color w:val="auto"/>
              </w:rPr>
            </w:pPr>
            <w:r>
              <w:rPr>
                <w:rFonts w:ascii="Arial" w:cs="Arial" w:eastAsia="Arial" w:hAnsi="Arial"/>
                <w:sz w:val="12"/>
                <w:szCs w:val="12"/>
                <w:color w:val="auto"/>
              </w:rPr>
              <w:t>Contract retainages, net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91,022</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49,128</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41,894</w:t>
            </w:r>
          </w:p>
        </w:tc>
        <w:tc>
          <w:tcPr>
            <w:tcW w:w="260" w:type="dxa"/>
            <w:vAlign w:val="bottom"/>
            <w:tcBorders>
              <w:bottom w:val="single" w:sz="8" w:color="CCEEFF"/>
            </w:tcBorders>
          </w:tcPr>
          <w:p>
            <w:pPr>
              <w:spacing w:after="0"/>
              <w:rPr>
                <w:sz w:val="15"/>
                <w:szCs w:val="15"/>
                <w:color w:val="auto"/>
              </w:rPr>
            </w:pPr>
          </w:p>
        </w:tc>
      </w:tr>
      <w:tr>
        <w:trPr>
          <w:trHeight w:val="181"/>
        </w:trPr>
        <w:tc>
          <w:tcPr>
            <w:tcW w:w="8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2"/>
                <w:szCs w:val="12"/>
                <w:color w:val="auto"/>
              </w:rPr>
              <w:t>Contract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$217,109</w:t>
            </w: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$160,281</w:t>
            </w: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$56,828</w:t>
            </w:r>
          </w:p>
        </w:tc>
        <w:tc>
          <w:tcPr>
            <w:tcW w:w="26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6612255</wp:posOffset>
            </wp:positionH>
            <wp:positionV relativeFrom="paragraph">
              <wp:posOffset>-365125</wp:posOffset>
            </wp:positionV>
            <wp:extent cx="914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-365125</wp:posOffset>
            </wp:positionV>
            <wp:extent cx="914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-365125</wp:posOffset>
            </wp:positionV>
            <wp:extent cx="914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571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06" w:lineRule="exact"/>
        <w:rPr>
          <w:sz w:val="20"/>
          <w:szCs w:val="20"/>
          <w:color w:val="auto"/>
        </w:rPr>
      </w:pPr>
    </w:p>
    <w:p>
      <w:pPr>
        <w:jc w:val="both"/>
        <w:ind w:right="20" w:firstLine="240"/>
        <w:spacing w:after="0" w:line="261" w:lineRule="auto"/>
        <w:rPr>
          <w:sz w:val="20"/>
          <w:szCs w:val="20"/>
          <w:color w:val="auto"/>
        </w:rPr>
      </w:pPr>
      <w:r>
        <w:rPr>
          <w:rFonts w:ascii="Arial" w:cs="Arial" w:eastAsia="Arial" w:hAnsi="Arial"/>
          <w:sz w:val="12"/>
          <w:szCs w:val="12"/>
          <w:color w:val="auto"/>
        </w:rPr>
        <w:t>The Company’s consolidated balance sheets present contract liabilities which contains deferred revenue (previously identified as billings in excess of costs and estimated earnings on uncompleted contracts) and an accrual for contracts in a loss provision.</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Contract liabilities consisted of the following at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66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45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Change</w:t>
            </w:r>
          </w:p>
        </w:tc>
      </w:tr>
      <w:tr>
        <w:trPr>
          <w:trHeight w:val="151"/>
        </w:trPr>
        <w:tc>
          <w:tcPr>
            <w:tcW w:w="36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Deferred revenue</w:t>
            </w:r>
          </w:p>
        </w:tc>
        <w:tc>
          <w:tcPr>
            <w:tcW w:w="5700" w:type="dxa"/>
            <w:vAlign w:val="bottom"/>
            <w:gridSpan w:val="5"/>
            <w:shd w:val="clear" w:color="auto" w:fill="CCEEFF"/>
          </w:tcPr>
          <w:p>
            <w:pPr>
              <w:jc w:val="right"/>
              <w:ind w:right="300"/>
              <w:spacing w:after="0"/>
              <w:rPr>
                <w:sz w:val="20"/>
                <w:szCs w:val="20"/>
                <w:color w:val="auto"/>
              </w:rPr>
            </w:pPr>
            <w:r>
              <w:rPr>
                <w:rFonts w:ascii="Arial" w:cs="Arial" w:eastAsia="Arial" w:hAnsi="Arial"/>
                <w:sz w:val="12"/>
                <w:szCs w:val="12"/>
                <w:color w:val="auto"/>
              </w:rPr>
              <w:t>$102,673</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$57,051</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$45,622</w:t>
            </w:r>
          </w:p>
        </w:tc>
      </w:tr>
      <w:tr>
        <w:trPr>
          <w:trHeight w:val="176"/>
        </w:trPr>
        <w:tc>
          <w:tcPr>
            <w:tcW w:w="3660" w:type="dxa"/>
            <w:vAlign w:val="bottom"/>
            <w:tcBorders>
              <w:bottom w:val="single" w:sz="8" w:color="CCEEFF"/>
            </w:tcBorders>
          </w:tcPr>
          <w:p>
            <w:pPr>
              <w:ind w:left="560"/>
              <w:spacing w:after="0"/>
              <w:rPr>
                <w:sz w:val="20"/>
                <w:szCs w:val="20"/>
                <w:color w:val="auto"/>
              </w:rPr>
            </w:pPr>
            <w:r>
              <w:rPr>
                <w:rFonts w:ascii="Arial" w:cs="Arial" w:eastAsia="Arial" w:hAnsi="Arial"/>
                <w:sz w:val="12"/>
                <w:szCs w:val="12"/>
                <w:color w:val="auto"/>
              </w:rPr>
              <w:t>Accrued loss provision</w:t>
            </w:r>
          </w:p>
        </w:tc>
        <w:tc>
          <w:tcPr>
            <w:tcW w:w="4940" w:type="dxa"/>
            <w:vAlign w:val="bottom"/>
            <w:tcBorders>
              <w:bottom w:val="single" w:sz="8" w:color="CCEEFF"/>
            </w:tcBorders>
            <w:gridSpan w:val="3"/>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2,813</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1,483</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1,330</w:t>
            </w:r>
          </w:p>
        </w:tc>
        <w:tc>
          <w:tcPr>
            <w:tcW w:w="260" w:type="dxa"/>
            <w:vAlign w:val="bottom"/>
            <w:tcBorders>
              <w:bottom w:val="single" w:sz="8" w:color="CCEEFF"/>
            </w:tcBorders>
          </w:tcPr>
          <w:p>
            <w:pPr>
              <w:spacing w:after="0"/>
              <w:rPr>
                <w:sz w:val="15"/>
                <w:szCs w:val="15"/>
                <w:color w:val="auto"/>
              </w:rPr>
            </w:pPr>
          </w:p>
        </w:tc>
      </w:tr>
      <w:tr>
        <w:trPr>
          <w:trHeight w:val="185"/>
        </w:trPr>
        <w:tc>
          <w:tcPr>
            <w:tcW w:w="36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Contract liabilities</w:t>
            </w:r>
          </w:p>
        </w:tc>
        <w:tc>
          <w:tcPr>
            <w:tcW w:w="5700" w:type="dxa"/>
            <w:vAlign w:val="bottom"/>
            <w:gridSpan w:val="5"/>
            <w:shd w:val="clear" w:color="auto" w:fill="CCEEFF"/>
          </w:tcPr>
          <w:p>
            <w:pPr>
              <w:jc w:val="right"/>
              <w:ind w:right="30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105,486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58,534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46,952</w:t>
            </w:r>
          </w:p>
        </w:tc>
      </w:tr>
      <w:tr>
        <w:trPr>
          <w:trHeight w:val="446"/>
        </w:trPr>
        <w:tc>
          <w:tcPr>
            <w:tcW w:w="3660" w:type="dxa"/>
            <w:vAlign w:val="bottom"/>
            <w:tcBorders>
              <w:top w:val="single" w:sz="8" w:color="CCEEFF"/>
            </w:tcBorders>
          </w:tcPr>
          <w:p>
            <w:pPr>
              <w:spacing w:after="0"/>
              <w:rPr>
                <w:sz w:val="24"/>
                <w:szCs w:val="24"/>
                <w:color w:val="auto"/>
              </w:rPr>
            </w:pPr>
          </w:p>
        </w:tc>
        <w:tc>
          <w:tcPr>
            <w:tcW w:w="4500" w:type="dxa"/>
            <w:vAlign w:val="bottom"/>
            <w:tcBorders>
              <w:top w:val="single" w:sz="8" w:color="CCEEFF"/>
            </w:tcBorders>
          </w:tcPr>
          <w:p>
            <w:pPr>
              <w:jc w:val="right"/>
              <w:ind w:right="2300"/>
              <w:spacing w:after="0"/>
              <w:rPr>
                <w:sz w:val="20"/>
                <w:szCs w:val="20"/>
                <w:color w:val="auto"/>
              </w:rPr>
            </w:pPr>
            <w:r>
              <w:rPr>
                <w:rFonts w:ascii="Arial" w:cs="Arial" w:eastAsia="Arial" w:hAnsi="Arial"/>
                <w:sz w:val="12"/>
                <w:szCs w:val="12"/>
                <w:color w:val="auto"/>
              </w:rPr>
              <w:t>75</w:t>
            </w: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61"/>
        </w:trPr>
        <w:tc>
          <w:tcPr>
            <w:tcW w:w="3660" w:type="dxa"/>
            <w:vAlign w:val="bottom"/>
            <w:tcBorders>
              <w:bottom w:val="single" w:sz="8" w:color="9A9A9A"/>
            </w:tcBorders>
          </w:tcPr>
          <w:p>
            <w:pPr>
              <w:spacing w:after="0"/>
              <w:rPr>
                <w:sz w:val="22"/>
                <w:szCs w:val="22"/>
                <w:color w:val="auto"/>
              </w:rPr>
            </w:pPr>
          </w:p>
        </w:tc>
        <w:tc>
          <w:tcPr>
            <w:tcW w:w="45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-600075</wp:posOffset>
            </wp:positionV>
            <wp:extent cx="72923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6612255</wp:posOffset>
            </wp:positionH>
            <wp:positionV relativeFrom="paragraph">
              <wp:posOffset>-817245</wp:posOffset>
            </wp:positionV>
            <wp:extent cx="914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-817245</wp:posOffset>
            </wp:positionV>
            <wp:extent cx="914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-817245</wp:posOffset>
            </wp:positionV>
            <wp:extent cx="914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-817245</wp:posOffset>
            </wp:positionV>
            <wp:extent cx="57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6" w:name="page77"/>
    <w:bookmarkEnd w:id="76"/>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provides information about contract assets and contract liabilities from contracts with customers: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88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2018</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w w:val="76"/>
              </w:rPr>
              <w:t>Change</w:t>
            </w:r>
          </w:p>
        </w:tc>
      </w:tr>
      <w:tr>
        <w:trPr>
          <w:trHeight w:val="169"/>
        </w:trPr>
        <w:tc>
          <w:tcPr>
            <w:tcW w:w="832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Contract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6"/>
              </w:rPr>
              <w:t>217,109</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$160,281</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2"/>
              </w:rPr>
              <w:t>56,828</w:t>
            </w:r>
          </w:p>
        </w:tc>
      </w:tr>
      <w:tr>
        <w:trPr>
          <w:trHeight w:val="176"/>
        </w:trPr>
        <w:tc>
          <w:tcPr>
            <w:tcW w:w="8320" w:type="dxa"/>
            <w:vAlign w:val="bottom"/>
            <w:gridSpan w:val="3"/>
          </w:tcPr>
          <w:p>
            <w:pPr>
              <w:ind w:left="560"/>
              <w:spacing w:after="0"/>
              <w:rPr>
                <w:sz w:val="20"/>
                <w:szCs w:val="20"/>
                <w:color w:val="auto"/>
              </w:rPr>
            </w:pPr>
            <w:r>
              <w:rPr>
                <w:rFonts w:ascii="Arial" w:cs="Arial" w:eastAsia="Arial" w:hAnsi="Arial"/>
                <w:sz w:val="12"/>
                <w:szCs w:val="12"/>
                <w:color w:val="auto"/>
              </w:rPr>
              <w:t>Contract liabilities</w:t>
            </w:r>
          </w:p>
        </w:tc>
        <w:tc>
          <w:tcPr>
            <w:tcW w:w="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w w:val="89"/>
              </w:rPr>
              <w:t>(105,486)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color w:val="auto"/>
              </w:rPr>
              <w:t>(58,534)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w w:val="84"/>
              </w:rPr>
              <w:t>(46,952)</w:t>
            </w:r>
          </w:p>
        </w:tc>
      </w:tr>
      <w:tr>
        <w:trPr>
          <w:trHeight w:val="20"/>
        </w:trPr>
        <w:tc>
          <w:tcPr>
            <w:tcW w:w="7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69"/>
        </w:trPr>
        <w:tc>
          <w:tcPr>
            <w:tcW w:w="832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Net contract assets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111,623</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$101,747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9,876</w:t>
            </w:r>
          </w:p>
        </w:tc>
      </w:tr>
      <w:tr>
        <w:trPr>
          <w:trHeight w:val="32"/>
        </w:trPr>
        <w:tc>
          <w:tcPr>
            <w:tcW w:w="7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-365125</wp:posOffset>
            </wp:positionV>
            <wp:extent cx="914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-365125</wp:posOffset>
            </wp:positionV>
            <wp:extent cx="914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4999355</wp:posOffset>
            </wp:positionH>
            <wp:positionV relativeFrom="paragraph">
              <wp:posOffset>-365125</wp:posOffset>
            </wp:positionV>
            <wp:extent cx="914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571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24" w:lineRule="exact"/>
        <w:rPr>
          <w:sz w:val="20"/>
          <w:szCs w:val="20"/>
          <w:color w:val="auto"/>
        </w:rPr>
      </w:pPr>
    </w:p>
    <w:p>
      <w:pPr>
        <w:ind w:right="120" w:firstLine="240"/>
        <w:spacing w:after="0" w:line="263" w:lineRule="auto"/>
        <w:rPr>
          <w:sz w:val="20"/>
          <w:szCs w:val="20"/>
          <w:color w:val="auto"/>
        </w:rPr>
      </w:pPr>
      <w:r>
        <w:rPr>
          <w:rFonts w:ascii="Arial" w:cs="Arial" w:eastAsia="Arial" w:hAnsi="Arial"/>
          <w:sz w:val="12"/>
          <w:szCs w:val="12"/>
          <w:color w:val="auto"/>
        </w:rPr>
        <w:t>The difference between the opening and closing balances of the Company’s contract assets and contract liabilities primarily results from the timing of the Company’s billings in relation to its performance of work along with contract assets and contract liabilities acquired in the CSI acquisition. The amounts of revenues recognized in the period that were included in the opening contract liability balances were $39.2 million and $21.3 million for the year ended December 31, 2019 and 2018, respectively. This revenue consists primarily of work performed on previous billings to customers.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net asset position for contracts in process consisted of the following at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72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gridSpan w:val="3"/>
          </w:tcPr>
          <w:p>
            <w:pPr>
              <w:spacing w:after="0"/>
              <w:rPr>
                <w:sz w:val="11"/>
                <w:szCs w:val="11"/>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2019</w:t>
            </w: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2018</w:t>
            </w:r>
          </w:p>
        </w:tc>
        <w:tc>
          <w:tcPr>
            <w:tcW w:w="300" w:type="dxa"/>
            <w:vAlign w:val="bottom"/>
            <w:tcBorders>
              <w:bottom w:val="single" w:sz="8" w:color="auto"/>
            </w:tcBorders>
          </w:tcPr>
          <w:p>
            <w:pPr>
              <w:spacing w:after="0"/>
              <w:rPr>
                <w:sz w:val="11"/>
                <w:szCs w:val="11"/>
                <w:color w:val="auto"/>
              </w:rPr>
            </w:pPr>
          </w:p>
        </w:tc>
      </w:tr>
      <w:tr>
        <w:trPr>
          <w:trHeight w:val="169"/>
        </w:trPr>
        <w:tc>
          <w:tcPr>
            <w:tcW w:w="9200" w:type="dxa"/>
            <w:vAlign w:val="bottom"/>
            <w:gridSpan w:val="5"/>
            <w:shd w:val="clear" w:color="auto" w:fill="CCEEFF"/>
          </w:tcPr>
          <w:p>
            <w:pPr>
              <w:ind w:left="540"/>
              <w:spacing w:after="0"/>
              <w:rPr>
                <w:sz w:val="20"/>
                <w:szCs w:val="20"/>
                <w:color w:val="auto"/>
              </w:rPr>
            </w:pPr>
            <w:r>
              <w:rPr>
                <w:rFonts w:ascii="Arial" w:cs="Arial" w:eastAsia="Arial" w:hAnsi="Arial"/>
                <w:sz w:val="12"/>
                <w:szCs w:val="12"/>
                <w:color w:val="auto"/>
              </w:rPr>
              <w:t>Costs and estimated earnings on uncompleted contracts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$3,532,886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$2,718,713</w:t>
            </w:r>
          </w:p>
        </w:tc>
        <w:tc>
          <w:tcPr>
            <w:tcW w:w="300" w:type="dxa"/>
            <w:vAlign w:val="bottom"/>
            <w:shd w:val="clear" w:color="auto" w:fill="CCEEFF"/>
          </w:tcPr>
          <w:p>
            <w:pPr>
              <w:spacing w:after="0"/>
              <w:rPr>
                <w:sz w:val="14"/>
                <w:szCs w:val="14"/>
                <w:color w:val="auto"/>
              </w:rPr>
            </w:pPr>
          </w:p>
        </w:tc>
      </w:tr>
      <w:tr>
        <w:trPr>
          <w:trHeight w:val="176"/>
        </w:trPr>
        <w:tc>
          <w:tcPr>
            <w:tcW w:w="9200" w:type="dxa"/>
            <w:vAlign w:val="bottom"/>
            <w:tcBorders>
              <w:bottom w:val="single" w:sz="8" w:color="CCEEFF"/>
            </w:tcBorders>
            <w:gridSpan w:val="5"/>
          </w:tcPr>
          <w:p>
            <w:pPr>
              <w:ind w:left="540"/>
              <w:spacing w:after="0"/>
              <w:rPr>
                <w:sz w:val="20"/>
                <w:szCs w:val="20"/>
                <w:color w:val="auto"/>
              </w:rPr>
            </w:pPr>
            <w:r>
              <w:rPr>
                <w:rFonts w:ascii="Arial" w:cs="Arial" w:eastAsia="Arial" w:hAnsi="Arial"/>
                <w:sz w:val="12"/>
                <w:szCs w:val="12"/>
                <w:color w:val="auto"/>
              </w:rPr>
              <w:t>Less: billings to date</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3,509,472</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2,664,611</w:t>
            </w:r>
          </w:p>
        </w:tc>
        <w:tc>
          <w:tcPr>
            <w:tcW w:w="300" w:type="dxa"/>
            <w:vAlign w:val="bottom"/>
            <w:tcBorders>
              <w:bottom w:val="single" w:sz="8" w:color="CCEEFF"/>
            </w:tcBorders>
          </w:tcPr>
          <w:p>
            <w:pPr>
              <w:spacing w:after="0"/>
              <w:rPr>
                <w:sz w:val="15"/>
                <w:szCs w:val="15"/>
                <w:color w:val="auto"/>
              </w:rPr>
            </w:pPr>
          </w:p>
        </w:tc>
      </w:tr>
      <w:tr>
        <w:trPr>
          <w:trHeight w:val="189"/>
        </w:trPr>
        <w:tc>
          <w:tcPr>
            <w:tcW w:w="8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   23,414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54,102</w:t>
            </w:r>
          </w:p>
        </w:tc>
        <w:tc>
          <w:tcPr>
            <w:tcW w:w="300" w:type="dxa"/>
            <w:vAlign w:val="bottom"/>
            <w:shd w:val="clear" w:color="auto" w:fill="CCEEFF"/>
          </w:tcPr>
          <w:p>
            <w:pPr>
              <w:spacing w:after="0"/>
              <w:rPr>
                <w:sz w:val="16"/>
                <w:szCs w:val="16"/>
                <w:color w:val="auto"/>
              </w:rPr>
            </w:pPr>
          </w:p>
        </w:tc>
      </w:tr>
      <w:tr>
        <w:trPr>
          <w:trHeight w:val="298"/>
        </w:trPr>
        <w:tc>
          <w:tcPr>
            <w:tcW w:w="9200" w:type="dxa"/>
            <w:vAlign w:val="bottom"/>
            <w:tcBorders>
              <w:top w:val="single" w:sz="8" w:color="CCEEFF"/>
            </w:tcBorders>
            <w:gridSpan w:val="5"/>
          </w:tcPr>
          <w:p>
            <w:pPr>
              <w:ind w:left="240"/>
              <w:spacing w:after="0"/>
              <w:rPr>
                <w:sz w:val="20"/>
                <w:szCs w:val="20"/>
                <w:color w:val="auto"/>
              </w:rPr>
            </w:pPr>
            <w:r>
              <w:rPr>
                <w:rFonts w:ascii="Arial" w:cs="Arial" w:eastAsia="Arial" w:hAnsi="Arial"/>
                <w:sz w:val="12"/>
                <w:szCs w:val="12"/>
                <w:color w:val="auto"/>
                <w:w w:val="92"/>
              </w:rPr>
              <w:t>The net asset position for contracts in process is included within the contract asset and contract liability in the accompanying consolidated balance sheets as follows at December 31:</w:t>
            </w: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26"/>
        </w:trPr>
        <w:tc>
          <w:tcPr>
            <w:tcW w:w="9040" w:type="dxa"/>
            <w:vAlign w:val="bottom"/>
            <w:tcBorders>
              <w:bottom w:val="single" w:sz="8" w:color="auto"/>
            </w:tcBorders>
            <w:gridSpan w:val="3"/>
          </w:tcPr>
          <w:p>
            <w:pPr>
              <w:ind w:left="54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2018</w:t>
            </w:r>
          </w:p>
        </w:tc>
        <w:tc>
          <w:tcPr>
            <w:tcW w:w="300" w:type="dxa"/>
            <w:vAlign w:val="bottom"/>
            <w:tcBorders>
              <w:bottom w:val="single" w:sz="8" w:color="auto"/>
            </w:tcBorders>
          </w:tcPr>
          <w:p>
            <w:pPr>
              <w:spacing w:after="0"/>
              <w:rPr>
                <w:sz w:val="19"/>
                <w:szCs w:val="19"/>
                <w:color w:val="auto"/>
              </w:rPr>
            </w:pPr>
          </w:p>
        </w:tc>
      </w:tr>
      <w:tr>
        <w:trPr>
          <w:trHeight w:val="169"/>
        </w:trPr>
        <w:tc>
          <w:tcPr>
            <w:tcW w:w="9200" w:type="dxa"/>
            <w:vAlign w:val="bottom"/>
            <w:gridSpan w:val="5"/>
            <w:shd w:val="clear" w:color="auto" w:fill="CCEEFF"/>
          </w:tcPr>
          <w:p>
            <w:pPr>
              <w:ind w:left="540"/>
              <w:spacing w:after="0"/>
              <w:rPr>
                <w:sz w:val="20"/>
                <w:szCs w:val="20"/>
                <w:color w:val="auto"/>
              </w:rPr>
            </w:pPr>
            <w:r>
              <w:rPr>
                <w:rFonts w:ascii="Arial" w:cs="Arial" w:eastAsia="Arial" w:hAnsi="Arial"/>
                <w:sz w:val="12"/>
                <w:szCs w:val="12"/>
                <w:color w:val="auto"/>
              </w:rPr>
              <w:t>Unbilled revenue</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$ 126,087</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$111,153</w:t>
            </w:r>
          </w:p>
        </w:tc>
      </w:tr>
      <w:tr>
        <w:trPr>
          <w:trHeight w:val="176"/>
        </w:trPr>
        <w:tc>
          <w:tcPr>
            <w:tcW w:w="9200" w:type="dxa"/>
            <w:vAlign w:val="bottom"/>
            <w:gridSpan w:val="5"/>
          </w:tcPr>
          <w:p>
            <w:pPr>
              <w:ind w:left="540"/>
              <w:spacing w:after="0"/>
              <w:rPr>
                <w:sz w:val="20"/>
                <w:szCs w:val="20"/>
                <w:color w:val="auto"/>
              </w:rPr>
            </w:pPr>
            <w:r>
              <w:rPr>
                <w:rFonts w:ascii="Arial" w:cs="Arial" w:eastAsia="Arial" w:hAnsi="Arial"/>
                <w:sz w:val="12"/>
                <w:szCs w:val="12"/>
                <w:color w:val="auto"/>
              </w:rPr>
              <w:t>Deferred revenue</w:t>
            </w:r>
          </w:p>
        </w:tc>
        <w:tc>
          <w:tcPr>
            <w:tcW w:w="28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(102,673)</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2"/>
                <w:szCs w:val="12"/>
                <w:color w:val="auto"/>
              </w:rPr>
              <w:t>(57,051)</w:t>
            </w:r>
          </w:p>
        </w:tc>
      </w:tr>
      <w:tr>
        <w:trPr>
          <w:trHeight w:val="20"/>
        </w:trPr>
        <w:tc>
          <w:tcPr>
            <w:tcW w:w="8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69"/>
        </w:trPr>
        <w:tc>
          <w:tcPr>
            <w:tcW w:w="8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w w:val="95"/>
              </w:rPr>
              <w:t>$  23,414</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$ 54,102</w:t>
            </w:r>
          </w:p>
        </w:tc>
      </w:tr>
      <w:tr>
        <w:trPr>
          <w:trHeight w:val="32"/>
        </w:trPr>
        <w:tc>
          <w:tcPr>
            <w:tcW w:w="8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-845820</wp:posOffset>
            </wp:positionV>
            <wp:extent cx="72923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6412230</wp:posOffset>
            </wp:positionH>
            <wp:positionV relativeFrom="paragraph">
              <wp:posOffset>-1074420</wp:posOffset>
            </wp:positionV>
            <wp:extent cx="914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-1074420</wp:posOffset>
            </wp:positionV>
            <wp:extent cx="914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-1074420</wp:posOffset>
            </wp:positionV>
            <wp:extent cx="571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6532245</wp:posOffset>
            </wp:positionH>
            <wp:positionV relativeFrom="paragraph">
              <wp:posOffset>-365125</wp:posOffset>
            </wp:positionV>
            <wp:extent cx="914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5742940</wp:posOffset>
            </wp:positionH>
            <wp:positionV relativeFrom="paragraph">
              <wp:posOffset>-365125</wp:posOffset>
            </wp:positionV>
            <wp:extent cx="914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571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Lease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Accounting Policy</w:t>
      </w:r>
    </w:p>
    <w:p>
      <w:pPr>
        <w:spacing w:after="0" w:line="96" w:lineRule="exact"/>
        <w:rPr>
          <w:sz w:val="20"/>
          <w:szCs w:val="20"/>
          <w:color w:val="auto"/>
        </w:rPr>
      </w:pPr>
    </w:p>
    <w:p>
      <w:pPr>
        <w:ind w:right="60" w:firstLine="240"/>
        <w:spacing w:after="0" w:line="283" w:lineRule="auto"/>
        <w:rPr>
          <w:sz w:val="20"/>
          <w:szCs w:val="20"/>
          <w:color w:val="auto"/>
        </w:rPr>
      </w:pPr>
      <w:r>
        <w:rPr>
          <w:rFonts w:ascii="Arial" w:cs="Arial" w:eastAsia="Arial" w:hAnsi="Arial"/>
          <w:sz w:val="11"/>
          <w:szCs w:val="11"/>
          <w:color w:val="auto"/>
        </w:rPr>
        <w:t xml:space="preserve">On January 1, 2019, the Company adopted ASU No. 2016-02, </w:t>
      </w:r>
      <w:r>
        <w:rPr>
          <w:rFonts w:ascii="Arial" w:cs="Arial" w:eastAsia="Arial" w:hAnsi="Arial"/>
          <w:sz w:val="11"/>
          <w:szCs w:val="11"/>
          <w:i w:val="1"/>
          <w:iCs w:val="1"/>
          <w:color w:val="auto"/>
        </w:rPr>
        <w:t>Leases (Topic 842)</w:t>
      </w:r>
      <w:r>
        <w:rPr>
          <w:rFonts w:ascii="Arial" w:cs="Arial" w:eastAsia="Arial" w:hAnsi="Arial"/>
          <w:sz w:val="11"/>
          <w:szCs w:val="11"/>
          <w:color w:val="auto"/>
        </w:rPr>
        <w:t xml:space="preserve"> using the modified retrospective method. Under this guidance, the net present value of future lease payments are recorded as right-of-use assets and liabilities. In addition, the Company elected the ‘package of practical expedients’ permitted under the transition guidance within the new standard, which among other things, allowed the Company to carry forward the historical lease classification. In addition, the Company elected not to utilize the hindsight practical expedient to determine the lease term for existing leases. The Company elected the short-term lease recognition exemption for all leases that qualify. This means, for those leases that qualify, the Company did not recognize right-of-use assets or lease liabilities, including not recognizing right-of-use assets or lease liabilities for existing short-term leases of those assets in transition. The Company also elected the practical expedient to not separate lease and non-lease components for our real estate and vehicle leases. Adoption of the new standard resulted in the recording of additional operating right-of-use assets and operating lease liabilities of approximately $15.1 million, as of January 1, 2019. The adoption of Topic 842 did not impact the Company’s retained earnings, consolidated net earnings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77" w:name="page78"/>
    <w:bookmarkEnd w:id="77"/>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is a summary of the lease-related assets and liabilities recorded as of December 31,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60" w:type="dxa"/>
            <w:vAlign w:val="bottom"/>
          </w:tcPr>
          <w:p>
            <w:pPr>
              <w:spacing w:after="0"/>
              <w:rPr>
                <w:sz w:val="11"/>
                <w:szCs w:val="11"/>
                <w:color w:val="auto"/>
              </w:rPr>
            </w:pPr>
          </w:p>
        </w:tc>
        <w:tc>
          <w:tcPr>
            <w:tcW w:w="6240" w:type="dxa"/>
            <w:vAlign w:val="bottom"/>
            <w:tcBorders>
              <w:bottom w:val="single" w:sz="8" w:color="auto"/>
            </w:tcBorders>
          </w:tcPr>
          <w:p>
            <w:pPr>
              <w:ind w:left="2120"/>
              <w:spacing w:after="0"/>
              <w:rPr>
                <w:sz w:val="20"/>
                <w:szCs w:val="20"/>
                <w:color w:val="auto"/>
              </w:rPr>
            </w:pPr>
            <w:r>
              <w:rPr>
                <w:rFonts w:ascii="Arial" w:cs="Arial" w:eastAsia="Arial" w:hAnsi="Arial"/>
                <w:sz w:val="10"/>
                <w:szCs w:val="10"/>
                <w:b w:val="1"/>
                <w:bCs w:val="1"/>
                <w:color w:val="auto"/>
              </w:rPr>
              <w:t>Classification on the Consolidated Balance Sheet</w:t>
            </w:r>
          </w:p>
        </w:tc>
      </w:tr>
      <w:tr>
        <w:trPr>
          <w:trHeight w:val="169"/>
        </w:trPr>
        <w:tc>
          <w:tcPr>
            <w:tcW w:w="42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60" w:type="dxa"/>
            <w:vAlign w:val="bottom"/>
          </w:tcPr>
          <w:p>
            <w:pPr>
              <w:spacing w:after="0"/>
              <w:rPr>
                <w:sz w:val="14"/>
                <w:szCs w:val="14"/>
                <w:color w:val="auto"/>
              </w:rPr>
            </w:pPr>
          </w:p>
        </w:tc>
        <w:tc>
          <w:tcPr>
            <w:tcW w:w="6240" w:type="dxa"/>
            <w:vAlign w:val="bottom"/>
          </w:tcPr>
          <w:p>
            <w:pPr>
              <w:spacing w:after="0"/>
              <w:rPr>
                <w:sz w:val="14"/>
                <w:szCs w:val="14"/>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Operating lease right-of-use assets</w:t>
            </w:r>
          </w:p>
        </w:tc>
        <w:tc>
          <w:tcPr>
            <w:tcW w:w="6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Operating lease right-of-use assets</w:t>
            </w: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Finance lease right-of-use assets</w:t>
            </w:r>
          </w:p>
        </w:tc>
        <w:tc>
          <w:tcPr>
            <w:tcW w:w="60" w:type="dxa"/>
            <w:vAlign w:val="bottom"/>
          </w:tcPr>
          <w:p>
            <w:pPr>
              <w:spacing w:after="0"/>
              <w:rPr>
                <w:sz w:val="16"/>
                <w:szCs w:val="16"/>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Property and equipment, net of accumulated depreciation</w:t>
            </w: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Total right-of-use lease assets</w:t>
            </w:r>
          </w:p>
        </w:tc>
        <w:tc>
          <w:tcPr>
            <w:tcW w:w="60" w:type="dxa"/>
            <w:vAlign w:val="bottom"/>
          </w:tcPr>
          <w:p>
            <w:pPr>
              <w:spacing w:after="0"/>
              <w:rPr>
                <w:sz w:val="14"/>
                <w:szCs w:val="14"/>
                <w:color w:val="auto"/>
              </w:rPr>
            </w:pPr>
          </w:p>
        </w:tc>
        <w:tc>
          <w:tcPr>
            <w:tcW w:w="6240" w:type="dxa"/>
            <w:vAlign w:val="bottom"/>
          </w:tcPr>
          <w:p>
            <w:pPr>
              <w:spacing w:after="0"/>
              <w:rPr>
                <w:sz w:val="14"/>
                <w:szCs w:val="14"/>
                <w:color w:val="auto"/>
              </w:rPr>
            </w:pPr>
          </w:p>
        </w:tc>
      </w:tr>
      <w:tr>
        <w:trPr>
          <w:trHeight w:val="180"/>
        </w:trPr>
        <w:tc>
          <w:tcPr>
            <w:tcW w:w="42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60" w:type="dxa"/>
            <w:vAlign w:val="bottom"/>
          </w:tcPr>
          <w:p>
            <w:pPr>
              <w:spacing w:after="0"/>
              <w:rPr>
                <w:sz w:val="15"/>
                <w:szCs w:val="15"/>
                <w:color w:val="auto"/>
              </w:rPr>
            </w:pPr>
          </w:p>
        </w:tc>
        <w:tc>
          <w:tcPr>
            <w:tcW w:w="6240" w:type="dxa"/>
            <w:vAlign w:val="bottom"/>
          </w:tcPr>
          <w:p>
            <w:pPr>
              <w:spacing w:after="0"/>
              <w:rPr>
                <w:sz w:val="15"/>
                <w:szCs w:val="15"/>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2"/>
                <w:szCs w:val="12"/>
                <w:color w:val="auto"/>
              </w:rPr>
              <w:t>Current</w:t>
            </w:r>
          </w:p>
        </w:tc>
        <w:tc>
          <w:tcPr>
            <w:tcW w:w="60" w:type="dxa"/>
            <w:vAlign w:val="bottom"/>
          </w:tcPr>
          <w:p>
            <w:pPr>
              <w:spacing w:after="0"/>
              <w:rPr>
                <w:sz w:val="14"/>
                <w:szCs w:val="14"/>
                <w:color w:val="auto"/>
              </w:rPr>
            </w:pPr>
          </w:p>
        </w:tc>
        <w:tc>
          <w:tcPr>
            <w:tcW w:w="6240" w:type="dxa"/>
            <w:vAlign w:val="bottom"/>
          </w:tcPr>
          <w:p>
            <w:pPr>
              <w:spacing w:after="0"/>
              <w:rPr>
                <w:sz w:val="14"/>
                <w:szCs w:val="14"/>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Operating lease obligations</w:t>
            </w:r>
          </w:p>
        </w:tc>
        <w:tc>
          <w:tcPr>
            <w:tcW w:w="6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Current portion of operating lease obligations</w:t>
            </w: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Finance lease obligations</w:t>
            </w:r>
          </w:p>
        </w:tc>
        <w:tc>
          <w:tcPr>
            <w:tcW w:w="6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Current portion of finance lease obligations</w:t>
            </w:r>
          </w:p>
        </w:tc>
      </w:tr>
      <w:tr>
        <w:trPr>
          <w:trHeight w:val="189"/>
        </w:trPr>
        <w:tc>
          <w:tcPr>
            <w:tcW w:w="4240" w:type="dxa"/>
            <w:vAlign w:val="bottom"/>
          </w:tcPr>
          <w:p>
            <w:pPr>
              <w:ind w:left="120"/>
              <w:spacing w:after="0"/>
              <w:rPr>
                <w:sz w:val="20"/>
                <w:szCs w:val="20"/>
                <w:color w:val="auto"/>
              </w:rPr>
            </w:pPr>
            <w:r>
              <w:rPr>
                <w:rFonts w:ascii="Arial" w:cs="Arial" w:eastAsia="Arial" w:hAnsi="Arial"/>
                <w:sz w:val="12"/>
                <w:szCs w:val="12"/>
                <w:color w:val="auto"/>
              </w:rPr>
              <w:t>Total current obligations</w:t>
            </w:r>
          </w:p>
        </w:tc>
        <w:tc>
          <w:tcPr>
            <w:tcW w:w="60" w:type="dxa"/>
            <w:vAlign w:val="bottom"/>
          </w:tcPr>
          <w:p>
            <w:pPr>
              <w:spacing w:after="0"/>
              <w:rPr>
                <w:sz w:val="16"/>
                <w:szCs w:val="16"/>
                <w:color w:val="auto"/>
              </w:rPr>
            </w:pPr>
          </w:p>
        </w:tc>
        <w:tc>
          <w:tcPr>
            <w:tcW w:w="6240" w:type="dxa"/>
            <w:vAlign w:val="bottom"/>
          </w:tcPr>
          <w:p>
            <w:pPr>
              <w:spacing w:after="0"/>
              <w:rPr>
                <w:sz w:val="16"/>
                <w:szCs w:val="16"/>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2"/>
                <w:szCs w:val="12"/>
                <w:color w:val="auto"/>
              </w:rPr>
              <w:t>Non-current</w:t>
            </w:r>
          </w:p>
        </w:tc>
        <w:tc>
          <w:tcPr>
            <w:tcW w:w="60" w:type="dxa"/>
            <w:vAlign w:val="bottom"/>
          </w:tcPr>
          <w:p>
            <w:pPr>
              <w:spacing w:after="0"/>
              <w:rPr>
                <w:sz w:val="14"/>
                <w:szCs w:val="14"/>
                <w:color w:val="auto"/>
              </w:rPr>
            </w:pPr>
          </w:p>
        </w:tc>
        <w:tc>
          <w:tcPr>
            <w:tcW w:w="6240" w:type="dxa"/>
            <w:vAlign w:val="bottom"/>
          </w:tcPr>
          <w:p>
            <w:pPr>
              <w:spacing w:after="0"/>
              <w:rPr>
                <w:sz w:val="14"/>
                <w:szCs w:val="14"/>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Operating lease obligations</w:t>
            </w:r>
          </w:p>
        </w:tc>
        <w:tc>
          <w:tcPr>
            <w:tcW w:w="6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Operating lease obligations, net of current maturities</w:t>
            </w:r>
          </w:p>
        </w:tc>
      </w:tr>
      <w:tr>
        <w:trPr>
          <w:trHeight w:val="176"/>
        </w:trPr>
        <w:tc>
          <w:tcPr>
            <w:tcW w:w="4240" w:type="dxa"/>
            <w:vAlign w:val="bottom"/>
          </w:tcPr>
          <w:p>
            <w:pPr>
              <w:ind w:left="120"/>
              <w:spacing w:after="0"/>
              <w:rPr>
                <w:sz w:val="20"/>
                <w:szCs w:val="20"/>
                <w:color w:val="auto"/>
              </w:rPr>
            </w:pPr>
            <w:r>
              <w:rPr>
                <w:rFonts w:ascii="Arial" w:cs="Arial" w:eastAsia="Arial" w:hAnsi="Arial"/>
                <w:sz w:val="12"/>
                <w:szCs w:val="12"/>
                <w:color w:val="auto"/>
              </w:rPr>
              <w:t>Finance lease obligations</w:t>
            </w:r>
          </w:p>
        </w:tc>
        <w:tc>
          <w:tcPr>
            <w:tcW w:w="6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Finance lease obligations, net of current maturities</w:t>
            </w:r>
          </w:p>
        </w:tc>
      </w:tr>
      <w:tr>
        <w:trPr>
          <w:trHeight w:val="203"/>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non-current obligations</w:t>
            </w:r>
          </w:p>
        </w:tc>
        <w:tc>
          <w:tcPr>
            <w:tcW w:w="60" w:type="dxa"/>
            <w:vAlign w:val="bottom"/>
          </w:tcPr>
          <w:p>
            <w:pPr>
              <w:spacing w:after="0"/>
              <w:rPr>
                <w:sz w:val="17"/>
                <w:szCs w:val="17"/>
                <w:color w:val="auto"/>
              </w:rPr>
            </w:pPr>
          </w:p>
        </w:tc>
        <w:tc>
          <w:tcPr>
            <w:tcW w:w="6240" w:type="dxa"/>
            <w:vAlign w:val="bottom"/>
          </w:tcPr>
          <w:p>
            <w:pPr>
              <w:spacing w:after="0"/>
              <w:rPr>
                <w:sz w:val="17"/>
                <w:szCs w:val="17"/>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Total lease obligations</w:t>
            </w:r>
          </w:p>
        </w:tc>
        <w:tc>
          <w:tcPr>
            <w:tcW w:w="60" w:type="dxa"/>
            <w:vAlign w:val="bottom"/>
          </w:tcPr>
          <w:p>
            <w:pPr>
              <w:spacing w:after="0"/>
              <w:rPr>
                <w:sz w:val="14"/>
                <w:szCs w:val="14"/>
                <w:color w:val="auto"/>
              </w:rPr>
            </w:pPr>
          </w:p>
        </w:tc>
        <w:tc>
          <w:tcPr>
            <w:tcW w:w="62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-1577975</wp:posOffset>
            </wp:positionV>
            <wp:extent cx="7292340" cy="14700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340" cy="1470025"/>
                    </a:xfrm>
                    <a:prstGeom prst="rect">
                      <a:avLst/>
                    </a:prstGeom>
                    <a:noFill/>
                  </pic:spPr>
                </pic:pic>
              </a:graphicData>
            </a:graphic>
          </wp:anchor>
        </w:drawing>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is a summary of the lease terms and discount rates as of December 31, 2019:</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Weighted-average remaining lease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292340" cy="800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340" cy="80010"/>
                    </a:xfrm>
                    <a:prstGeom prst="rect">
                      <a:avLst/>
                    </a:prstGeom>
                    <a:noFill/>
                  </pic:spPr>
                </pic:pic>
              </a:graphicData>
            </a:graphic>
          </wp:anchor>
        </w:drawing>
      </w:r>
    </w:p>
    <w:p>
      <w:pPr>
        <w:spacing w:after="0" w:line="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085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340" cy="108585"/>
                    </a:xfrm>
                    <a:prstGeom prst="rect">
                      <a:avLst/>
                    </a:prstGeom>
                    <a:noFill/>
                  </pic:spPr>
                </pic:pic>
              </a:graphicData>
            </a:graphic>
          </wp:anchor>
        </w:drawing>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Weighted-average discount rate – finance leases</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Weighted-average discount rate – operating leases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is a summary of certain information related to the lease costs for finance and operating leases for the year ended December 31, 2019:</w:t>
      </w:r>
    </w:p>
    <w:p>
      <w:pPr>
        <w:spacing w:after="0" w:line="397"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292340" cy="1143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Lease cost:</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085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108585"/>
                    </a:xfrm>
                    <a:prstGeom prst="rect">
                      <a:avLst/>
                    </a:prstGeom>
                    <a:noFill/>
                  </pic:spPr>
                </pic:pic>
              </a:graphicData>
            </a:graphic>
          </wp:anchor>
        </w:drawing>
      </w:r>
    </w:p>
    <w:p>
      <w:pPr>
        <w:spacing w:after="0" w:line="13" w:lineRule="exact"/>
        <w:rPr>
          <w:sz w:val="20"/>
          <w:szCs w:val="20"/>
          <w:color w:val="auto"/>
        </w:rPr>
      </w:pPr>
    </w:p>
    <w:p>
      <w:pPr>
        <w:ind w:left="780"/>
        <w:spacing w:after="0"/>
        <w:rPr>
          <w:sz w:val="20"/>
          <w:szCs w:val="20"/>
          <w:color w:val="auto"/>
        </w:rPr>
      </w:pPr>
      <w:r>
        <w:rPr>
          <w:rFonts w:ascii="Arial" w:cs="Arial" w:eastAsia="Arial" w:hAnsi="Arial"/>
          <w:sz w:val="12"/>
          <w:szCs w:val="12"/>
          <w:color w:val="auto"/>
        </w:rPr>
        <w:t>Amortization of right-of-use assets</w:t>
      </w:r>
    </w:p>
    <w:p>
      <w:pPr>
        <w:spacing w:after="0" w:line="33" w:lineRule="exact"/>
        <w:rPr>
          <w:sz w:val="20"/>
          <w:szCs w:val="20"/>
          <w:color w:val="auto"/>
        </w:rPr>
      </w:pPr>
    </w:p>
    <w:p>
      <w:pPr>
        <w:ind w:left="780"/>
        <w:spacing w:after="0"/>
        <w:rPr>
          <w:sz w:val="20"/>
          <w:szCs w:val="20"/>
          <w:color w:val="auto"/>
        </w:rPr>
      </w:pPr>
      <w:r>
        <w:rPr>
          <w:rFonts w:ascii="Arial" w:cs="Arial" w:eastAsia="Arial" w:hAnsi="Arial"/>
          <w:sz w:val="12"/>
          <w:szCs w:val="12"/>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085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108585"/>
                    </a:xfrm>
                    <a:prstGeom prst="rect">
                      <a:avLst/>
                    </a:prstGeom>
                    <a:noFill/>
                  </pic:spPr>
                </pic:pic>
              </a:graphicData>
            </a:graphic>
          </wp:anchor>
        </w:drawing>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2"/>
          <w:szCs w:val="12"/>
          <w:color w:val="auto"/>
        </w:rPr>
        <w:t>Operating lease cost</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2"/>
          <w:szCs w:val="12"/>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200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2"/>
          <w:szCs w:val="12"/>
          <w:color w:val="auto"/>
        </w:rPr>
        <w:t>Variable lease costs</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Total lease cost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is a summary of other information and supplemental cash flow information related to finance and operating leases for the year ended December 31, 2019:</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292340"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Other information:</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92340" cy="971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2"/>
          <w:szCs w:val="12"/>
          <w:color w:val="auto"/>
        </w:rPr>
        <w:t>Operating cash flows from operating leases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Right-of-use asset obtained in exchange for new operating lease obligations</w:t>
      </w:r>
    </w:p>
    <w:p>
      <w:pPr>
        <w:spacing w:after="0" w:line="249"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168275</wp:posOffset>
            </wp:positionV>
            <wp:extent cx="731774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$22,958</w:t>
      </w:r>
    </w:p>
    <w:p>
      <w:pPr>
        <w:spacing w:after="0" w:line="33"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1,478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15240</wp:posOffset>
            </wp:positionV>
            <wp:extent cx="40005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00050" cy="5715"/>
                    </a:xfrm>
                    <a:prstGeom prst="rect">
                      <a:avLst/>
                    </a:prstGeom>
                    <a:noFill/>
                  </pic:spPr>
                </pic:pic>
              </a:graphicData>
            </a:graphic>
          </wp:anchor>
        </w:drawing>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$24,436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15240</wp:posOffset>
            </wp:positionV>
            <wp:extent cx="25146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364" w:lineRule="exact"/>
        <w:rPr>
          <w:sz w:val="20"/>
          <w:szCs w:val="20"/>
          <w:color w:val="auto"/>
        </w:rPr>
      </w:pPr>
    </w:p>
    <w:p>
      <w:pPr>
        <w:ind w:left="400" w:hanging="133"/>
        <w:spacing w:after="0"/>
        <w:tabs>
          <w:tab w:leader="none" w:pos="4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6,205</w:t>
      </w:r>
    </w:p>
    <w:p>
      <w:pPr>
        <w:spacing w:after="0" w:line="33" w:lineRule="exact"/>
        <w:rPr>
          <w:rFonts w:ascii="Arial" w:cs="Arial" w:eastAsia="Arial" w:hAnsi="Arial"/>
          <w:sz w:val="12"/>
          <w:szCs w:val="12"/>
          <w:color w:val="auto"/>
        </w:rPr>
      </w:pPr>
    </w:p>
    <w:p>
      <w:pPr>
        <w:ind w:left="400"/>
        <w:spacing w:after="0"/>
        <w:rPr>
          <w:rFonts w:ascii="Arial" w:cs="Arial" w:eastAsia="Arial" w:hAnsi="Arial"/>
          <w:sz w:val="12"/>
          <w:szCs w:val="12"/>
          <w:color w:val="auto"/>
        </w:rPr>
      </w:pPr>
      <w:r>
        <w:rPr>
          <w:rFonts w:ascii="Arial" w:cs="Arial" w:eastAsia="Arial" w:hAnsi="Arial"/>
          <w:sz w:val="12"/>
          <w:szCs w:val="12"/>
          <w:color w:val="auto"/>
        </w:rPr>
        <w:t>1,135</w:t>
      </w:r>
    </w:p>
    <w:p>
      <w:pPr>
        <w:spacing w:after="0" w:line="51" w:lineRule="exact"/>
        <w:rPr>
          <w:rFonts w:ascii="Arial" w:cs="Arial" w:eastAsia="Arial" w:hAnsi="Arial"/>
          <w:sz w:val="12"/>
          <w:szCs w:val="12"/>
          <w:color w:val="auto"/>
        </w:rPr>
      </w:pPr>
    </w:p>
    <w:p>
      <w:pPr>
        <w:ind w:left="400"/>
        <w:spacing w:after="0"/>
        <w:rPr>
          <w:rFonts w:ascii="Arial" w:cs="Arial" w:eastAsia="Arial" w:hAnsi="Arial"/>
          <w:sz w:val="12"/>
          <w:szCs w:val="12"/>
          <w:color w:val="auto"/>
        </w:rPr>
      </w:pPr>
      <w:r>
        <w:rPr>
          <w:rFonts w:ascii="Arial" w:cs="Arial" w:eastAsia="Arial" w:hAnsi="Arial"/>
          <w:sz w:val="12"/>
          <w:szCs w:val="12"/>
          <w:color w:val="auto"/>
        </w:rPr>
        <w:t>7,340</w:t>
      </w:r>
    </w:p>
    <w:p>
      <w:pPr>
        <w:spacing w:after="0" w:line="204"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16,884</w:t>
      </w:r>
    </w:p>
    <w:p>
      <w:pPr>
        <w:spacing w:after="0" w:line="33"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338</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17,222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15240</wp:posOffset>
            </wp:positionV>
            <wp:extent cx="40005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00050" cy="5715"/>
                    </a:xfrm>
                    <a:prstGeom prst="rect">
                      <a:avLst/>
                    </a:prstGeom>
                    <a:noFill/>
                  </pic:spPr>
                </pic:pic>
              </a:graphicData>
            </a:graphic>
          </wp:anchor>
        </w:drawing>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$24,562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15240</wp:posOffset>
            </wp:positionV>
            <wp:extent cx="25146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1460" cy="571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26670</wp:posOffset>
            </wp:positionV>
            <wp:extent cx="25146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0"/>
          <w:szCs w:val="10"/>
          <w:color w:val="auto"/>
        </w:rPr>
        <w:t>1.4 years</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0"/>
          <w:szCs w:val="10"/>
          <w:color w:val="auto"/>
        </w:rPr>
        <w:t>3.9 years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3.8%</w:t>
      </w:r>
    </w:p>
    <w:p>
      <w:pPr>
        <w:spacing w:after="0" w:line="379" w:lineRule="exact"/>
        <w:rPr>
          <w:sz w:val="20"/>
          <w:szCs w:val="20"/>
          <w:color w:val="auto"/>
        </w:rPr>
      </w:pPr>
    </w:p>
    <w:p>
      <w:pPr>
        <w:jc w:val="center"/>
        <w:ind w:right="340"/>
        <w:spacing w:after="0"/>
        <w:rPr>
          <w:sz w:val="20"/>
          <w:szCs w:val="20"/>
          <w:color w:val="auto"/>
        </w:rPr>
      </w:pPr>
      <w:r>
        <w:rPr>
          <w:rFonts w:ascii="Arial" w:cs="Arial" w:eastAsia="Arial" w:hAnsi="Arial"/>
          <w:sz w:val="10"/>
          <w:szCs w:val="10"/>
          <w:b w:val="1"/>
          <w:bCs w:val="1"/>
          <w:color w:val="auto"/>
        </w:rPr>
        <w:t>Year ended</w:t>
      </w:r>
    </w:p>
    <w:p>
      <w:pPr>
        <w:spacing w:after="0" w:line="3" w:lineRule="exact"/>
        <w:rPr>
          <w:sz w:val="20"/>
          <w:szCs w:val="20"/>
          <w:color w:val="auto"/>
        </w:rPr>
      </w:pPr>
    </w:p>
    <w:p>
      <w:pPr>
        <w:jc w:val="center"/>
        <w:ind w:right="340"/>
        <w:spacing w:after="0"/>
        <w:rPr>
          <w:sz w:val="20"/>
          <w:szCs w:val="20"/>
          <w:color w:val="auto"/>
        </w:rPr>
      </w:pPr>
      <w:r>
        <w:rPr>
          <w:rFonts w:ascii="Arial" w:cs="Arial" w:eastAsia="Arial" w:hAnsi="Arial"/>
          <w:sz w:val="8"/>
          <w:szCs w:val="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24765</wp:posOffset>
            </wp:positionV>
            <wp:extent cx="79502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95020" cy="5715"/>
                    </a:xfrm>
                    <a:prstGeom prst="rect">
                      <a:avLst/>
                    </a:prstGeom>
                    <a:noFill/>
                  </pic:spPr>
                </pic:pic>
              </a:graphicData>
            </a:graphic>
          </wp:anchor>
        </w:drawing>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auto"/>
        </w:rPr>
        <w:t>2019</w:t>
      </w:r>
    </w:p>
    <w:p>
      <w:pPr>
        <w:spacing w:after="0" w:line="395" w:lineRule="exact"/>
        <w:rPr>
          <w:sz w:val="20"/>
          <w:szCs w:val="20"/>
          <w:color w:val="auto"/>
        </w:rPr>
      </w:pPr>
    </w:p>
    <w:p>
      <w:pPr>
        <w:ind w:left="260" w:hanging="155"/>
        <w:spacing w:after="0"/>
        <w:tabs>
          <w:tab w:leader="none" w:pos="2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820</w:t>
      </w:r>
    </w:p>
    <w:p>
      <w:pPr>
        <w:spacing w:after="0" w:line="33"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66</w:t>
      </w:r>
    </w:p>
    <w:p>
      <w:pPr>
        <w:spacing w:after="0" w:line="33" w:lineRule="exact"/>
        <w:rPr>
          <w:sz w:val="20"/>
          <w:szCs w:val="20"/>
          <w:color w:val="auto"/>
        </w:rPr>
      </w:pPr>
    </w:p>
    <w:p>
      <w:pPr>
        <w:jc w:val="right"/>
        <w:ind w:right="440"/>
        <w:spacing w:after="0"/>
        <w:rPr>
          <w:sz w:val="20"/>
          <w:szCs w:val="20"/>
          <w:color w:val="auto"/>
        </w:rPr>
      </w:pPr>
      <w:r>
        <w:rPr>
          <w:rFonts w:ascii="Arial" w:cs="Arial" w:eastAsia="Arial" w:hAnsi="Arial"/>
          <w:sz w:val="12"/>
          <w:szCs w:val="12"/>
          <w:color w:val="auto"/>
        </w:rPr>
        <w:t>7,282</w:t>
      </w:r>
    </w:p>
    <w:p>
      <w:pPr>
        <w:spacing w:after="0" w:line="33" w:lineRule="exact"/>
        <w:rPr>
          <w:sz w:val="20"/>
          <w:szCs w:val="20"/>
          <w:color w:val="auto"/>
        </w:rPr>
      </w:pPr>
    </w:p>
    <w:p>
      <w:pPr>
        <w:jc w:val="right"/>
        <w:ind w:right="440"/>
        <w:spacing w:after="0"/>
        <w:rPr>
          <w:sz w:val="20"/>
          <w:szCs w:val="20"/>
          <w:color w:val="auto"/>
        </w:rPr>
      </w:pPr>
      <w:r>
        <w:rPr>
          <w:rFonts w:ascii="Arial" w:cs="Arial" w:eastAsia="Arial" w:hAnsi="Arial"/>
          <w:sz w:val="12"/>
          <w:szCs w:val="12"/>
          <w:color w:val="auto"/>
        </w:rPr>
        <w:t>8</w:t>
      </w:r>
    </w:p>
    <w:p>
      <w:pPr>
        <w:spacing w:after="0" w:line="33" w:lineRule="exact"/>
        <w:rPr>
          <w:sz w:val="20"/>
          <w:szCs w:val="20"/>
          <w:color w:val="auto"/>
        </w:rPr>
      </w:pPr>
    </w:p>
    <w:p>
      <w:pPr>
        <w:jc w:val="right"/>
        <w:ind w:right="440"/>
        <w:spacing w:after="0"/>
        <w:rPr>
          <w:sz w:val="20"/>
          <w:szCs w:val="20"/>
          <w:color w:val="auto"/>
        </w:rPr>
      </w:pPr>
      <w:r>
        <w:rPr>
          <w:rFonts w:ascii="Arial" w:cs="Arial" w:eastAsia="Arial" w:hAnsi="Arial"/>
          <w:sz w:val="12"/>
          <w:szCs w:val="12"/>
          <w:color w:val="auto"/>
        </w:rPr>
        <w:t>284</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$8,460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21145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26670</wp:posOffset>
            </wp:positionV>
            <wp:extent cx="21145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14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40" w:right="240" w:firstLine="9"/>
        <w:spacing w:after="0" w:line="340" w:lineRule="auto"/>
        <w:tabs>
          <w:tab w:leader="none" w:pos="333" w:val="left"/>
        </w:tabs>
        <w:numPr>
          <w:ilvl w:val="0"/>
          <w:numId w:val="20"/>
        </w:numPr>
        <w:rPr>
          <w:rFonts w:ascii="Arial" w:cs="Arial" w:eastAsia="Arial" w:hAnsi="Arial"/>
          <w:sz w:val="11"/>
          <w:szCs w:val="11"/>
          <w:color w:val="auto"/>
        </w:rPr>
      </w:pPr>
      <w:r>
        <w:rPr>
          <w:rFonts w:ascii="Arial" w:cs="Arial" w:eastAsia="Arial" w:hAnsi="Arial"/>
          <w:sz w:val="11"/>
          <w:szCs w:val="11"/>
          <w:color w:val="auto"/>
        </w:rPr>
        <w:t>7,337 $13,301</w:t>
      </w:r>
    </w:p>
    <w:p>
      <w:pPr>
        <w:sectPr>
          <w:pgSz w:w="11900" w:h="16838" w:orient="portrait"/>
          <w:cols w:equalWidth="0" w:num="2">
            <w:col w:w="10540" w:space="40"/>
            <w:col w:w="880"/>
          </w:cols>
          <w:pgMar w:left="220" w:top="134" w:right="219" w:bottom="1440" w:gutter="0" w:footer="0" w:header="0"/>
        </w:sectPr>
      </w:pPr>
    </w:p>
    <w:bookmarkStart w:id="78" w:name="page79"/>
    <w:bookmarkEnd w:id="78"/>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340" w:firstLine="240"/>
        <w:spacing w:after="0" w:line="261" w:lineRule="auto"/>
        <w:rPr>
          <w:sz w:val="20"/>
          <w:szCs w:val="20"/>
          <w:color w:val="auto"/>
        </w:rPr>
      </w:pPr>
      <w:r>
        <w:rPr>
          <w:rFonts w:ascii="Arial" w:cs="Arial" w:eastAsia="Arial" w:hAnsi="Arial"/>
          <w:sz w:val="12"/>
          <w:szCs w:val="12"/>
          <w:color w:val="auto"/>
        </w:rPr>
        <w:t>The future undiscounted minimum lease payments, as reconciled to the discounted minimum lease obligation indicated on the Company’s consolidated balance sheets, under current portion of operating lease obligations, current portion of finance lease obligations, and operating lease obligations, net of current maturities, as of December 31, 2019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73"/>
              </w:rPr>
              <w:t>Finance</w:t>
            </w:r>
          </w:p>
        </w:tc>
        <w:tc>
          <w:tcPr>
            <w:tcW w:w="1200" w:type="dxa"/>
            <w:vAlign w:val="bottom"/>
            <w:gridSpan w:val="5"/>
          </w:tcPr>
          <w:p>
            <w:pPr>
              <w:ind w:left="320"/>
              <w:spacing w:after="0"/>
              <w:rPr>
                <w:sz w:val="20"/>
                <w:szCs w:val="20"/>
                <w:color w:val="auto"/>
              </w:rPr>
            </w:pPr>
            <w:r>
              <w:rPr>
                <w:rFonts w:ascii="Arial" w:cs="Arial" w:eastAsia="Arial" w:hAnsi="Arial"/>
                <w:sz w:val="10"/>
                <w:szCs w:val="10"/>
                <w:b w:val="1"/>
                <w:bCs w:val="1"/>
                <w:color w:val="auto"/>
              </w:rPr>
              <w:t>Operating</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3"/>
              </w:rPr>
              <w:t>Total</w:t>
            </w:r>
          </w:p>
        </w:tc>
      </w:tr>
      <w:tr>
        <w:trPr>
          <w:trHeight w:val="108"/>
        </w:trPr>
        <w:tc>
          <w:tcPr>
            <w:tcW w:w="7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3"/>
          </w:tcPr>
          <w:p>
            <w:pPr>
              <w:jc w:val="center"/>
              <w:ind w:right="540"/>
              <w:spacing w:after="0" w:line="108" w:lineRule="exact"/>
              <w:rPr>
                <w:sz w:val="20"/>
                <w:szCs w:val="20"/>
                <w:color w:val="auto"/>
              </w:rPr>
            </w:pPr>
            <w:r>
              <w:rPr>
                <w:rFonts w:ascii="Arial" w:cs="Arial" w:eastAsia="Arial" w:hAnsi="Arial"/>
                <w:sz w:val="10"/>
                <w:szCs w:val="10"/>
                <w:b w:val="1"/>
                <w:bCs w:val="1"/>
                <w:color w:val="auto"/>
                <w:w w:val="84"/>
              </w:rPr>
              <w:t>Lease</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tcPr>
          <w:p>
            <w:pPr>
              <w:jc w:val="center"/>
              <w:ind w:right="560"/>
              <w:spacing w:after="0" w:line="108" w:lineRule="exact"/>
              <w:rPr>
                <w:sz w:val="20"/>
                <w:szCs w:val="20"/>
                <w:color w:val="auto"/>
              </w:rPr>
            </w:pPr>
            <w:r>
              <w:rPr>
                <w:rFonts w:ascii="Arial" w:cs="Arial" w:eastAsia="Arial" w:hAnsi="Arial"/>
                <w:sz w:val="10"/>
                <w:szCs w:val="10"/>
                <w:b w:val="1"/>
                <w:bCs w:val="1"/>
                <w:color w:val="auto"/>
                <w:w w:val="84"/>
              </w:rPr>
              <w:t>Lease</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4"/>
              </w:rPr>
              <w:t>Lease</w:t>
            </w:r>
          </w:p>
        </w:tc>
      </w:tr>
      <w:tr>
        <w:trPr>
          <w:trHeight w:val="132"/>
        </w:trPr>
        <w:tc>
          <w:tcPr>
            <w:tcW w:w="806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116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7"/>
              </w:rPr>
              <w:t>Obligations</w:t>
            </w:r>
          </w:p>
        </w:tc>
        <w:tc>
          <w:tcPr>
            <w:tcW w:w="120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87"/>
              </w:rPr>
              <w:t>Obligations</w:t>
            </w:r>
          </w:p>
        </w:tc>
        <w:tc>
          <w:tcPr>
            <w:tcW w:w="106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87"/>
              </w:rPr>
              <w:t>Obligations</w:t>
            </w:r>
          </w:p>
        </w:tc>
      </w:tr>
      <w:tr>
        <w:trPr>
          <w:trHeight w:val="169"/>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2020</w:t>
            </w:r>
          </w:p>
        </w:tc>
        <w:tc>
          <w:tcPr>
            <w:tcW w:w="1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1,167</w:t>
            </w: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9"/>
              </w:rPr>
              <w:t>8,431</w:t>
            </w:r>
          </w:p>
        </w:tc>
        <w:tc>
          <w:tcPr>
            <w:tcW w:w="1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9"/>
              </w:rPr>
              <w:t>9,598</w:t>
            </w:r>
          </w:p>
        </w:tc>
      </w:tr>
      <w:tr>
        <w:trPr>
          <w:trHeight w:val="171"/>
        </w:trPr>
        <w:tc>
          <w:tcPr>
            <w:tcW w:w="7900" w:type="dxa"/>
            <w:vAlign w:val="bottom"/>
          </w:tcPr>
          <w:p>
            <w:pPr>
              <w:spacing w:after="0"/>
              <w:rPr>
                <w:sz w:val="20"/>
                <w:szCs w:val="20"/>
                <w:color w:val="auto"/>
              </w:rPr>
            </w:pPr>
            <w:r>
              <w:rPr>
                <w:rFonts w:ascii="Arial" w:cs="Arial" w:eastAsia="Arial" w:hAnsi="Arial"/>
                <w:sz w:val="12"/>
                <w:szCs w:val="12"/>
                <w:color w:val="auto"/>
              </w:rPr>
              <w:t>2021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rPr>
              <w:t>341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w w:val="99"/>
              </w:rPr>
              <w:t>7,335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color w:val="auto"/>
                <w:w w:val="99"/>
              </w:rPr>
              <w:t>7,676</w:t>
            </w:r>
          </w:p>
        </w:tc>
      </w:tr>
      <w:tr>
        <w:trPr>
          <w:trHeight w:val="171"/>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16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9"/>
              </w:rPr>
              <w:t>5,999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9"/>
              </w:rPr>
              <w:t>5,999</w:t>
            </w:r>
          </w:p>
        </w:tc>
      </w:tr>
      <w:tr>
        <w:trPr>
          <w:trHeight w:val="171"/>
        </w:trPr>
        <w:tc>
          <w:tcPr>
            <w:tcW w:w="7900" w:type="dxa"/>
            <w:vAlign w:val="bottom"/>
          </w:tcPr>
          <w:p>
            <w:pPr>
              <w:spacing w:after="0"/>
              <w:rPr>
                <w:sz w:val="20"/>
                <w:szCs w:val="20"/>
                <w:color w:val="auto"/>
              </w:rPr>
            </w:pPr>
            <w:r>
              <w:rPr>
                <w:rFonts w:ascii="Arial" w:cs="Arial" w:eastAsia="Arial" w:hAnsi="Arial"/>
                <w:sz w:val="12"/>
                <w:szCs w:val="12"/>
                <w:color w:val="auto"/>
              </w:rPr>
              <w:t>2023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w w:val="99"/>
              </w:rPr>
              <w:t>4,123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color w:val="auto"/>
                <w:w w:val="99"/>
              </w:rPr>
              <w:t>4,123</w:t>
            </w:r>
          </w:p>
        </w:tc>
      </w:tr>
      <w:tr>
        <w:trPr>
          <w:trHeight w:val="171"/>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16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9"/>
              </w:rPr>
              <w:t>1,978</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9"/>
              </w:rPr>
              <w:t>1,978</w:t>
            </w:r>
          </w:p>
        </w:tc>
      </w:tr>
      <w:tr>
        <w:trPr>
          <w:trHeight w:val="176"/>
        </w:trPr>
        <w:tc>
          <w:tcPr>
            <w:tcW w:w="8060" w:type="dxa"/>
            <w:vAlign w:val="bottom"/>
            <w:gridSpan w:val="2"/>
          </w:tcPr>
          <w:p>
            <w:pPr>
              <w:spacing w:after="0"/>
              <w:rPr>
                <w:sz w:val="20"/>
                <w:szCs w:val="20"/>
                <w:color w:val="auto"/>
              </w:rPr>
            </w:pPr>
            <w:r>
              <w:rPr>
                <w:rFonts w:ascii="Arial" w:cs="Arial" w:eastAsia="Arial" w:hAnsi="Arial"/>
                <w:sz w:val="12"/>
                <w:szCs w:val="12"/>
                <w:color w:val="auto"/>
              </w:rPr>
              <w:t>Thereafter</w:t>
            </w:r>
          </w:p>
        </w:tc>
        <w:tc>
          <w:tcPr>
            <w:tcW w:w="3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w w:val="99"/>
              </w:rPr>
              <w:t>1,648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color w:val="auto"/>
                <w:w w:val="99"/>
              </w:rPr>
              <w:t>1,648</w:t>
            </w:r>
          </w:p>
        </w:tc>
      </w:tr>
      <w:tr>
        <w:trPr>
          <w:trHeight w:val="20"/>
        </w:trPr>
        <w:tc>
          <w:tcPr>
            <w:tcW w:w="7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5"/>
        </w:trPr>
        <w:tc>
          <w:tcPr>
            <w:tcW w:w="8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minimum lease payments</w:t>
            </w:r>
          </w:p>
        </w:tc>
        <w:tc>
          <w:tcPr>
            <w:tcW w:w="3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1,508</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1"/>
              </w:rPr>
              <w:t>29,514</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1"/>
              </w:rPr>
              <w:t>31,022</w:t>
            </w:r>
          </w:p>
        </w:tc>
      </w:tr>
      <w:tr>
        <w:trPr>
          <w:trHeight w:val="176"/>
        </w:trPr>
        <w:tc>
          <w:tcPr>
            <w:tcW w:w="8060" w:type="dxa"/>
            <w:vAlign w:val="bottom"/>
            <w:gridSpan w:val="2"/>
          </w:tcPr>
          <w:p>
            <w:pPr>
              <w:spacing w:after="0"/>
              <w:rPr>
                <w:sz w:val="20"/>
                <w:szCs w:val="20"/>
                <w:color w:val="auto"/>
              </w:rPr>
            </w:pPr>
            <w:r>
              <w:rPr>
                <w:rFonts w:ascii="Arial" w:cs="Arial" w:eastAsia="Arial" w:hAnsi="Arial"/>
                <w:sz w:val="12"/>
                <w:szCs w:val="12"/>
                <w:color w:val="auto"/>
              </w:rPr>
              <w:t>Financing component</w:t>
            </w:r>
          </w:p>
        </w:tc>
        <w:tc>
          <w:tcPr>
            <w:tcW w:w="38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(6,425)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(6,460)</w:t>
            </w:r>
          </w:p>
        </w:tc>
      </w:tr>
      <w:tr>
        <w:trPr>
          <w:trHeight w:val="20"/>
        </w:trPr>
        <w:tc>
          <w:tcPr>
            <w:tcW w:w="7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5"/>
        </w:trPr>
        <w:tc>
          <w:tcPr>
            <w:tcW w:w="8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present value of minimum lease payments</w:t>
            </w:r>
          </w:p>
        </w:tc>
        <w:tc>
          <w:tcPr>
            <w:tcW w:w="3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1,473</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1"/>
              </w:rPr>
              <w:t>23,089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1"/>
              </w:rPr>
              <w:t>24,562</w:t>
            </w:r>
          </w:p>
        </w:tc>
      </w:tr>
      <w:tr>
        <w:trPr>
          <w:trHeight w:val="176"/>
        </w:trPr>
        <w:tc>
          <w:tcPr>
            <w:tcW w:w="8060" w:type="dxa"/>
            <w:vAlign w:val="bottom"/>
            <w:gridSpan w:val="2"/>
          </w:tcPr>
          <w:p>
            <w:pPr>
              <w:spacing w:after="0"/>
              <w:rPr>
                <w:sz w:val="20"/>
                <w:szCs w:val="20"/>
                <w:color w:val="auto"/>
              </w:rPr>
            </w:pPr>
            <w:r>
              <w:rPr>
                <w:rFonts w:ascii="Arial" w:cs="Arial" w:eastAsia="Arial" w:hAnsi="Arial"/>
                <w:sz w:val="12"/>
                <w:szCs w:val="12"/>
                <w:color w:val="auto"/>
              </w:rPr>
              <w:t>Less: current portion of finance and operating lease obligations</w:t>
            </w:r>
          </w:p>
        </w:tc>
        <w:tc>
          <w:tcPr>
            <w:tcW w:w="38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(1,135)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(6,205)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(7,340)</w:t>
            </w:r>
          </w:p>
        </w:tc>
      </w:tr>
      <w:tr>
        <w:trPr>
          <w:trHeight w:val="20"/>
        </w:trPr>
        <w:tc>
          <w:tcPr>
            <w:tcW w:w="7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69"/>
        </w:trPr>
        <w:tc>
          <w:tcPr>
            <w:tcW w:w="8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Long-term finance and operating lease obligations</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338</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1"/>
              </w:rPr>
              <w:t>16,884</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1"/>
              </w:rPr>
              <w:t>17,222</w:t>
            </w:r>
          </w:p>
        </w:tc>
      </w:tr>
      <w:tr>
        <w:trPr>
          <w:trHeight w:val="32"/>
        </w:trPr>
        <w:tc>
          <w:tcPr>
            <w:tcW w:w="7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72923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-594360</wp:posOffset>
            </wp:positionV>
            <wp:extent cx="72923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-1257935</wp:posOffset>
            </wp:positionV>
            <wp:extent cx="9144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-1257935</wp:posOffset>
            </wp:positionV>
            <wp:extent cx="914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-1257935</wp:posOffset>
            </wp:positionV>
            <wp:extent cx="914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97" w:lineRule="exact"/>
        <w:rPr>
          <w:sz w:val="20"/>
          <w:szCs w:val="20"/>
          <w:color w:val="auto"/>
        </w:rPr>
      </w:pPr>
    </w:p>
    <w:p>
      <w:pPr>
        <w:jc w:val="both"/>
        <w:ind w:right="20" w:firstLine="240"/>
        <w:spacing w:after="0" w:line="261" w:lineRule="auto"/>
        <w:rPr>
          <w:sz w:val="20"/>
          <w:szCs w:val="20"/>
          <w:color w:val="auto"/>
        </w:rPr>
      </w:pPr>
      <w:r>
        <w:rPr>
          <w:rFonts w:ascii="Arial" w:cs="Arial" w:eastAsia="Arial" w:hAnsi="Arial"/>
          <w:sz w:val="12"/>
          <w:szCs w:val="12"/>
          <w:color w:val="auto"/>
        </w:rPr>
        <w:t>The financing component for finance lease obligations represents the interest component of capital leases that will be recognized as interest expense in future periods. The financing component for operating lease obligations represents the effect of discounting the lease payments to their present value.</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0"/>
          <w:szCs w:val="10"/>
          <w:color w:val="auto"/>
        </w:rPr>
        <w:t>Certain subsidiaries of the Company have operating leases for facilities from third party companies that are owned, in whole or part, by employees of the subsidiaries. The terms and rental rates of these leases are at market rental rates.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the minimum lease payments required under these leases totaled $4.5 million, which is to be paid over the next 4.5 years.</w:t>
      </w:r>
    </w:p>
    <w:p>
      <w:pPr>
        <w:spacing w:after="0" w:line="77" w:lineRule="exact"/>
        <w:rPr>
          <w:sz w:val="20"/>
          <w:szCs w:val="20"/>
          <w:color w:val="auto"/>
        </w:rPr>
      </w:pPr>
    </w:p>
    <w:p>
      <w:pPr>
        <w:jc w:val="both"/>
        <w:ind w:firstLine="240"/>
        <w:spacing w:after="0" w:line="261" w:lineRule="auto"/>
        <w:rPr>
          <w:sz w:val="20"/>
          <w:szCs w:val="20"/>
          <w:color w:val="auto"/>
        </w:rPr>
      </w:pPr>
      <w:r>
        <w:rPr>
          <w:rFonts w:ascii="Arial" w:cs="Arial" w:eastAsia="Arial" w:hAnsi="Arial"/>
          <w:sz w:val="12"/>
          <w:szCs w:val="12"/>
          <w:color w:val="auto"/>
        </w:rPr>
        <w:t>The future minimum lease payments required under operating leases as of December 31, 2018 as reported in the Company’s Annual Report on Form 10-K for the year ended December 31, 2018 under previous ASC 840 guidance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Operating</w:t>
            </w:r>
          </w:p>
        </w:tc>
      </w:tr>
      <w:tr>
        <w:trPr>
          <w:trHeight w:val="108"/>
        </w:trPr>
        <w:tc>
          <w:tcPr>
            <w:tcW w:w="10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84"/>
              </w:rPr>
              <w:t>Lease</w:t>
            </w:r>
          </w:p>
        </w:tc>
      </w:tr>
      <w:tr>
        <w:trPr>
          <w:trHeight w:val="132"/>
        </w:trPr>
        <w:tc>
          <w:tcPr>
            <w:tcW w:w="10420" w:type="dxa"/>
            <w:vAlign w:val="bottom"/>
            <w:gridSpan w:val="2"/>
          </w:tcPr>
          <w:p>
            <w:pPr>
              <w:ind w:left="540"/>
              <w:spacing w:after="0"/>
              <w:rPr>
                <w:sz w:val="20"/>
                <w:szCs w:val="20"/>
                <w:color w:val="auto"/>
              </w:rPr>
            </w:pPr>
            <w:r>
              <w:rPr>
                <w:rFonts w:ascii="Arial" w:cs="Arial" w:eastAsia="Arial" w:hAnsi="Arial"/>
                <w:sz w:val="10"/>
                <w:szCs w:val="10"/>
                <w:b w:val="1"/>
                <w:bCs w:val="1"/>
                <w:color w:val="auto"/>
              </w:rPr>
              <w:t>(in thousands)</w:t>
            </w:r>
          </w:p>
        </w:tc>
        <w:tc>
          <w:tcPr>
            <w:tcW w:w="106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87"/>
              </w:rPr>
              <w:t>Obligations</w:t>
            </w:r>
          </w:p>
        </w:tc>
      </w:tr>
      <w:tr>
        <w:trPr>
          <w:trHeight w:val="169"/>
        </w:trPr>
        <w:tc>
          <w:tcPr>
            <w:tcW w:w="102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2019</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$ 4,829</w:t>
            </w:r>
          </w:p>
        </w:tc>
        <w:tc>
          <w:tcPr>
            <w:tcW w:w="340" w:type="dxa"/>
            <w:vAlign w:val="bottom"/>
            <w:tcBorders>
              <w:top w:val="single" w:sz="8" w:color="auto"/>
            </w:tcBorders>
            <w:shd w:val="clear" w:color="auto" w:fill="CCEEFF"/>
          </w:tcPr>
          <w:p>
            <w:pPr>
              <w:spacing w:after="0"/>
              <w:rPr>
                <w:sz w:val="14"/>
                <w:szCs w:val="14"/>
                <w:color w:val="auto"/>
              </w:rPr>
            </w:pPr>
          </w:p>
        </w:tc>
      </w:tr>
      <w:tr>
        <w:trPr>
          <w:trHeight w:val="171"/>
        </w:trPr>
        <w:tc>
          <w:tcPr>
            <w:tcW w:w="10260" w:type="dxa"/>
            <w:vAlign w:val="bottom"/>
          </w:tcPr>
          <w:p>
            <w:pPr>
              <w:ind w:left="540"/>
              <w:spacing w:after="0"/>
              <w:rPr>
                <w:sz w:val="20"/>
                <w:szCs w:val="20"/>
                <w:color w:val="auto"/>
              </w:rPr>
            </w:pPr>
            <w:r>
              <w:rPr>
                <w:rFonts w:ascii="Arial" w:cs="Arial" w:eastAsia="Arial" w:hAnsi="Arial"/>
                <w:sz w:val="12"/>
                <w:szCs w:val="12"/>
                <w:color w:val="auto"/>
              </w:rPr>
              <w:t>2020</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3,754</w:t>
            </w:r>
          </w:p>
        </w:tc>
        <w:tc>
          <w:tcPr>
            <w:tcW w:w="340" w:type="dxa"/>
            <w:vAlign w:val="bottom"/>
          </w:tcPr>
          <w:p>
            <w:pPr>
              <w:spacing w:after="0"/>
              <w:rPr>
                <w:sz w:val="14"/>
                <w:szCs w:val="14"/>
                <w:color w:val="auto"/>
              </w:rPr>
            </w:pPr>
          </w:p>
        </w:tc>
      </w:tr>
      <w:tr>
        <w:trPr>
          <w:trHeight w:val="171"/>
        </w:trPr>
        <w:tc>
          <w:tcPr>
            <w:tcW w:w="102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2021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2,971</w:t>
            </w:r>
          </w:p>
        </w:tc>
        <w:tc>
          <w:tcPr>
            <w:tcW w:w="340" w:type="dxa"/>
            <w:vAlign w:val="bottom"/>
            <w:shd w:val="clear" w:color="auto" w:fill="CCEEFF"/>
          </w:tcPr>
          <w:p>
            <w:pPr>
              <w:spacing w:after="0"/>
              <w:rPr>
                <w:sz w:val="14"/>
                <w:szCs w:val="14"/>
                <w:color w:val="auto"/>
              </w:rPr>
            </w:pPr>
          </w:p>
        </w:tc>
      </w:tr>
      <w:tr>
        <w:trPr>
          <w:trHeight w:val="171"/>
        </w:trPr>
        <w:tc>
          <w:tcPr>
            <w:tcW w:w="10260" w:type="dxa"/>
            <w:vAlign w:val="bottom"/>
          </w:tcPr>
          <w:p>
            <w:pPr>
              <w:ind w:left="540"/>
              <w:spacing w:after="0"/>
              <w:rPr>
                <w:sz w:val="20"/>
                <w:szCs w:val="20"/>
                <w:color w:val="auto"/>
              </w:rPr>
            </w:pPr>
            <w:r>
              <w:rPr>
                <w:rFonts w:ascii="Arial" w:cs="Arial" w:eastAsia="Arial" w:hAnsi="Arial"/>
                <w:sz w:val="12"/>
                <w:szCs w:val="12"/>
                <w:color w:val="auto"/>
              </w:rPr>
              <w:t>2022</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2,379</w:t>
            </w:r>
          </w:p>
        </w:tc>
        <w:tc>
          <w:tcPr>
            <w:tcW w:w="340" w:type="dxa"/>
            <w:vAlign w:val="bottom"/>
          </w:tcPr>
          <w:p>
            <w:pPr>
              <w:spacing w:after="0"/>
              <w:rPr>
                <w:sz w:val="14"/>
                <w:szCs w:val="14"/>
                <w:color w:val="auto"/>
              </w:rPr>
            </w:pPr>
          </w:p>
        </w:tc>
      </w:tr>
      <w:tr>
        <w:trPr>
          <w:trHeight w:val="171"/>
        </w:trPr>
        <w:tc>
          <w:tcPr>
            <w:tcW w:w="102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2023</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1,335</w:t>
            </w:r>
          </w:p>
        </w:tc>
        <w:tc>
          <w:tcPr>
            <w:tcW w:w="340" w:type="dxa"/>
            <w:vAlign w:val="bottom"/>
            <w:shd w:val="clear" w:color="auto" w:fill="CCEEFF"/>
          </w:tcPr>
          <w:p>
            <w:pPr>
              <w:spacing w:after="0"/>
              <w:rPr>
                <w:sz w:val="14"/>
                <w:szCs w:val="14"/>
                <w:color w:val="auto"/>
              </w:rPr>
            </w:pPr>
          </w:p>
        </w:tc>
      </w:tr>
      <w:tr>
        <w:trPr>
          <w:trHeight w:val="176"/>
        </w:trPr>
        <w:tc>
          <w:tcPr>
            <w:tcW w:w="10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2"/>
                <w:szCs w:val="12"/>
                <w:color w:val="auto"/>
              </w:rPr>
              <w:t>Thereafter</w:t>
            </w:r>
          </w:p>
        </w:tc>
        <w:tc>
          <w:tcPr>
            <w:tcW w:w="3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2,127</w:t>
            </w:r>
          </w:p>
        </w:tc>
        <w:tc>
          <w:tcPr>
            <w:tcW w:w="340" w:type="dxa"/>
            <w:vAlign w:val="bottom"/>
            <w:tcBorders>
              <w:bottom w:val="single" w:sz="8" w:color="CCEEFF"/>
            </w:tcBorders>
          </w:tcPr>
          <w:p>
            <w:pPr>
              <w:spacing w:after="0"/>
              <w:rPr>
                <w:sz w:val="15"/>
                <w:szCs w:val="15"/>
                <w:color w:val="auto"/>
              </w:rPr>
            </w:pPr>
          </w:p>
        </w:tc>
      </w:tr>
      <w:tr>
        <w:trPr>
          <w:trHeight w:val="181"/>
        </w:trPr>
        <w:tc>
          <w:tcPr>
            <w:tcW w:w="104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2"/>
                <w:szCs w:val="12"/>
                <w:color w:val="auto"/>
              </w:rPr>
              <w:t>Total minimum lease payments</w:t>
            </w:r>
          </w:p>
        </w:tc>
        <w:tc>
          <w:tcPr>
            <w:tcW w:w="3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2"/>
              </w:rPr>
              <w:t>$17,395</w:t>
            </w:r>
          </w:p>
        </w:tc>
        <w:tc>
          <w:tcPr>
            <w:tcW w:w="34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-800100</wp:posOffset>
            </wp:positionV>
            <wp:extent cx="914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-800100</wp:posOffset>
            </wp:positionV>
            <wp:extent cx="571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Leases</w:t>
      </w:r>
    </w:p>
    <w:p>
      <w:pPr>
        <w:spacing w:after="0" w:line="96" w:lineRule="exact"/>
        <w:rPr>
          <w:sz w:val="20"/>
          <w:szCs w:val="20"/>
          <w:color w:val="auto"/>
        </w:rPr>
      </w:pPr>
    </w:p>
    <w:p>
      <w:pPr>
        <w:ind w:right="20" w:firstLine="240"/>
        <w:spacing w:after="0" w:line="273" w:lineRule="auto"/>
        <w:rPr>
          <w:sz w:val="20"/>
          <w:szCs w:val="20"/>
          <w:color w:val="auto"/>
        </w:rPr>
      </w:pPr>
      <w:r>
        <w:rPr>
          <w:rFonts w:ascii="Arial" w:cs="Arial" w:eastAsia="Arial" w:hAnsi="Arial"/>
          <w:sz w:val="11"/>
          <w:szCs w:val="11"/>
          <w:color w:val="auto"/>
        </w:rPr>
        <w:t xml:space="preserve">Prior to the adoption of ASU No. 2016-02, </w:t>
      </w:r>
      <w:r>
        <w:rPr>
          <w:rFonts w:ascii="Arial" w:cs="Arial" w:eastAsia="Arial" w:hAnsi="Arial"/>
          <w:sz w:val="11"/>
          <w:szCs w:val="11"/>
          <w:i w:val="1"/>
          <w:iCs w:val="1"/>
          <w:color w:val="auto"/>
        </w:rPr>
        <w:t>Leases (Topic 842)</w:t>
      </w:r>
      <w:r>
        <w:rPr>
          <w:rFonts w:ascii="Arial" w:cs="Arial" w:eastAsia="Arial" w:hAnsi="Arial"/>
          <w:sz w:val="11"/>
          <w:szCs w:val="11"/>
          <w:color w:val="auto"/>
        </w:rPr>
        <w:t>, certain of the Company’s leased vehicles and equipment leases met the characteristics of capital leases. The economic substance of these leases was a financing transaction for acquisition of the vehicles and equipment and, accordingly, the leases were included in the balance sheets in property and equipment, net of accumulated depreciation, with a corresponding amount recorded in current portion of lease obligations or lease obligations, net of current maturities, as appropriate. The capital lease assets were amortized on a straight-line basis over the life of the lease or, if shorter, the life of the leased asset, and were included in depreciation expense in the statements of operations. The interest associated with capital leases was included in interest expense in the statements of operations.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9" w:name="page80"/>
    <w:bookmarkEnd w:id="79"/>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December 31, 2018, the Company had $2.7 million of capital lease obligations outstanding, $1.1 million of which was classified as a current liability.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December 31, 2018, $2.6 million of leased assets were capitalized in property and equipment, net of accumulated depreciation.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Fair Value Measurements</w:t>
      </w:r>
    </w:p>
    <w:p>
      <w:pPr>
        <w:spacing w:after="0" w:line="109" w:lineRule="exact"/>
        <w:rPr>
          <w:sz w:val="20"/>
          <w:szCs w:val="20"/>
          <w:color w:val="auto"/>
        </w:rPr>
      </w:pPr>
    </w:p>
    <w:p>
      <w:pPr>
        <w:ind w:right="20" w:firstLine="240"/>
        <w:spacing w:after="0" w:line="263" w:lineRule="auto"/>
        <w:rPr>
          <w:sz w:val="20"/>
          <w:szCs w:val="20"/>
          <w:color w:val="auto"/>
        </w:rPr>
      </w:pPr>
      <w:r>
        <w:rPr>
          <w:rFonts w:ascii="Arial" w:cs="Arial" w:eastAsia="Arial" w:hAnsi="Arial"/>
          <w:sz w:val="12"/>
          <w:szCs w:val="12"/>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78" w:lineRule="exact"/>
        <w:rPr>
          <w:sz w:val="20"/>
          <w:szCs w:val="20"/>
          <w:color w:val="auto"/>
        </w:rPr>
      </w:pPr>
    </w:p>
    <w:p>
      <w:pPr>
        <w:ind w:right="60" w:firstLine="240"/>
        <w:spacing w:after="0" w:line="259" w:lineRule="auto"/>
        <w:rPr>
          <w:sz w:val="20"/>
          <w:szCs w:val="20"/>
          <w:color w:val="auto"/>
        </w:rPr>
      </w:pPr>
      <w:r>
        <w:rPr>
          <w:rFonts w:ascii="Arial" w:cs="Arial" w:eastAsia="Arial" w:hAnsi="Arial"/>
          <w:sz w:val="12"/>
          <w:szCs w:val="12"/>
          <w:color w:val="auto"/>
        </w:rPr>
        <w:t>As of December 31, 2019 and 2018, the Company determined that the carrying value of cash and cash equivalents approximated fair value based on Level 1 inputs. As of December 31, 2019 and 2018, the fair value of the Company’s long-term debt and capital lease obligations, were based on Level 2 inputs. The Company’s long-term debt was based on variable and fixed interest rates at December 31, 2019 and 2018. Long-term debt with variable interest rates was based on rates for new issues with similar remaining maturities and approximated carrying value. In addition, based on borrowing rates currently available to the Company for borrowings with similar terms, the carrying values of the Company’s capital lease obligations and long term debt with fixed interest rates also approximated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Accounts Receivable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Accounts receivable consisted of the following at December 31:</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124"/>
        </w:trPr>
        <w:tc>
          <w:tcPr>
            <w:tcW w:w="486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4960" w:type="dxa"/>
            <w:vAlign w:val="bottom"/>
          </w:tcPr>
          <w:p>
            <w:pPr>
              <w:jc w:val="right"/>
              <w:ind w:right="452"/>
              <w:spacing w:after="0"/>
              <w:rPr>
                <w:sz w:val="20"/>
                <w:szCs w:val="20"/>
                <w:color w:val="auto"/>
              </w:rPr>
            </w:pPr>
            <w:r>
              <w:rPr>
                <w:rFonts w:ascii="Arial" w:cs="Arial" w:eastAsia="Arial" w:hAnsi="Arial"/>
                <w:sz w:val="10"/>
                <w:szCs w:val="10"/>
                <w:b w:val="1"/>
                <w:bCs w:val="1"/>
                <w:color w:val="auto"/>
              </w:rPr>
              <w:t>2019</w:t>
            </w: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292340" cy="1143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p>
      <w:pPr>
        <w:spacing w:after="0" w:line="4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Contract receivables</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92340" cy="1143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0"/>
          <w:szCs w:val="10"/>
          <w:color w:val="auto"/>
        </w:rPr>
        <w:t>Less: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292340" cy="1257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340"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color w:val="auto"/>
        </w:rPr>
        <w:t>$385,744</w:t>
      </w:r>
      <w:r>
        <w:rPr>
          <w:sz w:val="20"/>
          <w:szCs w:val="20"/>
          <w:color w:val="auto"/>
        </w:rPr>
        <w:tab/>
      </w:r>
      <w:r>
        <w:rPr>
          <w:rFonts w:ascii="Arial" w:cs="Arial" w:eastAsia="Arial" w:hAnsi="Arial"/>
          <w:sz w:val="11"/>
          <w:szCs w:val="11"/>
          <w:color w:val="auto"/>
        </w:rPr>
        <w:t>$282,283</w:t>
      </w:r>
    </w:p>
    <w:p>
      <w:pPr>
        <w:spacing w:after="0" w:line="3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2"/>
          <w:szCs w:val="12"/>
          <w:color w:val="auto"/>
        </w:rPr>
        <w:t>6,099</w:t>
      </w:r>
      <w:r>
        <w:rPr>
          <w:sz w:val="20"/>
          <w:szCs w:val="20"/>
          <w:color w:val="auto"/>
        </w:rPr>
        <w:tab/>
      </w:r>
      <w:r>
        <w:rPr>
          <w:rFonts w:ascii="Arial" w:cs="Arial" w:eastAsia="Arial" w:hAnsi="Arial"/>
          <w:sz w:val="12"/>
          <w:szCs w:val="12"/>
          <w:color w:val="auto"/>
        </w:rPr>
        <w:t>7,475</w:t>
      </w:r>
    </w:p>
    <w:p>
      <w:pPr>
        <w:spacing w:after="0" w:line="5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2"/>
          <w:szCs w:val="12"/>
          <w:color w:val="auto"/>
        </w:rPr>
        <w:t>391,843</w:t>
      </w:r>
      <w:r>
        <w:rPr>
          <w:sz w:val="20"/>
          <w:szCs w:val="20"/>
          <w:color w:val="auto"/>
        </w:rPr>
        <w:tab/>
      </w:r>
      <w:r>
        <w:rPr>
          <w:rFonts w:ascii="Arial" w:cs="Arial" w:eastAsia="Arial" w:hAnsi="Arial"/>
          <w:sz w:val="12"/>
          <w:szCs w:val="12"/>
          <w:color w:val="auto"/>
        </w:rPr>
        <w:t>289,758</w:t>
      </w:r>
    </w:p>
    <w:p>
      <w:pPr>
        <w:spacing w:after="0" w:line="33"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1"/>
          <w:szCs w:val="11"/>
          <w:color w:val="auto"/>
        </w:rPr>
        <w:t>(3,364)</w:t>
      </w:r>
      <w:r>
        <w:rPr>
          <w:sz w:val="20"/>
          <w:szCs w:val="20"/>
          <w:color w:val="auto"/>
        </w:rPr>
        <w:tab/>
      </w:r>
      <w:r>
        <w:rPr>
          <w:rFonts w:ascii="Arial" w:cs="Arial" w:eastAsia="Arial" w:hAnsi="Arial"/>
          <w:sz w:val="11"/>
          <w:szCs w:val="11"/>
          <w:color w:val="auto"/>
        </w:rPr>
        <w:t>(1,331)</w:t>
      </w:r>
    </w:p>
    <w:p>
      <w:pPr>
        <w:spacing w:after="0" w:line="63"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color w:val="auto"/>
        </w:rPr>
        <w:t>$388,479</w:t>
      </w:r>
      <w:r>
        <w:rPr>
          <w:sz w:val="20"/>
          <w:szCs w:val="20"/>
          <w:color w:val="auto"/>
        </w:rPr>
        <w:tab/>
      </w:r>
      <w:r>
        <w:rPr>
          <w:rFonts w:ascii="Arial" w:cs="Arial" w:eastAsia="Arial" w:hAnsi="Arial"/>
          <w:sz w:val="11"/>
          <w:szCs w:val="11"/>
          <w:color w:val="auto"/>
        </w:rPr>
        <w:t>$288,427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26670</wp:posOffset>
            </wp:positionV>
            <wp:extent cx="29146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26670</wp:posOffset>
            </wp:positionV>
            <wp:extent cx="29146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91465" cy="571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8820" w:space="720"/>
            <w:col w:w="1940"/>
          </w:cols>
          <w:pgMar w:left="220" w:top="134" w:right="199" w:bottom="1440" w:gutter="0" w:footer="0" w:header="0"/>
          <w:type w:val="continuous"/>
        </w:sectPr>
      </w:pPr>
    </w:p>
    <w:p>
      <w:pPr>
        <w:ind w:left="240"/>
        <w:spacing w:after="0"/>
        <w:rPr>
          <w:sz w:val="20"/>
          <w:szCs w:val="20"/>
          <w:color w:val="auto"/>
        </w:rPr>
      </w:pPr>
      <w:r>
        <w:rPr>
          <w:rFonts w:ascii="Arial" w:cs="Arial" w:eastAsia="Arial" w:hAnsi="Arial"/>
          <w:sz w:val="12"/>
          <w:szCs w:val="12"/>
          <w:color w:val="auto"/>
        </w:rPr>
        <w:t>The roll-forward of activity in the allowance for doubtful accounts was as follows for the years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72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80"/>
              </w:rPr>
              <w:t>2018</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98"/>
              </w:rPr>
              <w:t>2017</w:t>
            </w:r>
          </w:p>
        </w:tc>
        <w:tc>
          <w:tcPr>
            <w:tcW w:w="200" w:type="dxa"/>
            <w:vAlign w:val="bottom"/>
            <w:tcBorders>
              <w:bottom w:val="single" w:sz="8" w:color="auto"/>
            </w:tcBorders>
          </w:tcPr>
          <w:p>
            <w:pPr>
              <w:spacing w:after="0"/>
              <w:rPr>
                <w:sz w:val="11"/>
                <w:szCs w:val="11"/>
                <w:color w:val="auto"/>
              </w:rPr>
            </w:pPr>
          </w:p>
        </w:tc>
      </w:tr>
      <w:tr>
        <w:trPr>
          <w:trHeight w:val="169"/>
        </w:trPr>
        <w:tc>
          <w:tcPr>
            <w:tcW w:w="912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Balance at beginning of period</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$ 1,331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$ 432</w:t>
            </w:r>
          </w:p>
        </w:tc>
      </w:tr>
      <w:tr>
        <w:trPr>
          <w:trHeight w:val="171"/>
        </w:trPr>
        <w:tc>
          <w:tcPr>
            <w:tcW w:w="9120" w:type="dxa"/>
            <w:vAlign w:val="bottom"/>
            <w:gridSpan w:val="3"/>
          </w:tcPr>
          <w:p>
            <w:pPr>
              <w:ind w:left="680"/>
              <w:spacing w:after="0"/>
              <w:rPr>
                <w:sz w:val="20"/>
                <w:szCs w:val="20"/>
                <w:color w:val="auto"/>
              </w:rPr>
            </w:pPr>
            <w:r>
              <w:rPr>
                <w:rFonts w:ascii="Arial" w:cs="Arial" w:eastAsia="Arial" w:hAnsi="Arial"/>
                <w:sz w:val="12"/>
                <w:szCs w:val="12"/>
                <w:color w:val="auto"/>
              </w:rPr>
              <w:t>Less: reduction in (provision for) allowances</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(2,532)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(860)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(263)</w:t>
            </w:r>
          </w:p>
        </w:tc>
      </w:tr>
      <w:tr>
        <w:trPr>
          <w:trHeight w:val="171"/>
        </w:trPr>
        <w:tc>
          <w:tcPr>
            <w:tcW w:w="912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Less: write offs, net of recoveries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92</w:t>
            </w:r>
          </w:p>
        </w:tc>
      </w:tr>
      <w:tr>
        <w:trPr>
          <w:trHeight w:val="176"/>
        </w:trPr>
        <w:tc>
          <w:tcPr>
            <w:tcW w:w="9120" w:type="dxa"/>
            <w:vAlign w:val="bottom"/>
            <w:gridSpan w:val="3"/>
          </w:tcPr>
          <w:p>
            <w:pPr>
              <w:ind w:left="680"/>
              <w:spacing w:after="0"/>
              <w:rPr>
                <w:sz w:val="20"/>
                <w:szCs w:val="20"/>
                <w:color w:val="auto"/>
              </w:rPr>
            </w:pPr>
            <w:r>
              <w:rPr>
                <w:rFonts w:ascii="Arial" w:cs="Arial" w:eastAsia="Arial" w:hAnsi="Arial"/>
                <w:sz w:val="12"/>
                <w:szCs w:val="12"/>
                <w:color w:val="auto"/>
              </w:rPr>
              <w:t>Change in foreign currency translation</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11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(2)</w:t>
            </w:r>
          </w:p>
        </w:tc>
      </w:tr>
      <w:tr>
        <w:trPr>
          <w:trHeight w:val="181"/>
        </w:trPr>
        <w:tc>
          <w:tcPr>
            <w:tcW w:w="9120" w:type="dxa"/>
            <w:vAlign w:val="bottom"/>
            <w:tcBorders>
              <w:top w:val="single" w:sz="8" w:color="CCEEFF"/>
              <w:bottom w:val="single" w:sz="8" w:color="CCEEFF"/>
            </w:tcBorders>
            <w:gridSpan w:val="3"/>
            <w:shd w:val="clear" w:color="auto" w:fill="CCEEFF"/>
          </w:tcPr>
          <w:p>
            <w:pPr>
              <w:ind w:left="560"/>
              <w:spacing w:after="0"/>
              <w:rPr>
                <w:sz w:val="20"/>
                <w:szCs w:val="20"/>
                <w:color w:val="auto"/>
              </w:rPr>
            </w:pPr>
            <w:r>
              <w:rPr>
                <w:rFonts w:ascii="Arial" w:cs="Arial" w:eastAsia="Arial" w:hAnsi="Arial"/>
                <w:sz w:val="12"/>
                <w:szCs w:val="12"/>
                <w:color w:val="auto"/>
              </w:rPr>
              <w:t>Balance at end of period</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$ 3,364</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1,331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$ 605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-582930</wp:posOffset>
            </wp:positionV>
            <wp:extent cx="9144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6183630</wp:posOffset>
            </wp:positionH>
            <wp:positionV relativeFrom="paragraph">
              <wp:posOffset>-582930</wp:posOffset>
            </wp:positionV>
            <wp:extent cx="914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-582930</wp:posOffset>
            </wp:positionV>
            <wp:extent cx="9144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-582930</wp:posOffset>
            </wp:positionV>
            <wp:extent cx="571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type w:val="continuous"/>
        </w:sectPr>
      </w:pPr>
    </w:p>
    <w:bookmarkStart w:id="80" w:name="page81"/>
    <w:bookmarkEnd w:id="80"/>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Property and Equipment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Property and equipment consisted of the following at December 31: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87"/>
              </w:rPr>
              <w:t>Estimated</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08"/>
        </w:trPr>
        <w:tc>
          <w:tcPr>
            <w:tcW w:w="7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3"/>
          </w:tcPr>
          <w:p>
            <w:pPr>
              <w:jc w:val="center"/>
              <w:ind w:right="460"/>
              <w:spacing w:after="0" w:line="108" w:lineRule="exact"/>
              <w:rPr>
                <w:sz w:val="20"/>
                <w:szCs w:val="20"/>
                <w:color w:val="auto"/>
              </w:rPr>
            </w:pPr>
            <w:r>
              <w:rPr>
                <w:rFonts w:ascii="Arial" w:cs="Arial" w:eastAsia="Arial" w:hAnsi="Arial"/>
                <w:sz w:val="10"/>
                <w:szCs w:val="10"/>
                <w:b w:val="1"/>
                <w:bCs w:val="1"/>
                <w:color w:val="auto"/>
                <w:w w:val="89"/>
              </w:rPr>
              <w:t>Useful Life</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32"/>
        </w:trPr>
        <w:tc>
          <w:tcPr>
            <w:tcW w:w="778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in Years</w:t>
            </w:r>
          </w:p>
        </w:tc>
        <w:tc>
          <w:tcPr>
            <w:tcW w:w="1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2018</w:t>
            </w:r>
          </w:p>
        </w:tc>
        <w:tc>
          <w:tcPr>
            <w:tcW w:w="320" w:type="dxa"/>
            <w:vAlign w:val="bottom"/>
            <w:tcBorders>
              <w:bottom w:val="single" w:sz="8" w:color="auto"/>
            </w:tcBorders>
          </w:tcPr>
          <w:p>
            <w:pPr>
              <w:spacing w:after="0"/>
              <w:rPr>
                <w:sz w:val="11"/>
                <w:szCs w:val="11"/>
                <w:color w:val="auto"/>
              </w:rPr>
            </w:pPr>
          </w:p>
        </w:tc>
      </w:tr>
      <w:tr>
        <w:trPr>
          <w:trHeight w:val="169"/>
        </w:trPr>
        <w:tc>
          <w:tcPr>
            <w:tcW w:w="79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Land</w:t>
            </w:r>
          </w:p>
        </w:tc>
        <w:tc>
          <w:tcPr>
            <w:tcW w:w="1480" w:type="dxa"/>
            <w:vAlign w:val="bottom"/>
            <w:gridSpan w:val="3"/>
            <w:shd w:val="clear" w:color="auto" w:fill="CCEEFF"/>
          </w:tcPr>
          <w:p>
            <w:pPr>
              <w:jc w:val="center"/>
              <w:ind w:right="440"/>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9,301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8,475</w:t>
            </w:r>
          </w:p>
        </w:tc>
      </w:tr>
      <w:tr>
        <w:trPr>
          <w:trHeight w:val="171"/>
        </w:trPr>
        <w:tc>
          <w:tcPr>
            <w:tcW w:w="7920" w:type="dxa"/>
            <w:vAlign w:val="bottom"/>
            <w:gridSpan w:val="2"/>
          </w:tcPr>
          <w:p>
            <w:pPr>
              <w:ind w:left="560"/>
              <w:spacing w:after="0"/>
              <w:rPr>
                <w:sz w:val="20"/>
                <w:szCs w:val="20"/>
                <w:color w:val="auto"/>
              </w:rPr>
            </w:pPr>
            <w:r>
              <w:rPr>
                <w:rFonts w:ascii="Arial" w:cs="Arial" w:eastAsia="Arial" w:hAnsi="Arial"/>
                <w:sz w:val="12"/>
                <w:szCs w:val="12"/>
                <w:color w:val="auto"/>
              </w:rPr>
              <w:t>Buildings and improvements</w:t>
            </w:r>
          </w:p>
        </w:tc>
        <w:tc>
          <w:tcPr>
            <w:tcW w:w="1480" w:type="dxa"/>
            <w:vAlign w:val="bottom"/>
            <w:gridSpan w:val="3"/>
          </w:tcPr>
          <w:p>
            <w:pPr>
              <w:jc w:val="center"/>
              <w:ind w:right="460"/>
              <w:spacing w:after="0"/>
              <w:rPr>
                <w:sz w:val="20"/>
                <w:szCs w:val="20"/>
                <w:color w:val="auto"/>
              </w:rPr>
            </w:pPr>
            <w:r>
              <w:rPr>
                <w:rFonts w:ascii="Arial" w:cs="Arial" w:eastAsia="Arial" w:hAnsi="Arial"/>
                <w:sz w:val="12"/>
                <w:szCs w:val="12"/>
                <w:color w:val="auto"/>
                <w:w w:val="92"/>
              </w:rPr>
              <w:t>3 to 39</w:t>
            </w:r>
          </w:p>
        </w:tc>
        <w:tc>
          <w:tcPr>
            <w:tcW w:w="6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29,747</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23,228</w:t>
            </w:r>
          </w:p>
        </w:tc>
      </w:tr>
      <w:tr>
        <w:trPr>
          <w:trHeight w:val="171"/>
        </w:trPr>
        <w:tc>
          <w:tcPr>
            <w:tcW w:w="79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Construction equipment</w:t>
            </w:r>
          </w:p>
        </w:tc>
        <w:tc>
          <w:tcPr>
            <w:tcW w:w="1480" w:type="dxa"/>
            <w:vAlign w:val="bottom"/>
            <w:gridSpan w:val="3"/>
            <w:shd w:val="clear" w:color="auto" w:fill="CCEEFF"/>
          </w:tcPr>
          <w:p>
            <w:pPr>
              <w:jc w:val="center"/>
              <w:ind w:right="460"/>
              <w:spacing w:after="0"/>
              <w:rPr>
                <w:sz w:val="20"/>
                <w:szCs w:val="20"/>
                <w:color w:val="auto"/>
              </w:rPr>
            </w:pPr>
            <w:r>
              <w:rPr>
                <w:rFonts w:ascii="Arial" w:cs="Arial" w:eastAsia="Arial" w:hAnsi="Arial"/>
                <w:sz w:val="12"/>
                <w:szCs w:val="12"/>
                <w:color w:val="auto"/>
                <w:w w:val="92"/>
              </w:rPr>
              <w:t>3 to 12</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6"/>
              </w:rPr>
              <w:t>403,217</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6"/>
              </w:rPr>
              <w:t>371,941</w:t>
            </w:r>
          </w:p>
        </w:tc>
      </w:tr>
      <w:tr>
        <w:trPr>
          <w:trHeight w:val="176"/>
        </w:trPr>
        <w:tc>
          <w:tcPr>
            <w:tcW w:w="7920" w:type="dxa"/>
            <w:vAlign w:val="bottom"/>
            <w:tcBorders>
              <w:bottom w:val="single" w:sz="8" w:color="CCEEFF"/>
            </w:tcBorders>
            <w:gridSpan w:val="2"/>
          </w:tcPr>
          <w:p>
            <w:pPr>
              <w:ind w:left="560"/>
              <w:spacing w:after="0"/>
              <w:rPr>
                <w:sz w:val="20"/>
                <w:szCs w:val="20"/>
                <w:color w:val="auto"/>
              </w:rPr>
            </w:pPr>
            <w:r>
              <w:rPr>
                <w:rFonts w:ascii="Arial" w:cs="Arial" w:eastAsia="Arial" w:hAnsi="Arial"/>
                <w:sz w:val="12"/>
                <w:szCs w:val="12"/>
                <w:color w:val="auto"/>
              </w:rPr>
              <w:t>Office equipment</w:t>
            </w:r>
          </w:p>
        </w:tc>
        <w:tc>
          <w:tcPr>
            <w:tcW w:w="1480" w:type="dxa"/>
            <w:vAlign w:val="bottom"/>
            <w:tcBorders>
              <w:bottom w:val="single" w:sz="8" w:color="CCEEFF"/>
            </w:tcBorders>
            <w:gridSpan w:val="3"/>
          </w:tcPr>
          <w:p>
            <w:pPr>
              <w:jc w:val="center"/>
              <w:ind w:right="460"/>
              <w:spacing w:after="0"/>
              <w:rPr>
                <w:sz w:val="20"/>
                <w:szCs w:val="20"/>
                <w:color w:val="auto"/>
              </w:rPr>
            </w:pPr>
            <w:r>
              <w:rPr>
                <w:rFonts w:ascii="Arial" w:cs="Arial" w:eastAsia="Arial" w:hAnsi="Arial"/>
                <w:sz w:val="12"/>
                <w:szCs w:val="12"/>
                <w:color w:val="auto"/>
                <w:w w:val="92"/>
              </w:rPr>
              <w:t>3 to 10</w:t>
            </w: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15,944</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11,743</w:t>
            </w:r>
          </w:p>
        </w:tc>
        <w:tc>
          <w:tcPr>
            <w:tcW w:w="320" w:type="dxa"/>
            <w:vAlign w:val="bottom"/>
            <w:tcBorders>
              <w:bottom w:val="single" w:sz="8" w:color="CCEEFF"/>
            </w:tcBorders>
          </w:tcPr>
          <w:p>
            <w:pPr>
              <w:spacing w:after="0"/>
              <w:rPr>
                <w:sz w:val="15"/>
                <w:szCs w:val="15"/>
                <w:color w:val="auto"/>
              </w:rPr>
            </w:pPr>
          </w:p>
        </w:tc>
      </w:tr>
      <w:tr>
        <w:trPr>
          <w:trHeight w:val="165"/>
        </w:trPr>
        <w:tc>
          <w:tcPr>
            <w:tcW w:w="7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6"/>
              </w:rPr>
              <w:t>458,209</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6"/>
              </w:rPr>
              <w:t>415,387</w:t>
            </w:r>
          </w:p>
        </w:tc>
      </w:tr>
      <w:tr>
        <w:trPr>
          <w:trHeight w:val="176"/>
        </w:trPr>
        <w:tc>
          <w:tcPr>
            <w:tcW w:w="7920" w:type="dxa"/>
            <w:vAlign w:val="bottom"/>
            <w:gridSpan w:val="2"/>
          </w:tcPr>
          <w:p>
            <w:pPr>
              <w:ind w:left="560"/>
              <w:spacing w:after="0"/>
              <w:rPr>
                <w:sz w:val="20"/>
                <w:szCs w:val="20"/>
                <w:color w:val="auto"/>
              </w:rPr>
            </w:pPr>
            <w:r>
              <w:rPr>
                <w:rFonts w:ascii="Arial" w:cs="Arial" w:eastAsia="Arial" w:hAnsi="Arial"/>
                <w:sz w:val="12"/>
                <w:szCs w:val="12"/>
                <w:color w:val="auto"/>
              </w:rPr>
              <w:t>Less: accumulated depreciation and amortization</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w w:val="89"/>
              </w:rPr>
              <w:t>(272,865)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(253,495)</w:t>
            </w:r>
          </w:p>
        </w:tc>
      </w:tr>
      <w:tr>
        <w:trPr>
          <w:trHeight w:val="181"/>
        </w:trPr>
        <w:tc>
          <w:tcPr>
            <w:tcW w:w="77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185,344</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161,892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72923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-811530</wp:posOffset>
            </wp:positionV>
            <wp:extent cx="914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-811530</wp:posOffset>
            </wp:positionV>
            <wp:extent cx="914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-811530</wp:posOffset>
            </wp:positionV>
            <wp:extent cx="914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-811530</wp:posOffset>
            </wp:positionV>
            <wp:extent cx="571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Construction equipment includes assets under finance leases — see additional information provided in Note 4 — Lease Obligations to the Financial Statements.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Depreciation and amortization expense of property and equipment for the years ended December 31, 2019, 2018 and 2017 was $40.7 million, $38.1 million and $38.1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Goodwill and Intangible Assets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Goodwill and intangible assets consisted of the following at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2019</w:t>
            </w: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2018</w:t>
            </w: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82"/>
              </w:rPr>
              <w:t>Gross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jc w:val="center"/>
              <w:ind w:right="700"/>
              <w:spacing w:after="0"/>
              <w:rPr>
                <w:sz w:val="20"/>
                <w:szCs w:val="20"/>
                <w:color w:val="auto"/>
              </w:rPr>
            </w:pPr>
            <w:r>
              <w:rPr>
                <w:rFonts w:ascii="Arial" w:cs="Arial" w:eastAsia="Arial" w:hAnsi="Arial"/>
                <w:sz w:val="10"/>
                <w:szCs w:val="10"/>
                <w:b w:val="1"/>
                <w:bCs w:val="1"/>
                <w:color w:val="auto"/>
                <w:w w:val="86"/>
              </w:rPr>
              <w:t>Net</w:t>
            </w:r>
          </w:p>
        </w:tc>
        <w:tc>
          <w:tcPr>
            <w:tcW w:w="60" w:type="dxa"/>
            <w:vAlign w:val="bottom"/>
          </w:tcPr>
          <w:p>
            <w:pPr>
              <w:spacing w:after="0"/>
              <w:rPr>
                <w:sz w:val="10"/>
                <w:szCs w:val="10"/>
                <w:color w:val="auto"/>
              </w:rPr>
            </w:pPr>
          </w:p>
        </w:tc>
        <w:tc>
          <w:tcPr>
            <w:tcW w:w="74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82"/>
              </w:rPr>
              <w:t>Gross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99"/>
              </w:rPr>
              <w:t>Net</w:t>
            </w: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gridSpan w:val="4"/>
          </w:tcPr>
          <w:p>
            <w:pPr>
              <w:spacing w:after="0" w:line="108" w:lineRule="exact"/>
              <w:rPr>
                <w:sz w:val="20"/>
                <w:szCs w:val="20"/>
                <w:color w:val="auto"/>
              </w:rPr>
            </w:pPr>
            <w:r>
              <w:rPr>
                <w:rFonts w:ascii="Arial" w:cs="Arial" w:eastAsia="Arial" w:hAnsi="Arial"/>
                <w:sz w:val="10"/>
                <w:szCs w:val="10"/>
                <w:b w:val="1"/>
                <w:bCs w:val="1"/>
                <w:color w:val="auto"/>
              </w:rPr>
              <w:t>Carrying</w:t>
            </w:r>
          </w:p>
        </w:tc>
        <w:tc>
          <w:tcPr>
            <w:tcW w:w="1600" w:type="dxa"/>
            <w:vAlign w:val="bottom"/>
            <w:gridSpan w:val="6"/>
          </w:tcPr>
          <w:p>
            <w:pPr>
              <w:jc w:val="center"/>
              <w:ind w:right="400"/>
              <w:spacing w:after="0" w:line="108" w:lineRule="exact"/>
              <w:rPr>
                <w:sz w:val="20"/>
                <w:szCs w:val="20"/>
                <w:color w:val="auto"/>
              </w:rPr>
            </w:pPr>
            <w:r>
              <w:rPr>
                <w:rFonts w:ascii="Arial" w:cs="Arial" w:eastAsia="Arial" w:hAnsi="Arial"/>
                <w:sz w:val="10"/>
                <w:szCs w:val="10"/>
                <w:b w:val="1"/>
                <w:bCs w:val="1"/>
                <w:color w:val="auto"/>
                <w:w w:val="89"/>
              </w:rPr>
              <w:t>Accumulated</w:t>
            </w:r>
          </w:p>
        </w:tc>
        <w:tc>
          <w:tcPr>
            <w:tcW w:w="1060" w:type="dxa"/>
            <w:vAlign w:val="bottom"/>
            <w:gridSpan w:val="5"/>
          </w:tcPr>
          <w:p>
            <w:pPr>
              <w:ind w:left="20"/>
              <w:spacing w:after="0" w:line="108" w:lineRule="exact"/>
              <w:rPr>
                <w:sz w:val="20"/>
                <w:szCs w:val="20"/>
                <w:color w:val="auto"/>
              </w:rPr>
            </w:pPr>
            <w:r>
              <w:rPr>
                <w:rFonts w:ascii="Arial" w:cs="Arial" w:eastAsia="Arial" w:hAnsi="Arial"/>
                <w:sz w:val="10"/>
                <w:szCs w:val="10"/>
                <w:b w:val="1"/>
                <w:bCs w:val="1"/>
                <w:color w:val="auto"/>
              </w:rPr>
              <w:t>Carrying</w:t>
            </w:r>
          </w:p>
        </w:tc>
        <w:tc>
          <w:tcPr>
            <w:tcW w:w="800" w:type="dxa"/>
            <w:vAlign w:val="bottom"/>
            <w:gridSpan w:val="4"/>
          </w:tcPr>
          <w:p>
            <w:pPr>
              <w:spacing w:after="0" w:line="108" w:lineRule="exact"/>
              <w:rPr>
                <w:sz w:val="20"/>
                <w:szCs w:val="20"/>
                <w:color w:val="auto"/>
              </w:rPr>
            </w:pPr>
            <w:r>
              <w:rPr>
                <w:rFonts w:ascii="Arial" w:cs="Arial" w:eastAsia="Arial" w:hAnsi="Arial"/>
                <w:sz w:val="10"/>
                <w:szCs w:val="10"/>
                <w:b w:val="1"/>
                <w:bCs w:val="1"/>
                <w:color w:val="auto"/>
              </w:rPr>
              <w:t>Carrying</w:t>
            </w:r>
          </w:p>
        </w:tc>
        <w:tc>
          <w:tcPr>
            <w:tcW w:w="1640" w:type="dxa"/>
            <w:vAlign w:val="bottom"/>
            <w:gridSpan w:val="5"/>
          </w:tcPr>
          <w:p>
            <w:pPr>
              <w:jc w:val="center"/>
              <w:ind w:right="420"/>
              <w:spacing w:after="0" w:line="108" w:lineRule="exact"/>
              <w:rPr>
                <w:sz w:val="20"/>
                <w:szCs w:val="20"/>
                <w:color w:val="auto"/>
              </w:rPr>
            </w:pPr>
            <w:r>
              <w:rPr>
                <w:rFonts w:ascii="Arial" w:cs="Arial" w:eastAsia="Arial" w:hAnsi="Arial"/>
                <w:sz w:val="10"/>
                <w:szCs w:val="10"/>
                <w:b w:val="1"/>
                <w:bCs w:val="1"/>
                <w:color w:val="auto"/>
                <w:w w:val="85"/>
              </w:rPr>
              <w:t>Accumulated</w:t>
            </w:r>
          </w:p>
        </w:tc>
        <w:tc>
          <w:tcPr>
            <w:tcW w:w="680" w:type="dxa"/>
            <w:vAlign w:val="bottom"/>
            <w:gridSpan w:val="4"/>
          </w:tcPr>
          <w:p>
            <w:pPr>
              <w:spacing w:after="0" w:line="108" w:lineRule="exact"/>
              <w:rPr>
                <w:sz w:val="20"/>
                <w:szCs w:val="20"/>
                <w:color w:val="auto"/>
              </w:rPr>
            </w:pPr>
            <w:r>
              <w:rPr>
                <w:rFonts w:ascii="Arial" w:cs="Arial" w:eastAsia="Arial" w:hAnsi="Arial"/>
                <w:sz w:val="10"/>
                <w:szCs w:val="10"/>
                <w:b w:val="1"/>
                <w:bCs w:val="1"/>
                <w:color w:val="auto"/>
              </w:rPr>
              <w:t>Carrying</w:t>
            </w:r>
          </w:p>
        </w:tc>
      </w:tr>
      <w:tr>
        <w:trPr>
          <w:trHeight w:val="132"/>
        </w:trPr>
        <w:tc>
          <w:tcPr>
            <w:tcW w:w="4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0"/>
                <w:szCs w:val="10"/>
                <w:b w:val="1"/>
                <w:bCs w:val="1"/>
                <w:color w:val="auto"/>
                <w:w w:val="84"/>
              </w:rPr>
              <w:t>Amount</w:t>
            </w:r>
          </w:p>
        </w:tc>
        <w:tc>
          <w:tcPr>
            <w:tcW w:w="16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1"/>
              </w:rPr>
              <w:t>Amortization</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0"/>
                <w:szCs w:val="10"/>
                <w:b w:val="1"/>
                <w:bCs w:val="1"/>
                <w:color w:val="auto"/>
                <w:w w:val="89"/>
              </w:rPr>
              <w:t>Amount</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0"/>
                <w:szCs w:val="10"/>
                <w:b w:val="1"/>
                <w:bCs w:val="1"/>
                <w:color w:val="auto"/>
                <w:w w:val="89"/>
              </w:rPr>
              <w:t>Amount</w:t>
            </w:r>
          </w:p>
        </w:tc>
        <w:tc>
          <w:tcPr>
            <w:tcW w:w="16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8"/>
              </w:rPr>
              <w:t>Amortization</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0"/>
                <w:szCs w:val="10"/>
                <w:b w:val="1"/>
                <w:bCs w:val="1"/>
                <w:color w:val="auto"/>
                <w:w w:val="84"/>
              </w:rPr>
              <w:t>Amount</w:t>
            </w:r>
          </w:p>
        </w:tc>
        <w:tc>
          <w:tcPr>
            <w:tcW w:w="20" w:type="dxa"/>
            <w:vAlign w:val="bottom"/>
            <w:tcBorders>
              <w:bottom w:val="single" w:sz="8" w:color="CCEEFF"/>
            </w:tcBorders>
          </w:tcPr>
          <w:p>
            <w:pPr>
              <w:spacing w:after="0"/>
              <w:rPr>
                <w:sz w:val="11"/>
                <w:szCs w:val="11"/>
                <w:color w:val="auto"/>
              </w:rPr>
            </w:pPr>
          </w:p>
        </w:tc>
      </w:tr>
      <w:tr>
        <w:trPr>
          <w:trHeight w:val="169"/>
        </w:trPr>
        <w:tc>
          <w:tcPr>
            <w:tcW w:w="49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Goodwill</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900" w:type="dxa"/>
            <w:vAlign w:val="bottom"/>
            <w:gridSpan w:val="3"/>
          </w:tcPr>
          <w:p>
            <w:pPr>
              <w:ind w:left="120"/>
              <w:spacing w:after="0"/>
              <w:rPr>
                <w:sz w:val="20"/>
                <w:szCs w:val="20"/>
                <w:color w:val="auto"/>
              </w:rPr>
            </w:pPr>
            <w:r>
              <w:rPr>
                <w:rFonts w:ascii="Arial" w:cs="Arial" w:eastAsia="Arial" w:hAnsi="Arial"/>
                <w:sz w:val="12"/>
                <w:szCs w:val="12"/>
                <w:color w:val="auto"/>
              </w:rPr>
              <w:t>T&amp;D</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40,224</w:t>
            </w:r>
          </w:p>
        </w:tc>
        <w:tc>
          <w:tcPr>
            <w:tcW w:w="1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4"/>
          </w:tcPr>
          <w:p>
            <w:pPr>
              <w:jc w:val="right"/>
              <w:ind w:right="8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w w:val="87"/>
              </w:rPr>
              <w:t>40,224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81"/>
              </w:rPr>
              <w:t>40,224</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4"/>
          </w:tcPr>
          <w:p>
            <w:pPr>
              <w:jc w:val="right"/>
              <w:ind w:right="8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w w:val="87"/>
              </w:rPr>
              <w:t>40,224</w:t>
            </w:r>
          </w:p>
        </w:tc>
        <w:tc>
          <w:tcPr>
            <w:tcW w:w="20" w:type="dxa"/>
            <w:vAlign w:val="bottom"/>
          </w:tcPr>
          <w:p>
            <w:pPr>
              <w:spacing w:after="0"/>
              <w:rPr>
                <w:sz w:val="14"/>
                <w:szCs w:val="14"/>
                <w:color w:val="auto"/>
              </w:rPr>
            </w:pPr>
          </w:p>
        </w:tc>
      </w:tr>
      <w:tr>
        <w:trPr>
          <w:trHeight w:val="176"/>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C&amp;I</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25,836</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25,836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1"/>
              </w:rPr>
              <w:t>16,364</w:t>
            </w:r>
          </w:p>
        </w:tc>
        <w:tc>
          <w:tcPr>
            <w:tcW w:w="16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140" w:type="dxa"/>
            <w:vAlign w:val="bottom"/>
            <w:gridSpan w:val="4"/>
            <w:shd w:val="clear" w:color="auto" w:fill="CCEEFF"/>
          </w:tcPr>
          <w:p>
            <w:pPr>
              <w:jc w:val="right"/>
              <w:ind w:right="8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16,364</w:t>
            </w:r>
          </w:p>
        </w:tc>
        <w:tc>
          <w:tcPr>
            <w:tcW w:w="20" w:type="dxa"/>
            <w:vAlign w:val="bottom"/>
            <w:shd w:val="clear" w:color="auto" w:fill="CCEEFF"/>
          </w:tcPr>
          <w:p>
            <w:pPr>
              <w:spacing w:after="0"/>
              <w:rPr>
                <w:sz w:val="15"/>
                <w:szCs w:val="15"/>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1"/>
        </w:trPr>
        <w:tc>
          <w:tcPr>
            <w:tcW w:w="4900" w:type="dxa"/>
            <w:vAlign w:val="bottom"/>
            <w:gridSpan w:val="3"/>
          </w:tcPr>
          <w:p>
            <w:pPr>
              <w:ind w:left="120"/>
              <w:spacing w:after="0"/>
              <w:rPr>
                <w:sz w:val="20"/>
                <w:szCs w:val="20"/>
                <w:color w:val="auto"/>
              </w:rPr>
            </w:pPr>
            <w:r>
              <w:rPr>
                <w:rFonts w:ascii="Arial" w:cs="Arial" w:eastAsia="Arial" w:hAnsi="Arial"/>
                <w:sz w:val="12"/>
                <w:szCs w:val="12"/>
                <w:color w:val="auto"/>
              </w:rPr>
              <w:t>Total goodwill</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7"/>
              </w:rPr>
              <w:t>66,060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3"/>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w w:val="87"/>
              </w:rPr>
              <w:t>66,060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81"/>
              </w:rPr>
              <w:t>56,588</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4"/>
          </w:tcPr>
          <w:p>
            <w:pPr>
              <w:jc w:val="right"/>
              <w:ind w:right="8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w w:val="87"/>
              </w:rPr>
              <w:t>56,588</w:t>
            </w:r>
          </w:p>
        </w:tc>
        <w:tc>
          <w:tcPr>
            <w:tcW w:w="20" w:type="dxa"/>
            <w:vAlign w:val="bottom"/>
          </w:tcPr>
          <w:p>
            <w:pPr>
              <w:spacing w:after="0"/>
              <w:rPr>
                <w:sz w:val="15"/>
                <w:szCs w:val="15"/>
                <w:color w:val="auto"/>
              </w:rPr>
            </w:pPr>
          </w:p>
        </w:tc>
      </w:tr>
      <w:tr>
        <w:trPr>
          <w:trHeight w:val="144"/>
        </w:trPr>
        <w:tc>
          <w:tcPr>
            <w:tcW w:w="4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Amortizable Intangible Assets</w:t>
            </w: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righ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71"/>
        </w:trPr>
        <w:tc>
          <w:tcPr>
            <w:tcW w:w="4900" w:type="dxa"/>
            <w:vAlign w:val="bottom"/>
            <w:gridSpan w:val="3"/>
          </w:tcPr>
          <w:p>
            <w:pPr>
              <w:ind w:left="120"/>
              <w:spacing w:after="0"/>
              <w:rPr>
                <w:sz w:val="20"/>
                <w:szCs w:val="20"/>
                <w:color w:val="auto"/>
              </w:rPr>
            </w:pPr>
            <w:r>
              <w:rPr>
                <w:rFonts w:ascii="Arial" w:cs="Arial" w:eastAsia="Arial" w:hAnsi="Arial"/>
                <w:sz w:val="12"/>
                <w:szCs w:val="12"/>
                <w:color w:val="auto"/>
              </w:rPr>
              <w:t>Backlog</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5,289</w:t>
            </w:r>
          </w:p>
        </w:tc>
        <w:tc>
          <w:tcPr>
            <w:tcW w:w="1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2"/>
                <w:szCs w:val="12"/>
                <w:color w:val="auto"/>
              </w:rPr>
              <w:t>4,039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1,250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2,789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2"/>
                <w:szCs w:val="12"/>
                <w:color w:val="auto"/>
                <w:w w:val="86"/>
              </w:rPr>
              <w:t>1,889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900</w:t>
            </w:r>
          </w:p>
        </w:tc>
        <w:tc>
          <w:tcPr>
            <w:tcW w:w="20" w:type="dxa"/>
            <w:vAlign w:val="bottom"/>
          </w:tcPr>
          <w:p>
            <w:pPr>
              <w:spacing w:after="0"/>
              <w:rPr>
                <w:sz w:val="14"/>
                <w:szCs w:val="14"/>
                <w:color w:val="auto"/>
              </w:rPr>
            </w:pPr>
          </w:p>
        </w:tc>
      </w:tr>
      <w:tr>
        <w:trPr>
          <w:trHeight w:val="171"/>
        </w:trPr>
        <w:tc>
          <w:tcPr>
            <w:tcW w:w="49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Customer relationships</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31,381</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6,623</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24,758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1"/>
              </w:rPr>
              <w:t>17,280</w:t>
            </w:r>
          </w:p>
        </w:tc>
        <w:tc>
          <w:tcPr>
            <w:tcW w:w="1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86"/>
              </w:rPr>
              <w:t>4,970</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12,310</w:t>
            </w:r>
          </w:p>
        </w:tc>
        <w:tc>
          <w:tcPr>
            <w:tcW w:w="20" w:type="dxa"/>
            <w:vAlign w:val="bottom"/>
            <w:shd w:val="clear" w:color="auto" w:fill="CCEEFF"/>
          </w:tcPr>
          <w:p>
            <w:pPr>
              <w:spacing w:after="0"/>
              <w:rPr>
                <w:sz w:val="14"/>
                <w:szCs w:val="14"/>
                <w:color w:val="auto"/>
              </w:rPr>
            </w:pPr>
          </w:p>
        </w:tc>
      </w:tr>
      <w:tr>
        <w:trPr>
          <w:trHeight w:val="171"/>
        </w:trPr>
        <w:tc>
          <w:tcPr>
            <w:tcW w:w="4900" w:type="dxa"/>
            <w:vAlign w:val="bottom"/>
            <w:gridSpan w:val="3"/>
          </w:tcPr>
          <w:p>
            <w:pPr>
              <w:ind w:left="120"/>
              <w:spacing w:after="0"/>
              <w:rPr>
                <w:sz w:val="20"/>
                <w:szCs w:val="20"/>
                <w:color w:val="auto"/>
              </w:rPr>
            </w:pPr>
            <w:r>
              <w:rPr>
                <w:rFonts w:ascii="Arial" w:cs="Arial" w:eastAsia="Arial" w:hAnsi="Arial"/>
                <w:sz w:val="12"/>
                <w:szCs w:val="12"/>
                <w:color w:val="auto"/>
              </w:rPr>
              <w:t>Trade names</w:t>
            </w:r>
          </w:p>
        </w:tc>
        <w:tc>
          <w:tcPr>
            <w:tcW w:w="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695</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2"/>
                <w:szCs w:val="12"/>
                <w:color w:val="auto"/>
              </w:rPr>
              <w:t>218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477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695</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2"/>
                <w:szCs w:val="12"/>
                <w:color w:val="auto"/>
              </w:rPr>
              <w:t>172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523</w:t>
            </w:r>
          </w:p>
        </w:tc>
        <w:tc>
          <w:tcPr>
            <w:tcW w:w="20" w:type="dxa"/>
            <w:vAlign w:val="bottom"/>
          </w:tcPr>
          <w:p>
            <w:pPr>
              <w:spacing w:after="0"/>
              <w:rPr>
                <w:sz w:val="14"/>
                <w:szCs w:val="14"/>
                <w:color w:val="auto"/>
              </w:rPr>
            </w:pPr>
          </w:p>
        </w:tc>
      </w:tr>
      <w:tr>
        <w:trPr>
          <w:trHeight w:val="171"/>
        </w:trPr>
        <w:tc>
          <w:tcPr>
            <w:tcW w:w="49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Indefinite-lived Intangible Assets</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6"/>
        </w:trPr>
        <w:tc>
          <w:tcPr>
            <w:tcW w:w="4900" w:type="dxa"/>
            <w:vAlign w:val="bottom"/>
            <w:gridSpan w:val="3"/>
          </w:tcPr>
          <w:p>
            <w:pPr>
              <w:ind w:left="120"/>
              <w:spacing w:after="0"/>
              <w:rPr>
                <w:sz w:val="20"/>
                <w:szCs w:val="20"/>
                <w:color w:val="auto"/>
              </w:rPr>
            </w:pPr>
            <w:r>
              <w:rPr>
                <w:rFonts w:ascii="Arial" w:cs="Arial" w:eastAsia="Arial" w:hAnsi="Arial"/>
                <w:sz w:val="12"/>
                <w:szCs w:val="12"/>
                <w:color w:val="auto"/>
              </w:rPr>
              <w:t>Trade names</w:t>
            </w: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28,455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w w:val="87"/>
              </w:rPr>
              <w:t>28,455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81"/>
              </w:rPr>
              <w:t>19,533</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jc w:val="right"/>
              <w:ind w:right="8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w w:val="87"/>
              </w:rPr>
              <w:t>19,533</w:t>
            </w:r>
          </w:p>
        </w:tc>
        <w:tc>
          <w:tcPr>
            <w:tcW w:w="20" w:type="dxa"/>
            <w:vAlign w:val="bottom"/>
          </w:tcPr>
          <w:p>
            <w:pPr>
              <w:spacing w:after="0"/>
              <w:rPr>
                <w:sz w:val="15"/>
                <w:szCs w:val="15"/>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69"/>
        </w:trPr>
        <w:tc>
          <w:tcPr>
            <w:tcW w:w="49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Total intangible assets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65,820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10,880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54,940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1"/>
              </w:rPr>
              <w:t>40,297</w:t>
            </w:r>
          </w:p>
        </w:tc>
        <w:tc>
          <w:tcPr>
            <w:tcW w:w="1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86"/>
              </w:rPr>
              <w:t>7,031</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33,266</w:t>
            </w:r>
          </w:p>
        </w:tc>
        <w:tc>
          <w:tcPr>
            <w:tcW w:w="20" w:type="dxa"/>
            <w:vAlign w:val="bottom"/>
            <w:shd w:val="clear" w:color="auto" w:fill="CCEEFF"/>
          </w:tcPr>
          <w:p>
            <w:pPr>
              <w:spacing w:after="0"/>
              <w:rPr>
                <w:sz w:val="14"/>
                <w:szCs w:val="14"/>
                <w:color w:val="auto"/>
              </w:rPr>
            </w:pPr>
          </w:p>
        </w:tc>
      </w:tr>
      <w:tr>
        <w:trPr>
          <w:trHeight w:val="32"/>
        </w:trPr>
        <w:tc>
          <w:tcPr>
            <w:tcW w:w="4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-1252220</wp:posOffset>
            </wp:positionV>
            <wp:extent cx="571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6595110</wp:posOffset>
            </wp:positionH>
            <wp:positionV relativeFrom="paragraph">
              <wp:posOffset>-1252220</wp:posOffset>
            </wp:positionV>
            <wp:extent cx="9144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5720080</wp:posOffset>
            </wp:positionH>
            <wp:positionV relativeFrom="paragraph">
              <wp:posOffset>-1252220</wp:posOffset>
            </wp:positionV>
            <wp:extent cx="9144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-1252220</wp:posOffset>
            </wp:positionV>
            <wp:extent cx="9144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-1252220</wp:posOffset>
            </wp:positionV>
            <wp:extent cx="914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-1252220</wp:posOffset>
            </wp:positionV>
            <wp:extent cx="914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-1252220</wp:posOffset>
            </wp:positionV>
            <wp:extent cx="9144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33" w:lineRule="exact"/>
        <w:rPr>
          <w:sz w:val="20"/>
          <w:szCs w:val="20"/>
          <w:color w:val="auto"/>
        </w:rPr>
      </w:pPr>
    </w:p>
    <w:p>
      <w:pPr>
        <w:ind w:right="100" w:firstLine="240"/>
        <w:spacing w:after="0" w:line="298" w:lineRule="auto"/>
        <w:rPr>
          <w:sz w:val="20"/>
          <w:szCs w:val="20"/>
          <w:color w:val="auto"/>
        </w:rPr>
      </w:pPr>
      <w:r>
        <w:rPr>
          <w:rFonts w:ascii="Arial" w:cs="Arial" w:eastAsia="Arial" w:hAnsi="Arial"/>
          <w:sz w:val="11"/>
          <w:szCs w:val="11"/>
          <w:color w:val="auto"/>
        </w:rPr>
        <w:t>The increase in goodwill as of December 31, 2019 compared to December 31, 2018 was primarily due to the allocation of $9.5 million of goodwill related to the acquisition of CSI identified during the ongoing analysis of the purchase accounting. The increase in intangible assets also related to the acquisition of CSI and are being amortized on a straight-line basis over periods ranging up to 12 years. Additional financial information related to this acquisition is provided in Note 2–Acquisitions to the Financial Statements. Immaterial foreign currency translation adjustments related to goodwill and intangible assets are netted with the amounts indicated above.</w:t>
      </w:r>
    </w:p>
    <w:p>
      <w:pPr>
        <w:spacing w:after="0" w:line="60" w:lineRule="exact"/>
        <w:rPr>
          <w:sz w:val="20"/>
          <w:szCs w:val="20"/>
          <w:color w:val="auto"/>
        </w:rPr>
      </w:pPr>
    </w:p>
    <w:p>
      <w:pPr>
        <w:ind w:right="20" w:firstLine="240"/>
        <w:spacing w:after="0" w:line="323" w:lineRule="auto"/>
        <w:rPr>
          <w:sz w:val="20"/>
          <w:szCs w:val="20"/>
          <w:color w:val="auto"/>
        </w:rPr>
      </w:pPr>
      <w:r>
        <w:rPr>
          <w:rFonts w:ascii="Arial" w:cs="Arial" w:eastAsia="Arial" w:hAnsi="Arial"/>
          <w:sz w:val="11"/>
          <w:szCs w:val="11"/>
          <w:color w:val="auto"/>
        </w:rPr>
        <w:t>Customer relationships and backlog are being amortized on a straight-line method over an estimated useful life ranging up to 12.5 years and the remaining life of the contract, respectively, and have been determined to have no residual value. Amortizable trade names are being amortized on a straight-line basis over an estimated useful life of approximately 15 years. Certain trade names have indefinite lives and, therefore,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81" w:name="page82"/>
    <w:bookmarkEnd w:id="81"/>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auto"/>
        </w:rPr>
        <w:t>are not being amortized. Intangible asset amortization expense was $3.8 million, $1.8 million and $0.5 million for the years ended December 31, 2019, 2018 and 2017, respectively.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December 31, 2019, estimated future intangible asset amortization expense for the each of the next five years and thereafter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89"/>
              </w:rPr>
              <w:t>Future</w:t>
            </w:r>
          </w:p>
        </w:tc>
      </w:tr>
      <w:tr>
        <w:trPr>
          <w:trHeight w:val="108"/>
        </w:trPr>
        <w:tc>
          <w:tcPr>
            <w:tcW w:w="9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5"/>
          </w:tcPr>
          <w:p>
            <w:pPr>
              <w:jc w:val="center"/>
              <w:ind w:right="280"/>
              <w:spacing w:after="0" w:line="108" w:lineRule="exact"/>
              <w:rPr>
                <w:sz w:val="20"/>
                <w:szCs w:val="20"/>
                <w:color w:val="auto"/>
              </w:rPr>
            </w:pPr>
            <w:r>
              <w:rPr>
                <w:rFonts w:ascii="Arial" w:cs="Arial" w:eastAsia="Arial" w:hAnsi="Arial"/>
                <w:sz w:val="10"/>
                <w:szCs w:val="10"/>
                <w:b w:val="1"/>
                <w:bCs w:val="1"/>
                <w:color w:val="auto"/>
                <w:w w:val="91"/>
              </w:rPr>
              <w:t>Amortization</w:t>
            </w:r>
          </w:p>
        </w:tc>
      </w:tr>
      <w:tr>
        <w:trPr>
          <w:trHeight w:val="132"/>
        </w:trPr>
        <w:tc>
          <w:tcPr>
            <w:tcW w:w="9780" w:type="dxa"/>
            <w:vAlign w:val="bottom"/>
            <w:tcBorders>
              <w:bottom w:val="single" w:sz="8" w:color="auto"/>
            </w:tcBorders>
            <w:gridSpan w:val="3"/>
          </w:tcPr>
          <w:p>
            <w:pPr>
              <w:ind w:left="540"/>
              <w:spacing w:after="0"/>
              <w:rPr>
                <w:sz w:val="20"/>
                <w:szCs w:val="20"/>
                <w:color w:val="auto"/>
              </w:rPr>
            </w:pPr>
            <w:r>
              <w:rPr>
                <w:rFonts w:ascii="Arial" w:cs="Arial" w:eastAsia="Arial" w:hAnsi="Arial"/>
                <w:sz w:val="10"/>
                <w:szCs w:val="10"/>
                <w:b w:val="1"/>
                <w:bCs w:val="1"/>
                <w:color w:val="auto"/>
              </w:rPr>
              <w:t>(in thousands)</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0"/>
                <w:szCs w:val="10"/>
                <w:b w:val="1"/>
                <w:bCs w:val="1"/>
                <w:color w:val="auto"/>
                <w:w w:val="82"/>
              </w:rPr>
              <w:t>Expense</w:t>
            </w:r>
          </w:p>
        </w:tc>
      </w:tr>
      <w:tr>
        <w:trPr>
          <w:trHeight w:val="169"/>
        </w:trPr>
        <w:tc>
          <w:tcPr>
            <w:tcW w:w="93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2020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$ 3,587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71"/>
        </w:trPr>
        <w:tc>
          <w:tcPr>
            <w:tcW w:w="9380" w:type="dxa"/>
            <w:vAlign w:val="bottom"/>
          </w:tcPr>
          <w:p>
            <w:pPr>
              <w:ind w:left="540"/>
              <w:spacing w:after="0"/>
              <w:rPr>
                <w:sz w:val="20"/>
                <w:szCs w:val="20"/>
                <w:color w:val="auto"/>
              </w:rPr>
            </w:pPr>
            <w:r>
              <w:rPr>
                <w:rFonts w:ascii="Arial" w:cs="Arial" w:eastAsia="Arial" w:hAnsi="Arial"/>
                <w:sz w:val="12"/>
                <w:szCs w:val="12"/>
                <w:color w:val="auto"/>
              </w:rPr>
              <w:t>2021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2"/>
                <w:szCs w:val="12"/>
                <w:color w:val="auto"/>
              </w:rPr>
              <w:t>2,312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93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2022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2,312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71"/>
        </w:trPr>
        <w:tc>
          <w:tcPr>
            <w:tcW w:w="9380" w:type="dxa"/>
            <w:vAlign w:val="bottom"/>
          </w:tcPr>
          <w:p>
            <w:pPr>
              <w:ind w:left="540"/>
              <w:spacing w:after="0"/>
              <w:rPr>
                <w:sz w:val="20"/>
                <w:szCs w:val="20"/>
                <w:color w:val="auto"/>
              </w:rPr>
            </w:pPr>
            <w:r>
              <w:rPr>
                <w:rFonts w:ascii="Arial" w:cs="Arial" w:eastAsia="Arial" w:hAnsi="Arial"/>
                <w:sz w:val="12"/>
                <w:szCs w:val="12"/>
                <w:color w:val="auto"/>
              </w:rPr>
              <w:t>2023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2"/>
                <w:szCs w:val="12"/>
                <w:color w:val="auto"/>
              </w:rPr>
              <w:t>2,312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93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2024</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2,312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76"/>
        </w:trPr>
        <w:tc>
          <w:tcPr>
            <w:tcW w:w="9780" w:type="dxa"/>
            <w:vAlign w:val="bottom"/>
            <w:tcBorders>
              <w:bottom w:val="single" w:sz="8" w:color="CCEEFF"/>
            </w:tcBorders>
            <w:gridSpan w:val="3"/>
          </w:tcPr>
          <w:p>
            <w:pPr>
              <w:ind w:left="540"/>
              <w:spacing w:after="0"/>
              <w:rPr>
                <w:sz w:val="20"/>
                <w:szCs w:val="20"/>
                <w:color w:val="auto"/>
              </w:rPr>
            </w:pPr>
            <w:r>
              <w:rPr>
                <w:rFonts w:ascii="Arial" w:cs="Arial" w:eastAsia="Arial" w:hAnsi="Arial"/>
                <w:sz w:val="12"/>
                <w:szCs w:val="12"/>
                <w:color w:val="auto"/>
              </w:rPr>
              <w:t>Thereafter</w:t>
            </w: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gridSpan w:val="3"/>
          </w:tcPr>
          <w:p>
            <w:pPr>
              <w:spacing w:after="0"/>
              <w:rPr>
                <w:sz w:val="15"/>
                <w:szCs w:val="15"/>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7"/>
              </w:rPr>
              <w:t>13,650</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r>
      <w:tr>
        <w:trPr>
          <w:trHeight w:val="169"/>
        </w:trPr>
        <w:tc>
          <w:tcPr>
            <w:tcW w:w="978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Total</w:t>
            </w: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2"/>
                <w:szCs w:val="12"/>
                <w:color w:val="auto"/>
              </w:rPr>
              <w:t>$26,485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354"/>
        </w:trPr>
        <w:tc>
          <w:tcPr>
            <w:tcW w:w="9780" w:type="dxa"/>
            <w:vAlign w:val="bottom"/>
            <w:tcBorders>
              <w:top w:val="single" w:sz="8" w:color="CCEEFF"/>
            </w:tcBorders>
            <w:gridSpan w:val="3"/>
          </w:tcPr>
          <w:p>
            <w:pPr>
              <w:spacing w:after="0"/>
              <w:rPr>
                <w:sz w:val="20"/>
                <w:szCs w:val="20"/>
                <w:color w:val="auto"/>
              </w:rPr>
            </w:pPr>
            <w:r>
              <w:rPr>
                <w:rFonts w:ascii="Arial" w:cs="Arial" w:eastAsia="Arial" w:hAnsi="Arial"/>
                <w:sz w:val="12"/>
                <w:szCs w:val="12"/>
                <w:b w:val="1"/>
                <w:bCs w:val="1"/>
                <w:color w:val="auto"/>
              </w:rPr>
              <w:t>9. Accrued Liabilities</w:t>
            </w:r>
          </w:p>
        </w:tc>
        <w:tc>
          <w:tcPr>
            <w:tcW w:w="3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43"/>
        </w:trPr>
        <w:tc>
          <w:tcPr>
            <w:tcW w:w="9780" w:type="dxa"/>
            <w:vAlign w:val="bottom"/>
            <w:gridSpan w:val="3"/>
          </w:tcPr>
          <w:p>
            <w:pPr>
              <w:ind w:left="240"/>
              <w:spacing w:after="0"/>
              <w:rPr>
                <w:sz w:val="20"/>
                <w:szCs w:val="20"/>
                <w:color w:val="auto"/>
              </w:rPr>
            </w:pPr>
            <w:r>
              <w:rPr>
                <w:rFonts w:ascii="Arial" w:cs="Arial" w:eastAsia="Arial" w:hAnsi="Arial"/>
                <w:sz w:val="12"/>
                <w:szCs w:val="12"/>
                <w:color w:val="auto"/>
              </w:rPr>
              <w:t>Other current liabilities consisted of the following at December 31:</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26"/>
        </w:trPr>
        <w:tc>
          <w:tcPr>
            <w:tcW w:w="938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auto"/>
            </w:tcBorders>
          </w:tcPr>
          <w:p>
            <w:pPr>
              <w:spacing w:after="0"/>
              <w:rPr>
                <w:sz w:val="19"/>
                <w:szCs w:val="19"/>
                <w:color w:val="auto"/>
              </w:rPr>
            </w:pPr>
          </w:p>
        </w:tc>
      </w:tr>
      <w:tr>
        <w:trPr>
          <w:trHeight w:val="169"/>
        </w:trPr>
        <w:tc>
          <w:tcPr>
            <w:tcW w:w="978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Payroll and incentive compensation</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$22,645</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$21,641</w:t>
            </w:r>
          </w:p>
        </w:tc>
        <w:tc>
          <w:tcPr>
            <w:tcW w:w="260" w:type="dxa"/>
            <w:vAlign w:val="bottom"/>
            <w:shd w:val="clear" w:color="auto" w:fill="CCEEFF"/>
          </w:tcPr>
          <w:p>
            <w:pPr>
              <w:spacing w:after="0"/>
              <w:rPr>
                <w:sz w:val="14"/>
                <w:szCs w:val="14"/>
                <w:color w:val="auto"/>
              </w:rPr>
            </w:pPr>
          </w:p>
        </w:tc>
      </w:tr>
      <w:tr>
        <w:trPr>
          <w:trHeight w:val="171"/>
        </w:trPr>
        <w:tc>
          <w:tcPr>
            <w:tcW w:w="9780" w:type="dxa"/>
            <w:vAlign w:val="bottom"/>
            <w:gridSpan w:val="3"/>
          </w:tcPr>
          <w:p>
            <w:pPr>
              <w:ind w:left="540"/>
              <w:spacing w:after="0"/>
              <w:rPr>
                <w:sz w:val="20"/>
                <w:szCs w:val="20"/>
                <w:color w:val="auto"/>
              </w:rPr>
            </w:pPr>
            <w:r>
              <w:rPr>
                <w:rFonts w:ascii="Arial" w:cs="Arial" w:eastAsia="Arial" w:hAnsi="Arial"/>
                <w:sz w:val="12"/>
                <w:szCs w:val="12"/>
                <w:color w:val="auto"/>
              </w:rPr>
              <w:t>Union dues and benefits</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18,747</w:t>
            </w:r>
          </w:p>
        </w:tc>
        <w:tc>
          <w:tcPr>
            <w:tcW w:w="940" w:type="dxa"/>
            <w:vAlign w:val="bottom"/>
            <w:gridSpan w:val="6"/>
          </w:tcPr>
          <w:p>
            <w:pPr>
              <w:jc w:val="right"/>
              <w:spacing w:after="0"/>
              <w:rPr>
                <w:sz w:val="20"/>
                <w:szCs w:val="20"/>
                <w:color w:val="auto"/>
              </w:rPr>
            </w:pPr>
            <w:r>
              <w:rPr>
                <w:rFonts w:ascii="Arial" w:cs="Arial" w:eastAsia="Arial" w:hAnsi="Arial"/>
                <w:sz w:val="12"/>
                <w:szCs w:val="12"/>
                <w:color w:val="auto"/>
              </w:rPr>
              <w:t>11,465</w:t>
            </w:r>
          </w:p>
        </w:tc>
        <w:tc>
          <w:tcPr>
            <w:tcW w:w="260" w:type="dxa"/>
            <w:vAlign w:val="bottom"/>
          </w:tcPr>
          <w:p>
            <w:pPr>
              <w:spacing w:after="0"/>
              <w:rPr>
                <w:sz w:val="14"/>
                <w:szCs w:val="14"/>
                <w:color w:val="auto"/>
              </w:rPr>
            </w:pPr>
          </w:p>
        </w:tc>
      </w:tr>
      <w:tr>
        <w:trPr>
          <w:trHeight w:val="171"/>
        </w:trPr>
        <w:tc>
          <w:tcPr>
            <w:tcW w:w="978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Taxes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6,790</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7,999</w:t>
            </w:r>
          </w:p>
        </w:tc>
        <w:tc>
          <w:tcPr>
            <w:tcW w:w="260" w:type="dxa"/>
            <w:vAlign w:val="bottom"/>
            <w:shd w:val="clear" w:color="auto" w:fill="CCEEFF"/>
          </w:tcPr>
          <w:p>
            <w:pPr>
              <w:spacing w:after="0"/>
              <w:rPr>
                <w:sz w:val="14"/>
                <w:szCs w:val="14"/>
                <w:color w:val="auto"/>
              </w:rPr>
            </w:pPr>
          </w:p>
        </w:tc>
      </w:tr>
      <w:tr>
        <w:trPr>
          <w:trHeight w:val="171"/>
        </w:trPr>
        <w:tc>
          <w:tcPr>
            <w:tcW w:w="9780" w:type="dxa"/>
            <w:vAlign w:val="bottom"/>
            <w:gridSpan w:val="3"/>
          </w:tcPr>
          <w:p>
            <w:pPr>
              <w:ind w:left="540"/>
              <w:spacing w:after="0"/>
              <w:rPr>
                <w:sz w:val="20"/>
                <w:szCs w:val="20"/>
                <w:color w:val="auto"/>
              </w:rPr>
            </w:pPr>
            <w:r>
              <w:rPr>
                <w:rFonts w:ascii="Arial" w:cs="Arial" w:eastAsia="Arial" w:hAnsi="Arial"/>
                <w:sz w:val="12"/>
                <w:szCs w:val="12"/>
                <w:color w:val="auto"/>
              </w:rPr>
              <w:t>Profit sharing and thrift plan</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5,325</w:t>
            </w:r>
          </w:p>
        </w:tc>
        <w:tc>
          <w:tcPr>
            <w:tcW w:w="940" w:type="dxa"/>
            <w:vAlign w:val="bottom"/>
            <w:gridSpan w:val="6"/>
          </w:tcPr>
          <w:p>
            <w:pPr>
              <w:jc w:val="right"/>
              <w:spacing w:after="0"/>
              <w:rPr>
                <w:sz w:val="20"/>
                <w:szCs w:val="20"/>
                <w:color w:val="auto"/>
              </w:rPr>
            </w:pPr>
            <w:r>
              <w:rPr>
                <w:rFonts w:ascii="Arial" w:cs="Arial" w:eastAsia="Arial" w:hAnsi="Arial"/>
                <w:sz w:val="12"/>
                <w:szCs w:val="12"/>
                <w:color w:val="auto"/>
              </w:rPr>
              <w:t>1,215</w:t>
            </w:r>
          </w:p>
        </w:tc>
        <w:tc>
          <w:tcPr>
            <w:tcW w:w="260" w:type="dxa"/>
            <w:vAlign w:val="bottom"/>
          </w:tcPr>
          <w:p>
            <w:pPr>
              <w:spacing w:after="0"/>
              <w:rPr>
                <w:sz w:val="14"/>
                <w:szCs w:val="14"/>
                <w:color w:val="auto"/>
              </w:rPr>
            </w:pPr>
          </w:p>
        </w:tc>
      </w:tr>
      <w:tr>
        <w:trPr>
          <w:trHeight w:val="171"/>
        </w:trPr>
        <w:tc>
          <w:tcPr>
            <w:tcW w:w="978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Net asset adjustments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987</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11,210</w:t>
            </w:r>
          </w:p>
        </w:tc>
        <w:tc>
          <w:tcPr>
            <w:tcW w:w="260" w:type="dxa"/>
            <w:vAlign w:val="bottom"/>
            <w:shd w:val="clear" w:color="auto" w:fill="CCEEFF"/>
          </w:tcPr>
          <w:p>
            <w:pPr>
              <w:spacing w:after="0"/>
              <w:rPr>
                <w:sz w:val="14"/>
                <w:szCs w:val="14"/>
                <w:color w:val="auto"/>
              </w:rPr>
            </w:pPr>
          </w:p>
        </w:tc>
      </w:tr>
      <w:tr>
        <w:trPr>
          <w:trHeight w:val="171"/>
        </w:trPr>
        <w:tc>
          <w:tcPr>
            <w:tcW w:w="9780" w:type="dxa"/>
            <w:vAlign w:val="bottom"/>
            <w:gridSpan w:val="3"/>
          </w:tcPr>
          <w:p>
            <w:pPr>
              <w:ind w:left="540"/>
              <w:spacing w:after="0"/>
              <w:rPr>
                <w:sz w:val="20"/>
                <w:szCs w:val="20"/>
                <w:color w:val="auto"/>
              </w:rPr>
            </w:pPr>
            <w:r>
              <w:rPr>
                <w:rFonts w:ascii="Arial" w:cs="Arial" w:eastAsia="Arial" w:hAnsi="Arial"/>
                <w:sz w:val="12"/>
                <w:szCs w:val="12"/>
                <w:color w:val="auto"/>
              </w:rPr>
              <w:t>Joint venture liability</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652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w:t>
            </w:r>
          </w:p>
        </w:tc>
      </w:tr>
      <w:tr>
        <w:trPr>
          <w:trHeight w:val="176"/>
        </w:trPr>
        <w:tc>
          <w:tcPr>
            <w:tcW w:w="978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Other</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9,218</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7,828</w:t>
            </w:r>
          </w:p>
        </w:tc>
        <w:tc>
          <w:tcPr>
            <w:tcW w:w="260" w:type="dxa"/>
            <w:vAlign w:val="bottom"/>
            <w:shd w:val="clear" w:color="auto" w:fill="CCEEFF"/>
          </w:tcPr>
          <w:p>
            <w:pPr>
              <w:spacing w:after="0"/>
              <w:rPr>
                <w:sz w:val="15"/>
                <w:szCs w:val="15"/>
                <w:color w:val="auto"/>
              </w:rPr>
            </w:pPr>
          </w:p>
        </w:tc>
      </w:tr>
      <w:tr>
        <w:trPr>
          <w:trHeight w:val="20"/>
        </w:trPr>
        <w:tc>
          <w:tcPr>
            <w:tcW w:w="9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69"/>
        </w:trPr>
        <w:tc>
          <w:tcPr>
            <w:tcW w:w="9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$64,364</w:t>
            </w:r>
          </w:p>
        </w:tc>
        <w:tc>
          <w:tcPr>
            <w:tcW w:w="940" w:type="dxa"/>
            <w:vAlign w:val="bottom"/>
            <w:gridSpan w:val="6"/>
          </w:tcPr>
          <w:p>
            <w:pPr>
              <w:jc w:val="right"/>
              <w:spacing w:after="0"/>
              <w:rPr>
                <w:sz w:val="20"/>
                <w:szCs w:val="20"/>
                <w:color w:val="auto"/>
              </w:rPr>
            </w:pPr>
            <w:r>
              <w:rPr>
                <w:rFonts w:ascii="Arial" w:cs="Arial" w:eastAsia="Arial" w:hAnsi="Arial"/>
                <w:sz w:val="12"/>
                <w:szCs w:val="12"/>
                <w:color w:val="auto"/>
              </w:rPr>
              <w:t>$61,358</w:t>
            </w:r>
          </w:p>
        </w:tc>
        <w:tc>
          <w:tcPr>
            <w:tcW w:w="260" w:type="dxa"/>
            <w:vAlign w:val="bottom"/>
          </w:tcPr>
          <w:p>
            <w:pPr>
              <w:spacing w:after="0"/>
              <w:rPr>
                <w:sz w:val="14"/>
                <w:szCs w:val="14"/>
                <w:color w:val="auto"/>
              </w:rPr>
            </w:pPr>
          </w:p>
        </w:tc>
      </w:tr>
      <w:tr>
        <w:trPr>
          <w:trHeight w:val="32"/>
        </w:trPr>
        <w:tc>
          <w:tcPr>
            <w:tcW w:w="9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-1566545</wp:posOffset>
            </wp:positionV>
            <wp:extent cx="729234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-2230120</wp:posOffset>
            </wp:positionV>
            <wp:extent cx="914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-2230120</wp:posOffset>
            </wp:positionV>
            <wp:extent cx="571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-908685</wp:posOffset>
            </wp:positionV>
            <wp:extent cx="914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-908685</wp:posOffset>
            </wp:positionV>
            <wp:extent cx="914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-908685</wp:posOffset>
            </wp:positionV>
            <wp:extent cx="571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additional information on net asset adjustments provided in Note 2–Acquisitions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168275</wp:posOffset>
            </wp:positionV>
            <wp:extent cx="731774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82" w:name="page83"/>
    <w:bookmarkEnd w:id="82"/>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Debt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table below reflects the Company’s total debt, including borrowings under its credit agreement and master loan agreement for equipment notes: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Outstanding</w:t>
            </w:r>
          </w:p>
        </w:tc>
        <w:tc>
          <w:tcPr>
            <w:tcW w:w="1300" w:type="dxa"/>
            <w:vAlign w:val="bottom"/>
            <w:gridSpan w:val="4"/>
          </w:tcPr>
          <w:p>
            <w:pPr>
              <w:jc w:val="center"/>
              <w:spacing w:after="0"/>
              <w:rPr>
                <w:sz w:val="20"/>
                <w:szCs w:val="20"/>
                <w:color w:val="auto"/>
              </w:rPr>
            </w:pPr>
            <w:r>
              <w:rPr>
                <w:rFonts w:ascii="Arial" w:cs="Arial" w:eastAsia="Arial" w:hAnsi="Arial"/>
                <w:sz w:val="10"/>
                <w:szCs w:val="10"/>
                <w:b w:val="1"/>
                <w:bCs w:val="1"/>
                <w:color w:val="auto"/>
                <w:w w:val="84"/>
              </w:rPr>
              <w:t>Outstanding</w:t>
            </w:r>
          </w:p>
        </w:tc>
      </w:tr>
      <w:tr>
        <w:trPr>
          <w:trHeight w:val="108"/>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6"/>
              </w:rPr>
              <w:t>Stated Interest</w:t>
            </w: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4"/>
          </w:tcPr>
          <w:p>
            <w:pPr>
              <w:jc w:val="center"/>
              <w:ind w:right="140"/>
              <w:spacing w:after="0" w:line="108" w:lineRule="exact"/>
              <w:rPr>
                <w:sz w:val="20"/>
                <w:szCs w:val="20"/>
                <w:color w:val="auto"/>
              </w:rPr>
            </w:pPr>
            <w:r>
              <w:rPr>
                <w:rFonts w:ascii="Arial" w:cs="Arial" w:eastAsia="Arial" w:hAnsi="Arial"/>
                <w:sz w:val="10"/>
                <w:szCs w:val="10"/>
                <w:b w:val="1"/>
                <w:bCs w:val="1"/>
                <w:color w:val="auto"/>
                <w:w w:val="83"/>
              </w:rPr>
              <w:t>Balance as of</w:t>
            </w:r>
          </w:p>
        </w:tc>
        <w:tc>
          <w:tcPr>
            <w:tcW w:w="1300" w:type="dxa"/>
            <w:vAlign w:val="bottom"/>
            <w:gridSpan w:val="4"/>
          </w:tcPr>
          <w:p>
            <w:pPr>
              <w:jc w:val="center"/>
              <w:spacing w:after="0" w:line="108" w:lineRule="exact"/>
              <w:rPr>
                <w:sz w:val="20"/>
                <w:szCs w:val="20"/>
                <w:color w:val="auto"/>
              </w:rPr>
            </w:pPr>
            <w:r>
              <w:rPr>
                <w:rFonts w:ascii="Arial" w:cs="Arial" w:eastAsia="Arial" w:hAnsi="Arial"/>
                <w:sz w:val="10"/>
                <w:szCs w:val="10"/>
                <w:b w:val="1"/>
                <w:bCs w:val="1"/>
                <w:color w:val="auto"/>
                <w:w w:val="83"/>
              </w:rPr>
              <w:t>Balance as of</w:t>
            </w:r>
          </w:p>
        </w:tc>
      </w:tr>
      <w:tr>
        <w:trPr>
          <w:trHeight w:val="108"/>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5"/>
              </w:rPr>
              <w:t>Inception</w:t>
            </w:r>
          </w:p>
        </w:tc>
        <w:tc>
          <w:tcPr>
            <w:tcW w:w="150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2"/>
              </w:rPr>
              <w:t>Rate</w:t>
            </w:r>
          </w:p>
        </w:tc>
        <w:tc>
          <w:tcPr>
            <w:tcW w:w="16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86"/>
              </w:rPr>
              <w:t>Payment</w:t>
            </w:r>
          </w:p>
        </w:tc>
        <w:tc>
          <w:tcPr>
            <w:tcW w:w="76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9"/>
              </w:rPr>
              <w:t>Term</w:t>
            </w:r>
          </w:p>
        </w:tc>
        <w:tc>
          <w:tcPr>
            <w:tcW w:w="1400" w:type="dxa"/>
            <w:vAlign w:val="bottom"/>
            <w:gridSpan w:val="4"/>
          </w:tcPr>
          <w:p>
            <w:pPr>
              <w:jc w:val="center"/>
              <w:ind w:right="120"/>
              <w:spacing w:after="0" w:line="108" w:lineRule="exact"/>
              <w:rPr>
                <w:sz w:val="20"/>
                <w:szCs w:val="20"/>
                <w:color w:val="auto"/>
              </w:rPr>
            </w:pPr>
            <w:r>
              <w:rPr>
                <w:rFonts w:ascii="Arial" w:cs="Arial" w:eastAsia="Arial" w:hAnsi="Arial"/>
                <w:sz w:val="10"/>
                <w:szCs w:val="10"/>
                <w:b w:val="1"/>
                <w:bCs w:val="1"/>
                <w:color w:val="auto"/>
                <w:w w:val="86"/>
              </w:rPr>
              <w:t>December 31,</w:t>
            </w:r>
          </w:p>
        </w:tc>
        <w:tc>
          <w:tcPr>
            <w:tcW w:w="1300" w:type="dxa"/>
            <w:vAlign w:val="bottom"/>
            <w:gridSpan w:val="4"/>
          </w:tcPr>
          <w:p>
            <w:pPr>
              <w:jc w:val="center"/>
              <w:spacing w:after="0" w:line="108" w:lineRule="exact"/>
              <w:rPr>
                <w:sz w:val="20"/>
                <w:szCs w:val="20"/>
                <w:color w:val="auto"/>
              </w:rPr>
            </w:pPr>
            <w:r>
              <w:rPr>
                <w:rFonts w:ascii="Arial" w:cs="Arial" w:eastAsia="Arial" w:hAnsi="Arial"/>
                <w:sz w:val="10"/>
                <w:szCs w:val="10"/>
                <w:b w:val="1"/>
                <w:bCs w:val="1"/>
                <w:color w:val="auto"/>
                <w:w w:val="86"/>
              </w:rPr>
              <w:t>December 31,</w:t>
            </w:r>
          </w:p>
        </w:tc>
      </w:tr>
      <w:tr>
        <w:trPr>
          <w:trHeight w:val="132"/>
        </w:trPr>
        <w:tc>
          <w:tcPr>
            <w:tcW w:w="3380" w:type="dxa"/>
            <w:vAlign w:val="bottom"/>
          </w:tcPr>
          <w:p>
            <w:pPr>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tcPr>
          <w:p>
            <w:pPr>
              <w:spacing w:after="0"/>
              <w:rPr>
                <w:sz w:val="11"/>
                <w:szCs w:val="11"/>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2"/>
              </w:rPr>
              <w:t>Date</w:t>
            </w:r>
          </w:p>
        </w:tc>
        <w:tc>
          <w:tcPr>
            <w:tcW w:w="15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(per annum)</w:t>
            </w:r>
          </w:p>
        </w:tc>
        <w:tc>
          <w:tcPr>
            <w:tcW w:w="1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2"/>
              </w:rPr>
              <w:t>Frequency</w:t>
            </w:r>
          </w:p>
        </w:tc>
        <w:tc>
          <w:tcPr>
            <w:tcW w:w="7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5"/>
              </w:rPr>
              <w:t>(years)</w:t>
            </w:r>
          </w:p>
        </w:tc>
        <w:tc>
          <w:tcPr>
            <w:tcW w:w="860" w:type="dxa"/>
            <w:vAlign w:val="bottom"/>
            <w:gridSpan w:val="2"/>
          </w:tcPr>
          <w:p>
            <w:pPr>
              <w:jc w:val="center"/>
              <w:ind w:left="344"/>
              <w:spacing w:after="0"/>
              <w:rPr>
                <w:sz w:val="20"/>
                <w:szCs w:val="20"/>
                <w:color w:val="auto"/>
              </w:rPr>
            </w:pPr>
            <w:r>
              <w:rPr>
                <w:rFonts w:ascii="Arial" w:cs="Arial" w:eastAsia="Arial" w:hAnsi="Arial"/>
                <w:sz w:val="10"/>
                <w:szCs w:val="10"/>
                <w:b w:val="1"/>
                <w:bCs w:val="1"/>
                <w:color w:val="auto"/>
                <w:w w:val="80"/>
              </w:rPr>
              <w:t>2019</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left="404"/>
              <w:spacing w:after="0"/>
              <w:rPr>
                <w:sz w:val="20"/>
                <w:szCs w:val="20"/>
                <w:color w:val="auto"/>
              </w:rPr>
            </w:pPr>
            <w:r>
              <w:rPr>
                <w:rFonts w:ascii="Arial" w:cs="Arial" w:eastAsia="Arial" w:hAnsi="Arial"/>
                <w:sz w:val="10"/>
                <w:szCs w:val="10"/>
                <w:b w:val="1"/>
                <w:bCs w:val="1"/>
                <w:color w:val="auto"/>
                <w:w w:val="80"/>
              </w:rPr>
              <w:t>2018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6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i w:val="1"/>
                <w:iCs w:val="1"/>
                <w:color w:val="auto"/>
              </w:rPr>
              <w:t>Credit Agreement</w:t>
            </w:r>
          </w:p>
        </w:tc>
        <w:tc>
          <w:tcPr>
            <w:tcW w:w="1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r>
      <w:tr>
        <w:trPr>
          <w:trHeight w:val="171"/>
        </w:trPr>
        <w:tc>
          <w:tcPr>
            <w:tcW w:w="3380" w:type="dxa"/>
            <w:vAlign w:val="bottom"/>
          </w:tcPr>
          <w:p>
            <w:pPr>
              <w:ind w:left="120"/>
              <w:spacing w:after="0"/>
              <w:rPr>
                <w:sz w:val="20"/>
                <w:szCs w:val="20"/>
                <w:color w:val="auto"/>
              </w:rPr>
            </w:pPr>
            <w:r>
              <w:rPr>
                <w:rFonts w:ascii="Arial" w:cs="Arial" w:eastAsia="Arial" w:hAnsi="Arial"/>
                <w:sz w:val="12"/>
                <w:szCs w:val="12"/>
                <w:color w:val="auto"/>
              </w:rPr>
              <w:t>Revolving loans</w:t>
            </w:r>
          </w:p>
        </w:tc>
        <w:tc>
          <w:tcPr>
            <w:tcW w:w="1400" w:type="dxa"/>
            <w:vAlign w:val="bottom"/>
            <w:gridSpan w:val="2"/>
          </w:tcPr>
          <w:p>
            <w:pPr>
              <w:jc w:val="center"/>
              <w:ind w:left="80"/>
              <w:spacing w:after="0"/>
              <w:rPr>
                <w:sz w:val="20"/>
                <w:szCs w:val="20"/>
                <w:color w:val="auto"/>
              </w:rPr>
            </w:pPr>
            <w:r>
              <w:rPr>
                <w:rFonts w:ascii="Arial" w:cs="Arial" w:eastAsia="Arial" w:hAnsi="Arial"/>
                <w:sz w:val="12"/>
                <w:szCs w:val="12"/>
                <w:color w:val="auto"/>
                <w:w w:val="93"/>
              </w:rPr>
              <w:t>9/13/2019</w:t>
            </w:r>
          </w:p>
        </w:tc>
        <w:tc>
          <w:tcPr>
            <w:tcW w:w="14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Variable</w:t>
            </w:r>
          </w:p>
        </w:tc>
        <w:tc>
          <w:tcPr>
            <w:tcW w:w="160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Variable</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2"/>
                <w:szCs w:val="12"/>
                <w:color w:val="auto"/>
              </w:rPr>
              <w:t>$103,820</w:t>
            </w:r>
          </w:p>
        </w:tc>
        <w:tc>
          <w:tcPr>
            <w:tcW w:w="140" w:type="dxa"/>
            <w:vAlign w:val="bottom"/>
          </w:tcPr>
          <w:p>
            <w:pPr>
              <w:spacing w:after="0"/>
              <w:rPr>
                <w:sz w:val="14"/>
                <w:szCs w:val="14"/>
                <w:color w:val="auto"/>
              </w:rPr>
            </w:pPr>
          </w:p>
        </w:tc>
        <w:tc>
          <w:tcPr>
            <w:tcW w:w="1300" w:type="dxa"/>
            <w:vAlign w:val="bottom"/>
            <w:gridSpan w:val="4"/>
          </w:tcPr>
          <w:p>
            <w:pPr>
              <w:jc w:val="right"/>
              <w:ind w:right="460"/>
              <w:spacing w:after="0"/>
              <w:rPr>
                <w:sz w:val="20"/>
                <w:szCs w:val="20"/>
                <w:color w:val="auto"/>
              </w:rPr>
            </w:pPr>
            <w:r>
              <w:rPr>
                <w:rFonts w:ascii="Arial" w:cs="Arial" w:eastAsia="Arial" w:hAnsi="Arial"/>
                <w:sz w:val="12"/>
                <w:szCs w:val="12"/>
                <w:color w:val="auto"/>
              </w:rPr>
              <w:t>$58,306</w:t>
            </w:r>
          </w:p>
        </w:tc>
      </w:tr>
      <w:tr>
        <w:trPr>
          <w:trHeight w:val="171"/>
        </w:trPr>
        <w:tc>
          <w:tcPr>
            <w:tcW w:w="33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Equipment Notes</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71"/>
        </w:trPr>
        <w:tc>
          <w:tcPr>
            <w:tcW w:w="3380" w:type="dxa"/>
            <w:vAlign w:val="bottom"/>
          </w:tcPr>
          <w:p>
            <w:pPr>
              <w:ind w:left="120"/>
              <w:spacing w:after="0"/>
              <w:rPr>
                <w:sz w:val="20"/>
                <w:szCs w:val="20"/>
                <w:color w:val="auto"/>
              </w:rPr>
            </w:pPr>
            <w:r>
              <w:rPr>
                <w:rFonts w:ascii="Arial" w:cs="Arial" w:eastAsia="Arial" w:hAnsi="Arial"/>
                <w:sz w:val="12"/>
                <w:szCs w:val="12"/>
                <w:color w:val="auto"/>
              </w:rPr>
              <w:t>Equipment Note 1</w:t>
            </w:r>
          </w:p>
        </w:tc>
        <w:tc>
          <w:tcPr>
            <w:tcW w:w="1400" w:type="dxa"/>
            <w:vAlign w:val="bottom"/>
            <w:gridSpan w:val="2"/>
          </w:tcPr>
          <w:p>
            <w:pPr>
              <w:jc w:val="center"/>
              <w:ind w:left="80"/>
              <w:spacing w:after="0"/>
              <w:rPr>
                <w:sz w:val="20"/>
                <w:szCs w:val="20"/>
                <w:color w:val="auto"/>
              </w:rPr>
            </w:pPr>
            <w:r>
              <w:rPr>
                <w:rFonts w:ascii="Arial" w:cs="Arial" w:eastAsia="Arial" w:hAnsi="Arial"/>
                <w:sz w:val="12"/>
                <w:szCs w:val="12"/>
                <w:color w:val="auto"/>
                <w:w w:val="93"/>
              </w:rPr>
              <w:t>9/28/2018</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3"/>
              </w:rPr>
              <w:t>4.16%</w:t>
            </w:r>
          </w:p>
        </w:tc>
        <w:tc>
          <w:tcPr>
            <w:tcW w:w="14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2"/>
                <w:szCs w:val="12"/>
                <w:color w:val="auto"/>
              </w:rPr>
              <w:t>10,643</w:t>
            </w:r>
          </w:p>
        </w:tc>
        <w:tc>
          <w:tcPr>
            <w:tcW w:w="140" w:type="dxa"/>
            <w:vAlign w:val="bottom"/>
          </w:tcPr>
          <w:p>
            <w:pPr>
              <w:spacing w:after="0"/>
              <w:rPr>
                <w:sz w:val="14"/>
                <w:szCs w:val="14"/>
                <w:color w:val="auto"/>
              </w:rPr>
            </w:pPr>
          </w:p>
        </w:tc>
        <w:tc>
          <w:tcPr>
            <w:tcW w:w="1300" w:type="dxa"/>
            <w:vAlign w:val="bottom"/>
            <w:gridSpan w:val="4"/>
          </w:tcPr>
          <w:p>
            <w:pPr>
              <w:jc w:val="right"/>
              <w:ind w:right="460"/>
              <w:spacing w:after="0"/>
              <w:rPr>
                <w:sz w:val="20"/>
                <w:szCs w:val="20"/>
                <w:color w:val="auto"/>
              </w:rPr>
            </w:pPr>
            <w:r>
              <w:rPr>
                <w:rFonts w:ascii="Arial" w:cs="Arial" w:eastAsia="Arial" w:hAnsi="Arial"/>
                <w:sz w:val="12"/>
                <w:szCs w:val="12"/>
                <w:color w:val="auto"/>
              </w:rPr>
              <w:t>12,655</w:t>
            </w:r>
          </w:p>
        </w:tc>
      </w:tr>
      <w:tr>
        <w:trPr>
          <w:trHeight w:val="171"/>
        </w:trPr>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Equipment Note 2</w:t>
            </w:r>
          </w:p>
        </w:tc>
        <w:tc>
          <w:tcPr>
            <w:tcW w:w="140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93"/>
              </w:rPr>
              <w:t>9/28/2018</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4.23%</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w:t>
            </w:r>
          </w:p>
        </w:tc>
        <w:tc>
          <w:tcPr>
            <w:tcW w:w="14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11,200</w:t>
            </w:r>
          </w:p>
        </w:tc>
        <w:tc>
          <w:tcPr>
            <w:tcW w:w="14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460"/>
              <w:spacing w:after="0"/>
              <w:rPr>
                <w:sz w:val="20"/>
                <w:szCs w:val="20"/>
                <w:color w:val="auto"/>
              </w:rPr>
            </w:pPr>
            <w:r>
              <w:rPr>
                <w:rFonts w:ascii="Arial" w:cs="Arial" w:eastAsia="Arial" w:hAnsi="Arial"/>
                <w:sz w:val="12"/>
                <w:szCs w:val="12"/>
                <w:color w:val="auto"/>
              </w:rPr>
              <w:t>12,279</w:t>
            </w:r>
          </w:p>
        </w:tc>
      </w:tr>
      <w:tr>
        <w:trPr>
          <w:trHeight w:val="171"/>
        </w:trPr>
        <w:tc>
          <w:tcPr>
            <w:tcW w:w="3380" w:type="dxa"/>
            <w:vAlign w:val="bottom"/>
          </w:tcPr>
          <w:p>
            <w:pPr>
              <w:ind w:left="120"/>
              <w:spacing w:after="0"/>
              <w:rPr>
                <w:sz w:val="20"/>
                <w:szCs w:val="20"/>
                <w:color w:val="auto"/>
              </w:rPr>
            </w:pPr>
            <w:r>
              <w:rPr>
                <w:rFonts w:ascii="Arial" w:cs="Arial" w:eastAsia="Arial" w:hAnsi="Arial"/>
                <w:sz w:val="12"/>
                <w:szCs w:val="12"/>
                <w:color w:val="auto"/>
              </w:rPr>
              <w:t>Equipment Note 3</w:t>
            </w:r>
          </w:p>
        </w:tc>
        <w:tc>
          <w:tcPr>
            <w:tcW w:w="1400" w:type="dxa"/>
            <w:vAlign w:val="bottom"/>
            <w:gridSpan w:val="2"/>
          </w:tcPr>
          <w:p>
            <w:pPr>
              <w:jc w:val="center"/>
              <w:ind w:left="80"/>
              <w:spacing w:after="0"/>
              <w:rPr>
                <w:sz w:val="20"/>
                <w:szCs w:val="20"/>
                <w:color w:val="auto"/>
              </w:rPr>
            </w:pPr>
            <w:r>
              <w:rPr>
                <w:rFonts w:ascii="Arial" w:cs="Arial" w:eastAsia="Arial" w:hAnsi="Arial"/>
                <w:sz w:val="12"/>
                <w:szCs w:val="12"/>
                <w:color w:val="auto"/>
                <w:w w:val="89"/>
              </w:rPr>
              <w:t>12/31/2018</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3"/>
              </w:rPr>
              <w:t>3.97%</w:t>
            </w:r>
          </w:p>
        </w:tc>
        <w:tc>
          <w:tcPr>
            <w:tcW w:w="14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2"/>
                <w:szCs w:val="12"/>
                <w:color w:val="auto"/>
              </w:rPr>
              <w:t>1,953</w:t>
            </w:r>
          </w:p>
        </w:tc>
        <w:tc>
          <w:tcPr>
            <w:tcW w:w="14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2"/>
                <w:szCs w:val="12"/>
                <w:color w:val="auto"/>
              </w:rPr>
              <w:t>2,291</w:t>
            </w:r>
          </w:p>
        </w:tc>
        <w:tc>
          <w:tcPr>
            <w:tcW w:w="440" w:type="dxa"/>
            <w:vAlign w:val="bottom"/>
          </w:tcPr>
          <w:p>
            <w:pPr>
              <w:spacing w:after="0"/>
              <w:rPr>
                <w:sz w:val="14"/>
                <w:szCs w:val="14"/>
                <w:color w:val="auto"/>
              </w:rPr>
            </w:pPr>
          </w:p>
        </w:tc>
      </w:tr>
      <w:tr>
        <w:trPr>
          <w:trHeight w:val="171"/>
        </w:trPr>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Equipment Note 4</w:t>
            </w:r>
          </w:p>
        </w:tc>
        <w:tc>
          <w:tcPr>
            <w:tcW w:w="140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89"/>
              </w:rPr>
              <w:t>12/31/2018</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4.02%</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w:t>
            </w:r>
          </w:p>
        </w:tc>
        <w:tc>
          <w:tcPr>
            <w:tcW w:w="14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2,108</w:t>
            </w:r>
          </w:p>
        </w:tc>
        <w:tc>
          <w:tcPr>
            <w:tcW w:w="1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2,313</w:t>
            </w:r>
          </w:p>
        </w:tc>
        <w:tc>
          <w:tcPr>
            <w:tcW w:w="440" w:type="dxa"/>
            <w:vAlign w:val="bottom"/>
            <w:shd w:val="clear" w:color="auto" w:fill="CCEEFF"/>
          </w:tcPr>
          <w:p>
            <w:pPr>
              <w:spacing w:after="0"/>
              <w:rPr>
                <w:sz w:val="14"/>
                <w:szCs w:val="14"/>
                <w:color w:val="auto"/>
              </w:rPr>
            </w:pPr>
          </w:p>
        </w:tc>
      </w:tr>
      <w:tr>
        <w:trPr>
          <w:trHeight w:val="171"/>
        </w:trPr>
        <w:tc>
          <w:tcPr>
            <w:tcW w:w="3380" w:type="dxa"/>
            <w:vAlign w:val="bottom"/>
          </w:tcPr>
          <w:p>
            <w:pPr>
              <w:ind w:left="120"/>
              <w:spacing w:after="0"/>
              <w:rPr>
                <w:sz w:val="20"/>
                <w:szCs w:val="20"/>
                <w:color w:val="auto"/>
              </w:rPr>
            </w:pPr>
            <w:r>
              <w:rPr>
                <w:rFonts w:ascii="Arial" w:cs="Arial" w:eastAsia="Arial" w:hAnsi="Arial"/>
                <w:sz w:val="12"/>
                <w:szCs w:val="12"/>
                <w:color w:val="auto"/>
              </w:rPr>
              <w:t>Equipment Note 5</w:t>
            </w:r>
          </w:p>
        </w:tc>
        <w:tc>
          <w:tcPr>
            <w:tcW w:w="1400" w:type="dxa"/>
            <w:vAlign w:val="bottom"/>
            <w:gridSpan w:val="2"/>
          </w:tcPr>
          <w:p>
            <w:pPr>
              <w:jc w:val="center"/>
              <w:ind w:left="80"/>
              <w:spacing w:after="0"/>
              <w:rPr>
                <w:sz w:val="20"/>
                <w:szCs w:val="20"/>
                <w:color w:val="auto"/>
              </w:rPr>
            </w:pPr>
            <w:r>
              <w:rPr>
                <w:rFonts w:ascii="Arial" w:cs="Arial" w:eastAsia="Arial" w:hAnsi="Arial"/>
                <w:sz w:val="12"/>
                <w:szCs w:val="12"/>
                <w:color w:val="auto"/>
                <w:w w:val="89"/>
              </w:rPr>
              <w:t>12/31/2018</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3"/>
              </w:rPr>
              <w:t>4.01%</w:t>
            </w:r>
          </w:p>
        </w:tc>
        <w:tc>
          <w:tcPr>
            <w:tcW w:w="14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7</w:t>
            </w:r>
          </w:p>
        </w:tc>
        <w:tc>
          <w:tcPr>
            <w:tcW w:w="1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2"/>
                <w:szCs w:val="12"/>
                <w:color w:val="auto"/>
              </w:rPr>
              <w:t>1,751</w:t>
            </w:r>
          </w:p>
        </w:tc>
        <w:tc>
          <w:tcPr>
            <w:tcW w:w="14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2"/>
                <w:szCs w:val="12"/>
                <w:color w:val="auto"/>
              </w:rPr>
              <w:t>1,948</w:t>
            </w:r>
          </w:p>
        </w:tc>
        <w:tc>
          <w:tcPr>
            <w:tcW w:w="440" w:type="dxa"/>
            <w:vAlign w:val="bottom"/>
          </w:tcPr>
          <w:p>
            <w:pPr>
              <w:spacing w:after="0"/>
              <w:rPr>
                <w:sz w:val="14"/>
                <w:szCs w:val="14"/>
                <w:color w:val="auto"/>
              </w:rPr>
            </w:pPr>
          </w:p>
        </w:tc>
      </w:tr>
      <w:tr>
        <w:trPr>
          <w:trHeight w:val="171"/>
        </w:trPr>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Equipment Note 6</w:t>
            </w:r>
          </w:p>
        </w:tc>
        <w:tc>
          <w:tcPr>
            <w:tcW w:w="140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93"/>
              </w:rPr>
              <w:t>6/25/2019</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2.89%</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w:t>
            </w:r>
          </w:p>
        </w:tc>
        <w:tc>
          <w:tcPr>
            <w:tcW w:w="14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14,286</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r>
      <w:tr>
        <w:trPr>
          <w:trHeight w:val="171"/>
        </w:trPr>
        <w:tc>
          <w:tcPr>
            <w:tcW w:w="3380" w:type="dxa"/>
            <w:vAlign w:val="bottom"/>
          </w:tcPr>
          <w:p>
            <w:pPr>
              <w:ind w:left="120"/>
              <w:spacing w:after="0"/>
              <w:rPr>
                <w:sz w:val="20"/>
                <w:szCs w:val="20"/>
                <w:color w:val="auto"/>
              </w:rPr>
            </w:pPr>
            <w:r>
              <w:rPr>
                <w:rFonts w:ascii="Arial" w:cs="Arial" w:eastAsia="Arial" w:hAnsi="Arial"/>
                <w:sz w:val="12"/>
                <w:szCs w:val="12"/>
                <w:color w:val="auto"/>
              </w:rPr>
              <w:t>Equipment Note 7</w:t>
            </w:r>
          </w:p>
        </w:tc>
        <w:tc>
          <w:tcPr>
            <w:tcW w:w="1400" w:type="dxa"/>
            <w:vAlign w:val="bottom"/>
            <w:gridSpan w:val="2"/>
          </w:tcPr>
          <w:p>
            <w:pPr>
              <w:jc w:val="center"/>
              <w:ind w:left="80"/>
              <w:spacing w:after="0"/>
              <w:rPr>
                <w:sz w:val="20"/>
                <w:szCs w:val="20"/>
                <w:color w:val="auto"/>
              </w:rPr>
            </w:pPr>
            <w:r>
              <w:rPr>
                <w:rFonts w:ascii="Arial" w:cs="Arial" w:eastAsia="Arial" w:hAnsi="Arial"/>
                <w:sz w:val="12"/>
                <w:szCs w:val="12"/>
                <w:color w:val="auto"/>
                <w:w w:val="93"/>
              </w:rPr>
              <w:t>6/24/2019</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3"/>
              </w:rPr>
              <w:t>3.09%</w:t>
            </w:r>
          </w:p>
        </w:tc>
        <w:tc>
          <w:tcPr>
            <w:tcW w:w="14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2"/>
                <w:szCs w:val="12"/>
                <w:color w:val="auto"/>
              </w:rPr>
              <w:t>9,033</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2"/>
                <w:szCs w:val="12"/>
                <w:color w:val="auto"/>
              </w:rPr>
              <w:t>—</w:t>
            </w:r>
          </w:p>
        </w:tc>
      </w:tr>
      <w:tr>
        <w:trPr>
          <w:trHeight w:val="171"/>
        </w:trPr>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Equipment Note 8</w:t>
            </w:r>
          </w:p>
        </w:tc>
        <w:tc>
          <w:tcPr>
            <w:tcW w:w="140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89"/>
              </w:rPr>
              <w:t>12/27/2019</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2.75%</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14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6,496</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r>
      <w:tr>
        <w:trPr>
          <w:trHeight w:val="176"/>
        </w:trPr>
        <w:tc>
          <w:tcPr>
            <w:tcW w:w="3380" w:type="dxa"/>
            <w:vAlign w:val="bottom"/>
          </w:tcPr>
          <w:p>
            <w:pPr>
              <w:ind w:left="120"/>
              <w:spacing w:after="0"/>
              <w:rPr>
                <w:sz w:val="20"/>
                <w:szCs w:val="20"/>
                <w:color w:val="auto"/>
              </w:rPr>
            </w:pPr>
            <w:r>
              <w:rPr>
                <w:rFonts w:ascii="Arial" w:cs="Arial" w:eastAsia="Arial" w:hAnsi="Arial"/>
                <w:sz w:val="12"/>
                <w:szCs w:val="12"/>
                <w:color w:val="auto"/>
              </w:rPr>
              <w:t>Equipment Note 9</w:t>
            </w:r>
          </w:p>
        </w:tc>
        <w:tc>
          <w:tcPr>
            <w:tcW w:w="1400" w:type="dxa"/>
            <w:vAlign w:val="bottom"/>
            <w:gridSpan w:val="2"/>
          </w:tcPr>
          <w:p>
            <w:pPr>
              <w:jc w:val="center"/>
              <w:ind w:left="80"/>
              <w:spacing w:after="0"/>
              <w:rPr>
                <w:sz w:val="20"/>
                <w:szCs w:val="20"/>
                <w:color w:val="auto"/>
              </w:rPr>
            </w:pPr>
            <w:r>
              <w:rPr>
                <w:rFonts w:ascii="Arial" w:cs="Arial" w:eastAsia="Arial" w:hAnsi="Arial"/>
                <w:sz w:val="12"/>
                <w:szCs w:val="12"/>
                <w:color w:val="auto"/>
                <w:w w:val="89"/>
              </w:rPr>
              <w:t>12/24/2019</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2"/>
                <w:szCs w:val="12"/>
                <w:color w:val="auto"/>
                <w:w w:val="93"/>
              </w:rPr>
              <w:t>3.01%</w:t>
            </w:r>
          </w:p>
        </w:tc>
        <w:tc>
          <w:tcPr>
            <w:tcW w:w="140" w:type="dxa"/>
            <w:vAlign w:val="bottom"/>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Semi-annual</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4,534</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2"/>
                <w:szCs w:val="12"/>
                <w:color w:val="auto"/>
              </w:rPr>
              <w:t>—</w:t>
            </w:r>
          </w:p>
        </w:tc>
      </w:tr>
      <w:tr>
        <w:trPr>
          <w:trHeight w:val="20"/>
        </w:trPr>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r>
      <w:tr>
        <w:trPr>
          <w:trHeight w:val="169"/>
        </w:trPr>
        <w:tc>
          <w:tcPr>
            <w:tcW w:w="3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62,004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31,486</w:t>
            </w:r>
          </w:p>
        </w:tc>
      </w:tr>
      <w:tr>
        <w:trPr>
          <w:trHeight w:val="20"/>
        </w:trPr>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r>
      <w:tr>
        <w:trPr>
          <w:trHeight w:val="165"/>
        </w:trPr>
        <w:tc>
          <w:tcPr>
            <w:tcW w:w="3380" w:type="dxa"/>
            <w:vAlign w:val="bottom"/>
          </w:tcPr>
          <w:p>
            <w:pPr>
              <w:spacing w:after="0"/>
              <w:rPr>
                <w:sz w:val="20"/>
                <w:szCs w:val="20"/>
                <w:color w:val="auto"/>
              </w:rPr>
            </w:pPr>
            <w:r>
              <w:rPr>
                <w:rFonts w:ascii="Arial" w:cs="Arial" w:eastAsia="Arial" w:hAnsi="Arial"/>
                <w:sz w:val="12"/>
                <w:szCs w:val="12"/>
                <w:color w:val="auto"/>
              </w:rPr>
              <w:t>Total debt</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165,824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2"/>
                <w:szCs w:val="12"/>
                <w:color w:val="auto"/>
              </w:rPr>
              <w:t>89,792</w:t>
            </w:r>
          </w:p>
        </w:tc>
      </w:tr>
      <w:tr>
        <w:trPr>
          <w:trHeight w:val="171"/>
        </w:trPr>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Less: current portion of long-term debt</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(8,737)</w:t>
            </w:r>
          </w:p>
        </w:tc>
        <w:tc>
          <w:tcPr>
            <w:tcW w:w="14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420"/>
              <w:spacing w:after="0"/>
              <w:rPr>
                <w:sz w:val="20"/>
                <w:szCs w:val="20"/>
                <w:color w:val="auto"/>
              </w:rPr>
            </w:pPr>
            <w:r>
              <w:rPr>
                <w:rFonts w:ascii="Arial" w:cs="Arial" w:eastAsia="Arial" w:hAnsi="Arial"/>
                <w:sz w:val="12"/>
                <w:szCs w:val="12"/>
                <w:color w:val="auto"/>
              </w:rPr>
              <w:t>(3,681)</w:t>
            </w:r>
          </w:p>
        </w:tc>
      </w:tr>
      <w:tr>
        <w:trPr>
          <w:trHeight w:val="185"/>
        </w:trPr>
        <w:tc>
          <w:tcPr>
            <w:tcW w:w="338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Long-term debt</w:t>
            </w:r>
          </w:p>
        </w:tc>
        <w:tc>
          <w:tcPr>
            <w:tcW w:w="14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7"/>
              </w:rPr>
              <w:t>$157,087</w:t>
            </w:r>
          </w:p>
        </w:tc>
        <w:tc>
          <w:tcPr>
            <w:tcW w:w="4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1"/>
              </w:rPr>
              <w:t>$ 86,111</w:t>
            </w:r>
          </w:p>
        </w:tc>
        <w:tc>
          <w:tcPr>
            <w:tcW w:w="20" w:type="dxa"/>
            <w:vAlign w:val="bottom"/>
            <w:tcBorders>
              <w:top w:val="single" w:sz="8" w:color="CCEEFF"/>
              <w:bottom w:val="single" w:sz="8" w:color="auto"/>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-485775</wp:posOffset>
            </wp:positionV>
            <wp:extent cx="72923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6377940</wp:posOffset>
            </wp:positionH>
            <wp:positionV relativeFrom="paragraph">
              <wp:posOffset>-1800860</wp:posOffset>
            </wp:positionV>
            <wp:extent cx="914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-1800860</wp:posOffset>
            </wp:positionV>
            <wp:extent cx="9144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4999355</wp:posOffset>
            </wp:positionH>
            <wp:positionV relativeFrom="paragraph">
              <wp:posOffset>-1800860</wp:posOffset>
            </wp:positionV>
            <wp:extent cx="9144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-1800860</wp:posOffset>
            </wp:positionV>
            <wp:extent cx="914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-1800860</wp:posOffset>
            </wp:positionV>
            <wp:extent cx="914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-1800860</wp:posOffset>
            </wp:positionV>
            <wp:extent cx="914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Agreement</w:t>
      </w:r>
    </w:p>
    <w:p>
      <w:pPr>
        <w:spacing w:after="0" w:line="105" w:lineRule="exact"/>
        <w:rPr>
          <w:sz w:val="20"/>
          <w:szCs w:val="20"/>
          <w:color w:val="auto"/>
        </w:rPr>
      </w:pPr>
    </w:p>
    <w:p>
      <w:pPr>
        <w:ind w:right="100" w:firstLine="240"/>
        <w:spacing w:after="0" w:line="254" w:lineRule="auto"/>
        <w:rPr>
          <w:sz w:val="20"/>
          <w:szCs w:val="20"/>
          <w:color w:val="auto"/>
        </w:rPr>
      </w:pPr>
      <w:r>
        <w:rPr>
          <w:rFonts w:ascii="Arial" w:cs="Arial" w:eastAsia="Arial" w:hAnsi="Arial"/>
          <w:sz w:val="12"/>
          <w:szCs w:val="12"/>
          <w:color w:val="auto"/>
        </w:rPr>
        <w:t>On September 13, 2019, the Company entered into a five-year amended and restated credit agreement (the “Credit Agreement”) with a syndicate of banks led by JPMorgan Chase Bank, N.A. and Bank of America, N.A, that provides for a $375 million facility (the “Facility”), which can be used for revolving loans and up to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and other general corporate purposes.</w:t>
      </w:r>
    </w:p>
    <w:p>
      <w:pPr>
        <w:spacing w:after="0" w:line="84" w:lineRule="exact"/>
        <w:rPr>
          <w:sz w:val="20"/>
          <w:szCs w:val="20"/>
          <w:color w:val="auto"/>
        </w:rPr>
      </w:pPr>
    </w:p>
    <w:p>
      <w:pPr>
        <w:ind w:firstLine="240"/>
        <w:spacing w:after="0" w:line="259" w:lineRule="auto"/>
        <w:rPr>
          <w:sz w:val="20"/>
          <w:szCs w:val="20"/>
          <w:color w:val="auto"/>
        </w:rPr>
      </w:pPr>
      <w:r>
        <w:rPr>
          <w:rFonts w:ascii="Arial" w:cs="Arial" w:eastAsia="Arial" w:hAnsi="Arial"/>
          <w:sz w:val="12"/>
          <w:szCs w:val="12"/>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3" w:name="page84"/>
    <w:bookmarkEnd w:id="83"/>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140"/>
        <w:spacing w:after="0" w:line="340" w:lineRule="auto"/>
        <w:rPr>
          <w:sz w:val="20"/>
          <w:szCs w:val="20"/>
          <w:color w:val="auto"/>
        </w:rPr>
      </w:pPr>
      <w:r>
        <w:rPr>
          <w:rFonts w:ascii="Arial" w:cs="Arial" w:eastAsia="Arial" w:hAnsi="Arial"/>
          <w:sz w:val="10"/>
          <w:szCs w:val="10"/>
          <w:color w:val="auto"/>
        </w:rPr>
        <w:t>fee of 1.00% to 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year ended December 31, 2019 was 3.34% per annum.</w:t>
      </w:r>
    </w:p>
    <w:p>
      <w:pPr>
        <w:spacing w:after="0" w:line="34" w:lineRule="exact"/>
        <w:rPr>
          <w:sz w:val="20"/>
          <w:szCs w:val="20"/>
          <w:color w:val="auto"/>
        </w:rPr>
      </w:pPr>
    </w:p>
    <w:p>
      <w:pPr>
        <w:ind w:right="20" w:firstLine="240"/>
        <w:spacing w:after="0" w:line="263" w:lineRule="auto"/>
        <w:rPr>
          <w:sz w:val="20"/>
          <w:szCs w:val="20"/>
          <w:color w:val="auto"/>
        </w:rPr>
      </w:pPr>
      <w:r>
        <w:rPr>
          <w:rFonts w:ascii="Arial" w:cs="Arial" w:eastAsia="Arial" w:hAnsi="Arial"/>
          <w:sz w:val="12"/>
          <w:szCs w:val="12"/>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December 31, 2019.</w:t>
      </w:r>
    </w:p>
    <w:p>
      <w:pPr>
        <w:spacing w:after="0" w:line="78" w:lineRule="exact"/>
        <w:rPr>
          <w:sz w:val="20"/>
          <w:szCs w:val="20"/>
          <w:color w:val="auto"/>
        </w:rPr>
      </w:pPr>
    </w:p>
    <w:p>
      <w:pPr>
        <w:ind w:right="260" w:firstLine="240"/>
        <w:spacing w:after="0" w:line="276" w:lineRule="auto"/>
        <w:rPr>
          <w:sz w:val="20"/>
          <w:szCs w:val="20"/>
          <w:color w:val="auto"/>
        </w:rPr>
      </w:pPr>
      <w:r>
        <w:rPr>
          <w:rFonts w:ascii="Arial" w:cs="Arial" w:eastAsia="Arial" w:hAnsi="Arial"/>
          <w:sz w:val="12"/>
          <w:szCs w:val="12"/>
          <w:color w:val="auto"/>
        </w:rPr>
        <w:t>As of December 31, 2019, the Company had letters of credit outstanding under the Facility of approximately $10.6 million, including $10.0 million related to the Company’s payment obligation under its insurance programs and approximately $0.6 million related to contract performance obligations.</w:t>
      </w:r>
    </w:p>
    <w:p>
      <w:pPr>
        <w:spacing w:after="0" w:line="70" w:lineRule="exact"/>
        <w:rPr>
          <w:sz w:val="20"/>
          <w:szCs w:val="20"/>
          <w:color w:val="auto"/>
        </w:rPr>
      </w:pPr>
    </w:p>
    <w:p>
      <w:pPr>
        <w:ind w:right="260" w:firstLine="240"/>
        <w:spacing w:after="0" w:line="276" w:lineRule="auto"/>
        <w:rPr>
          <w:sz w:val="20"/>
          <w:szCs w:val="20"/>
          <w:color w:val="auto"/>
        </w:rPr>
      </w:pPr>
      <w:r>
        <w:rPr>
          <w:rFonts w:ascii="Arial" w:cs="Arial" w:eastAsia="Arial" w:hAnsi="Arial"/>
          <w:sz w:val="12"/>
          <w:szCs w:val="12"/>
          <w:color w:val="auto"/>
        </w:rPr>
        <w:t>As of December 31, 2018, the Company had letters of credit outstanding under the Facility of approximately $21.2 million, including $17.6 million related to the Company’s payment obligation under its insurance programs and approximately $3.6 million related to contract performance obligations.</w:t>
      </w:r>
    </w:p>
    <w:p>
      <w:pPr>
        <w:spacing w:after="0" w:line="61"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The Company had remaining deferred debt issuance costs totaling $1.4 million as of December 31, 2019, related to the line of credit. As permitted under ASU No. 2015-15, debt issuance costs have been deferred and are presented as an asset within other assets, which is amortized as interest expense over the term of the line of credit. Unamortized deferred debt issuance costs totaling $0.4 million relating to our previous credit agreement will be amortized over the life of the Credit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Equipment Notes</w:t>
      </w:r>
    </w:p>
    <w:p>
      <w:pPr>
        <w:spacing w:after="0" w:line="105" w:lineRule="exact"/>
        <w:rPr>
          <w:sz w:val="20"/>
          <w:szCs w:val="20"/>
          <w:color w:val="auto"/>
        </w:rPr>
      </w:pPr>
    </w:p>
    <w:p>
      <w:pPr>
        <w:ind w:right="100" w:firstLine="240"/>
        <w:spacing w:after="0" w:line="263" w:lineRule="auto"/>
        <w:rPr>
          <w:sz w:val="20"/>
          <w:szCs w:val="20"/>
          <w:color w:val="auto"/>
        </w:rPr>
      </w:pPr>
      <w:r>
        <w:rPr>
          <w:rFonts w:ascii="Arial" w:cs="Arial" w:eastAsia="Arial" w:hAnsi="Arial"/>
          <w:sz w:val="12"/>
          <w:szCs w:val="12"/>
          <w:color w:val="auto"/>
        </w:rPr>
        <w:t>The Company has entered into a Master Equipment Loan and Security Agreement (the “Master Loan Agreement”) with multiple lending banks. The Master Loan Agreement may be used for the financing of equipment between the Company and lending banks pursuant to one or more “Equipment Notes”. Each Equipment Note executed under the Master Loan Agreement constitutes a separate, distinct and independent financing of equipment and a contractual obligation of the Company, which may contain prepayment clauses.</w:t>
      </w:r>
    </w:p>
    <w:p>
      <w:pPr>
        <w:spacing w:after="0" w:line="78" w:lineRule="exact"/>
        <w:rPr>
          <w:sz w:val="20"/>
          <w:szCs w:val="20"/>
          <w:color w:val="auto"/>
        </w:rPr>
      </w:pPr>
    </w:p>
    <w:p>
      <w:pPr>
        <w:ind w:right="440" w:firstLine="240"/>
        <w:spacing w:after="0" w:line="276" w:lineRule="auto"/>
        <w:rPr>
          <w:sz w:val="20"/>
          <w:szCs w:val="20"/>
          <w:color w:val="auto"/>
        </w:rPr>
      </w:pPr>
      <w:r>
        <w:rPr>
          <w:rFonts w:ascii="Arial" w:cs="Arial" w:eastAsia="Arial" w:hAnsi="Arial"/>
          <w:sz w:val="12"/>
          <w:szCs w:val="12"/>
          <w:color w:val="auto"/>
        </w:rPr>
        <w:t>As of December 31, 2019, the Company had nine Equipment Notes outstanding under the Master Loan Agreement that are collateralized by equipment and vehicles owned by the Company. The following table sets forth our remaining principal payments for the Company’s outstanding Equipment Notes as of December 31, 2019:</w:t>
      </w:r>
    </w:p>
    <w:p>
      <w:pPr>
        <w:spacing w:after="0" w:line="82" w:lineRule="exact"/>
        <w:rPr>
          <w:sz w:val="20"/>
          <w:szCs w:val="20"/>
          <w:color w:val="auto"/>
        </w:rPr>
      </w:pPr>
    </w:p>
    <w:p>
      <w:pPr>
        <w:jc w:val="center"/>
        <w:ind w:left="9740"/>
        <w:spacing w:after="0"/>
        <w:rPr>
          <w:sz w:val="20"/>
          <w:szCs w:val="20"/>
          <w:color w:val="auto"/>
        </w:rPr>
      </w:pPr>
      <w:r>
        <w:rPr>
          <w:rFonts w:ascii="Arial" w:cs="Arial" w:eastAsia="Arial" w:hAnsi="Arial"/>
          <w:sz w:val="10"/>
          <w:szCs w:val="10"/>
          <w:b w:val="1"/>
          <w:bCs w:val="1"/>
          <w:color w:val="auto"/>
        </w:rPr>
        <w:t>Future</w:t>
      </w:r>
    </w:p>
    <w:p>
      <w:pPr>
        <w:jc w:val="center"/>
        <w:ind w:left="9740"/>
        <w:spacing w:after="0" w:line="232" w:lineRule="auto"/>
        <w:rPr>
          <w:sz w:val="20"/>
          <w:szCs w:val="20"/>
          <w:color w:val="auto"/>
        </w:rPr>
      </w:pPr>
      <w:r>
        <w:rPr>
          <w:rFonts w:ascii="Arial" w:cs="Arial" w:eastAsia="Arial" w:hAnsi="Arial"/>
          <w:sz w:val="10"/>
          <w:szCs w:val="10"/>
          <w:b w:val="1"/>
          <w:bCs w:val="1"/>
          <w:color w:val="auto"/>
        </w:rPr>
        <w:t>Equipment Notes</w:t>
      </w:r>
    </w:p>
    <w:p>
      <w:pPr>
        <w:ind w:left="540"/>
        <w:spacing w:after="0"/>
        <w:tabs>
          <w:tab w:leader="none" w:pos="10180" w:val="left"/>
        </w:tabs>
        <w:rPr>
          <w:sz w:val="20"/>
          <w:szCs w:val="20"/>
          <w:color w:val="auto"/>
        </w:rPr>
      </w:pPr>
      <w:r>
        <w:rPr>
          <w:rFonts w:ascii="Arial" w:cs="Arial" w:eastAsia="Arial" w:hAnsi="Arial"/>
          <w:sz w:val="10"/>
          <w:szCs w:val="10"/>
          <w:b w:val="1"/>
          <w:bCs w:val="1"/>
          <w:color w:val="auto"/>
        </w:rPr>
        <w:t>(in thousands)</w:t>
      </w:r>
      <w:r>
        <w:rPr>
          <w:sz w:val="20"/>
          <w:szCs w:val="20"/>
          <w:color w:val="auto"/>
        </w:rPr>
        <w:tab/>
      </w:r>
      <w:r>
        <w:rPr>
          <w:rFonts w:ascii="Arial" w:cs="Arial" w:eastAsia="Arial" w:hAnsi="Arial"/>
          <w:sz w:val="8"/>
          <w:szCs w:val="8"/>
          <w:b w:val="1"/>
          <w:bCs w:val="1"/>
          <w:color w:val="auto"/>
        </w:rPr>
        <w:t>Principal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292340" cy="1028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ectPr>
          <w:pgSz w:w="11900" w:h="16838" w:orient="portrait"/>
          <w:cols w:equalWidth="0" w:num="1">
            <w:col w:w="11400"/>
          </w:cols>
          <w:pgMar w:left="220" w:top="134" w:right="279" w:bottom="1440" w:gutter="0" w:footer="0" w:header="0"/>
        </w:sectPr>
      </w:pPr>
    </w:p>
    <w:p>
      <w:pPr>
        <w:spacing w:after="0" w:line="4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2020</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92340" cy="971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2"/>
          <w:szCs w:val="12"/>
          <w:color w:val="auto"/>
        </w:rPr>
        <w:t>2022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92340" cy="971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2"/>
          <w:szCs w:val="12"/>
          <w:color w:val="auto"/>
        </w:rPr>
        <w:t>2024</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92340" cy="1257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340" cy="125730"/>
                    </a:xfrm>
                    <a:prstGeom prst="rect">
                      <a:avLst/>
                    </a:prstGeom>
                    <a:noFill/>
                  </pic:spPr>
                </pic:pic>
              </a:graphicData>
            </a:graphic>
          </wp:anchor>
        </w:drawing>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Total future principal payments</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0"/>
          <w:szCs w:val="10"/>
          <w:color w:val="auto"/>
        </w:rPr>
        <w:t>Less: current portion of equipment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292340" cy="1200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Long-term principal obligations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83" w:hanging="83"/>
        <w:spacing w:after="0"/>
        <w:tabs>
          <w:tab w:leader="none" w:pos="83" w:val="left"/>
        </w:tabs>
        <w:numPr>
          <w:ilvl w:val="0"/>
          <w:numId w:val="21"/>
        </w:numPr>
        <w:rPr>
          <w:rFonts w:ascii="Arial" w:cs="Arial" w:eastAsia="Arial" w:hAnsi="Arial"/>
          <w:sz w:val="12"/>
          <w:szCs w:val="12"/>
          <w:color w:val="auto"/>
        </w:rPr>
      </w:pPr>
      <w:r>
        <w:rPr>
          <w:rFonts w:ascii="Arial" w:cs="Arial" w:eastAsia="Arial" w:hAnsi="Arial"/>
          <w:sz w:val="12"/>
          <w:szCs w:val="12"/>
          <w:color w:val="auto"/>
        </w:rPr>
        <w:t>8,737</w:t>
      </w:r>
    </w:p>
    <w:p>
      <w:pPr>
        <w:spacing w:after="0" w:line="15" w:lineRule="exact"/>
        <w:rPr>
          <w:rFonts w:ascii="Arial" w:cs="Arial" w:eastAsia="Arial" w:hAnsi="Arial"/>
          <w:sz w:val="12"/>
          <w:szCs w:val="12"/>
          <w:color w:val="auto"/>
        </w:rPr>
      </w:pPr>
    </w:p>
    <w:p>
      <w:pPr>
        <w:ind w:left="83"/>
        <w:spacing w:after="0"/>
        <w:rPr>
          <w:rFonts w:ascii="Arial" w:cs="Arial" w:eastAsia="Arial" w:hAnsi="Arial"/>
          <w:sz w:val="12"/>
          <w:szCs w:val="12"/>
          <w:color w:val="auto"/>
        </w:rPr>
      </w:pPr>
      <w:r>
        <w:rPr>
          <w:rFonts w:ascii="Arial" w:cs="Arial" w:eastAsia="Arial" w:hAnsi="Arial"/>
          <w:sz w:val="12"/>
          <w:szCs w:val="12"/>
          <w:color w:val="auto"/>
        </w:rPr>
        <w:t>8,349</w:t>
      </w:r>
    </w:p>
    <w:p>
      <w:pPr>
        <w:spacing w:after="0" w:line="15" w:lineRule="exact"/>
        <w:rPr>
          <w:rFonts w:ascii="Arial" w:cs="Arial" w:eastAsia="Arial" w:hAnsi="Arial"/>
          <w:sz w:val="12"/>
          <w:szCs w:val="12"/>
          <w:color w:val="auto"/>
        </w:rPr>
      </w:pPr>
    </w:p>
    <w:p>
      <w:pPr>
        <w:ind w:left="83"/>
        <w:spacing w:after="0"/>
        <w:rPr>
          <w:rFonts w:ascii="Arial" w:cs="Arial" w:eastAsia="Arial" w:hAnsi="Arial"/>
          <w:sz w:val="12"/>
          <w:szCs w:val="12"/>
          <w:color w:val="auto"/>
        </w:rPr>
      </w:pPr>
      <w:r>
        <w:rPr>
          <w:rFonts w:ascii="Arial" w:cs="Arial" w:eastAsia="Arial" w:hAnsi="Arial"/>
          <w:sz w:val="12"/>
          <w:szCs w:val="12"/>
          <w:color w:val="auto"/>
        </w:rPr>
        <w:t>8,645</w:t>
      </w:r>
    </w:p>
    <w:p>
      <w:pPr>
        <w:spacing w:after="0" w:line="15" w:lineRule="exact"/>
        <w:rPr>
          <w:rFonts w:ascii="Arial" w:cs="Arial" w:eastAsia="Arial" w:hAnsi="Arial"/>
          <w:sz w:val="12"/>
          <w:szCs w:val="12"/>
          <w:color w:val="auto"/>
        </w:rPr>
      </w:pPr>
    </w:p>
    <w:p>
      <w:pPr>
        <w:ind w:left="63"/>
        <w:spacing w:after="0"/>
        <w:rPr>
          <w:rFonts w:ascii="Arial" w:cs="Arial" w:eastAsia="Arial" w:hAnsi="Arial"/>
          <w:sz w:val="12"/>
          <w:szCs w:val="12"/>
          <w:color w:val="auto"/>
        </w:rPr>
      </w:pPr>
      <w:r>
        <w:rPr>
          <w:rFonts w:ascii="Arial" w:cs="Arial" w:eastAsia="Arial" w:hAnsi="Arial"/>
          <w:sz w:val="11"/>
          <w:szCs w:val="11"/>
          <w:color w:val="auto"/>
        </w:rPr>
        <w:t>11,906</w:t>
      </w:r>
    </w:p>
    <w:p>
      <w:pPr>
        <w:spacing w:after="0" w:line="26" w:lineRule="exact"/>
        <w:rPr>
          <w:rFonts w:ascii="Arial" w:cs="Arial" w:eastAsia="Arial" w:hAnsi="Arial"/>
          <w:sz w:val="12"/>
          <w:szCs w:val="12"/>
          <w:color w:val="auto"/>
        </w:rPr>
      </w:pPr>
    </w:p>
    <w:p>
      <w:pPr>
        <w:ind w:left="83"/>
        <w:spacing w:after="0"/>
        <w:rPr>
          <w:rFonts w:ascii="Arial" w:cs="Arial" w:eastAsia="Arial" w:hAnsi="Arial"/>
          <w:sz w:val="12"/>
          <w:szCs w:val="12"/>
          <w:color w:val="auto"/>
        </w:rPr>
      </w:pPr>
      <w:r>
        <w:rPr>
          <w:rFonts w:ascii="Arial" w:cs="Arial" w:eastAsia="Arial" w:hAnsi="Arial"/>
          <w:sz w:val="12"/>
          <w:szCs w:val="12"/>
          <w:color w:val="auto"/>
        </w:rPr>
        <w:t>8,923</w:t>
      </w:r>
    </w:p>
    <w:p>
      <w:pPr>
        <w:spacing w:after="0" w:line="15" w:lineRule="exact"/>
        <w:rPr>
          <w:rFonts w:ascii="Arial" w:cs="Arial" w:eastAsia="Arial" w:hAnsi="Arial"/>
          <w:sz w:val="12"/>
          <w:szCs w:val="12"/>
          <w:color w:val="auto"/>
        </w:rPr>
      </w:pPr>
    </w:p>
    <w:p>
      <w:pPr>
        <w:ind w:left="63"/>
        <w:spacing w:after="0"/>
        <w:rPr>
          <w:rFonts w:ascii="Arial" w:cs="Arial" w:eastAsia="Arial" w:hAnsi="Arial"/>
          <w:sz w:val="12"/>
          <w:szCs w:val="12"/>
          <w:color w:val="auto"/>
        </w:rPr>
      </w:pPr>
      <w:r>
        <w:rPr>
          <w:rFonts w:ascii="Arial" w:cs="Arial" w:eastAsia="Arial" w:hAnsi="Arial"/>
          <w:sz w:val="11"/>
          <w:szCs w:val="11"/>
          <w:color w:val="auto"/>
        </w:rPr>
        <w:t>15,444</w:t>
      </w:r>
    </w:p>
    <w:p>
      <w:pPr>
        <w:spacing w:after="0" w:line="63" w:lineRule="exact"/>
        <w:rPr>
          <w:sz w:val="20"/>
          <w:szCs w:val="20"/>
          <w:color w:val="auto"/>
        </w:rPr>
      </w:pPr>
    </w:p>
    <w:p>
      <w:pPr>
        <w:jc w:val="right"/>
        <w:ind w:right="620"/>
        <w:spacing w:after="0"/>
        <w:rPr>
          <w:sz w:val="20"/>
          <w:szCs w:val="20"/>
          <w:color w:val="auto"/>
        </w:rPr>
      </w:pPr>
      <w:r>
        <w:rPr>
          <w:rFonts w:ascii="Arial" w:cs="Arial" w:eastAsia="Arial" w:hAnsi="Arial"/>
          <w:sz w:val="10"/>
          <w:szCs w:val="10"/>
          <w:color w:val="auto"/>
        </w:rPr>
        <w:t>$62,004</w:t>
      </w:r>
    </w:p>
    <w:p>
      <w:pPr>
        <w:spacing w:after="0" w:line="74" w:lineRule="exact"/>
        <w:rPr>
          <w:sz w:val="20"/>
          <w:szCs w:val="20"/>
          <w:color w:val="auto"/>
        </w:rPr>
      </w:pPr>
    </w:p>
    <w:p>
      <w:pPr>
        <w:jc w:val="right"/>
        <w:ind w:right="580"/>
        <w:spacing w:after="0"/>
        <w:rPr>
          <w:sz w:val="20"/>
          <w:szCs w:val="20"/>
          <w:color w:val="auto"/>
        </w:rPr>
      </w:pPr>
      <w:r>
        <w:rPr>
          <w:rFonts w:ascii="Arial" w:cs="Arial" w:eastAsia="Arial" w:hAnsi="Arial"/>
          <w:sz w:val="12"/>
          <w:szCs w:val="12"/>
          <w:color w:val="auto"/>
        </w:rPr>
        <w:t>(8,737)</w:t>
      </w:r>
    </w:p>
    <w:p>
      <w:pPr>
        <w:spacing w:after="0" w:line="51" w:lineRule="exact"/>
        <w:rPr>
          <w:sz w:val="20"/>
          <w:szCs w:val="20"/>
          <w:color w:val="auto"/>
        </w:rPr>
      </w:pPr>
    </w:p>
    <w:p>
      <w:pPr>
        <w:jc w:val="right"/>
        <w:ind w:right="620"/>
        <w:spacing w:after="0"/>
        <w:rPr>
          <w:sz w:val="20"/>
          <w:szCs w:val="20"/>
          <w:color w:val="auto"/>
        </w:rPr>
      </w:pPr>
      <w:r>
        <w:rPr>
          <w:rFonts w:ascii="Arial" w:cs="Arial" w:eastAsia="Arial" w:hAnsi="Arial"/>
          <w:sz w:val="10"/>
          <w:szCs w:val="10"/>
          <w:u w:val="single" w:color="auto"/>
          <w:color w:val="auto"/>
        </w:rPr>
        <w:t>$53,267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25146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677" w:space="720"/>
            <w:col w:w="1003"/>
          </w:cols>
          <w:pgMar w:left="220" w:top="134" w:right="279" w:bottom="1440" w:gutter="0" w:footer="0" w:header="0"/>
          <w:type w:val="continuous"/>
        </w:sectPr>
      </w:pP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177165</wp:posOffset>
            </wp:positionV>
            <wp:extent cx="731774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00"/>
          </w:cols>
          <w:pgMar w:left="220" w:top="134" w:right="279" w:bottom="1440" w:gutter="0" w:footer="0" w:header="0"/>
          <w:type w:val="continuous"/>
        </w:sectPr>
      </w:pPr>
    </w:p>
    <w:bookmarkStart w:id="84" w:name="page85"/>
    <w:bookmarkEnd w:id="84"/>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Revenue Recognition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Disaggregation of Revenue</w:t>
      </w:r>
    </w:p>
    <w:p>
      <w:pPr>
        <w:spacing w:after="0" w:line="96" w:lineRule="exact"/>
        <w:rPr>
          <w:sz w:val="20"/>
          <w:szCs w:val="20"/>
          <w:color w:val="auto"/>
        </w:rPr>
      </w:pPr>
    </w:p>
    <w:p>
      <w:pPr>
        <w:ind w:firstLine="240"/>
        <w:spacing w:after="0" w:line="286" w:lineRule="auto"/>
        <w:rPr>
          <w:sz w:val="20"/>
          <w:szCs w:val="20"/>
          <w:color w:val="auto"/>
        </w:rPr>
      </w:pPr>
      <w:r>
        <w:rPr>
          <w:rFonts w:ascii="Arial" w:cs="Arial" w:eastAsia="Arial" w:hAnsi="Arial"/>
          <w:sz w:val="11"/>
          <w:szCs w:val="11"/>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66" w:lineRule="exact"/>
        <w:rPr>
          <w:sz w:val="20"/>
          <w:szCs w:val="20"/>
          <w:color w:val="auto"/>
        </w:rPr>
      </w:pPr>
    </w:p>
    <w:p>
      <w:pPr>
        <w:ind w:right="40" w:firstLine="240"/>
        <w:spacing w:after="0" w:line="254" w:lineRule="auto"/>
        <w:rPr>
          <w:sz w:val="20"/>
          <w:szCs w:val="20"/>
          <w:color w:val="auto"/>
        </w:rPr>
      </w:pPr>
      <w:r>
        <w:rPr>
          <w:rFonts w:ascii="Arial" w:cs="Arial" w:eastAsia="Arial" w:hAnsi="Arial"/>
          <w:sz w:val="12"/>
          <w:szCs w:val="12"/>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16–Segment Information to the Financial Statements.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components of the Company’s revenue by contract type were as follows for the year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T&amp;D</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0"/>
                <w:szCs w:val="10"/>
                <w:b w:val="1"/>
                <w:bCs w:val="1"/>
                <w:color w:val="auto"/>
              </w:rPr>
              <w:t>C&amp;I</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0"/>
                <w:szCs w:val="10"/>
                <w:b w:val="1"/>
                <w:bCs w:val="1"/>
                <w:color w:val="auto"/>
                <w:w w:val="91"/>
              </w:rPr>
              <w:t>Total</w:t>
            </w:r>
          </w:p>
        </w:tc>
        <w:tc>
          <w:tcPr>
            <w:tcW w:w="20" w:type="dxa"/>
            <w:vAlign w:val="bottom"/>
          </w:tcPr>
          <w:p>
            <w:pPr>
              <w:spacing w:after="0"/>
              <w:rPr>
                <w:sz w:val="12"/>
                <w:szCs w:val="12"/>
                <w:color w:val="auto"/>
              </w:rPr>
            </w:pPr>
          </w:p>
        </w:tc>
      </w:tr>
      <w:tr>
        <w:trPr>
          <w:trHeight w:val="142"/>
        </w:trPr>
        <w:tc>
          <w:tcPr>
            <w:tcW w:w="50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3"/>
          </w:tcPr>
          <w:p>
            <w:pPr>
              <w:spacing w:after="0"/>
              <w:rPr>
                <w:sz w:val="12"/>
                <w:szCs w:val="12"/>
                <w:color w:val="auto"/>
              </w:rPr>
            </w:pPr>
          </w:p>
        </w:tc>
        <w:tc>
          <w:tcPr>
            <w:tcW w:w="88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Percent</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Amount</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Percent</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95"/>
              </w:rPr>
              <w:t>Amount</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Percent</w:t>
            </w:r>
          </w:p>
        </w:tc>
        <w:tc>
          <w:tcPr>
            <w:tcW w:w="20" w:type="dxa"/>
            <w:vAlign w:val="bottom"/>
            <w:tcBorders>
              <w:bottom w:val="single" w:sz="8" w:color="CCEEFF"/>
            </w:tcBorders>
          </w:tcPr>
          <w:p>
            <w:pPr>
              <w:spacing w:after="0"/>
              <w:rPr>
                <w:sz w:val="12"/>
                <w:szCs w:val="12"/>
                <w:color w:val="auto"/>
              </w:rPr>
            </w:pPr>
          </w:p>
        </w:tc>
      </w:tr>
      <w:tr>
        <w:trPr>
          <w:trHeight w:val="169"/>
        </w:trPr>
        <w:tc>
          <w:tcPr>
            <w:tcW w:w="55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Fixed price</w:t>
            </w:r>
          </w:p>
        </w:tc>
        <w:tc>
          <w:tcPr>
            <w:tcW w:w="600" w:type="dxa"/>
            <w:vAlign w:val="bottom"/>
            <w:tcBorders>
              <w:right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2"/>
                <w:szCs w:val="12"/>
                <w:color w:val="auto"/>
                <w:w w:val="91"/>
              </w:rPr>
              <w:t>$  564,251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49.7%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7"/>
              </w:rPr>
              <w:t>$704,743</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75.2%</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1,268,994</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61.3%</w:t>
            </w:r>
          </w:p>
        </w:tc>
        <w:tc>
          <w:tcPr>
            <w:tcW w:w="20" w:type="dxa"/>
            <w:vAlign w:val="bottom"/>
            <w:shd w:val="clear" w:color="auto" w:fill="CCEEFF"/>
          </w:tcPr>
          <w:p>
            <w:pPr>
              <w:spacing w:after="0"/>
              <w:rPr>
                <w:sz w:val="14"/>
                <w:szCs w:val="14"/>
                <w:color w:val="auto"/>
              </w:rPr>
            </w:pPr>
          </w:p>
        </w:tc>
      </w:tr>
      <w:tr>
        <w:trPr>
          <w:trHeight w:val="171"/>
        </w:trPr>
        <w:tc>
          <w:tcPr>
            <w:tcW w:w="5540" w:type="dxa"/>
            <w:vAlign w:val="bottom"/>
            <w:gridSpan w:val="5"/>
          </w:tcPr>
          <w:p>
            <w:pPr>
              <w:spacing w:after="0"/>
              <w:rPr>
                <w:sz w:val="20"/>
                <w:szCs w:val="20"/>
                <w:color w:val="auto"/>
              </w:rPr>
            </w:pPr>
            <w:r>
              <w:rPr>
                <w:rFonts w:ascii="Arial" w:cs="Arial" w:eastAsia="Arial" w:hAnsi="Arial"/>
                <w:sz w:val="12"/>
                <w:szCs w:val="12"/>
                <w:color w:val="auto"/>
              </w:rPr>
              <w:t>Unit price</w:t>
            </w:r>
          </w:p>
        </w:tc>
        <w:tc>
          <w:tcPr>
            <w:tcW w:w="600" w:type="dxa"/>
            <w:vAlign w:val="bottom"/>
            <w:gridSpan w:val="2"/>
          </w:tcPr>
          <w:p>
            <w:pPr>
              <w:jc w:val="right"/>
              <w:ind w:right="6"/>
              <w:spacing w:after="0"/>
              <w:rPr>
                <w:sz w:val="20"/>
                <w:szCs w:val="20"/>
                <w:color w:val="auto"/>
              </w:rPr>
            </w:pPr>
            <w:r>
              <w:rPr>
                <w:rFonts w:ascii="Arial" w:cs="Arial" w:eastAsia="Arial" w:hAnsi="Arial"/>
                <w:sz w:val="12"/>
                <w:szCs w:val="12"/>
                <w:color w:val="auto"/>
              </w:rPr>
              <w:t>228,223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20.1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54,433</w:t>
            </w:r>
          </w:p>
        </w:tc>
        <w:tc>
          <w:tcPr>
            <w:tcW w:w="880" w:type="dxa"/>
            <w:vAlign w:val="bottom"/>
            <w:gridSpan w:val="4"/>
          </w:tcPr>
          <w:p>
            <w:pPr>
              <w:jc w:val="right"/>
              <w:spacing w:after="0"/>
              <w:rPr>
                <w:sz w:val="20"/>
                <w:szCs w:val="20"/>
                <w:color w:val="auto"/>
              </w:rPr>
            </w:pPr>
            <w:r>
              <w:rPr>
                <w:rFonts w:ascii="Arial" w:cs="Arial" w:eastAsia="Arial" w:hAnsi="Arial"/>
                <w:sz w:val="12"/>
                <w:szCs w:val="12"/>
                <w:color w:val="auto"/>
              </w:rPr>
              <w:t>5.8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282,656</w:t>
            </w:r>
          </w:p>
        </w:tc>
        <w:tc>
          <w:tcPr>
            <w:tcW w:w="1180" w:type="dxa"/>
            <w:vAlign w:val="bottom"/>
            <w:gridSpan w:val="5"/>
          </w:tcPr>
          <w:p>
            <w:pPr>
              <w:jc w:val="right"/>
              <w:ind w:right="200"/>
              <w:spacing w:after="0"/>
              <w:rPr>
                <w:sz w:val="20"/>
                <w:szCs w:val="20"/>
                <w:color w:val="auto"/>
              </w:rPr>
            </w:pPr>
            <w:r>
              <w:rPr>
                <w:rFonts w:ascii="Arial" w:cs="Arial" w:eastAsia="Arial" w:hAnsi="Arial"/>
                <w:sz w:val="12"/>
                <w:szCs w:val="12"/>
                <w:color w:val="auto"/>
              </w:rPr>
              <w:t>13.6</w:t>
            </w:r>
          </w:p>
        </w:tc>
        <w:tc>
          <w:tcPr>
            <w:tcW w:w="20" w:type="dxa"/>
            <w:vAlign w:val="bottom"/>
          </w:tcPr>
          <w:p>
            <w:pPr>
              <w:spacing w:after="0"/>
              <w:rPr>
                <w:sz w:val="14"/>
                <w:szCs w:val="14"/>
                <w:color w:val="auto"/>
              </w:rPr>
            </w:pPr>
          </w:p>
        </w:tc>
      </w:tr>
      <w:tr>
        <w:trPr>
          <w:trHeight w:val="171"/>
        </w:trPr>
        <w:tc>
          <w:tcPr>
            <w:tcW w:w="55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T&amp;E</w:t>
            </w:r>
          </w:p>
        </w:tc>
        <w:tc>
          <w:tcPr>
            <w:tcW w:w="600" w:type="dxa"/>
            <w:vAlign w:val="bottom"/>
            <w:tcBorders>
              <w:right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2"/>
                <w:szCs w:val="12"/>
                <w:color w:val="auto"/>
              </w:rPr>
              <w:t>316,943</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27.9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101,770</w:t>
            </w: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2"/>
                <w:szCs w:val="12"/>
                <w:color w:val="auto"/>
              </w:rPr>
              <w:t>10.9</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418,713</w:t>
            </w:r>
          </w:p>
        </w:tc>
        <w:tc>
          <w:tcPr>
            <w:tcW w:w="1180" w:type="dxa"/>
            <w:vAlign w:val="bottom"/>
            <w:gridSpan w:val="5"/>
            <w:shd w:val="clear" w:color="auto" w:fill="CCEEFF"/>
          </w:tcPr>
          <w:p>
            <w:pPr>
              <w:jc w:val="right"/>
              <w:ind w:right="200"/>
              <w:spacing w:after="0"/>
              <w:rPr>
                <w:sz w:val="20"/>
                <w:szCs w:val="20"/>
                <w:color w:val="auto"/>
              </w:rPr>
            </w:pPr>
            <w:r>
              <w:rPr>
                <w:rFonts w:ascii="Arial" w:cs="Arial" w:eastAsia="Arial" w:hAnsi="Arial"/>
                <w:sz w:val="12"/>
                <w:szCs w:val="12"/>
                <w:color w:val="auto"/>
              </w:rPr>
              <w:t>20.2</w:t>
            </w:r>
          </w:p>
        </w:tc>
        <w:tc>
          <w:tcPr>
            <w:tcW w:w="20" w:type="dxa"/>
            <w:vAlign w:val="bottom"/>
            <w:shd w:val="clear" w:color="auto" w:fill="CCEEFF"/>
          </w:tcPr>
          <w:p>
            <w:pPr>
              <w:spacing w:after="0"/>
              <w:rPr>
                <w:sz w:val="14"/>
                <w:szCs w:val="14"/>
                <w:color w:val="auto"/>
              </w:rPr>
            </w:pPr>
          </w:p>
        </w:tc>
      </w:tr>
      <w:tr>
        <w:trPr>
          <w:trHeight w:val="176"/>
        </w:trPr>
        <w:tc>
          <w:tcPr>
            <w:tcW w:w="5540" w:type="dxa"/>
            <w:vAlign w:val="bottom"/>
            <w:gridSpan w:val="5"/>
          </w:tcPr>
          <w:p>
            <w:pPr>
              <w:spacing w:after="0"/>
              <w:rPr>
                <w:sz w:val="20"/>
                <w:szCs w:val="20"/>
                <w:color w:val="auto"/>
              </w:rPr>
            </w:pPr>
            <w:r>
              <w:rPr>
                <w:rFonts w:ascii="Arial" w:cs="Arial" w:eastAsia="Arial" w:hAnsi="Arial"/>
                <w:sz w:val="12"/>
                <w:szCs w:val="12"/>
                <w:color w:val="auto"/>
              </w:rPr>
              <w:t>Other</w:t>
            </w:r>
          </w:p>
        </w:tc>
        <w:tc>
          <w:tcPr>
            <w:tcW w:w="600" w:type="dxa"/>
            <w:vAlign w:val="bottom"/>
            <w:gridSpan w:val="2"/>
          </w:tcPr>
          <w:p>
            <w:pPr>
              <w:jc w:val="right"/>
              <w:ind w:right="6"/>
              <w:spacing w:after="0"/>
              <w:rPr>
                <w:sz w:val="20"/>
                <w:szCs w:val="20"/>
                <w:color w:val="auto"/>
              </w:rPr>
            </w:pPr>
            <w:r>
              <w:rPr>
                <w:rFonts w:ascii="Arial" w:cs="Arial" w:eastAsia="Arial" w:hAnsi="Arial"/>
                <w:sz w:val="12"/>
                <w:szCs w:val="12"/>
                <w:color w:val="auto"/>
              </w:rPr>
              <w:t>24,994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75,802</w:t>
            </w:r>
          </w:p>
        </w:tc>
        <w:tc>
          <w:tcPr>
            <w:tcW w:w="880" w:type="dxa"/>
            <w:vAlign w:val="bottom"/>
            <w:gridSpan w:val="4"/>
          </w:tcPr>
          <w:p>
            <w:pPr>
              <w:jc w:val="right"/>
              <w:spacing w:after="0"/>
              <w:rPr>
                <w:sz w:val="20"/>
                <w:szCs w:val="20"/>
                <w:color w:val="auto"/>
              </w:rPr>
            </w:pPr>
            <w:r>
              <w:rPr>
                <w:rFonts w:ascii="Arial" w:cs="Arial" w:eastAsia="Arial" w:hAnsi="Arial"/>
                <w:sz w:val="12"/>
                <w:szCs w:val="12"/>
                <w:color w:val="auto"/>
              </w:rPr>
              <w:t>8.1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100,796</w:t>
            </w:r>
          </w:p>
        </w:tc>
        <w:tc>
          <w:tcPr>
            <w:tcW w:w="1180" w:type="dxa"/>
            <w:vAlign w:val="bottom"/>
            <w:gridSpan w:val="5"/>
          </w:tcPr>
          <w:p>
            <w:pPr>
              <w:jc w:val="right"/>
              <w:ind w:right="200"/>
              <w:spacing w:after="0"/>
              <w:rPr>
                <w:sz w:val="20"/>
                <w:szCs w:val="20"/>
                <w:color w:val="auto"/>
              </w:rPr>
            </w:pPr>
            <w:r>
              <w:rPr>
                <w:rFonts w:ascii="Arial" w:cs="Arial" w:eastAsia="Arial" w:hAnsi="Arial"/>
                <w:sz w:val="12"/>
                <w:szCs w:val="12"/>
                <w:color w:val="auto"/>
              </w:rPr>
              <w:t>4.9</w:t>
            </w:r>
          </w:p>
        </w:tc>
        <w:tc>
          <w:tcPr>
            <w:tcW w:w="20" w:type="dxa"/>
            <w:vAlign w:val="bottom"/>
          </w:tcPr>
          <w:p>
            <w:pPr>
              <w:spacing w:after="0"/>
              <w:rPr>
                <w:sz w:val="15"/>
                <w:szCs w:val="15"/>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5"/>
        </w:trPr>
        <w:tc>
          <w:tcPr>
            <w:tcW w:w="5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2"/>
                <w:szCs w:val="12"/>
                <w:u w:val="single" w:color="auto"/>
                <w:color w:val="auto"/>
                <w:w w:val="86"/>
              </w:rPr>
              <w:t>$</w:t>
            </w:r>
            <w:r>
              <w:rPr>
                <w:rFonts w:ascii="Arial" w:cs="Arial" w:eastAsia="Arial" w:hAnsi="Arial"/>
                <w:sz w:val="12"/>
                <w:szCs w:val="12"/>
                <w:color w:val="auto"/>
                <w:w w:val="86"/>
              </w:rPr>
              <w:t>1,134,411</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100.</w:t>
            </w:r>
            <w:r>
              <w:rPr>
                <w:rFonts w:ascii="Arial" w:cs="Arial" w:eastAsia="Arial" w:hAnsi="Arial"/>
                <w:sz w:val="12"/>
                <w:szCs w:val="12"/>
                <w:u w:val="single" w:color="auto"/>
                <w:color w:val="auto"/>
              </w:rPr>
              <w:t>0</w:t>
            </w: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936,748</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100.</w:t>
            </w:r>
            <w:r>
              <w:rPr>
                <w:rFonts w:ascii="Arial" w:cs="Arial" w:eastAsia="Arial" w:hAnsi="Arial"/>
                <w:sz w:val="12"/>
                <w:szCs w:val="12"/>
                <w:u w:val="single" w:color="auto"/>
                <w:color w:val="auto"/>
              </w:rPr>
              <w:t>0</w:t>
            </w: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u w:val="single" w:color="auto"/>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2,071,159</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100.</w:t>
            </w:r>
            <w:r>
              <w:rPr>
                <w:rFonts w:ascii="Arial" w:cs="Arial" w:eastAsia="Arial" w:hAnsi="Arial"/>
                <w:sz w:val="12"/>
                <w:szCs w:val="12"/>
                <w:u w:val="single" w:color="auto"/>
                <w:color w:val="auto"/>
              </w:rPr>
              <w:t>0</w:t>
            </w: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r>
      <w:tr>
        <w:trPr>
          <w:trHeight w:val="303"/>
        </w:trPr>
        <w:tc>
          <w:tcPr>
            <w:tcW w:w="50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2018</w:t>
            </w:r>
          </w:p>
        </w:tc>
        <w:tc>
          <w:tcPr>
            <w:tcW w:w="1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42"/>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T&amp;D</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0"/>
                <w:szCs w:val="10"/>
                <w:b w:val="1"/>
                <w:bCs w:val="1"/>
                <w:color w:val="auto"/>
              </w:rPr>
              <w:t>C&amp;I</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0"/>
                <w:szCs w:val="10"/>
                <w:b w:val="1"/>
                <w:bCs w:val="1"/>
                <w:color w:val="auto"/>
                <w:w w:val="91"/>
              </w:rPr>
              <w:t>Total</w:t>
            </w:r>
          </w:p>
        </w:tc>
        <w:tc>
          <w:tcPr>
            <w:tcW w:w="20" w:type="dxa"/>
            <w:vAlign w:val="bottom"/>
          </w:tcPr>
          <w:p>
            <w:pPr>
              <w:spacing w:after="0"/>
              <w:rPr>
                <w:sz w:val="12"/>
                <w:szCs w:val="12"/>
                <w:color w:val="auto"/>
              </w:rPr>
            </w:pPr>
          </w:p>
        </w:tc>
      </w:tr>
      <w:tr>
        <w:trPr>
          <w:trHeight w:val="142"/>
        </w:trPr>
        <w:tc>
          <w:tcPr>
            <w:tcW w:w="524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Percent</w:t>
            </w:r>
          </w:p>
        </w:tc>
        <w:tc>
          <w:tcPr>
            <w:tcW w:w="160" w:type="dxa"/>
            <w:vAlign w:val="bottom"/>
            <w:tcBorders>
              <w:bottom w:val="single" w:sz="8" w:color="CCEEFF"/>
            </w:tcBorders>
            <w:gridSpan w:val="2"/>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Amount</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Percent</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95"/>
              </w:rPr>
              <w:t>Amount</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Percent</w:t>
            </w:r>
          </w:p>
        </w:tc>
        <w:tc>
          <w:tcPr>
            <w:tcW w:w="20" w:type="dxa"/>
            <w:vAlign w:val="bottom"/>
            <w:tcBorders>
              <w:bottom w:val="single" w:sz="8" w:color="CCEEFF"/>
            </w:tcBorders>
          </w:tcPr>
          <w:p>
            <w:pPr>
              <w:spacing w:after="0"/>
              <w:rPr>
                <w:sz w:val="12"/>
                <w:szCs w:val="12"/>
                <w:color w:val="auto"/>
              </w:rPr>
            </w:pPr>
          </w:p>
        </w:tc>
      </w:tr>
      <w:tr>
        <w:trPr>
          <w:trHeight w:val="151"/>
        </w:trPr>
        <w:tc>
          <w:tcPr>
            <w:tcW w:w="55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Fixed price</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$361,699</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40.5%</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7"/>
              </w:rPr>
              <w:t>$452,732</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71.0%</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814,431</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53.2%</w:t>
            </w:r>
          </w:p>
        </w:tc>
        <w:tc>
          <w:tcPr>
            <w:tcW w:w="20" w:type="dxa"/>
            <w:vAlign w:val="bottom"/>
            <w:shd w:val="clear" w:color="auto" w:fill="CCEEFF"/>
          </w:tcPr>
          <w:p>
            <w:pPr>
              <w:spacing w:after="0"/>
              <w:rPr>
                <w:sz w:val="13"/>
                <w:szCs w:val="13"/>
                <w:color w:val="auto"/>
              </w:rPr>
            </w:pPr>
          </w:p>
        </w:tc>
      </w:tr>
      <w:tr>
        <w:trPr>
          <w:trHeight w:val="153"/>
        </w:trPr>
        <w:tc>
          <w:tcPr>
            <w:tcW w:w="5540" w:type="dxa"/>
            <w:vAlign w:val="bottom"/>
            <w:gridSpan w:val="5"/>
          </w:tcPr>
          <w:p>
            <w:pPr>
              <w:spacing w:after="0"/>
              <w:rPr>
                <w:sz w:val="20"/>
                <w:szCs w:val="20"/>
                <w:color w:val="auto"/>
              </w:rPr>
            </w:pPr>
            <w:r>
              <w:rPr>
                <w:rFonts w:ascii="Arial" w:cs="Arial" w:eastAsia="Arial" w:hAnsi="Arial"/>
                <w:sz w:val="12"/>
                <w:szCs w:val="12"/>
                <w:color w:val="auto"/>
              </w:rPr>
              <w:t>Unit Price</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181,179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2"/>
                <w:szCs w:val="12"/>
                <w:color w:val="auto"/>
              </w:rPr>
              <w:t>20.3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51,590</w:t>
            </w:r>
          </w:p>
        </w:tc>
        <w:tc>
          <w:tcPr>
            <w:tcW w:w="880" w:type="dxa"/>
            <w:vAlign w:val="bottom"/>
            <w:gridSpan w:val="4"/>
          </w:tcPr>
          <w:p>
            <w:pPr>
              <w:jc w:val="right"/>
              <w:spacing w:after="0"/>
              <w:rPr>
                <w:sz w:val="20"/>
                <w:szCs w:val="20"/>
                <w:color w:val="auto"/>
              </w:rPr>
            </w:pPr>
            <w:r>
              <w:rPr>
                <w:rFonts w:ascii="Arial" w:cs="Arial" w:eastAsia="Arial" w:hAnsi="Arial"/>
                <w:sz w:val="12"/>
                <w:szCs w:val="12"/>
                <w:color w:val="auto"/>
              </w:rPr>
              <w:t>8.1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232,769</w:t>
            </w:r>
          </w:p>
        </w:tc>
        <w:tc>
          <w:tcPr>
            <w:tcW w:w="1180" w:type="dxa"/>
            <w:vAlign w:val="bottom"/>
            <w:gridSpan w:val="5"/>
          </w:tcPr>
          <w:p>
            <w:pPr>
              <w:jc w:val="right"/>
              <w:ind w:right="200"/>
              <w:spacing w:after="0"/>
              <w:rPr>
                <w:sz w:val="20"/>
                <w:szCs w:val="20"/>
                <w:color w:val="auto"/>
              </w:rPr>
            </w:pPr>
            <w:r>
              <w:rPr>
                <w:rFonts w:ascii="Arial" w:cs="Arial" w:eastAsia="Arial" w:hAnsi="Arial"/>
                <w:sz w:val="12"/>
                <w:szCs w:val="12"/>
                <w:color w:val="auto"/>
              </w:rPr>
              <w:t>15.2</w:t>
            </w:r>
          </w:p>
        </w:tc>
        <w:tc>
          <w:tcPr>
            <w:tcW w:w="20" w:type="dxa"/>
            <w:vAlign w:val="bottom"/>
          </w:tcPr>
          <w:p>
            <w:pPr>
              <w:spacing w:after="0"/>
              <w:rPr>
                <w:sz w:val="13"/>
                <w:szCs w:val="13"/>
                <w:color w:val="auto"/>
              </w:rPr>
            </w:pPr>
          </w:p>
        </w:tc>
      </w:tr>
      <w:tr>
        <w:trPr>
          <w:trHeight w:val="153"/>
        </w:trPr>
        <w:tc>
          <w:tcPr>
            <w:tcW w:w="554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T&amp;E</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305,581</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34.2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34,938</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340,519</w:t>
            </w:r>
          </w:p>
        </w:tc>
        <w:tc>
          <w:tcPr>
            <w:tcW w:w="1180" w:type="dxa"/>
            <w:vAlign w:val="bottom"/>
            <w:gridSpan w:val="5"/>
            <w:shd w:val="clear" w:color="auto" w:fill="CCEEFF"/>
          </w:tcPr>
          <w:p>
            <w:pPr>
              <w:jc w:val="right"/>
              <w:ind w:right="200"/>
              <w:spacing w:after="0"/>
              <w:rPr>
                <w:sz w:val="20"/>
                <w:szCs w:val="20"/>
                <w:color w:val="auto"/>
              </w:rPr>
            </w:pPr>
            <w:r>
              <w:rPr>
                <w:rFonts w:ascii="Arial" w:cs="Arial" w:eastAsia="Arial" w:hAnsi="Arial"/>
                <w:sz w:val="12"/>
                <w:szCs w:val="12"/>
                <w:color w:val="auto"/>
              </w:rPr>
              <w:t>22.2</w:t>
            </w:r>
          </w:p>
        </w:tc>
        <w:tc>
          <w:tcPr>
            <w:tcW w:w="20" w:type="dxa"/>
            <w:vAlign w:val="bottom"/>
            <w:shd w:val="clear" w:color="auto" w:fill="CCEEFF"/>
          </w:tcPr>
          <w:p>
            <w:pPr>
              <w:spacing w:after="0"/>
              <w:rPr>
                <w:sz w:val="13"/>
                <w:szCs w:val="13"/>
                <w:color w:val="auto"/>
              </w:rPr>
            </w:pPr>
          </w:p>
        </w:tc>
      </w:tr>
      <w:tr>
        <w:trPr>
          <w:trHeight w:val="176"/>
        </w:trPr>
        <w:tc>
          <w:tcPr>
            <w:tcW w:w="5540" w:type="dxa"/>
            <w:vAlign w:val="bottom"/>
            <w:gridSpan w:val="5"/>
          </w:tcPr>
          <w:p>
            <w:pPr>
              <w:spacing w:after="0"/>
              <w:rPr>
                <w:sz w:val="20"/>
                <w:szCs w:val="20"/>
                <w:color w:val="auto"/>
              </w:rPr>
            </w:pPr>
            <w:r>
              <w:rPr>
                <w:rFonts w:ascii="Arial" w:cs="Arial" w:eastAsia="Arial" w:hAnsi="Arial"/>
                <w:sz w:val="12"/>
                <w:szCs w:val="12"/>
                <w:color w:val="auto"/>
              </w:rPr>
              <w:t>Other</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44,649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98,801</w:t>
            </w:r>
          </w:p>
        </w:tc>
        <w:tc>
          <w:tcPr>
            <w:tcW w:w="1060" w:type="dxa"/>
            <w:vAlign w:val="bottom"/>
            <w:gridSpan w:val="5"/>
          </w:tcPr>
          <w:p>
            <w:pPr>
              <w:jc w:val="right"/>
              <w:ind w:right="180"/>
              <w:spacing w:after="0"/>
              <w:rPr>
                <w:sz w:val="20"/>
                <w:szCs w:val="20"/>
                <w:color w:val="auto"/>
              </w:rPr>
            </w:pPr>
            <w:r>
              <w:rPr>
                <w:rFonts w:ascii="Arial" w:cs="Arial" w:eastAsia="Arial" w:hAnsi="Arial"/>
                <w:sz w:val="12"/>
                <w:szCs w:val="12"/>
                <w:color w:val="auto"/>
              </w:rPr>
              <w:t>15.5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143,450</w:t>
            </w:r>
          </w:p>
        </w:tc>
        <w:tc>
          <w:tcPr>
            <w:tcW w:w="1180" w:type="dxa"/>
            <w:vAlign w:val="bottom"/>
            <w:gridSpan w:val="5"/>
          </w:tcPr>
          <w:p>
            <w:pPr>
              <w:jc w:val="right"/>
              <w:ind w:right="200"/>
              <w:spacing w:after="0"/>
              <w:rPr>
                <w:sz w:val="20"/>
                <w:szCs w:val="20"/>
                <w:color w:val="auto"/>
              </w:rPr>
            </w:pPr>
            <w:r>
              <w:rPr>
                <w:rFonts w:ascii="Arial" w:cs="Arial" w:eastAsia="Arial" w:hAnsi="Arial"/>
                <w:sz w:val="12"/>
                <w:szCs w:val="12"/>
                <w:color w:val="auto"/>
              </w:rPr>
              <w:t>9.4</w:t>
            </w:r>
          </w:p>
        </w:tc>
        <w:tc>
          <w:tcPr>
            <w:tcW w:w="20" w:type="dxa"/>
            <w:vAlign w:val="bottom"/>
          </w:tcPr>
          <w:p>
            <w:pPr>
              <w:spacing w:after="0"/>
              <w:rPr>
                <w:sz w:val="15"/>
                <w:szCs w:val="15"/>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gridSpan w:val="3"/>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gridSpan w:val="3"/>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65"/>
        </w:trPr>
        <w:tc>
          <w:tcPr>
            <w:tcW w:w="5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893,108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100.</w:t>
            </w:r>
            <w:r>
              <w:rPr>
                <w:rFonts w:ascii="Arial" w:cs="Arial" w:eastAsia="Arial" w:hAnsi="Arial"/>
                <w:sz w:val="12"/>
                <w:szCs w:val="12"/>
                <w:u w:val="single" w:color="auto"/>
                <w:color w:val="auto"/>
              </w:rPr>
              <w:t>0</w:t>
            </w: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638,061</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100.</w:t>
            </w:r>
            <w:r>
              <w:rPr>
                <w:rFonts w:ascii="Arial" w:cs="Arial" w:eastAsia="Arial" w:hAnsi="Arial"/>
                <w:sz w:val="12"/>
                <w:szCs w:val="12"/>
                <w:u w:val="single" w:color="auto"/>
                <w:color w:val="auto"/>
              </w:rPr>
              <w:t>0</w:t>
            </w: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u w:val="single" w:color="auto"/>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1,531,169</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100.</w:t>
            </w:r>
            <w:r>
              <w:rPr>
                <w:rFonts w:ascii="Arial" w:cs="Arial" w:eastAsia="Arial" w:hAnsi="Arial"/>
                <w:sz w:val="12"/>
                <w:szCs w:val="12"/>
                <w:u w:val="single" w:color="auto"/>
                <w:color w:val="auto"/>
              </w:rPr>
              <w:t>0</w:t>
            </w: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r>
      <w:tr>
        <w:trPr>
          <w:trHeight w:val="27"/>
        </w:trPr>
        <w:tc>
          <w:tcPr>
            <w:tcW w:w="5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459"/>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86"/>
              <w:spacing w:after="0"/>
              <w:rPr>
                <w:sz w:val="20"/>
                <w:szCs w:val="20"/>
                <w:color w:val="auto"/>
              </w:rPr>
            </w:pPr>
            <w:r>
              <w:rPr>
                <w:rFonts w:ascii="Arial" w:cs="Arial" w:eastAsia="Arial" w:hAnsi="Arial"/>
                <w:sz w:val="12"/>
                <w:szCs w:val="12"/>
                <w:color w:val="auto"/>
              </w:rPr>
              <w:t>84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504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50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-1555115</wp:posOffset>
            </wp:positionV>
            <wp:extent cx="729234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-2000885</wp:posOffset>
            </wp:positionV>
            <wp:extent cx="571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-2000885</wp:posOffset>
            </wp:positionV>
            <wp:extent cx="9144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-2000885</wp:posOffset>
            </wp:positionV>
            <wp:extent cx="9144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-2000885</wp:posOffset>
            </wp:positionV>
            <wp:extent cx="9144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-2000885</wp:posOffset>
            </wp:positionV>
            <wp:extent cx="9144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-2000885</wp:posOffset>
            </wp:positionV>
            <wp:extent cx="9144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-2000885</wp:posOffset>
            </wp:positionV>
            <wp:extent cx="914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-600075</wp:posOffset>
            </wp:positionV>
            <wp:extent cx="729234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-1011555</wp:posOffset>
            </wp:positionV>
            <wp:extent cx="571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-1011555</wp:posOffset>
            </wp:positionV>
            <wp:extent cx="9144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-1011555</wp:posOffset>
            </wp:positionV>
            <wp:extent cx="9144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-1011555</wp:posOffset>
            </wp:positionV>
            <wp:extent cx="9144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-1011555</wp:posOffset>
            </wp:positionV>
            <wp:extent cx="9144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-1011555</wp:posOffset>
            </wp:positionV>
            <wp:extent cx="9144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-1011555</wp:posOffset>
            </wp:positionV>
            <wp:extent cx="9144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5" w:name="page86"/>
    <w:bookmarkEnd w:id="85"/>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components of the Company’s revenue by market type were as follows for the year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w w:val="80"/>
              </w:rPr>
              <w:t>2019</w:t>
            </w: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w w:val="80"/>
              </w:rPr>
              <w:t>2018</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Percent</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Segment</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Percent</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Segment</w:t>
            </w:r>
          </w:p>
        </w:tc>
        <w:tc>
          <w:tcPr>
            <w:tcW w:w="20" w:type="dxa"/>
            <w:vAlign w:val="bottom"/>
            <w:tcBorders>
              <w:bottom w:val="single" w:sz="8" w:color="CCEEFF"/>
            </w:tcBorders>
          </w:tcPr>
          <w:p>
            <w:pPr>
              <w:spacing w:after="0"/>
              <w:rPr>
                <w:sz w:val="12"/>
                <w:szCs w:val="12"/>
                <w:color w:val="auto"/>
              </w:rPr>
            </w:pPr>
          </w:p>
        </w:tc>
      </w:tr>
      <w:tr>
        <w:trPr>
          <w:trHeight w:val="169"/>
        </w:trPr>
        <w:tc>
          <w:tcPr>
            <w:tcW w:w="56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Transmission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772,609</w:t>
            </w:r>
          </w:p>
        </w:tc>
        <w:tc>
          <w:tcPr>
            <w:tcW w:w="1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37.3%</w:t>
            </w:r>
          </w:p>
        </w:tc>
        <w:tc>
          <w:tcPr>
            <w:tcW w:w="14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center"/>
              <w:ind w:right="520"/>
              <w:spacing w:after="0"/>
              <w:rPr>
                <w:sz w:val="20"/>
                <w:szCs w:val="20"/>
                <w:color w:val="auto"/>
              </w:rPr>
            </w:pPr>
            <w:r>
              <w:rPr>
                <w:rFonts w:ascii="Arial" w:cs="Arial" w:eastAsia="Arial" w:hAnsi="Arial"/>
                <w:sz w:val="12"/>
                <w:szCs w:val="12"/>
                <w:color w:val="auto"/>
              </w:rPr>
              <w:t>T&amp;D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559,467</w:t>
            </w:r>
          </w:p>
        </w:tc>
        <w:tc>
          <w:tcPr>
            <w:tcW w:w="1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36.5%</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T&amp;D</w:t>
            </w:r>
          </w:p>
        </w:tc>
      </w:tr>
      <w:tr>
        <w:trPr>
          <w:trHeight w:val="171"/>
        </w:trPr>
        <w:tc>
          <w:tcPr>
            <w:tcW w:w="5660" w:type="dxa"/>
            <w:vAlign w:val="bottom"/>
            <w:gridSpan w:val="3"/>
          </w:tcPr>
          <w:p>
            <w:pPr>
              <w:ind w:left="120"/>
              <w:spacing w:after="0"/>
              <w:rPr>
                <w:sz w:val="20"/>
                <w:szCs w:val="20"/>
                <w:color w:val="auto"/>
              </w:rPr>
            </w:pPr>
            <w:r>
              <w:rPr>
                <w:rFonts w:ascii="Arial" w:cs="Arial" w:eastAsia="Arial" w:hAnsi="Arial"/>
                <w:sz w:val="12"/>
                <w:szCs w:val="12"/>
                <w:color w:val="auto"/>
              </w:rPr>
              <w:t>Distribution</w:t>
            </w:r>
          </w:p>
        </w:tc>
        <w:tc>
          <w:tcPr>
            <w:tcW w:w="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361,802</w:t>
            </w:r>
          </w:p>
        </w:tc>
        <w:tc>
          <w:tcPr>
            <w:tcW w:w="14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17.5</w:t>
            </w:r>
          </w:p>
        </w:tc>
        <w:tc>
          <w:tcPr>
            <w:tcW w:w="140" w:type="dxa"/>
            <w:vAlign w:val="bottom"/>
          </w:tcPr>
          <w:p>
            <w:pPr>
              <w:spacing w:after="0"/>
              <w:rPr>
                <w:sz w:val="14"/>
                <w:szCs w:val="14"/>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2"/>
                <w:szCs w:val="12"/>
                <w:color w:val="auto"/>
              </w:rPr>
              <w:t>T&amp;D</w:t>
            </w:r>
          </w:p>
        </w:tc>
        <w:tc>
          <w:tcPr>
            <w:tcW w:w="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333,641</w:t>
            </w:r>
          </w:p>
        </w:tc>
        <w:tc>
          <w:tcPr>
            <w:tcW w:w="140" w:type="dxa"/>
            <w:vAlign w:val="bottom"/>
          </w:tcPr>
          <w:p>
            <w:pPr>
              <w:spacing w:after="0"/>
              <w:rPr>
                <w:sz w:val="14"/>
                <w:szCs w:val="1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2"/>
                <w:szCs w:val="12"/>
                <w:color w:val="auto"/>
              </w:rPr>
              <w:t>21.8</w:t>
            </w:r>
          </w:p>
        </w:tc>
        <w:tc>
          <w:tcPr>
            <w:tcW w:w="1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T&amp;D</w:t>
            </w:r>
          </w:p>
        </w:tc>
      </w:tr>
      <w:tr>
        <w:trPr>
          <w:trHeight w:val="176"/>
        </w:trPr>
        <w:tc>
          <w:tcPr>
            <w:tcW w:w="5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Electrical construction</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936,748</w:t>
            </w:r>
          </w:p>
        </w:tc>
        <w:tc>
          <w:tcPr>
            <w:tcW w:w="1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45.2</w:t>
            </w:r>
          </w:p>
        </w:tc>
        <w:tc>
          <w:tcPr>
            <w:tcW w:w="1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center"/>
              <w:ind w:right="520"/>
              <w:spacing w:after="0"/>
              <w:rPr>
                <w:sz w:val="20"/>
                <w:szCs w:val="20"/>
                <w:color w:val="auto"/>
              </w:rPr>
            </w:pPr>
            <w:r>
              <w:rPr>
                <w:rFonts w:ascii="Arial" w:cs="Arial" w:eastAsia="Arial" w:hAnsi="Arial"/>
                <w:sz w:val="12"/>
                <w:szCs w:val="12"/>
                <w:color w:val="auto"/>
              </w:rPr>
              <w:t>C&amp;I</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638,061</w:t>
            </w:r>
          </w:p>
        </w:tc>
        <w:tc>
          <w:tcPr>
            <w:tcW w:w="1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41.7</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C&amp;I</w:t>
            </w:r>
          </w:p>
        </w:tc>
      </w:tr>
      <w:tr>
        <w:trPr>
          <w:trHeight w:val="20"/>
        </w:trPr>
        <w:tc>
          <w:tcPr>
            <w:tcW w:w="5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69"/>
        </w:trPr>
        <w:tc>
          <w:tcPr>
            <w:tcW w:w="5660" w:type="dxa"/>
            <w:vAlign w:val="bottom"/>
            <w:gridSpan w:val="3"/>
          </w:tcPr>
          <w:p>
            <w:pPr>
              <w:spacing w:after="0"/>
              <w:rPr>
                <w:sz w:val="20"/>
                <w:szCs w:val="20"/>
                <w:color w:val="auto"/>
              </w:rPr>
            </w:pPr>
            <w:r>
              <w:rPr>
                <w:rFonts w:ascii="Arial" w:cs="Arial" w:eastAsia="Arial" w:hAnsi="Arial"/>
                <w:sz w:val="12"/>
                <w:szCs w:val="12"/>
                <w:color w:val="auto"/>
              </w:rPr>
              <w:t>Total revenue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2,071,159</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w w:val="86"/>
              </w:rPr>
              <w:t>1,531,169</w:t>
            </w:r>
          </w:p>
        </w:tc>
        <w:tc>
          <w:tcPr>
            <w:tcW w:w="14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2"/>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-474345</wp:posOffset>
            </wp:positionV>
            <wp:extent cx="571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-474345</wp:posOffset>
            </wp:positionV>
            <wp:extent cx="9144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-474345</wp:posOffset>
            </wp:positionV>
            <wp:extent cx="9144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-474345</wp:posOffset>
            </wp:positionV>
            <wp:extent cx="9144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-474345</wp:posOffset>
            </wp:positionV>
            <wp:extent cx="9144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-474345</wp:posOffset>
            </wp:positionV>
            <wp:extent cx="9144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-474345</wp:posOffset>
            </wp:positionV>
            <wp:extent cx="9144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Remaining Performance Obligations</w:t>
      </w:r>
    </w:p>
    <w:p>
      <w:pPr>
        <w:spacing w:after="0" w:line="96" w:lineRule="exact"/>
        <w:rPr>
          <w:sz w:val="20"/>
          <w:szCs w:val="20"/>
          <w:color w:val="auto"/>
        </w:rPr>
      </w:pPr>
    </w:p>
    <w:p>
      <w:pPr>
        <w:ind w:right="40" w:firstLine="240"/>
        <w:spacing w:after="0" w:line="276" w:lineRule="auto"/>
        <w:rPr>
          <w:sz w:val="20"/>
          <w:szCs w:val="20"/>
          <w:color w:val="auto"/>
        </w:rPr>
      </w:pPr>
      <w:r>
        <w:rPr>
          <w:rFonts w:ascii="Arial" w:cs="Arial" w:eastAsia="Arial" w:hAnsi="Arial"/>
          <w:sz w:val="12"/>
          <w:szCs w:val="12"/>
          <w:color w:val="auto"/>
        </w:rPr>
        <w:t>On December 31, 2019, the Company had $1.41 billion of remaining performance obligations. The Company’s remaining performance obligations includes projects that have a written award, a letter of intent, a notice to proceed or an agreed upon work order to perform work on mutually accepted terms and conditions.</w:t>
      </w:r>
    </w:p>
    <w:p>
      <w:pPr>
        <w:spacing w:after="0" w:line="70" w:lineRule="exact"/>
        <w:rPr>
          <w:sz w:val="20"/>
          <w:szCs w:val="20"/>
          <w:color w:val="auto"/>
        </w:rPr>
      </w:pPr>
    </w:p>
    <w:p>
      <w:pPr>
        <w:ind w:right="400" w:firstLine="240"/>
        <w:spacing w:after="0" w:line="276" w:lineRule="auto"/>
        <w:rPr>
          <w:sz w:val="20"/>
          <w:szCs w:val="20"/>
          <w:color w:val="auto"/>
        </w:rPr>
      </w:pPr>
      <w:r>
        <w:rPr>
          <w:rFonts w:ascii="Arial" w:cs="Arial" w:eastAsia="Arial" w:hAnsi="Arial"/>
          <w:sz w:val="12"/>
          <w:szCs w:val="12"/>
          <w:color w:val="auto"/>
        </w:rPr>
        <w:t>The following table summarizes that amount of remaining performance obligations as of December 31, 2019 that the Company expects to be realized and the amount of the remaining performance obligations that the Company reasonably estimates will not be recognized within the next twelve months.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5"/>
          </w:tcPr>
          <w:p>
            <w:pPr>
              <w:jc w:val="right"/>
              <w:ind w:right="1120"/>
              <w:spacing w:after="0"/>
              <w:rPr>
                <w:sz w:val="20"/>
                <w:szCs w:val="20"/>
                <w:color w:val="auto"/>
              </w:rPr>
            </w:pPr>
            <w:r>
              <w:rPr>
                <w:rFonts w:ascii="Arial" w:cs="Arial" w:eastAsia="Arial" w:hAnsi="Arial"/>
                <w:sz w:val="10"/>
                <w:szCs w:val="10"/>
                <w:b w:val="1"/>
                <w:bCs w:val="1"/>
                <w:color w:val="auto"/>
                <w:w w:val="90"/>
              </w:rPr>
              <w:t>Remaining Performance Obligations as of</w:t>
            </w:r>
          </w:p>
        </w:tc>
      </w:tr>
      <w:tr>
        <w:trPr>
          <w:trHeight w:val="132"/>
        </w:trPr>
        <w:tc>
          <w:tcPr>
            <w:tcW w:w="7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December 31, 2019</w:t>
            </w: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18"/>
        </w:trPr>
        <w:tc>
          <w:tcPr>
            <w:tcW w:w="7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80" w:type="dxa"/>
            <w:vAlign w:val="bottom"/>
            <w:gridSpan w:val="3"/>
          </w:tcPr>
          <w:p>
            <w:pPr>
              <w:jc w:val="right"/>
              <w:ind w:right="720"/>
              <w:spacing w:after="0"/>
              <w:rPr>
                <w:sz w:val="20"/>
                <w:szCs w:val="20"/>
                <w:color w:val="auto"/>
              </w:rPr>
            </w:pPr>
            <w:r>
              <w:rPr>
                <w:rFonts w:ascii="Arial" w:cs="Arial" w:eastAsia="Arial" w:hAnsi="Arial"/>
                <w:sz w:val="10"/>
                <w:szCs w:val="10"/>
                <w:b w:val="1"/>
                <w:bCs w:val="1"/>
                <w:color w:val="auto"/>
              </w:rPr>
              <w:t>Amount estimated to not be</w:t>
            </w:r>
          </w:p>
        </w:tc>
      </w:tr>
      <w:tr>
        <w:trPr>
          <w:trHeight w:val="132"/>
        </w:trPr>
        <w:tc>
          <w:tcPr>
            <w:tcW w:w="740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5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0"/>
                <w:szCs w:val="10"/>
                <w:b w:val="1"/>
                <w:bCs w:val="1"/>
                <w:color w:val="auto"/>
              </w:rPr>
              <w:t>recognized within 12 months</w:t>
            </w:r>
          </w:p>
        </w:tc>
      </w:tr>
      <w:tr>
        <w:trPr>
          <w:trHeight w:val="169"/>
        </w:trPr>
        <w:tc>
          <w:tcPr>
            <w:tcW w:w="788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T&amp;D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381,850</w:t>
            </w:r>
          </w:p>
        </w:tc>
        <w:tc>
          <w:tcPr>
            <w:tcW w:w="1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060"/>
              <w:spacing w:after="0"/>
              <w:rPr>
                <w:sz w:val="20"/>
                <w:szCs w:val="20"/>
                <w:color w:val="auto"/>
              </w:rPr>
            </w:pPr>
            <w:r>
              <w:rPr>
                <w:rFonts w:ascii="Arial" w:cs="Arial" w:eastAsia="Arial" w:hAnsi="Arial"/>
                <w:sz w:val="12"/>
                <w:szCs w:val="12"/>
                <w:color w:val="auto"/>
              </w:rPr>
              <w:t>45,678</w:t>
            </w:r>
          </w:p>
        </w:tc>
      </w:tr>
      <w:tr>
        <w:trPr>
          <w:trHeight w:val="176"/>
        </w:trPr>
        <w:tc>
          <w:tcPr>
            <w:tcW w:w="7880" w:type="dxa"/>
            <w:vAlign w:val="bottom"/>
            <w:gridSpan w:val="3"/>
          </w:tcPr>
          <w:p>
            <w:pPr>
              <w:ind w:left="540"/>
              <w:spacing w:after="0"/>
              <w:rPr>
                <w:sz w:val="20"/>
                <w:szCs w:val="20"/>
                <w:color w:val="auto"/>
              </w:rPr>
            </w:pPr>
            <w:r>
              <w:rPr>
                <w:rFonts w:ascii="Arial" w:cs="Arial" w:eastAsia="Arial" w:hAnsi="Arial"/>
                <w:sz w:val="12"/>
                <w:szCs w:val="12"/>
                <w:color w:val="auto"/>
              </w:rPr>
              <w:t>C&amp;I</w:t>
            </w: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w w:val="86"/>
              </w:rPr>
              <w:t>1,027,193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gridSpan w:val="2"/>
          </w:tcPr>
          <w:p>
            <w:pPr>
              <w:jc w:val="right"/>
              <w:ind w:right="1060"/>
              <w:spacing w:after="0"/>
              <w:rPr>
                <w:sz w:val="20"/>
                <w:szCs w:val="20"/>
                <w:color w:val="auto"/>
              </w:rPr>
            </w:pPr>
            <w:r>
              <w:rPr>
                <w:rFonts w:ascii="Arial" w:cs="Arial" w:eastAsia="Arial" w:hAnsi="Arial"/>
                <w:sz w:val="12"/>
                <w:szCs w:val="12"/>
                <w:color w:val="auto"/>
                <w:w w:val="87"/>
              </w:rPr>
              <w:t>260,837</w:t>
            </w:r>
          </w:p>
        </w:tc>
      </w:tr>
      <w:tr>
        <w:trPr>
          <w:trHeight w:val="20"/>
        </w:trPr>
        <w:tc>
          <w:tcPr>
            <w:tcW w:w="7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r>
        <w:trPr>
          <w:trHeight w:val="169"/>
        </w:trPr>
        <w:tc>
          <w:tcPr>
            <w:tcW w:w="788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6"/>
              </w:rPr>
              <w:t>1,409,043</w:t>
            </w:r>
          </w:p>
        </w:tc>
        <w:tc>
          <w:tcPr>
            <w:tcW w:w="1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060"/>
              <w:spacing w:after="0"/>
              <w:rPr>
                <w:sz w:val="20"/>
                <w:szCs w:val="20"/>
                <w:color w:val="auto"/>
              </w:rPr>
            </w:pPr>
            <w:r>
              <w:rPr>
                <w:rFonts w:ascii="Arial" w:cs="Arial" w:eastAsia="Arial" w:hAnsi="Arial"/>
                <w:sz w:val="12"/>
                <w:szCs w:val="12"/>
                <w:color w:val="auto"/>
                <w:w w:val="87"/>
              </w:rPr>
              <w:t>306,515</w:t>
            </w:r>
          </w:p>
        </w:tc>
      </w:tr>
      <w:tr>
        <w:trPr>
          <w:trHeight w:val="32"/>
        </w:trPr>
        <w:tc>
          <w:tcPr>
            <w:tcW w:w="7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-365125</wp:posOffset>
            </wp:positionV>
            <wp:extent cx="9144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4696460</wp:posOffset>
            </wp:positionH>
            <wp:positionV relativeFrom="paragraph">
              <wp:posOffset>-365125</wp:posOffset>
            </wp:positionV>
            <wp:extent cx="9144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571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33" w:lineRule="exact"/>
        <w:rPr>
          <w:sz w:val="20"/>
          <w:szCs w:val="20"/>
          <w:color w:val="auto"/>
        </w:rPr>
      </w:pPr>
    </w:p>
    <w:p>
      <w:pPr>
        <w:ind w:right="40" w:firstLine="240"/>
        <w:spacing w:after="0" w:line="259" w:lineRule="auto"/>
        <w:rPr>
          <w:sz w:val="20"/>
          <w:szCs w:val="20"/>
          <w:color w:val="auto"/>
        </w:rPr>
      </w:pPr>
      <w:r>
        <w:rPr>
          <w:rFonts w:ascii="Arial" w:cs="Arial" w:eastAsia="Arial" w:hAnsi="Arial"/>
          <w:sz w:val="12"/>
          <w:szCs w:val="12"/>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7. Management’s Discussion and Analysis of Financial Condition and Results of Operations” of this Annual Report.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Income Taxes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Income before income taxes by geographic area was, for the years ended December 31: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30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auto"/>
            </w:tcBorders>
          </w:tcPr>
          <w:p>
            <w:pPr>
              <w:spacing w:after="0"/>
              <w:rPr>
                <w:sz w:val="11"/>
                <w:szCs w:val="11"/>
                <w:color w:val="auto"/>
              </w:rPr>
            </w:pPr>
          </w:p>
        </w:tc>
      </w:tr>
      <w:tr>
        <w:trPr>
          <w:trHeight w:val="169"/>
        </w:trPr>
        <w:tc>
          <w:tcPr>
            <w:tcW w:w="870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Federal</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2"/>
              </w:rPr>
              <w:t>$46,445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$48,393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7"/>
              </w:rPr>
              <w:t>$33,830</w:t>
            </w:r>
          </w:p>
        </w:tc>
      </w:tr>
      <w:tr>
        <w:trPr>
          <w:trHeight w:val="176"/>
        </w:trPr>
        <w:tc>
          <w:tcPr>
            <w:tcW w:w="8700" w:type="dxa"/>
            <w:vAlign w:val="bottom"/>
            <w:gridSpan w:val="3"/>
          </w:tcPr>
          <w:p>
            <w:pPr>
              <w:ind w:left="560"/>
              <w:spacing w:after="0"/>
              <w:rPr>
                <w:sz w:val="20"/>
                <w:szCs w:val="20"/>
                <w:color w:val="auto"/>
              </w:rPr>
            </w:pPr>
            <w:r>
              <w:rPr>
                <w:rFonts w:ascii="Arial" w:cs="Arial" w:eastAsia="Arial" w:hAnsi="Arial"/>
                <w:sz w:val="12"/>
                <w:szCs w:val="12"/>
                <w:color w:val="auto"/>
              </w:rPr>
              <w:t>Foreign</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3,997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(5,325)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(9,190)</w:t>
            </w:r>
          </w:p>
        </w:tc>
      </w:tr>
      <w:tr>
        <w:trPr>
          <w:trHeight w:val="20"/>
        </w:trPr>
        <w:tc>
          <w:tcPr>
            <w:tcW w:w="8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69"/>
        </w:trPr>
        <w:tc>
          <w:tcPr>
            <w:tcW w:w="8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2"/>
              </w:rPr>
              <w:t>$50,442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7"/>
              </w:rPr>
              <w:t>$43,068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7"/>
              </w:rPr>
              <w:t>$24,640</w:t>
            </w:r>
          </w:p>
        </w:tc>
      </w:tr>
      <w:tr>
        <w:trPr>
          <w:trHeight w:val="32"/>
        </w:trPr>
        <w:tc>
          <w:tcPr>
            <w:tcW w:w="8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-365125</wp:posOffset>
            </wp:positionV>
            <wp:extent cx="9144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5931535</wp:posOffset>
            </wp:positionH>
            <wp:positionV relativeFrom="paragraph">
              <wp:posOffset>-365125</wp:posOffset>
            </wp:positionV>
            <wp:extent cx="9144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-365125</wp:posOffset>
            </wp:positionV>
            <wp:extent cx="9144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571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86" w:name="page87"/>
    <w:bookmarkEnd w:id="86"/>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Income tax expense consisted of the following for the years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34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98"/>
              </w:rPr>
              <w:t>2019</w:t>
            </w: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89"/>
              </w:rPr>
              <w:t>2018</w:t>
            </w: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auto"/>
            </w:tcBorders>
          </w:tcPr>
          <w:p>
            <w:pPr>
              <w:spacing w:after="0"/>
              <w:rPr>
                <w:sz w:val="11"/>
                <w:szCs w:val="11"/>
                <w:color w:val="auto"/>
              </w:rPr>
            </w:pPr>
          </w:p>
        </w:tc>
      </w:tr>
      <w:tr>
        <w:trPr>
          <w:trHeight w:val="169"/>
        </w:trPr>
        <w:tc>
          <w:tcPr>
            <w:tcW w:w="8740" w:type="dxa"/>
            <w:vAlign w:val="bottom"/>
            <w:gridSpan w:val="3"/>
            <w:shd w:val="clear" w:color="auto" w:fill="CCEEFF"/>
          </w:tcPr>
          <w:p>
            <w:pPr>
              <w:ind w:left="560"/>
              <w:spacing w:after="0"/>
              <w:rPr>
                <w:sz w:val="20"/>
                <w:szCs w:val="20"/>
                <w:color w:val="auto"/>
              </w:rPr>
            </w:pPr>
            <w:r>
              <w:rPr>
                <w:rFonts w:ascii="Arial" w:cs="Arial" w:eastAsia="Arial" w:hAnsi="Arial"/>
                <w:sz w:val="12"/>
                <w:szCs w:val="12"/>
                <w:b w:val="1"/>
                <w:bCs w:val="1"/>
                <w:color w:val="auto"/>
              </w:rPr>
              <w:t>Current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1"/>
        </w:trPr>
        <w:tc>
          <w:tcPr>
            <w:tcW w:w="8740" w:type="dxa"/>
            <w:vAlign w:val="bottom"/>
            <w:gridSpan w:val="3"/>
          </w:tcPr>
          <w:p>
            <w:pPr>
              <w:ind w:left="680"/>
              <w:spacing w:after="0"/>
              <w:rPr>
                <w:sz w:val="20"/>
                <w:szCs w:val="20"/>
                <w:color w:val="auto"/>
              </w:rPr>
            </w:pPr>
            <w:r>
              <w:rPr>
                <w:rFonts w:ascii="Arial" w:cs="Arial" w:eastAsia="Arial" w:hAnsi="Arial"/>
                <w:sz w:val="12"/>
                <w:szCs w:val="12"/>
                <w:color w:val="auto"/>
              </w:rPr>
              <w:t>Federal</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6,976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5,155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9"/>
              </w:rPr>
              <w:t>$ 7,020</w:t>
            </w:r>
          </w:p>
        </w:tc>
        <w:tc>
          <w:tcPr>
            <w:tcW w:w="240" w:type="dxa"/>
            <w:vAlign w:val="bottom"/>
          </w:tcPr>
          <w:p>
            <w:pPr>
              <w:spacing w:after="0"/>
              <w:rPr>
                <w:sz w:val="14"/>
                <w:szCs w:val="14"/>
                <w:color w:val="auto"/>
              </w:rPr>
            </w:pPr>
          </w:p>
        </w:tc>
      </w:tr>
      <w:tr>
        <w:trPr>
          <w:trHeight w:val="176"/>
        </w:trPr>
        <w:tc>
          <w:tcPr>
            <w:tcW w:w="874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State</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3,562</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99"/>
              </w:rPr>
              <w:t>3,310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1,557</w:t>
            </w:r>
          </w:p>
        </w:tc>
        <w:tc>
          <w:tcPr>
            <w:tcW w:w="240" w:type="dxa"/>
            <w:vAlign w:val="bottom"/>
            <w:shd w:val="clear" w:color="auto" w:fill="CCEEFF"/>
          </w:tcPr>
          <w:p>
            <w:pPr>
              <w:spacing w:after="0"/>
              <w:rPr>
                <w:sz w:val="15"/>
                <w:szCs w:val="15"/>
                <w:color w:val="auto"/>
              </w:rPr>
            </w:pPr>
          </w:p>
        </w:tc>
      </w:tr>
      <w:tr>
        <w:trPr>
          <w:trHeight w:val="20"/>
        </w:trPr>
        <w:tc>
          <w:tcPr>
            <w:tcW w:w="8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69"/>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10,538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8,465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8,577</w:t>
            </w:r>
          </w:p>
        </w:tc>
        <w:tc>
          <w:tcPr>
            <w:tcW w:w="240" w:type="dxa"/>
            <w:vAlign w:val="bottom"/>
          </w:tcPr>
          <w:p>
            <w:pPr>
              <w:spacing w:after="0"/>
              <w:rPr>
                <w:sz w:val="14"/>
                <w:szCs w:val="14"/>
                <w:color w:val="auto"/>
              </w:rPr>
            </w:pPr>
          </w:p>
        </w:tc>
      </w:tr>
      <w:tr>
        <w:trPr>
          <w:trHeight w:val="165"/>
        </w:trPr>
        <w:tc>
          <w:tcPr>
            <w:tcW w:w="8740" w:type="dxa"/>
            <w:vAlign w:val="bottom"/>
            <w:tcBorders>
              <w:top w:val="single" w:sz="8" w:color="CCEEFF"/>
            </w:tcBorders>
            <w:gridSpan w:val="3"/>
            <w:shd w:val="clear" w:color="auto" w:fill="CCEEFF"/>
          </w:tcPr>
          <w:p>
            <w:pPr>
              <w:ind w:left="560"/>
              <w:spacing w:after="0"/>
              <w:rPr>
                <w:sz w:val="20"/>
                <w:szCs w:val="20"/>
                <w:color w:val="auto"/>
              </w:rPr>
            </w:pPr>
            <w:r>
              <w:rPr>
                <w:rFonts w:ascii="Arial" w:cs="Arial" w:eastAsia="Arial" w:hAnsi="Arial"/>
                <w:sz w:val="12"/>
                <w:szCs w:val="12"/>
                <w:b w:val="1"/>
                <w:bCs w:val="1"/>
                <w:color w:val="auto"/>
              </w:rPr>
              <w:t>Deferred</w:t>
            </w:r>
          </w:p>
        </w:tc>
        <w:tc>
          <w:tcPr>
            <w:tcW w:w="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right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r>
      <w:tr>
        <w:trPr>
          <w:trHeight w:val="171"/>
        </w:trPr>
        <w:tc>
          <w:tcPr>
            <w:tcW w:w="8740" w:type="dxa"/>
            <w:vAlign w:val="bottom"/>
            <w:gridSpan w:val="3"/>
          </w:tcPr>
          <w:p>
            <w:pPr>
              <w:ind w:left="680"/>
              <w:spacing w:after="0"/>
              <w:rPr>
                <w:sz w:val="20"/>
                <w:szCs w:val="20"/>
                <w:color w:val="auto"/>
              </w:rPr>
            </w:pPr>
            <w:r>
              <w:rPr>
                <w:rFonts w:ascii="Arial" w:cs="Arial" w:eastAsia="Arial" w:hAnsi="Arial"/>
                <w:sz w:val="12"/>
                <w:szCs w:val="12"/>
                <w:color w:val="auto"/>
              </w:rPr>
              <w:t>Federal</w:t>
            </w:r>
          </w:p>
        </w:tc>
        <w:tc>
          <w:tcPr>
            <w:tcW w:w="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3,010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4,936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(1,453)</w:t>
            </w:r>
          </w:p>
        </w:tc>
      </w:tr>
      <w:tr>
        <w:trPr>
          <w:trHeight w:val="171"/>
        </w:trPr>
        <w:tc>
          <w:tcPr>
            <w:tcW w:w="874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Foreign</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874</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(875)</w:t>
            </w:r>
          </w:p>
        </w:tc>
      </w:tr>
      <w:tr>
        <w:trPr>
          <w:trHeight w:val="176"/>
        </w:trPr>
        <w:tc>
          <w:tcPr>
            <w:tcW w:w="8740" w:type="dxa"/>
            <w:vAlign w:val="bottom"/>
            <w:gridSpan w:val="3"/>
          </w:tcPr>
          <w:p>
            <w:pPr>
              <w:ind w:left="680"/>
              <w:spacing w:after="0"/>
              <w:rPr>
                <w:sz w:val="20"/>
                <w:szCs w:val="20"/>
                <w:color w:val="auto"/>
              </w:rPr>
            </w:pPr>
            <w:r>
              <w:rPr>
                <w:rFonts w:ascii="Arial" w:cs="Arial" w:eastAsia="Arial" w:hAnsi="Arial"/>
                <w:sz w:val="12"/>
                <w:szCs w:val="12"/>
                <w:color w:val="auto"/>
              </w:rPr>
              <w:t>State</w:t>
            </w:r>
          </w:p>
        </w:tc>
        <w:tc>
          <w:tcPr>
            <w:tcW w:w="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(194)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(805)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(2,763)</w:t>
            </w:r>
          </w:p>
        </w:tc>
      </w:tr>
      <w:tr>
        <w:trPr>
          <w:trHeight w:val="20"/>
        </w:trPr>
        <w:tc>
          <w:tcPr>
            <w:tcW w:w="8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69"/>
        </w:trPr>
        <w:tc>
          <w:tcPr>
            <w:tcW w:w="8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99"/>
              </w:rPr>
              <w:t>3,309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(5,091)</w:t>
            </w:r>
          </w:p>
        </w:tc>
      </w:tr>
      <w:tr>
        <w:trPr>
          <w:trHeight w:val="20"/>
        </w:trPr>
        <w:tc>
          <w:tcPr>
            <w:tcW w:w="8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69"/>
        </w:trPr>
        <w:tc>
          <w:tcPr>
            <w:tcW w:w="8740" w:type="dxa"/>
            <w:vAlign w:val="bottom"/>
            <w:gridSpan w:val="3"/>
          </w:tcPr>
          <w:p>
            <w:pPr>
              <w:ind w:left="560"/>
              <w:spacing w:after="0"/>
              <w:rPr>
                <w:sz w:val="20"/>
                <w:szCs w:val="20"/>
                <w:color w:val="auto"/>
              </w:rPr>
            </w:pPr>
            <w:r>
              <w:rPr>
                <w:rFonts w:ascii="Arial" w:cs="Arial" w:eastAsia="Arial" w:hAnsi="Arial"/>
                <w:sz w:val="12"/>
                <w:szCs w:val="12"/>
                <w:b w:val="1"/>
                <w:bCs w:val="1"/>
                <w:color w:val="auto"/>
              </w:rPr>
              <w:t>Income tax expense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7"/>
              </w:rPr>
              <w:t>14,228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81"/>
              </w:rPr>
              <w:t>11,774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9"/>
              </w:rPr>
              <w:t>$ 3,486</w:t>
            </w:r>
          </w:p>
        </w:tc>
        <w:tc>
          <w:tcPr>
            <w:tcW w:w="240" w:type="dxa"/>
            <w:vAlign w:val="bottom"/>
          </w:tcPr>
          <w:p>
            <w:pPr>
              <w:spacing w:after="0"/>
              <w:rPr>
                <w:sz w:val="14"/>
                <w:szCs w:val="14"/>
                <w:color w:val="auto"/>
              </w:rPr>
            </w:pPr>
          </w:p>
        </w:tc>
      </w:tr>
      <w:tr>
        <w:trPr>
          <w:trHeight w:val="32"/>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29234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-702945</wp:posOffset>
            </wp:positionV>
            <wp:extent cx="729234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6635115</wp:posOffset>
            </wp:positionH>
            <wp:positionV relativeFrom="paragraph">
              <wp:posOffset>-1160145</wp:posOffset>
            </wp:positionV>
            <wp:extent cx="9144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-1160145</wp:posOffset>
            </wp:positionV>
            <wp:extent cx="9144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-1160145</wp:posOffset>
            </wp:positionV>
            <wp:extent cx="9144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-1160145</wp:posOffset>
            </wp:positionV>
            <wp:extent cx="571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differences between the U.S. federal statutory tax rate and the Company’s effective tax rate for operations were as follows for the years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5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0"/>
              </w:rPr>
              <w:t>2019</w:t>
            </w: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0"/>
              </w:rPr>
              <w:t>2018</w:t>
            </w: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2017</w:t>
            </w:r>
          </w:p>
        </w:tc>
        <w:tc>
          <w:tcPr>
            <w:tcW w:w="160" w:type="dxa"/>
            <w:vAlign w:val="bottom"/>
            <w:tcBorders>
              <w:bottom w:val="single" w:sz="8" w:color="auto"/>
            </w:tcBorders>
          </w:tcPr>
          <w:p>
            <w:pPr>
              <w:spacing w:after="0"/>
              <w:rPr>
                <w:sz w:val="11"/>
                <w:szCs w:val="11"/>
                <w:color w:val="auto"/>
              </w:rPr>
            </w:pPr>
          </w:p>
        </w:tc>
      </w:tr>
      <w:tr>
        <w:trPr>
          <w:trHeight w:val="169"/>
        </w:trPr>
        <w:tc>
          <w:tcPr>
            <w:tcW w:w="96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U.S federal statutory rate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8"/>
              </w:rPr>
              <w:t>21.0%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8"/>
              </w:rPr>
              <w:t>21.0%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35.0%</w:t>
            </w:r>
          </w:p>
        </w:tc>
      </w:tr>
      <w:tr>
        <w:trPr>
          <w:trHeight w:val="171"/>
        </w:trPr>
        <w:tc>
          <w:tcPr>
            <w:tcW w:w="9640" w:type="dxa"/>
            <w:vAlign w:val="bottom"/>
            <w:gridSpan w:val="2"/>
          </w:tcPr>
          <w:p>
            <w:pPr>
              <w:ind w:left="560"/>
              <w:spacing w:after="0"/>
              <w:rPr>
                <w:sz w:val="20"/>
                <w:szCs w:val="20"/>
                <w:color w:val="auto"/>
              </w:rPr>
            </w:pPr>
            <w:r>
              <w:rPr>
                <w:rFonts w:ascii="Arial" w:cs="Arial" w:eastAsia="Arial" w:hAnsi="Arial"/>
                <w:sz w:val="12"/>
                <w:szCs w:val="12"/>
                <w:color w:val="auto"/>
              </w:rPr>
              <w:t>Deferred balance adjustments due to Tax Act, net</w:t>
            </w:r>
          </w:p>
        </w:tc>
        <w:tc>
          <w:tcPr>
            <w:tcW w:w="700" w:type="dxa"/>
            <w:vAlign w:val="bottom"/>
            <w:gridSpan w:val="4"/>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gridSpan w:val="4"/>
          </w:tcPr>
          <w:p>
            <w:pPr>
              <w:jc w:val="right"/>
              <w:ind w:right="5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w w:val="82"/>
              </w:rPr>
              <w:t>(31.6)</w:t>
            </w:r>
          </w:p>
        </w:tc>
      </w:tr>
      <w:tr>
        <w:trPr>
          <w:trHeight w:val="171"/>
        </w:trPr>
        <w:tc>
          <w:tcPr>
            <w:tcW w:w="96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State income taxes, net of U.S. federal income tax expense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60" w:type="dxa"/>
            <w:vAlign w:val="bottom"/>
            <w:shd w:val="clear" w:color="auto" w:fill="CCEEFF"/>
          </w:tcPr>
          <w:p>
            <w:pPr>
              <w:spacing w:after="0"/>
              <w:rPr>
                <w:sz w:val="14"/>
                <w:szCs w:val="14"/>
                <w:color w:val="auto"/>
              </w:rPr>
            </w:pPr>
          </w:p>
        </w:tc>
      </w:tr>
      <w:tr>
        <w:trPr>
          <w:trHeight w:val="171"/>
        </w:trPr>
        <w:tc>
          <w:tcPr>
            <w:tcW w:w="9640" w:type="dxa"/>
            <w:vAlign w:val="bottom"/>
            <w:gridSpan w:val="2"/>
          </w:tcPr>
          <w:p>
            <w:pPr>
              <w:ind w:left="560"/>
              <w:spacing w:after="0"/>
              <w:rPr>
                <w:sz w:val="20"/>
                <w:szCs w:val="20"/>
                <w:color w:val="auto"/>
              </w:rPr>
            </w:pPr>
            <w:r>
              <w:rPr>
                <w:rFonts w:ascii="Arial" w:cs="Arial" w:eastAsia="Arial" w:hAnsi="Arial"/>
                <w:sz w:val="12"/>
                <w:szCs w:val="12"/>
                <w:color w:val="auto"/>
              </w:rPr>
              <w:t>Change in valuation allowance</w:t>
            </w: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6.4</w:t>
            </w:r>
          </w:p>
        </w:tc>
        <w:tc>
          <w:tcPr>
            <w:tcW w:w="160" w:type="dxa"/>
            <w:vAlign w:val="bottom"/>
          </w:tcPr>
          <w:p>
            <w:pPr>
              <w:spacing w:after="0"/>
              <w:rPr>
                <w:sz w:val="14"/>
                <w:szCs w:val="14"/>
                <w:color w:val="auto"/>
              </w:rPr>
            </w:pPr>
          </w:p>
        </w:tc>
      </w:tr>
      <w:tr>
        <w:trPr>
          <w:trHeight w:val="171"/>
        </w:trPr>
        <w:tc>
          <w:tcPr>
            <w:tcW w:w="96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Domestic production/manufacturing deduction</w:t>
            </w:r>
          </w:p>
        </w:tc>
        <w:tc>
          <w:tcPr>
            <w:tcW w:w="7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gridSpan w:val="4"/>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w:t>
            </w:r>
          </w:p>
        </w:tc>
      </w:tr>
      <w:tr>
        <w:trPr>
          <w:trHeight w:val="171"/>
        </w:trPr>
        <w:tc>
          <w:tcPr>
            <w:tcW w:w="9640" w:type="dxa"/>
            <w:vAlign w:val="bottom"/>
            <w:gridSpan w:val="2"/>
          </w:tcPr>
          <w:p>
            <w:pPr>
              <w:ind w:left="560"/>
              <w:spacing w:after="0"/>
              <w:rPr>
                <w:sz w:val="20"/>
                <w:szCs w:val="20"/>
                <w:color w:val="auto"/>
              </w:rPr>
            </w:pPr>
            <w:r>
              <w:rPr>
                <w:rFonts w:ascii="Arial" w:cs="Arial" w:eastAsia="Arial" w:hAnsi="Arial"/>
                <w:sz w:val="12"/>
                <w:szCs w:val="12"/>
                <w:color w:val="auto"/>
              </w:rPr>
              <w:t>Tax differential on foreign earnings</w:t>
            </w: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(0.5)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3.2</w:t>
            </w:r>
          </w:p>
        </w:tc>
        <w:tc>
          <w:tcPr>
            <w:tcW w:w="160" w:type="dxa"/>
            <w:vAlign w:val="bottom"/>
          </w:tcPr>
          <w:p>
            <w:pPr>
              <w:spacing w:after="0"/>
              <w:rPr>
                <w:sz w:val="14"/>
                <w:szCs w:val="14"/>
                <w:color w:val="auto"/>
              </w:rPr>
            </w:pPr>
          </w:p>
        </w:tc>
      </w:tr>
      <w:tr>
        <w:trPr>
          <w:trHeight w:val="171"/>
        </w:trPr>
        <w:tc>
          <w:tcPr>
            <w:tcW w:w="96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Deferred state tax adjustments, net</w:t>
            </w:r>
          </w:p>
        </w:tc>
        <w:tc>
          <w:tcPr>
            <w:tcW w:w="7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gridSpan w:val="4"/>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r>
      <w:tr>
        <w:trPr>
          <w:trHeight w:val="171"/>
        </w:trPr>
        <w:tc>
          <w:tcPr>
            <w:tcW w:w="9640" w:type="dxa"/>
            <w:vAlign w:val="bottom"/>
            <w:gridSpan w:val="2"/>
          </w:tcPr>
          <w:p>
            <w:pPr>
              <w:ind w:left="560"/>
              <w:spacing w:after="0"/>
              <w:rPr>
                <w:sz w:val="20"/>
                <w:szCs w:val="20"/>
                <w:color w:val="auto"/>
              </w:rPr>
            </w:pPr>
            <w:r>
              <w:rPr>
                <w:rFonts w:ascii="Arial" w:cs="Arial" w:eastAsia="Arial" w:hAnsi="Arial"/>
                <w:sz w:val="12"/>
                <w:szCs w:val="12"/>
                <w:color w:val="auto"/>
              </w:rPr>
              <w:t>Non-deductible meals and entertainment</w:t>
            </w: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1.7</w:t>
            </w:r>
          </w:p>
        </w:tc>
        <w:tc>
          <w:tcPr>
            <w:tcW w:w="160" w:type="dxa"/>
            <w:vAlign w:val="bottom"/>
          </w:tcPr>
          <w:p>
            <w:pPr>
              <w:spacing w:after="0"/>
              <w:rPr>
                <w:sz w:val="14"/>
                <w:szCs w:val="14"/>
                <w:color w:val="auto"/>
              </w:rPr>
            </w:pPr>
          </w:p>
        </w:tc>
      </w:tr>
      <w:tr>
        <w:trPr>
          <w:trHeight w:val="171"/>
        </w:trPr>
        <w:tc>
          <w:tcPr>
            <w:tcW w:w="96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Stock compensation excess tax benefits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(0.1)</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w:t>
            </w:r>
          </w:p>
        </w:tc>
      </w:tr>
      <w:tr>
        <w:trPr>
          <w:trHeight w:val="171"/>
        </w:trPr>
        <w:tc>
          <w:tcPr>
            <w:tcW w:w="9640" w:type="dxa"/>
            <w:vAlign w:val="bottom"/>
            <w:gridSpan w:val="2"/>
          </w:tcPr>
          <w:p>
            <w:pPr>
              <w:ind w:left="560"/>
              <w:spacing w:after="0"/>
              <w:rPr>
                <w:sz w:val="20"/>
                <w:szCs w:val="20"/>
                <w:color w:val="auto"/>
              </w:rPr>
            </w:pPr>
            <w:r>
              <w:rPr>
                <w:rFonts w:ascii="Arial" w:cs="Arial" w:eastAsia="Arial" w:hAnsi="Arial"/>
                <w:sz w:val="12"/>
                <w:szCs w:val="12"/>
                <w:color w:val="auto"/>
              </w:rPr>
              <w:t>Uncertain tax positions</w:t>
            </w: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4"/>
                <w:szCs w:val="14"/>
                <w:color w:val="auto"/>
              </w:rPr>
            </w:pPr>
          </w:p>
        </w:tc>
      </w:tr>
      <w:tr>
        <w:trPr>
          <w:trHeight w:val="171"/>
        </w:trPr>
        <w:tc>
          <w:tcPr>
            <w:tcW w:w="96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Provision to return adjustments, net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(0.2)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w:t>
            </w:r>
          </w:p>
        </w:tc>
      </w:tr>
      <w:tr>
        <w:trPr>
          <w:trHeight w:val="171"/>
        </w:trPr>
        <w:tc>
          <w:tcPr>
            <w:tcW w:w="9640" w:type="dxa"/>
            <w:vAlign w:val="bottom"/>
            <w:gridSpan w:val="2"/>
          </w:tcPr>
          <w:p>
            <w:pPr>
              <w:ind w:left="560"/>
              <w:spacing w:after="0"/>
              <w:rPr>
                <w:sz w:val="20"/>
                <w:szCs w:val="20"/>
                <w:color w:val="auto"/>
              </w:rPr>
            </w:pPr>
            <w:r>
              <w:rPr>
                <w:rFonts w:ascii="Arial" w:cs="Arial" w:eastAsia="Arial" w:hAnsi="Arial"/>
                <w:sz w:val="12"/>
                <w:szCs w:val="12"/>
                <w:color w:val="auto"/>
              </w:rPr>
              <w:t>Global intangible low tax income</w:t>
            </w: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5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r>
      <w:tr>
        <w:trPr>
          <w:trHeight w:val="171"/>
        </w:trPr>
        <w:tc>
          <w:tcPr>
            <w:tcW w:w="96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Non-controlling interest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(0.5)</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r>
      <w:tr>
        <w:trPr>
          <w:trHeight w:val="176"/>
        </w:trPr>
        <w:tc>
          <w:tcPr>
            <w:tcW w:w="9640" w:type="dxa"/>
            <w:vAlign w:val="bottom"/>
            <w:gridSpan w:val="2"/>
          </w:tcPr>
          <w:p>
            <w:pPr>
              <w:ind w:left="560"/>
              <w:spacing w:after="0"/>
              <w:rPr>
                <w:sz w:val="20"/>
                <w:szCs w:val="20"/>
                <w:color w:val="auto"/>
              </w:rPr>
            </w:pPr>
            <w:r>
              <w:rPr>
                <w:rFonts w:ascii="Arial" w:cs="Arial" w:eastAsia="Arial" w:hAnsi="Arial"/>
                <w:sz w:val="12"/>
                <w:szCs w:val="12"/>
                <w:color w:val="auto"/>
              </w:rPr>
              <w:t>Other income, net</w:t>
            </w:r>
          </w:p>
        </w:tc>
        <w:tc>
          <w:tcPr>
            <w:tcW w:w="220" w:type="dxa"/>
            <w:vAlign w:val="bottom"/>
          </w:tcPr>
          <w:p>
            <w:pPr>
              <w:jc w:val="right"/>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(0.5)</w:t>
            </w:r>
          </w:p>
        </w:tc>
      </w:tr>
      <w:tr>
        <w:trPr>
          <w:trHeight w:val="20"/>
        </w:trPr>
        <w:tc>
          <w:tcPr>
            <w:tcW w:w="9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65"/>
        </w:trPr>
        <w:tc>
          <w:tcPr>
            <w:tcW w:w="96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Effective rate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8"/>
              </w:rPr>
              <w:t>28.</w:t>
            </w:r>
            <w:r>
              <w:rPr>
                <w:rFonts w:ascii="Arial" w:cs="Arial" w:eastAsia="Arial" w:hAnsi="Arial"/>
                <w:sz w:val="12"/>
                <w:szCs w:val="12"/>
                <w:u w:val="single" w:color="auto"/>
                <w:color w:val="auto"/>
                <w:w w:val="88"/>
              </w:rPr>
              <w:t>2</w:t>
            </w:r>
            <w:r>
              <w:rPr>
                <w:rFonts w:ascii="Arial" w:cs="Arial" w:eastAsia="Arial" w:hAnsi="Arial"/>
                <w:sz w:val="12"/>
                <w:szCs w:val="12"/>
                <w:color w:val="auto"/>
                <w:w w:val="88"/>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8"/>
              </w:rPr>
              <w:t>27.</w:t>
            </w:r>
            <w:r>
              <w:rPr>
                <w:rFonts w:ascii="Arial" w:cs="Arial" w:eastAsia="Arial" w:hAnsi="Arial"/>
                <w:sz w:val="12"/>
                <w:szCs w:val="12"/>
                <w:u w:val="single" w:color="auto"/>
                <w:color w:val="auto"/>
                <w:w w:val="88"/>
              </w:rPr>
              <w:t>3</w:t>
            </w:r>
            <w:r>
              <w:rPr>
                <w:rFonts w:ascii="Arial" w:cs="Arial" w:eastAsia="Arial" w:hAnsi="Arial"/>
                <w:sz w:val="12"/>
                <w:szCs w:val="12"/>
                <w:color w:val="auto"/>
                <w:w w:val="88"/>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14.1%</w:t>
            </w:r>
          </w:p>
        </w:tc>
      </w:tr>
      <w:tr>
        <w:trPr>
          <w:trHeight w:val="27"/>
        </w:trPr>
        <w:tc>
          <w:tcPr>
            <w:tcW w:w="9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29234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-1663700</wp:posOffset>
            </wp:positionV>
            <wp:extent cx="693737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3737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87" w:name="page88"/>
    <w:bookmarkEnd w:id="87"/>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net deferred tax assets and (liabilities) arising from temporary differences was as follows at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22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w w:val="98"/>
              </w:rPr>
              <w:t>2019</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2018</w:t>
            </w:r>
          </w:p>
        </w:tc>
        <w:tc>
          <w:tcPr>
            <w:tcW w:w="280" w:type="dxa"/>
            <w:vAlign w:val="bottom"/>
            <w:tcBorders>
              <w:bottom w:val="single" w:sz="8" w:color="auto"/>
            </w:tcBorders>
          </w:tcPr>
          <w:p>
            <w:pPr>
              <w:spacing w:after="0"/>
              <w:rPr>
                <w:sz w:val="11"/>
                <w:szCs w:val="11"/>
                <w:color w:val="auto"/>
              </w:rPr>
            </w:pPr>
          </w:p>
        </w:tc>
      </w:tr>
      <w:tr>
        <w:trPr>
          <w:trHeight w:val="169"/>
        </w:trPr>
        <w:tc>
          <w:tcPr>
            <w:tcW w:w="962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Deferred income tax assets:</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171"/>
        </w:trPr>
        <w:tc>
          <w:tcPr>
            <w:tcW w:w="9620" w:type="dxa"/>
            <w:vAlign w:val="bottom"/>
            <w:gridSpan w:val="3"/>
          </w:tcPr>
          <w:p>
            <w:pPr>
              <w:ind w:left="660"/>
              <w:spacing w:after="0"/>
              <w:rPr>
                <w:sz w:val="20"/>
                <w:szCs w:val="20"/>
                <w:color w:val="auto"/>
              </w:rPr>
            </w:pPr>
            <w:r>
              <w:rPr>
                <w:rFonts w:ascii="Arial" w:cs="Arial" w:eastAsia="Arial" w:hAnsi="Arial"/>
                <w:sz w:val="12"/>
                <w:szCs w:val="12"/>
                <w:color w:val="auto"/>
              </w:rPr>
              <w:t>Self insurance reserves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4,458</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4,299</w:t>
            </w:r>
          </w:p>
        </w:tc>
      </w:tr>
      <w:tr>
        <w:trPr>
          <w:trHeight w:val="171"/>
        </w:trPr>
        <w:tc>
          <w:tcPr>
            <w:tcW w:w="962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Contract loss reserves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642</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350</w:t>
            </w:r>
          </w:p>
        </w:tc>
      </w:tr>
      <w:tr>
        <w:trPr>
          <w:trHeight w:val="171"/>
        </w:trPr>
        <w:tc>
          <w:tcPr>
            <w:tcW w:w="9620" w:type="dxa"/>
            <w:vAlign w:val="bottom"/>
            <w:gridSpan w:val="3"/>
          </w:tcPr>
          <w:p>
            <w:pPr>
              <w:ind w:left="660"/>
              <w:spacing w:after="0"/>
              <w:rPr>
                <w:sz w:val="20"/>
                <w:szCs w:val="20"/>
                <w:color w:val="auto"/>
              </w:rPr>
            </w:pPr>
            <w:r>
              <w:rPr>
                <w:rFonts w:ascii="Arial" w:cs="Arial" w:eastAsia="Arial" w:hAnsi="Arial"/>
                <w:sz w:val="12"/>
                <w:szCs w:val="12"/>
                <w:color w:val="auto"/>
              </w:rPr>
              <w:t>Stock-based awards</w:t>
            </w: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1,164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1,143</w:t>
            </w:r>
          </w:p>
        </w:tc>
      </w:tr>
      <w:tr>
        <w:trPr>
          <w:trHeight w:val="171"/>
        </w:trPr>
        <w:tc>
          <w:tcPr>
            <w:tcW w:w="962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Bonus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4,904</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3,271</w:t>
            </w:r>
          </w:p>
        </w:tc>
      </w:tr>
      <w:tr>
        <w:trPr>
          <w:trHeight w:val="171"/>
        </w:trPr>
        <w:tc>
          <w:tcPr>
            <w:tcW w:w="9620" w:type="dxa"/>
            <w:vAlign w:val="bottom"/>
            <w:gridSpan w:val="3"/>
          </w:tcPr>
          <w:p>
            <w:pPr>
              <w:ind w:left="660"/>
              <w:spacing w:after="0"/>
              <w:rPr>
                <w:sz w:val="20"/>
                <w:szCs w:val="20"/>
                <w:color w:val="auto"/>
              </w:rPr>
            </w:pPr>
            <w:r>
              <w:rPr>
                <w:rFonts w:ascii="Arial" w:cs="Arial" w:eastAsia="Arial" w:hAnsi="Arial"/>
                <w:sz w:val="12"/>
                <w:szCs w:val="12"/>
                <w:color w:val="auto"/>
              </w:rPr>
              <w:t>Operating lease liabilities</w:t>
            </w: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5,850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r>
      <w:tr>
        <w:trPr>
          <w:trHeight w:val="171"/>
        </w:trPr>
        <w:tc>
          <w:tcPr>
            <w:tcW w:w="962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Non-U.S. operating loss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5,499</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5,641</w:t>
            </w:r>
          </w:p>
        </w:tc>
      </w:tr>
      <w:tr>
        <w:trPr>
          <w:trHeight w:val="176"/>
        </w:trPr>
        <w:tc>
          <w:tcPr>
            <w:tcW w:w="9620" w:type="dxa"/>
            <w:vAlign w:val="bottom"/>
            <w:tcBorders>
              <w:bottom w:val="single" w:sz="8" w:color="CCEEFF"/>
            </w:tcBorders>
            <w:gridSpan w:val="3"/>
          </w:tcPr>
          <w:p>
            <w:pPr>
              <w:ind w:left="660"/>
              <w:spacing w:after="0"/>
              <w:rPr>
                <w:sz w:val="20"/>
                <w:szCs w:val="20"/>
                <w:color w:val="auto"/>
              </w:rPr>
            </w:pPr>
            <w:r>
              <w:rPr>
                <w:rFonts w:ascii="Arial" w:cs="Arial" w:eastAsia="Arial" w:hAnsi="Arial"/>
                <w:sz w:val="12"/>
                <w:szCs w:val="12"/>
                <w:color w:val="auto"/>
              </w:rPr>
              <w:t>Other</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3,439</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1,958</w:t>
            </w:r>
          </w:p>
        </w:tc>
        <w:tc>
          <w:tcPr>
            <w:tcW w:w="280" w:type="dxa"/>
            <w:vAlign w:val="bottom"/>
            <w:tcBorders>
              <w:bottom w:val="single" w:sz="8" w:color="CCEEFF"/>
            </w:tcBorders>
          </w:tcPr>
          <w:p>
            <w:pPr>
              <w:spacing w:after="0"/>
              <w:rPr>
                <w:sz w:val="15"/>
                <w:szCs w:val="15"/>
                <w:color w:val="auto"/>
              </w:rPr>
            </w:pPr>
          </w:p>
        </w:tc>
      </w:tr>
      <w:tr>
        <w:trPr>
          <w:trHeight w:val="165"/>
        </w:trPr>
        <w:tc>
          <w:tcPr>
            <w:tcW w:w="9620" w:type="dxa"/>
            <w:vAlign w:val="bottom"/>
            <w:gridSpan w:val="3"/>
            <w:shd w:val="clear" w:color="auto" w:fill="CCEEFF"/>
          </w:tcPr>
          <w:p>
            <w:pPr>
              <w:ind w:left="780"/>
              <w:spacing w:after="0"/>
              <w:rPr>
                <w:sz w:val="20"/>
                <w:szCs w:val="20"/>
                <w:color w:val="auto"/>
              </w:rPr>
            </w:pPr>
            <w:r>
              <w:rPr>
                <w:rFonts w:ascii="Arial" w:cs="Arial" w:eastAsia="Arial" w:hAnsi="Arial"/>
                <w:sz w:val="12"/>
                <w:szCs w:val="12"/>
                <w:color w:val="auto"/>
              </w:rPr>
              <w:t>Total deferred income tax assets before valuation allowances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97"/>
              </w:rPr>
              <w:t>25,956</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7"/>
              </w:rPr>
              <w:t>16,662</w:t>
            </w:r>
          </w:p>
        </w:tc>
      </w:tr>
      <w:tr>
        <w:trPr>
          <w:trHeight w:val="176"/>
        </w:trPr>
        <w:tc>
          <w:tcPr>
            <w:tcW w:w="9620" w:type="dxa"/>
            <w:vAlign w:val="bottom"/>
            <w:gridSpan w:val="3"/>
          </w:tcPr>
          <w:p>
            <w:pPr>
              <w:ind w:left="660"/>
              <w:spacing w:after="0"/>
              <w:rPr>
                <w:sz w:val="20"/>
                <w:szCs w:val="20"/>
                <w:color w:val="auto"/>
              </w:rPr>
            </w:pPr>
            <w:r>
              <w:rPr>
                <w:rFonts w:ascii="Arial" w:cs="Arial" w:eastAsia="Arial" w:hAnsi="Arial"/>
                <w:sz w:val="12"/>
                <w:szCs w:val="12"/>
                <w:color w:val="auto"/>
              </w:rPr>
              <w:t>Less: valuation allowances</w:t>
            </w:r>
          </w:p>
        </w:tc>
        <w:tc>
          <w:tcPr>
            <w:tcW w:w="8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(2,508)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(2,672)</w:t>
            </w:r>
          </w:p>
        </w:tc>
      </w:tr>
      <w:tr>
        <w:trPr>
          <w:trHeight w:val="169"/>
        </w:trPr>
        <w:tc>
          <w:tcPr>
            <w:tcW w:w="9620" w:type="dxa"/>
            <w:vAlign w:val="bottom"/>
            <w:tcBorders>
              <w:top w:val="single" w:sz="8" w:color="CCEEFF"/>
              <w:bottom w:val="single" w:sz="8" w:color="CCEEFF"/>
            </w:tcBorders>
            <w:gridSpan w:val="3"/>
            <w:shd w:val="clear" w:color="auto" w:fill="CCEEFF"/>
          </w:tcPr>
          <w:p>
            <w:pPr>
              <w:ind w:left="780"/>
              <w:spacing w:after="0"/>
              <w:rPr>
                <w:sz w:val="20"/>
                <w:szCs w:val="20"/>
                <w:color w:val="auto"/>
              </w:rPr>
            </w:pPr>
            <w:r>
              <w:rPr>
                <w:rFonts w:ascii="Arial" w:cs="Arial" w:eastAsia="Arial" w:hAnsi="Arial"/>
                <w:sz w:val="12"/>
                <w:szCs w:val="12"/>
                <w:color w:val="auto"/>
              </w:rPr>
              <w:t>Total deferred income tax assets</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23,448</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13,990</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5"/>
        </w:trPr>
        <w:tc>
          <w:tcPr>
            <w:tcW w:w="9620" w:type="dxa"/>
            <w:vAlign w:val="bottom"/>
            <w:gridSpan w:val="3"/>
          </w:tcPr>
          <w:p>
            <w:pPr>
              <w:ind w:left="540"/>
              <w:spacing w:after="0"/>
              <w:rPr>
                <w:sz w:val="20"/>
                <w:szCs w:val="20"/>
                <w:color w:val="auto"/>
              </w:rPr>
            </w:pPr>
            <w:r>
              <w:rPr>
                <w:rFonts w:ascii="Arial" w:cs="Arial" w:eastAsia="Arial" w:hAnsi="Arial"/>
                <w:sz w:val="12"/>
                <w:szCs w:val="12"/>
                <w:color w:val="auto"/>
              </w:rPr>
              <w:t>Deferred income tax liabilities: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962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Property and equipment — tax over book depreciation</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(32,220)</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(26,030)</w:t>
            </w:r>
          </w:p>
        </w:tc>
      </w:tr>
      <w:tr>
        <w:trPr>
          <w:trHeight w:val="171"/>
        </w:trPr>
        <w:tc>
          <w:tcPr>
            <w:tcW w:w="9620" w:type="dxa"/>
            <w:vAlign w:val="bottom"/>
            <w:gridSpan w:val="3"/>
          </w:tcPr>
          <w:p>
            <w:pPr>
              <w:ind w:left="660"/>
              <w:spacing w:after="0"/>
              <w:rPr>
                <w:sz w:val="20"/>
                <w:szCs w:val="20"/>
                <w:color w:val="auto"/>
              </w:rPr>
            </w:pPr>
            <w:r>
              <w:rPr>
                <w:rFonts w:ascii="Arial" w:cs="Arial" w:eastAsia="Arial" w:hAnsi="Arial"/>
                <w:sz w:val="12"/>
                <w:szCs w:val="12"/>
                <w:color w:val="auto"/>
              </w:rPr>
              <w:t>Intangible assets — tax over book amortization</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(1,856)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(1,890)</w:t>
            </w:r>
          </w:p>
        </w:tc>
      </w:tr>
      <w:tr>
        <w:trPr>
          <w:trHeight w:val="171"/>
        </w:trPr>
        <w:tc>
          <w:tcPr>
            <w:tcW w:w="962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Right-of-use operating lease assets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(5,850)</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r>
      <w:tr>
        <w:trPr>
          <w:trHeight w:val="171"/>
        </w:trPr>
        <w:tc>
          <w:tcPr>
            <w:tcW w:w="9620" w:type="dxa"/>
            <w:vAlign w:val="bottom"/>
            <w:gridSpan w:val="3"/>
          </w:tcPr>
          <w:p>
            <w:pPr>
              <w:ind w:left="660"/>
              <w:spacing w:after="0"/>
              <w:rPr>
                <w:sz w:val="20"/>
                <w:szCs w:val="20"/>
                <w:color w:val="auto"/>
              </w:rPr>
            </w:pPr>
            <w:r>
              <w:rPr>
                <w:rFonts w:ascii="Arial" w:cs="Arial" w:eastAsia="Arial" w:hAnsi="Arial"/>
                <w:sz w:val="12"/>
                <w:szCs w:val="12"/>
                <w:color w:val="auto"/>
              </w:rPr>
              <w:t>Non-U.S. deferred income tax liabilities</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(2,280)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(1,443)</w:t>
            </w:r>
          </w:p>
        </w:tc>
      </w:tr>
      <w:tr>
        <w:trPr>
          <w:trHeight w:val="176"/>
        </w:trPr>
        <w:tc>
          <w:tcPr>
            <w:tcW w:w="962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(2,187)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(2,025)</w:t>
            </w:r>
          </w:p>
        </w:tc>
      </w:tr>
      <w:tr>
        <w:trPr>
          <w:trHeight w:val="20"/>
        </w:trPr>
        <w:tc>
          <w:tcPr>
            <w:tcW w:w="9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69"/>
        </w:trPr>
        <w:tc>
          <w:tcPr>
            <w:tcW w:w="9620" w:type="dxa"/>
            <w:vAlign w:val="bottom"/>
            <w:gridSpan w:val="3"/>
          </w:tcPr>
          <w:p>
            <w:pPr>
              <w:ind w:left="780"/>
              <w:spacing w:after="0"/>
              <w:rPr>
                <w:sz w:val="20"/>
                <w:szCs w:val="20"/>
                <w:color w:val="auto"/>
              </w:rPr>
            </w:pPr>
            <w:r>
              <w:rPr>
                <w:rFonts w:ascii="Arial" w:cs="Arial" w:eastAsia="Arial" w:hAnsi="Arial"/>
                <w:sz w:val="12"/>
                <w:szCs w:val="12"/>
                <w:color w:val="auto"/>
              </w:rPr>
              <w:t>Total deferred income tax liabilities</w:t>
            </w: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(44,393)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(31,388)</w:t>
            </w:r>
          </w:p>
        </w:tc>
      </w:tr>
      <w:tr>
        <w:trPr>
          <w:trHeight w:val="20"/>
        </w:trPr>
        <w:tc>
          <w:tcPr>
            <w:tcW w:w="9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69"/>
        </w:trPr>
        <w:tc>
          <w:tcPr>
            <w:tcW w:w="9620" w:type="dxa"/>
            <w:vAlign w:val="bottom"/>
            <w:gridSpan w:val="3"/>
            <w:shd w:val="clear" w:color="auto" w:fill="CCEEFF"/>
          </w:tcPr>
          <w:p>
            <w:pPr>
              <w:ind w:left="780"/>
              <w:spacing w:after="0"/>
              <w:rPr>
                <w:sz w:val="20"/>
                <w:szCs w:val="20"/>
                <w:color w:val="auto"/>
              </w:rPr>
            </w:pPr>
            <w:r>
              <w:rPr>
                <w:rFonts w:ascii="Arial" w:cs="Arial" w:eastAsia="Arial" w:hAnsi="Arial"/>
                <w:sz w:val="12"/>
                <w:szCs w:val="12"/>
                <w:color w:val="auto"/>
              </w:rPr>
              <w:t>Net deferred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(20,945)</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(17,398)</w:t>
            </w:r>
          </w:p>
        </w:tc>
      </w:tr>
      <w:tr>
        <w:trPr>
          <w:trHeight w:val="32"/>
        </w:trPr>
        <w:tc>
          <w:tcPr>
            <w:tcW w:w="9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-1040130</wp:posOffset>
            </wp:positionV>
            <wp:extent cx="729234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-1269365</wp:posOffset>
            </wp:positionV>
            <wp:extent cx="729234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6566535</wp:posOffset>
            </wp:positionH>
            <wp:positionV relativeFrom="paragraph">
              <wp:posOffset>-2150110</wp:posOffset>
            </wp:positionV>
            <wp:extent cx="9144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-2150110</wp:posOffset>
            </wp:positionV>
            <wp:extent cx="9144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-2150110</wp:posOffset>
            </wp:positionV>
            <wp:extent cx="571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0"/>
          <w:szCs w:val="10"/>
          <w:color w:val="auto"/>
        </w:rPr>
        <w:t>The Company determined that it is more-likely-than-not that it will not realize the deferred tax assets on certain Canadian subsidiaries and recorded a valuation allowance against the entire related deferred tax assets for those entities.</w:t>
      </w:r>
    </w:p>
    <w:p>
      <w:pPr>
        <w:spacing w:after="0" w:line="128" w:lineRule="exact"/>
        <w:rPr>
          <w:sz w:val="20"/>
          <w:szCs w:val="20"/>
          <w:color w:val="auto"/>
        </w:rPr>
      </w:pPr>
    </w:p>
    <w:p>
      <w:pPr>
        <w:ind w:right="280" w:firstLine="240"/>
        <w:spacing w:after="0" w:line="276" w:lineRule="auto"/>
        <w:rPr>
          <w:sz w:val="20"/>
          <w:szCs w:val="20"/>
          <w:color w:val="auto"/>
        </w:rPr>
      </w:pPr>
      <w:r>
        <w:rPr>
          <w:rFonts w:ascii="Arial" w:cs="Arial" w:eastAsia="Arial" w:hAnsi="Arial"/>
          <w:sz w:val="12"/>
          <w:szCs w:val="12"/>
          <w:color w:val="auto"/>
        </w:rPr>
        <w:t>As of December 31, 2019, the Company had no undistributed earnings of our Canadian subsidiaries. We expect future earnings to be reinvested. Accordingly, as of December 31, 2019 no expense for U.S. income taxes or foreign withholding taxes was recorded.</w:t>
      </w:r>
    </w:p>
    <w:p>
      <w:pPr>
        <w:spacing w:after="0" w:line="70" w:lineRule="exact"/>
        <w:rPr>
          <w:sz w:val="20"/>
          <w:szCs w:val="20"/>
          <w:color w:val="auto"/>
        </w:rPr>
      </w:pPr>
    </w:p>
    <w:p>
      <w:pPr>
        <w:ind w:right="240" w:firstLine="240"/>
        <w:spacing w:after="0" w:line="276" w:lineRule="auto"/>
        <w:rPr>
          <w:sz w:val="20"/>
          <w:szCs w:val="20"/>
          <w:color w:val="auto"/>
        </w:rPr>
      </w:pPr>
      <w:r>
        <w:rPr>
          <w:rFonts w:ascii="Arial" w:cs="Arial" w:eastAsia="Arial" w:hAnsi="Arial"/>
          <w:sz w:val="12"/>
          <w:szCs w:val="12"/>
          <w:color w:val="auto"/>
        </w:rPr>
        <w:t>The Company is subject to taxation in various jurisdictions. The Company’s 2017 and 2018 tax returns are subject to examination by U. S. federal authorities. The Company’s tax returns are subject to examination by various state authorities for the years 2015 through 2018.</w:t>
      </w:r>
    </w:p>
    <w:p>
      <w:pPr>
        <w:spacing w:after="0" w:line="61" w:lineRule="exact"/>
        <w:rPr>
          <w:sz w:val="20"/>
          <w:szCs w:val="20"/>
          <w:color w:val="auto"/>
        </w:rPr>
      </w:pPr>
    </w:p>
    <w:p>
      <w:pPr>
        <w:ind w:right="20" w:firstLine="240"/>
        <w:spacing w:after="0" w:line="259" w:lineRule="auto"/>
        <w:rPr>
          <w:sz w:val="20"/>
          <w:szCs w:val="20"/>
          <w:color w:val="auto"/>
        </w:rPr>
      </w:pPr>
      <w:r>
        <w:rPr>
          <w:rFonts w:ascii="Arial" w:cs="Arial" w:eastAsia="Arial" w:hAnsi="Arial"/>
          <w:sz w:val="12"/>
          <w:szCs w:val="12"/>
          <w:color w:val="auto"/>
        </w:rPr>
        <w:t>The Company has recorded a liability for unrecognized tax benefits related to tax positions taken on its various income tax returns. If recognized, the entire amount of unrecognized tax benefits would favorably impact the effective tax rate that is reported in future periods. The decrease in the unrecognized tax benefits as of December 31, 2019 was primarily due to the settlement of an Internal Revenue Service audit for the 2016 tax year and the lapses in the applicable status of limitations. The total unrecognized tax benefits is expected to be reduced by less than $0.1 million within the next 12 months. Interest and penalties related to uncertain income tax positions are included as a component of income tax expense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8" w:name="page89"/>
    <w:bookmarkEnd w:id="88"/>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is a reconciliation of the beginning and ending liability for unrecognized tax benefits at December 31: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88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2018</w:t>
            </w:r>
          </w:p>
        </w:tc>
        <w:tc>
          <w:tcPr>
            <w:tcW w:w="200" w:type="dxa"/>
            <w:vAlign w:val="bottom"/>
            <w:tcBorders>
              <w:bottom w:val="single" w:sz="8" w:color="auto"/>
            </w:tcBorders>
          </w:tcPr>
          <w:p>
            <w:pPr>
              <w:spacing w:after="0"/>
              <w:rPr>
                <w:sz w:val="11"/>
                <w:szCs w:val="11"/>
                <w:color w:val="auto"/>
              </w:rPr>
            </w:pPr>
          </w:p>
        </w:tc>
      </w:tr>
      <w:tr>
        <w:trPr>
          <w:trHeight w:val="169"/>
        </w:trPr>
        <w:tc>
          <w:tcPr>
            <w:tcW w:w="10200" w:type="dxa"/>
            <w:vAlign w:val="bottom"/>
            <w:gridSpan w:val="3"/>
            <w:shd w:val="clear" w:color="auto" w:fill="CCEEFF"/>
          </w:tcPr>
          <w:p>
            <w:pPr>
              <w:ind w:left="540"/>
              <w:spacing w:after="0"/>
              <w:rPr>
                <w:sz w:val="20"/>
                <w:szCs w:val="20"/>
                <w:color w:val="auto"/>
              </w:rPr>
            </w:pPr>
            <w:r>
              <w:rPr>
                <w:rFonts w:ascii="Arial" w:cs="Arial" w:eastAsia="Arial" w:hAnsi="Arial"/>
                <w:sz w:val="12"/>
                <w:szCs w:val="12"/>
                <w:b w:val="1"/>
                <w:bCs w:val="1"/>
                <w:color w:val="auto"/>
              </w:rPr>
              <w:t>Balance at beginning of period</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6"/>
              </w:rPr>
              <w:t>$ 327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$ 751</w:t>
            </w:r>
          </w:p>
        </w:tc>
        <w:tc>
          <w:tcPr>
            <w:tcW w:w="200" w:type="dxa"/>
            <w:vAlign w:val="bottom"/>
            <w:shd w:val="clear" w:color="auto" w:fill="CCEEFF"/>
          </w:tcPr>
          <w:p>
            <w:pPr>
              <w:spacing w:after="0"/>
              <w:rPr>
                <w:sz w:val="14"/>
                <w:szCs w:val="14"/>
                <w:color w:val="auto"/>
              </w:rPr>
            </w:pPr>
          </w:p>
        </w:tc>
      </w:tr>
      <w:tr>
        <w:trPr>
          <w:trHeight w:val="171"/>
        </w:trPr>
        <w:tc>
          <w:tcPr>
            <w:tcW w:w="10200" w:type="dxa"/>
            <w:vAlign w:val="bottom"/>
            <w:gridSpan w:val="3"/>
          </w:tcPr>
          <w:p>
            <w:pPr>
              <w:ind w:left="540"/>
              <w:spacing w:after="0"/>
              <w:rPr>
                <w:sz w:val="20"/>
                <w:szCs w:val="20"/>
                <w:color w:val="auto"/>
              </w:rPr>
            </w:pPr>
            <w:r>
              <w:rPr>
                <w:rFonts w:ascii="Arial" w:cs="Arial" w:eastAsia="Arial" w:hAnsi="Arial"/>
                <w:sz w:val="12"/>
                <w:szCs w:val="12"/>
                <w:color w:val="auto"/>
              </w:rPr>
              <w:t>Gross increases in current period tax positions</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25</w:t>
            </w:r>
          </w:p>
        </w:tc>
        <w:tc>
          <w:tcPr>
            <w:tcW w:w="200" w:type="dxa"/>
            <w:vAlign w:val="bottom"/>
          </w:tcPr>
          <w:p>
            <w:pPr>
              <w:spacing w:after="0"/>
              <w:rPr>
                <w:sz w:val="14"/>
                <w:szCs w:val="14"/>
                <w:color w:val="auto"/>
              </w:rPr>
            </w:pPr>
          </w:p>
        </w:tc>
      </w:tr>
      <w:tr>
        <w:trPr>
          <w:trHeight w:val="171"/>
        </w:trPr>
        <w:tc>
          <w:tcPr>
            <w:tcW w:w="1020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Settlements with taxing authorities</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r>
      <w:tr>
        <w:trPr>
          <w:trHeight w:val="171"/>
        </w:trPr>
        <w:tc>
          <w:tcPr>
            <w:tcW w:w="10200" w:type="dxa"/>
            <w:vAlign w:val="bottom"/>
            <w:gridSpan w:val="3"/>
          </w:tcPr>
          <w:p>
            <w:pPr>
              <w:ind w:left="540"/>
              <w:spacing w:after="0"/>
              <w:rPr>
                <w:sz w:val="20"/>
                <w:szCs w:val="20"/>
                <w:color w:val="auto"/>
              </w:rPr>
            </w:pPr>
            <w:r>
              <w:rPr>
                <w:rFonts w:ascii="Arial" w:cs="Arial" w:eastAsia="Arial" w:hAnsi="Arial"/>
                <w:sz w:val="12"/>
                <w:szCs w:val="12"/>
                <w:color w:val="auto"/>
              </w:rPr>
              <w:t>Reductions in tax positions due to lapse of statutory limitations</w:t>
            </w: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(118)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(8)</w:t>
            </w:r>
          </w:p>
        </w:tc>
      </w:tr>
      <w:tr>
        <w:trPr>
          <w:trHeight w:val="176"/>
        </w:trPr>
        <w:tc>
          <w:tcPr>
            <w:tcW w:w="1020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Reclass from unrecognized tax benefits to deferred tax liability</w:t>
            </w:r>
          </w:p>
        </w:tc>
        <w:tc>
          <w:tcPr>
            <w:tcW w:w="800" w:type="dxa"/>
            <w:vAlign w:val="bottom"/>
            <w:gridSpan w:val="4"/>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(441)</w:t>
            </w:r>
          </w:p>
        </w:tc>
      </w:tr>
      <w:tr>
        <w:trPr>
          <w:trHeight w:val="20"/>
        </w:trPr>
        <w:tc>
          <w:tcPr>
            <w:tcW w:w="9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65"/>
        </w:trPr>
        <w:tc>
          <w:tcPr>
            <w:tcW w:w="10200" w:type="dxa"/>
            <w:vAlign w:val="bottom"/>
            <w:gridSpan w:val="3"/>
          </w:tcPr>
          <w:p>
            <w:pPr>
              <w:ind w:left="540"/>
              <w:spacing w:after="0"/>
              <w:rPr>
                <w:sz w:val="20"/>
                <w:szCs w:val="20"/>
                <w:color w:val="auto"/>
              </w:rPr>
            </w:pPr>
            <w:r>
              <w:rPr>
                <w:rFonts w:ascii="Arial" w:cs="Arial" w:eastAsia="Arial" w:hAnsi="Arial"/>
                <w:sz w:val="12"/>
                <w:szCs w:val="12"/>
                <w:b w:val="1"/>
                <w:bCs w:val="1"/>
                <w:color w:val="auto"/>
              </w:rPr>
              <w:t>Balance at end of period</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152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327</w:t>
            </w:r>
          </w:p>
        </w:tc>
        <w:tc>
          <w:tcPr>
            <w:tcW w:w="200" w:type="dxa"/>
            <w:vAlign w:val="bottom"/>
          </w:tcPr>
          <w:p>
            <w:pPr>
              <w:spacing w:after="0"/>
              <w:rPr>
                <w:sz w:val="14"/>
                <w:szCs w:val="14"/>
                <w:color w:val="auto"/>
              </w:rPr>
            </w:pPr>
          </w:p>
        </w:tc>
      </w:tr>
      <w:tr>
        <w:trPr>
          <w:trHeight w:val="176"/>
        </w:trPr>
        <w:tc>
          <w:tcPr>
            <w:tcW w:w="10200" w:type="dxa"/>
            <w:vAlign w:val="bottom"/>
            <w:gridSpan w:val="3"/>
            <w:shd w:val="clear" w:color="auto" w:fill="CCEEFF"/>
          </w:tcPr>
          <w:p>
            <w:pPr>
              <w:ind w:left="540"/>
              <w:spacing w:after="0"/>
              <w:rPr>
                <w:sz w:val="20"/>
                <w:szCs w:val="20"/>
                <w:color w:val="auto"/>
              </w:rPr>
            </w:pPr>
            <w:r>
              <w:rPr>
                <w:rFonts w:ascii="Arial" w:cs="Arial" w:eastAsia="Arial" w:hAnsi="Arial"/>
                <w:sz w:val="12"/>
                <w:szCs w:val="12"/>
                <w:color w:val="auto"/>
              </w:rPr>
              <w:t>Accrued interest and penalties at end of period</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200" w:type="dxa"/>
            <w:vAlign w:val="bottom"/>
            <w:shd w:val="clear" w:color="auto" w:fill="CCEEFF"/>
          </w:tcPr>
          <w:p>
            <w:pPr>
              <w:spacing w:after="0"/>
              <w:rPr>
                <w:sz w:val="15"/>
                <w:szCs w:val="15"/>
                <w:color w:val="auto"/>
              </w:rPr>
            </w:pPr>
          </w:p>
        </w:tc>
      </w:tr>
      <w:tr>
        <w:trPr>
          <w:trHeight w:val="20"/>
        </w:trPr>
        <w:tc>
          <w:tcPr>
            <w:tcW w:w="9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69"/>
        </w:trPr>
        <w:tc>
          <w:tcPr>
            <w:tcW w:w="10200" w:type="dxa"/>
            <w:vAlign w:val="bottom"/>
            <w:gridSpan w:val="3"/>
          </w:tcPr>
          <w:p>
            <w:pPr>
              <w:ind w:left="540"/>
              <w:spacing w:after="0"/>
              <w:rPr>
                <w:sz w:val="20"/>
                <w:szCs w:val="20"/>
                <w:color w:val="auto"/>
              </w:rPr>
            </w:pPr>
            <w:r>
              <w:rPr>
                <w:rFonts w:ascii="Arial" w:cs="Arial" w:eastAsia="Arial" w:hAnsi="Arial"/>
                <w:sz w:val="12"/>
                <w:szCs w:val="12"/>
                <w:b w:val="1"/>
                <w:bCs w:val="1"/>
                <w:color w:val="auto"/>
              </w:rPr>
              <w:t>Total liability for unrecognized tax benefits</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w w:val="86"/>
              </w:rPr>
              <w:t>$ 176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86"/>
              </w:rPr>
              <w:t>$ 375</w:t>
            </w:r>
          </w:p>
        </w:tc>
        <w:tc>
          <w:tcPr>
            <w:tcW w:w="200" w:type="dxa"/>
            <w:vAlign w:val="bottom"/>
          </w:tcPr>
          <w:p>
            <w:pPr>
              <w:spacing w:after="0"/>
              <w:rPr>
                <w:sz w:val="14"/>
                <w:szCs w:val="14"/>
                <w:color w:val="auto"/>
              </w:rPr>
            </w:pPr>
          </w:p>
        </w:tc>
      </w:tr>
      <w:tr>
        <w:trPr>
          <w:trHeight w:val="32"/>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6772275</wp:posOffset>
            </wp:positionH>
            <wp:positionV relativeFrom="paragraph">
              <wp:posOffset>-920115</wp:posOffset>
            </wp:positionV>
            <wp:extent cx="9144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-920115</wp:posOffset>
            </wp:positionV>
            <wp:extent cx="9144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-920115</wp:posOffset>
            </wp:positionV>
            <wp:extent cx="571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24" w:lineRule="exact"/>
        <w:rPr>
          <w:sz w:val="20"/>
          <w:szCs w:val="20"/>
          <w:color w:val="auto"/>
        </w:rPr>
      </w:pPr>
    </w:p>
    <w:p>
      <w:pPr>
        <w:jc w:val="both"/>
        <w:ind w:right="20" w:firstLine="240"/>
        <w:spacing w:after="0" w:line="261" w:lineRule="auto"/>
        <w:rPr>
          <w:sz w:val="20"/>
          <w:szCs w:val="20"/>
          <w:color w:val="auto"/>
        </w:rPr>
      </w:pPr>
      <w:r>
        <w:rPr>
          <w:rFonts w:ascii="Arial" w:cs="Arial" w:eastAsia="Arial" w:hAnsi="Arial"/>
          <w:sz w:val="12"/>
          <w:szCs w:val="12"/>
          <w:color w:val="auto"/>
        </w:rPr>
        <w:t>The liability for unrecognized tax benefits, including accrued interest and penalties, was included in other liabilities on the accompanying consolidated balance sheets. The amount of interest and penalties charged or credited to income tax expense as a result of the unrecognized tax benefits was not significant in the years ended December 31, 2019, 2018 and 2017.</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Commitments and Contingencies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Purchase Commitments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December 31, 2019, the Company had approximately $5.4 million in outstanding purchase orders for certain construction equipment, with cash outlay scheduled to occur over the next three months.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Insurance and Claims Accruals</w:t>
      </w:r>
    </w:p>
    <w:p>
      <w:pPr>
        <w:spacing w:after="0" w:line="96" w:lineRule="exact"/>
        <w:rPr>
          <w:sz w:val="20"/>
          <w:szCs w:val="20"/>
          <w:color w:val="auto"/>
        </w:rPr>
      </w:pPr>
    </w:p>
    <w:p>
      <w:pPr>
        <w:ind w:right="80" w:firstLine="240"/>
        <w:spacing w:after="0" w:line="248" w:lineRule="auto"/>
        <w:rPr>
          <w:sz w:val="20"/>
          <w:szCs w:val="20"/>
          <w:color w:val="auto"/>
        </w:rPr>
      </w:pPr>
      <w:r>
        <w:rPr>
          <w:rFonts w:ascii="Arial" w:cs="Arial" w:eastAsia="Arial" w:hAnsi="Arial"/>
          <w:sz w:val="12"/>
          <w:szCs w:val="12"/>
          <w:color w:val="auto"/>
        </w:rPr>
        <w:t>The Company carries insurance policies, which are subject to certain deductibles, for workers’ compensation, general liability, automobile liability and other coverages.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77" w:lineRule="exact"/>
        <w:rPr>
          <w:sz w:val="20"/>
          <w:szCs w:val="20"/>
          <w:color w:val="auto"/>
        </w:rPr>
      </w:pPr>
    </w:p>
    <w:p>
      <w:pPr>
        <w:jc w:val="both"/>
        <w:ind w:right="200" w:firstLine="240"/>
        <w:spacing w:after="0" w:line="361" w:lineRule="auto"/>
        <w:rPr>
          <w:sz w:val="20"/>
          <w:szCs w:val="20"/>
          <w:color w:val="auto"/>
        </w:rPr>
      </w:pPr>
      <w:r>
        <w:rPr>
          <w:rFonts w:ascii="Arial" w:cs="Arial" w:eastAsia="Arial" w:hAnsi="Arial"/>
          <w:sz w:val="10"/>
          <w:szCs w:val="10"/>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on the Company’s consolidated balance sheets. The following table includes the Company’s accrued short- and long-term insurance liabilities at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04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2019</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2018</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2017</w:t>
            </w:r>
          </w:p>
        </w:tc>
        <w:tc>
          <w:tcPr>
            <w:tcW w:w="300" w:type="dxa"/>
            <w:vAlign w:val="bottom"/>
            <w:tcBorders>
              <w:bottom w:val="single" w:sz="8" w:color="auto"/>
            </w:tcBorders>
          </w:tcPr>
          <w:p>
            <w:pPr>
              <w:spacing w:after="0"/>
              <w:rPr>
                <w:sz w:val="11"/>
                <w:szCs w:val="11"/>
                <w:color w:val="auto"/>
              </w:rPr>
            </w:pPr>
          </w:p>
        </w:tc>
      </w:tr>
      <w:tr>
        <w:trPr>
          <w:trHeight w:val="169"/>
        </w:trPr>
        <w:tc>
          <w:tcPr>
            <w:tcW w:w="8460" w:type="dxa"/>
            <w:vAlign w:val="bottom"/>
            <w:gridSpan w:val="3"/>
            <w:shd w:val="clear" w:color="auto" w:fill="CCEEFF"/>
          </w:tcPr>
          <w:p>
            <w:pPr>
              <w:ind w:left="560"/>
              <w:spacing w:after="0"/>
              <w:rPr>
                <w:sz w:val="20"/>
                <w:szCs w:val="20"/>
                <w:color w:val="auto"/>
              </w:rPr>
            </w:pPr>
            <w:r>
              <w:rPr>
                <w:rFonts w:ascii="Arial" w:cs="Arial" w:eastAsia="Arial" w:hAnsi="Arial"/>
                <w:sz w:val="12"/>
                <w:szCs w:val="12"/>
                <w:b w:val="1"/>
                <w:bCs w:val="1"/>
                <w:color w:val="auto"/>
              </w:rPr>
              <w:t>Balance at beginning of period</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9"/>
              </w:rPr>
              <w:t>$ 54,039</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9"/>
              </w:rPr>
              <w:t>$ 45,363</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$ 42,584</w:t>
            </w:r>
          </w:p>
        </w:tc>
        <w:tc>
          <w:tcPr>
            <w:tcW w:w="300" w:type="dxa"/>
            <w:vAlign w:val="bottom"/>
            <w:shd w:val="clear" w:color="auto" w:fill="CCEEFF"/>
          </w:tcPr>
          <w:p>
            <w:pPr>
              <w:spacing w:after="0"/>
              <w:rPr>
                <w:sz w:val="14"/>
                <w:szCs w:val="14"/>
                <w:color w:val="auto"/>
              </w:rPr>
            </w:pPr>
          </w:p>
        </w:tc>
      </w:tr>
      <w:tr>
        <w:trPr>
          <w:trHeight w:val="171"/>
        </w:trPr>
        <w:tc>
          <w:tcPr>
            <w:tcW w:w="8460" w:type="dxa"/>
            <w:vAlign w:val="bottom"/>
            <w:gridSpan w:val="3"/>
          </w:tcPr>
          <w:p>
            <w:pPr>
              <w:ind w:left="560"/>
              <w:spacing w:after="0"/>
              <w:rPr>
                <w:sz w:val="20"/>
                <w:szCs w:val="20"/>
                <w:color w:val="auto"/>
              </w:rPr>
            </w:pPr>
            <w:r>
              <w:rPr>
                <w:rFonts w:ascii="Arial" w:cs="Arial" w:eastAsia="Arial" w:hAnsi="Arial"/>
                <w:sz w:val="12"/>
                <w:szCs w:val="12"/>
                <w:color w:val="auto"/>
              </w:rPr>
              <w:t>Net increases in reserves</w:t>
            </w: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45,419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31,193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22,938</w:t>
            </w:r>
          </w:p>
        </w:tc>
        <w:tc>
          <w:tcPr>
            <w:tcW w:w="300" w:type="dxa"/>
            <w:vAlign w:val="bottom"/>
          </w:tcPr>
          <w:p>
            <w:pPr>
              <w:spacing w:after="0"/>
              <w:rPr>
                <w:sz w:val="14"/>
                <w:szCs w:val="14"/>
                <w:color w:val="auto"/>
              </w:rPr>
            </w:pPr>
          </w:p>
        </w:tc>
      </w:tr>
      <w:tr>
        <w:trPr>
          <w:trHeight w:val="176"/>
        </w:trPr>
        <w:tc>
          <w:tcPr>
            <w:tcW w:w="8460" w:type="dxa"/>
            <w:vAlign w:val="bottom"/>
            <w:gridSpan w:val="3"/>
            <w:shd w:val="clear" w:color="auto" w:fill="CCEEFF"/>
          </w:tcPr>
          <w:p>
            <w:pPr>
              <w:ind w:left="560"/>
              <w:spacing w:after="0"/>
              <w:rPr>
                <w:sz w:val="20"/>
                <w:szCs w:val="20"/>
                <w:color w:val="auto"/>
              </w:rPr>
            </w:pPr>
            <w:r>
              <w:rPr>
                <w:rFonts w:ascii="Arial" w:cs="Arial" w:eastAsia="Arial" w:hAnsi="Arial"/>
                <w:sz w:val="12"/>
                <w:szCs w:val="12"/>
                <w:color w:val="auto"/>
              </w:rPr>
              <w:t>Net payments made</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(32,654)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(22,517)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(20,159)</w:t>
            </w:r>
          </w:p>
        </w:tc>
      </w:tr>
      <w:tr>
        <w:trPr>
          <w:trHeight w:val="20"/>
        </w:trPr>
        <w:tc>
          <w:tcPr>
            <w:tcW w:w="8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69"/>
        </w:trPr>
        <w:tc>
          <w:tcPr>
            <w:tcW w:w="8460" w:type="dxa"/>
            <w:vAlign w:val="bottom"/>
            <w:gridSpan w:val="3"/>
          </w:tcPr>
          <w:p>
            <w:pPr>
              <w:ind w:left="560"/>
              <w:spacing w:after="0"/>
              <w:rPr>
                <w:sz w:val="20"/>
                <w:szCs w:val="20"/>
                <w:color w:val="auto"/>
              </w:rPr>
            </w:pPr>
            <w:r>
              <w:rPr>
                <w:rFonts w:ascii="Arial" w:cs="Arial" w:eastAsia="Arial" w:hAnsi="Arial"/>
                <w:sz w:val="12"/>
                <w:szCs w:val="12"/>
                <w:b w:val="1"/>
                <w:bCs w:val="1"/>
                <w:color w:val="auto"/>
              </w:rPr>
              <w:t>Balance at end of period</w:t>
            </w:r>
          </w:p>
        </w:tc>
        <w:tc>
          <w:tcPr>
            <w:tcW w:w="440" w:type="dxa"/>
            <w:vAlign w:val="bottom"/>
          </w:tcPr>
          <w:p>
            <w:pPr>
              <w:jc w:val="right"/>
              <w:spacing w:after="0"/>
              <w:rPr>
                <w:sz w:val="20"/>
                <w:szCs w:val="20"/>
                <w:color w:val="auto"/>
              </w:rPr>
            </w:pPr>
            <w:r>
              <w:rPr>
                <w:rFonts w:ascii="Arial" w:cs="Arial" w:eastAsia="Arial" w:hAnsi="Arial"/>
                <w:sz w:val="12"/>
                <w:szCs w:val="12"/>
                <w:color w:val="auto"/>
                <w:w w:val="89"/>
              </w:rPr>
              <w:t>$ 66,804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$ 54,039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9"/>
              </w:rPr>
              <w:t>$ 45,363</w:t>
            </w:r>
          </w:p>
        </w:tc>
        <w:tc>
          <w:tcPr>
            <w:tcW w:w="300" w:type="dxa"/>
            <w:vAlign w:val="bottom"/>
          </w:tcPr>
          <w:p>
            <w:pPr>
              <w:spacing w:after="0"/>
              <w:rPr>
                <w:sz w:val="14"/>
                <w:szCs w:val="14"/>
                <w:color w:val="auto"/>
              </w:rPr>
            </w:pPr>
          </w:p>
        </w:tc>
      </w:tr>
      <w:tr>
        <w:trPr>
          <w:trHeight w:val="32"/>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-474345</wp:posOffset>
            </wp:positionV>
            <wp:extent cx="9144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-474345</wp:posOffset>
            </wp:positionV>
            <wp:extent cx="9144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-474345</wp:posOffset>
            </wp:positionV>
            <wp:extent cx="9144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-474345</wp:posOffset>
            </wp:positionV>
            <wp:extent cx="571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24" w:lineRule="exact"/>
        <w:rPr>
          <w:sz w:val="20"/>
          <w:szCs w:val="20"/>
          <w:color w:val="auto"/>
        </w:rPr>
      </w:pPr>
    </w:p>
    <w:p>
      <w:pPr>
        <w:ind w:right="280" w:firstLine="240"/>
        <w:spacing w:after="0" w:line="261" w:lineRule="auto"/>
        <w:rPr>
          <w:sz w:val="20"/>
          <w:szCs w:val="20"/>
          <w:color w:val="auto"/>
        </w:rPr>
      </w:pPr>
      <w:r>
        <w:rPr>
          <w:rFonts w:ascii="Arial" w:cs="Arial" w:eastAsia="Arial" w:hAnsi="Arial"/>
          <w:sz w:val="12"/>
          <w:szCs w:val="12"/>
          <w:color w:val="auto"/>
        </w:rPr>
        <w:t>Insurance expense, including premiums, for workers’ compensation, general liability, automobile liability, employee health benefits, and other coverages for the years ended December 31, 2019, 2018 and 2017 was $48.5 million, $30.4 million and $29.5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Performance and Payment Bonds and Parent Guarantees</w:t>
      </w:r>
    </w:p>
    <w:p>
      <w:pPr>
        <w:spacing w:after="0" w:line="105" w:lineRule="exact"/>
        <w:rPr>
          <w:sz w:val="20"/>
          <w:szCs w:val="20"/>
          <w:color w:val="auto"/>
        </w:rPr>
      </w:pPr>
    </w:p>
    <w:p>
      <w:pPr>
        <w:ind w:right="20" w:firstLine="240"/>
        <w:spacing w:after="0" w:line="261" w:lineRule="auto"/>
        <w:rPr>
          <w:sz w:val="20"/>
          <w:szCs w:val="20"/>
          <w:color w:val="auto"/>
        </w:rPr>
      </w:pPr>
      <w:r>
        <w:rPr>
          <w:rFonts w:ascii="Arial" w:cs="Arial" w:eastAsia="Arial" w:hAnsi="Arial"/>
          <w:sz w:val="12"/>
          <w:szCs w:val="12"/>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December 31, 2019, an aggregate of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9" w:name="page90"/>
    <w:bookmarkEnd w:id="89"/>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approximately $902.0 million in original face amount of bonds issued by the Company’s sureties were outstanding. Our estimated remaining cost to complete these bonded projects was approximately $399.2 million as of December 31, 2019.</w:t>
      </w:r>
    </w:p>
    <w:p>
      <w:pPr>
        <w:spacing w:after="0" w:line="61" w:lineRule="exact"/>
        <w:rPr>
          <w:sz w:val="20"/>
          <w:szCs w:val="20"/>
          <w:color w:val="auto"/>
        </w:rPr>
      </w:pPr>
    </w:p>
    <w:p>
      <w:pPr>
        <w:ind w:right="560" w:firstLine="240"/>
        <w:spacing w:after="0" w:line="380" w:lineRule="auto"/>
        <w:rPr>
          <w:sz w:val="20"/>
          <w:szCs w:val="20"/>
          <w:color w:val="auto"/>
        </w:rPr>
      </w:pPr>
      <w:r>
        <w:rPr>
          <w:rFonts w:ascii="Arial" w:cs="Arial" w:eastAsia="Arial" w:hAnsi="Arial"/>
          <w:sz w:val="10"/>
          <w:szCs w:val="10"/>
          <w:color w:val="auto"/>
        </w:rPr>
        <w:t>From time to time the Company guarantees the obligations of wholly owned subsidiaries, including obligations under certain contracts with customers, certain lease agreements, and obligations in connection with obtaining contractors’ licenses. Additionally, from time to time the Company is required to post letters of credit to guarantee the obligations of its wholly owned subsidiaries, which reduces the borrowing availability under our Facility.</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Indemnities</w:t>
      </w:r>
    </w:p>
    <w:p>
      <w:pPr>
        <w:spacing w:after="0" w:line="105" w:lineRule="exact"/>
        <w:rPr>
          <w:sz w:val="20"/>
          <w:szCs w:val="20"/>
          <w:color w:val="auto"/>
        </w:rPr>
      </w:pPr>
    </w:p>
    <w:p>
      <w:pPr>
        <w:ind w:right="360" w:firstLine="240"/>
        <w:spacing w:after="0" w:line="323" w:lineRule="auto"/>
        <w:rPr>
          <w:sz w:val="20"/>
          <w:szCs w:val="20"/>
          <w:color w:val="auto"/>
        </w:rPr>
      </w:pPr>
      <w:r>
        <w:rPr>
          <w:rFonts w:ascii="Arial" w:cs="Arial" w:eastAsia="Arial" w:hAnsi="Arial"/>
          <w:sz w:val="11"/>
          <w:szCs w:val="11"/>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Collective Bargaining Agreements</w:t>
      </w:r>
    </w:p>
    <w:p>
      <w:pPr>
        <w:spacing w:after="0" w:line="105" w:lineRule="exact"/>
        <w:rPr>
          <w:sz w:val="20"/>
          <w:szCs w:val="20"/>
          <w:color w:val="auto"/>
        </w:rPr>
      </w:pPr>
    </w:p>
    <w:p>
      <w:pPr>
        <w:ind w:right="20" w:firstLine="240"/>
        <w:spacing w:after="0" w:line="290" w:lineRule="auto"/>
        <w:rPr>
          <w:sz w:val="20"/>
          <w:szCs w:val="20"/>
          <w:color w:val="auto"/>
        </w:rPr>
      </w:pPr>
      <w:r>
        <w:rPr>
          <w:rFonts w:ascii="Arial" w:cs="Arial" w:eastAsia="Arial" w:hAnsi="Arial"/>
          <w:sz w:val="11"/>
          <w:szCs w:val="11"/>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15 — Employee Benefit Plans to the Financial Statements for further information related to the Company’s participation in multi-employer plans.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 and Other Legal Matters</w:t>
      </w:r>
    </w:p>
    <w:p>
      <w:pPr>
        <w:spacing w:after="0" w:line="96" w:lineRule="exact"/>
        <w:rPr>
          <w:sz w:val="20"/>
          <w:szCs w:val="20"/>
          <w:color w:val="auto"/>
        </w:rPr>
      </w:pPr>
    </w:p>
    <w:p>
      <w:pPr>
        <w:ind w:right="20" w:firstLine="240"/>
        <w:spacing w:after="0" w:line="259" w:lineRule="auto"/>
        <w:rPr>
          <w:sz w:val="20"/>
          <w:szCs w:val="20"/>
          <w:color w:val="auto"/>
        </w:rPr>
      </w:pPr>
      <w:r>
        <w:rPr>
          <w:rFonts w:ascii="Arial" w:cs="Arial" w:eastAsia="Arial" w:hAnsi="Arial"/>
          <w:sz w:val="12"/>
          <w:szCs w:val="12"/>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 or cash flows.</w:t>
      </w:r>
    </w:p>
    <w:p>
      <w:pPr>
        <w:spacing w:after="0" w:line="80" w:lineRule="exact"/>
        <w:rPr>
          <w:sz w:val="20"/>
          <w:szCs w:val="20"/>
          <w:color w:val="auto"/>
        </w:rPr>
      </w:pPr>
    </w:p>
    <w:p>
      <w:pPr>
        <w:ind w:firstLine="240"/>
        <w:spacing w:after="0" w:line="257" w:lineRule="auto"/>
        <w:rPr>
          <w:sz w:val="20"/>
          <w:szCs w:val="20"/>
          <w:color w:val="auto"/>
        </w:rPr>
      </w:pPr>
      <w:r>
        <w:rPr>
          <w:rFonts w:ascii="Arial" w:cs="Arial" w:eastAsia="Arial" w:hAnsi="Arial"/>
          <w:sz w:val="12"/>
          <w:szCs w:val="12"/>
          <w:color w:val="auto"/>
        </w:rPr>
        <w:t>The Company is routinely subject to other civil claims, litigation and arbitration, and regulatory investigations arising in the ordinary course of our present business as well as in respect of our divested businesses. Some of these claims and litigations include claims related to the Company’s current services and operations, the Company believes that it has strong defenses to these claims as well as insurance coverages that could contribute to any settlement or liability in the event claims are not resolved in our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0" w:name="page91"/>
    <w:bookmarkEnd w:id="90"/>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Compensation</w:t>
      </w:r>
    </w:p>
    <w:p>
      <w:pPr>
        <w:spacing w:after="0" w:line="100" w:lineRule="exact"/>
        <w:rPr>
          <w:sz w:val="20"/>
          <w:szCs w:val="20"/>
          <w:color w:val="auto"/>
        </w:rPr>
      </w:pPr>
    </w:p>
    <w:p>
      <w:pPr>
        <w:ind w:right="40" w:firstLine="240"/>
        <w:spacing w:after="0" w:line="254" w:lineRule="auto"/>
        <w:rPr>
          <w:sz w:val="20"/>
          <w:szCs w:val="20"/>
          <w:color w:val="auto"/>
        </w:rPr>
      </w:pPr>
      <w:r>
        <w:rPr>
          <w:rFonts w:ascii="Arial" w:cs="Arial" w:eastAsia="Arial" w:hAnsi="Arial"/>
          <w:sz w:val="12"/>
          <w:szCs w:val="12"/>
          <w:color w:val="auto"/>
        </w:rPr>
        <w:t>The Company maintains two equity compensation plans under which stock-based compensation has been granted, the 2017 Long-Term Incentive Plan, (the “LTIP”) and the 2007 Long-Term Incentive Plan (Amended and Restated as of May 1, 2014) (the “2007 LTIP” and, collectively with the LTIP, the “Long-Term Incentive Plans”). Upon the adoption of the LTIP, awards were no longer granted under the 2007 LTIP. The LTIP was approved by our stockholders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900,000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 exercise price or base price, as the case may be, that is not less than the full fair market value per share on the date of grant. No stock option or stock appreciation right may be exercised more than 10 years from the date of grant.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Shares issued as a result of stock option exercises or stock grants are made available from authorized unissued shares of common stock or treasury stock.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Options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0"/>
          <w:szCs w:val="10"/>
          <w:color w:val="auto"/>
        </w:rPr>
        <w:t>The Company has not awarded any stock options since 2013. Stock options granted to the Company’s employees or directors were granted with an exercise price equal to the market price of the Company’s stock on the date of grant.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Company used the Black-Scholes-Merton option-pricing model to estimate the fair value of options as of the date of grant. All stock options were fully expensed as of December 31, 2016.</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Following is a summary of stock option activity for the three-year period ending December 31,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0"/>
              </w:rPr>
              <w:t>Weighted-</w:t>
            </w: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08"/>
        </w:trPr>
        <w:tc>
          <w:tcPr>
            <w:tcW w:w="6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0"/>
              </w:rPr>
              <w:t>Weighted-</w:t>
            </w:r>
          </w:p>
        </w:tc>
        <w:tc>
          <w:tcPr>
            <w:tcW w:w="12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0"/>
              </w:rPr>
              <w:t>Average</w:t>
            </w:r>
          </w:p>
        </w:tc>
        <w:tc>
          <w:tcPr>
            <w:tcW w:w="12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84"/>
              </w:rPr>
              <w:t>Aggregate</w:t>
            </w:r>
          </w:p>
        </w:tc>
      </w:tr>
      <w:tr>
        <w:trPr>
          <w:trHeight w:val="108"/>
        </w:trPr>
        <w:tc>
          <w:tcPr>
            <w:tcW w:w="6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0"/>
              </w:rPr>
              <w:t>Average</w:t>
            </w:r>
          </w:p>
        </w:tc>
        <w:tc>
          <w:tcPr>
            <w:tcW w:w="12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5"/>
              </w:rPr>
              <w:t>Remaining</w:t>
            </w:r>
          </w:p>
        </w:tc>
        <w:tc>
          <w:tcPr>
            <w:tcW w:w="1260" w:type="dxa"/>
            <w:vAlign w:val="bottom"/>
            <w:gridSpan w:val="2"/>
          </w:tcPr>
          <w:p>
            <w:pPr>
              <w:ind w:left="440"/>
              <w:spacing w:after="0" w:line="108" w:lineRule="exact"/>
              <w:rPr>
                <w:sz w:val="20"/>
                <w:szCs w:val="20"/>
                <w:color w:val="auto"/>
              </w:rPr>
            </w:pPr>
            <w:r>
              <w:rPr>
                <w:rFonts w:ascii="Arial" w:cs="Arial" w:eastAsia="Arial" w:hAnsi="Arial"/>
                <w:sz w:val="10"/>
                <w:szCs w:val="10"/>
                <w:b w:val="1"/>
                <w:bCs w:val="1"/>
                <w:color w:val="auto"/>
              </w:rPr>
              <w:t>Intrinsic</w:t>
            </w:r>
          </w:p>
        </w:tc>
      </w:tr>
      <w:tr>
        <w:trPr>
          <w:trHeight w:val="108"/>
        </w:trPr>
        <w:tc>
          <w:tcPr>
            <w:tcW w:w="6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7"/>
              </w:rPr>
              <w:t>Exercise</w:t>
            </w:r>
          </w:p>
        </w:tc>
        <w:tc>
          <w:tcPr>
            <w:tcW w:w="12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6"/>
              </w:rPr>
              <w:t>Contractual</w:t>
            </w:r>
          </w:p>
        </w:tc>
        <w:tc>
          <w:tcPr>
            <w:tcW w:w="12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82"/>
              </w:rPr>
              <w:t>Value</w:t>
            </w:r>
          </w:p>
        </w:tc>
      </w:tr>
      <w:tr>
        <w:trPr>
          <w:trHeight w:val="132"/>
        </w:trPr>
        <w:tc>
          <w:tcPr>
            <w:tcW w:w="69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w w:val="89"/>
              </w:rPr>
              <w:t>Options</w:t>
            </w:r>
          </w:p>
        </w:tc>
        <w:tc>
          <w:tcPr>
            <w:tcW w:w="1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Price</w:t>
            </w:r>
          </w:p>
        </w:tc>
        <w:tc>
          <w:tcPr>
            <w:tcW w:w="1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Term</w:t>
            </w:r>
          </w:p>
        </w:tc>
        <w:tc>
          <w:tcPr>
            <w:tcW w:w="1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4"/>
              </w:rPr>
              <w:t>(in thousands)</w:t>
            </w:r>
          </w:p>
        </w:tc>
      </w:tr>
      <w:tr>
        <w:trPr>
          <w:trHeight w:val="169"/>
        </w:trPr>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January 1, 2017</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245,717</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$19.82</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6"/>
        </w:trPr>
        <w:tc>
          <w:tcPr>
            <w:tcW w:w="7180" w:type="dxa"/>
            <w:vAlign w:val="bottom"/>
            <w:gridSpan w:val="2"/>
          </w:tcPr>
          <w:p>
            <w:pPr>
              <w:spacing w:after="0"/>
              <w:rPr>
                <w:sz w:val="20"/>
                <w:szCs w:val="20"/>
                <w:color w:val="auto"/>
              </w:rPr>
            </w:pPr>
            <w:r>
              <w:rPr>
                <w:rFonts w:ascii="Arial" w:cs="Arial" w:eastAsia="Arial" w:hAnsi="Arial"/>
                <w:sz w:val="12"/>
                <w:szCs w:val="12"/>
                <w:color w:val="auto"/>
              </w:rPr>
              <w:t>Exercised</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w w:val="93"/>
              </w:rPr>
              <w:t>(79,797)</w:t>
            </w: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87"/>
              </w:rPr>
              <w:t>$15.43</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169"/>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Outstanding and Exercisable at December 31, 2017</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165,920</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$21.92</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89"/>
              </w:rPr>
              <w:t>4.2 years</w:t>
            </w:r>
          </w:p>
        </w:tc>
        <w:tc>
          <w:tcPr>
            <w:tcW w:w="520" w:type="dxa"/>
            <w:vAlign w:val="bottom"/>
            <w:shd w:val="clear" w:color="auto" w:fill="CCEEFF"/>
          </w:tcPr>
          <w:p>
            <w:pPr>
              <w:ind w:left="46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79"/>
              </w:rPr>
              <w:t>2,292</w:t>
            </w:r>
          </w:p>
        </w:tc>
      </w:tr>
      <w:tr>
        <w:trPr>
          <w:trHeight w:val="20"/>
        </w:trPr>
        <w:tc>
          <w:tcPr>
            <w:tcW w:w="6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165"/>
        </w:trPr>
        <w:tc>
          <w:tcPr>
            <w:tcW w:w="7180" w:type="dxa"/>
            <w:vAlign w:val="bottom"/>
            <w:gridSpan w:val="2"/>
          </w:tcPr>
          <w:p>
            <w:pPr>
              <w:spacing w:after="0"/>
              <w:rPr>
                <w:sz w:val="20"/>
                <w:szCs w:val="20"/>
                <w:color w:val="auto"/>
              </w:rPr>
            </w:pPr>
            <w:r>
              <w:rPr>
                <w:rFonts w:ascii="Arial" w:cs="Arial" w:eastAsia="Arial" w:hAnsi="Arial"/>
                <w:sz w:val="12"/>
                <w:szCs w:val="12"/>
                <w:color w:val="auto"/>
              </w:rPr>
              <w:t>Exercised</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w w:val="93"/>
              </w:rPr>
              <w:t>(88,053)</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87"/>
              </w:rPr>
              <w:t>$21.54</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Expired</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(1,103)</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$21.16</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169"/>
        </w:trPr>
        <w:tc>
          <w:tcPr>
            <w:tcW w:w="7180" w:type="dxa"/>
            <w:vAlign w:val="bottom"/>
            <w:gridSpan w:val="2"/>
          </w:tcPr>
          <w:p>
            <w:pPr>
              <w:spacing w:after="0"/>
              <w:rPr>
                <w:sz w:val="20"/>
                <w:szCs w:val="20"/>
                <w:color w:val="auto"/>
              </w:rPr>
            </w:pPr>
            <w:r>
              <w:rPr>
                <w:rFonts w:ascii="Arial" w:cs="Arial" w:eastAsia="Arial" w:hAnsi="Arial"/>
                <w:sz w:val="12"/>
                <w:szCs w:val="12"/>
                <w:color w:val="auto"/>
              </w:rPr>
              <w:t>Outstanding and Exercisable at December 31, 2018</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76,764</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87"/>
              </w:rPr>
              <w:t>$22.33</w:t>
            </w:r>
          </w:p>
        </w:tc>
        <w:tc>
          <w:tcPr>
            <w:tcW w:w="14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2.9 years</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446</w:t>
            </w:r>
          </w:p>
        </w:tc>
      </w:tr>
      <w:tr>
        <w:trPr>
          <w:trHeight w:val="20"/>
        </w:trPr>
        <w:tc>
          <w:tcPr>
            <w:tcW w:w="6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165"/>
        </w:trPr>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3"/>
              </w:rPr>
              <w:t>(14,743)</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$23.16</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6"/>
        </w:trPr>
        <w:tc>
          <w:tcPr>
            <w:tcW w:w="7180" w:type="dxa"/>
            <w:vAlign w:val="bottom"/>
            <w:gridSpan w:val="2"/>
          </w:tcPr>
          <w:p>
            <w:pPr>
              <w:spacing w:after="0"/>
              <w:rPr>
                <w:sz w:val="20"/>
                <w:szCs w:val="20"/>
                <w:color w:val="auto"/>
              </w:rPr>
            </w:pPr>
            <w:r>
              <w:rPr>
                <w:rFonts w:ascii="Arial" w:cs="Arial" w:eastAsia="Arial" w:hAnsi="Arial"/>
                <w:sz w:val="12"/>
                <w:szCs w:val="12"/>
                <w:color w:val="auto"/>
              </w:rPr>
              <w:t>Expired</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(2,435)</w:t>
            </w: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87"/>
              </w:rPr>
              <w:t>$19.86</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r>
        <w:trPr>
          <w:trHeight w:val="174"/>
        </w:trPr>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and Exercisable at December 31, 2019</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59,586</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$22.26</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89"/>
              </w:rPr>
              <w:t>2.2 years</w:t>
            </w:r>
          </w:p>
        </w:tc>
        <w:tc>
          <w:tcPr>
            <w:tcW w:w="520" w:type="dxa"/>
            <w:vAlign w:val="bottom"/>
            <w:shd w:val="clear" w:color="auto" w:fill="CCEEFF"/>
          </w:tcPr>
          <w:p>
            <w:pPr>
              <w:ind w:left="46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352</w:t>
            </w:r>
          </w:p>
        </w:tc>
      </w:tr>
      <w:tr>
        <w:trPr>
          <w:trHeight w:val="27"/>
        </w:trPr>
        <w:tc>
          <w:tcPr>
            <w:tcW w:w="6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-365125</wp:posOffset>
            </wp:positionV>
            <wp:extent cx="729234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-834390</wp:posOffset>
            </wp:positionV>
            <wp:extent cx="729234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6395085</wp:posOffset>
            </wp:positionH>
            <wp:positionV relativeFrom="paragraph">
              <wp:posOffset>-1062990</wp:posOffset>
            </wp:positionV>
            <wp:extent cx="9144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-1062990</wp:posOffset>
            </wp:positionV>
            <wp:extent cx="572516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25160" cy="5715"/>
                    </a:xfrm>
                    <a:prstGeom prst="rect">
                      <a:avLst/>
                    </a:prstGeom>
                    <a:noFill/>
                  </pic:spPr>
                </pic:pic>
              </a:graphicData>
            </a:graphic>
          </wp:anchor>
        </w:drawing>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During the years ended December 31, 2019, 2018 and 2017, the intrinsic value of stock options exercised was $0.2 million, $1.3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1" w:name="page92"/>
    <w:bookmarkEnd w:id="91"/>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information with respect to stock options outstanding and exercisable under the Company’s plans at December 31, 2019: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w w:val="88"/>
              </w:rPr>
              <w:t>Options Outstanding and Exercisable</w:t>
            </w:r>
          </w:p>
        </w:tc>
        <w:tc>
          <w:tcPr>
            <w:tcW w:w="860" w:type="dxa"/>
            <w:vAlign w:val="bottom"/>
            <w:tcBorders>
              <w:bottom w:val="single" w:sz="8" w:color="auto"/>
            </w:tcBorders>
          </w:tcPr>
          <w:p>
            <w:pPr>
              <w:spacing w:after="0"/>
              <w:rPr>
                <w:sz w:val="11"/>
                <w:szCs w:val="11"/>
                <w:color w:val="auto"/>
              </w:rPr>
            </w:pPr>
          </w:p>
        </w:tc>
      </w:tr>
      <w:tr>
        <w:trPr>
          <w:trHeight w:val="118"/>
        </w:trPr>
        <w:tc>
          <w:tcPr>
            <w:tcW w:w="7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226"/>
              <w:spacing w:after="0"/>
              <w:rPr>
                <w:sz w:val="20"/>
                <w:szCs w:val="20"/>
                <w:color w:val="auto"/>
              </w:rPr>
            </w:pPr>
            <w:r>
              <w:rPr>
                <w:rFonts w:ascii="Arial" w:cs="Arial" w:eastAsia="Arial" w:hAnsi="Arial"/>
                <w:sz w:val="10"/>
                <w:szCs w:val="10"/>
                <w:b w:val="1"/>
                <w:bCs w:val="1"/>
                <w:color w:val="auto"/>
                <w:w w:val="86"/>
              </w:rPr>
              <w:t>Weighted-</w:t>
            </w:r>
          </w:p>
        </w:tc>
      </w:tr>
      <w:tr>
        <w:trPr>
          <w:trHeight w:val="108"/>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tcPr>
          <w:p>
            <w:pPr>
              <w:jc w:val="center"/>
              <w:ind w:right="420"/>
              <w:spacing w:after="0" w:line="108" w:lineRule="exact"/>
              <w:rPr>
                <w:sz w:val="20"/>
                <w:szCs w:val="20"/>
                <w:color w:val="auto"/>
              </w:rPr>
            </w:pPr>
            <w:r>
              <w:rPr>
                <w:rFonts w:ascii="Arial" w:cs="Arial" w:eastAsia="Arial" w:hAnsi="Arial"/>
                <w:sz w:val="10"/>
                <w:szCs w:val="10"/>
                <w:b w:val="1"/>
                <w:bCs w:val="1"/>
                <w:color w:val="auto"/>
                <w:w w:val="86"/>
              </w:rPr>
              <w:t>Weighted-</w:t>
            </w:r>
          </w:p>
        </w:tc>
        <w:tc>
          <w:tcPr>
            <w:tcW w:w="860" w:type="dxa"/>
            <w:vAlign w:val="bottom"/>
          </w:tcPr>
          <w:p>
            <w:pPr>
              <w:jc w:val="center"/>
              <w:ind w:right="206"/>
              <w:spacing w:after="0" w:line="108" w:lineRule="exact"/>
              <w:rPr>
                <w:sz w:val="20"/>
                <w:szCs w:val="20"/>
                <w:color w:val="auto"/>
              </w:rPr>
            </w:pPr>
            <w:r>
              <w:rPr>
                <w:rFonts w:ascii="Arial" w:cs="Arial" w:eastAsia="Arial" w:hAnsi="Arial"/>
                <w:sz w:val="10"/>
                <w:szCs w:val="10"/>
                <w:b w:val="1"/>
                <w:bCs w:val="1"/>
                <w:color w:val="auto"/>
                <w:w w:val="80"/>
              </w:rPr>
              <w:t>Average</w:t>
            </w:r>
          </w:p>
        </w:tc>
      </w:tr>
      <w:tr>
        <w:trPr>
          <w:trHeight w:val="108"/>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80"/>
              </w:rPr>
              <w:t>Average</w:t>
            </w:r>
          </w:p>
        </w:tc>
        <w:tc>
          <w:tcPr>
            <w:tcW w:w="860" w:type="dxa"/>
            <w:vAlign w:val="bottom"/>
          </w:tcPr>
          <w:p>
            <w:pPr>
              <w:jc w:val="center"/>
              <w:ind w:right="206"/>
              <w:spacing w:after="0" w:line="108" w:lineRule="exact"/>
              <w:rPr>
                <w:sz w:val="20"/>
                <w:szCs w:val="20"/>
                <w:color w:val="auto"/>
              </w:rPr>
            </w:pPr>
            <w:r>
              <w:rPr>
                <w:rFonts w:ascii="Arial" w:cs="Arial" w:eastAsia="Arial" w:hAnsi="Arial"/>
                <w:sz w:val="10"/>
                <w:szCs w:val="10"/>
                <w:b w:val="1"/>
                <w:bCs w:val="1"/>
                <w:color w:val="auto"/>
                <w:w w:val="85"/>
              </w:rPr>
              <w:t>Remaining</w:t>
            </w:r>
          </w:p>
        </w:tc>
      </w:tr>
      <w:tr>
        <w:trPr>
          <w:trHeight w:val="108"/>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tcPr>
          <w:p>
            <w:pPr>
              <w:jc w:val="right"/>
              <w:ind w:right="80"/>
              <w:spacing w:after="0" w:line="108" w:lineRule="exact"/>
              <w:rPr>
                <w:sz w:val="20"/>
                <w:szCs w:val="20"/>
                <w:color w:val="auto"/>
              </w:rPr>
            </w:pPr>
            <w:r>
              <w:rPr>
                <w:rFonts w:ascii="Arial" w:cs="Arial" w:eastAsia="Arial" w:hAnsi="Arial"/>
                <w:sz w:val="10"/>
                <w:szCs w:val="10"/>
                <w:b w:val="1"/>
                <w:bCs w:val="1"/>
                <w:color w:val="auto"/>
              </w:rPr>
              <w:t>Number Of</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Exercise</w:t>
            </w:r>
          </w:p>
        </w:tc>
        <w:tc>
          <w:tcPr>
            <w:tcW w:w="860" w:type="dxa"/>
            <w:vAlign w:val="bottom"/>
          </w:tcPr>
          <w:p>
            <w:pPr>
              <w:jc w:val="center"/>
              <w:ind w:right="226"/>
              <w:spacing w:after="0" w:line="108" w:lineRule="exact"/>
              <w:rPr>
                <w:sz w:val="20"/>
                <w:szCs w:val="20"/>
                <w:color w:val="auto"/>
              </w:rPr>
            </w:pPr>
            <w:r>
              <w:rPr>
                <w:rFonts w:ascii="Arial" w:cs="Arial" w:eastAsia="Arial" w:hAnsi="Arial"/>
                <w:sz w:val="10"/>
                <w:szCs w:val="10"/>
                <w:b w:val="1"/>
                <w:bCs w:val="1"/>
                <w:color w:val="auto"/>
                <w:w w:val="89"/>
              </w:rPr>
              <w:t>Contractual</w:t>
            </w:r>
          </w:p>
        </w:tc>
      </w:tr>
      <w:tr>
        <w:trPr>
          <w:trHeight w:val="132"/>
        </w:trPr>
        <w:tc>
          <w:tcPr>
            <w:tcW w:w="798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Exercise Price</w:t>
            </w:r>
          </w:p>
        </w:tc>
        <w:tc>
          <w:tcPr>
            <w:tcW w:w="1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w w:val="84"/>
              </w:rPr>
              <w:t>Options</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Price</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226"/>
              <w:spacing w:after="0"/>
              <w:rPr>
                <w:sz w:val="20"/>
                <w:szCs w:val="20"/>
                <w:color w:val="auto"/>
              </w:rPr>
            </w:pPr>
            <w:r>
              <w:rPr>
                <w:rFonts w:ascii="Arial" w:cs="Arial" w:eastAsia="Arial" w:hAnsi="Arial"/>
                <w:sz w:val="10"/>
                <w:szCs w:val="10"/>
                <w:b w:val="1"/>
                <w:bCs w:val="1"/>
                <w:color w:val="auto"/>
                <w:w w:val="89"/>
              </w:rPr>
              <w:t>Term</w:t>
            </w:r>
          </w:p>
        </w:tc>
      </w:tr>
      <w:tr>
        <w:trPr>
          <w:trHeight w:val="169"/>
        </w:trPr>
        <w:tc>
          <w:tcPr>
            <w:tcW w:w="81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$17.18 – $17.18</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4,435</w:t>
            </w:r>
          </w:p>
        </w:tc>
        <w:tc>
          <w:tcPr>
            <w:tcW w:w="1280" w:type="dxa"/>
            <w:vAlign w:val="bottom"/>
            <w:gridSpan w:val="3"/>
            <w:shd w:val="clear" w:color="auto" w:fill="CCEEFF"/>
          </w:tcPr>
          <w:p>
            <w:pPr>
              <w:jc w:val="center"/>
              <w:ind w:left="242"/>
              <w:spacing w:after="0"/>
              <w:rPr>
                <w:sz w:val="20"/>
                <w:szCs w:val="20"/>
                <w:color w:val="auto"/>
              </w:rPr>
            </w:pPr>
            <w:r>
              <w:rPr>
                <w:rFonts w:ascii="Arial" w:cs="Arial" w:eastAsia="Arial" w:hAnsi="Arial"/>
                <w:sz w:val="12"/>
                <w:szCs w:val="12"/>
                <w:color w:val="auto"/>
                <w:w w:val="92"/>
              </w:rPr>
              <w:t>$17.18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206"/>
              <w:spacing w:after="0"/>
              <w:rPr>
                <w:sz w:val="20"/>
                <w:szCs w:val="20"/>
                <w:color w:val="auto"/>
              </w:rPr>
            </w:pPr>
            <w:r>
              <w:rPr>
                <w:rFonts w:ascii="Arial" w:cs="Arial" w:eastAsia="Arial" w:hAnsi="Arial"/>
                <w:sz w:val="12"/>
                <w:szCs w:val="12"/>
                <w:color w:val="auto"/>
                <w:w w:val="89"/>
              </w:rPr>
              <w:t>0.2 years</w:t>
            </w:r>
          </w:p>
        </w:tc>
      </w:tr>
      <w:tr>
        <w:trPr>
          <w:trHeight w:val="171"/>
        </w:trPr>
        <w:tc>
          <w:tcPr>
            <w:tcW w:w="8120" w:type="dxa"/>
            <w:vAlign w:val="bottom"/>
            <w:gridSpan w:val="2"/>
          </w:tcPr>
          <w:p>
            <w:pPr>
              <w:ind w:left="560"/>
              <w:spacing w:after="0"/>
              <w:rPr>
                <w:sz w:val="20"/>
                <w:szCs w:val="20"/>
                <w:color w:val="auto"/>
              </w:rPr>
            </w:pPr>
            <w:r>
              <w:rPr>
                <w:rFonts w:ascii="Arial" w:cs="Arial" w:eastAsia="Arial" w:hAnsi="Arial"/>
                <w:sz w:val="12"/>
                <w:szCs w:val="12"/>
                <w:color w:val="auto"/>
              </w:rPr>
              <w:t>$17.48 – $17.48</w:t>
            </w:r>
          </w:p>
        </w:tc>
        <w:tc>
          <w:tcPr>
            <w:tcW w:w="820" w:type="dxa"/>
            <w:vAlign w:val="bottom"/>
            <w:gridSpan w:val="3"/>
          </w:tcPr>
          <w:p>
            <w:pPr>
              <w:jc w:val="right"/>
              <w:ind w:right="160"/>
              <w:spacing w:after="0"/>
              <w:rPr>
                <w:sz w:val="20"/>
                <w:szCs w:val="20"/>
                <w:color w:val="auto"/>
              </w:rPr>
            </w:pPr>
            <w:r>
              <w:rPr>
                <w:rFonts w:ascii="Arial" w:cs="Arial" w:eastAsia="Arial" w:hAnsi="Arial"/>
                <w:sz w:val="12"/>
                <w:szCs w:val="12"/>
                <w:color w:val="auto"/>
              </w:rPr>
              <w:t>14,232</w:t>
            </w:r>
          </w:p>
        </w:tc>
        <w:tc>
          <w:tcPr>
            <w:tcW w:w="1280" w:type="dxa"/>
            <w:vAlign w:val="bottom"/>
            <w:gridSpan w:val="3"/>
          </w:tcPr>
          <w:p>
            <w:pPr>
              <w:jc w:val="center"/>
              <w:ind w:left="242"/>
              <w:spacing w:after="0"/>
              <w:rPr>
                <w:sz w:val="20"/>
                <w:szCs w:val="20"/>
                <w:color w:val="auto"/>
              </w:rPr>
            </w:pPr>
            <w:r>
              <w:rPr>
                <w:rFonts w:ascii="Arial" w:cs="Arial" w:eastAsia="Arial" w:hAnsi="Arial"/>
                <w:sz w:val="12"/>
                <w:szCs w:val="12"/>
                <w:color w:val="auto"/>
                <w:w w:val="92"/>
              </w:rPr>
              <w:t>$17.48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206"/>
              <w:spacing w:after="0"/>
              <w:rPr>
                <w:sz w:val="20"/>
                <w:szCs w:val="20"/>
                <w:color w:val="auto"/>
              </w:rPr>
            </w:pPr>
            <w:r>
              <w:rPr>
                <w:rFonts w:ascii="Arial" w:cs="Arial" w:eastAsia="Arial" w:hAnsi="Arial"/>
                <w:sz w:val="12"/>
                <w:szCs w:val="12"/>
                <w:color w:val="auto"/>
                <w:w w:val="89"/>
              </w:rPr>
              <w:t>2.2 years</w:t>
            </w:r>
          </w:p>
        </w:tc>
      </w:tr>
      <w:tr>
        <w:trPr>
          <w:trHeight w:val="171"/>
        </w:trPr>
        <w:tc>
          <w:tcPr>
            <w:tcW w:w="81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$24.18 – $24.18</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17,318</w:t>
            </w:r>
          </w:p>
        </w:tc>
        <w:tc>
          <w:tcPr>
            <w:tcW w:w="1280" w:type="dxa"/>
            <w:vAlign w:val="bottom"/>
            <w:gridSpan w:val="3"/>
            <w:shd w:val="clear" w:color="auto" w:fill="CCEEFF"/>
          </w:tcPr>
          <w:p>
            <w:pPr>
              <w:jc w:val="center"/>
              <w:ind w:left="242"/>
              <w:spacing w:after="0"/>
              <w:rPr>
                <w:sz w:val="20"/>
                <w:szCs w:val="20"/>
                <w:color w:val="auto"/>
              </w:rPr>
            </w:pPr>
            <w:r>
              <w:rPr>
                <w:rFonts w:ascii="Arial" w:cs="Arial" w:eastAsia="Arial" w:hAnsi="Arial"/>
                <w:sz w:val="12"/>
                <w:szCs w:val="12"/>
                <w:color w:val="auto"/>
                <w:w w:val="92"/>
              </w:rPr>
              <w:t>$24.18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206"/>
              <w:spacing w:after="0"/>
              <w:rPr>
                <w:sz w:val="20"/>
                <w:szCs w:val="20"/>
                <w:color w:val="auto"/>
              </w:rPr>
            </w:pPr>
            <w:r>
              <w:rPr>
                <w:rFonts w:ascii="Arial" w:cs="Arial" w:eastAsia="Arial" w:hAnsi="Arial"/>
                <w:sz w:val="12"/>
                <w:szCs w:val="12"/>
                <w:color w:val="auto"/>
                <w:w w:val="89"/>
              </w:rPr>
              <w:t>1.2 years</w:t>
            </w:r>
          </w:p>
        </w:tc>
      </w:tr>
      <w:tr>
        <w:trPr>
          <w:trHeight w:val="176"/>
        </w:trPr>
        <w:tc>
          <w:tcPr>
            <w:tcW w:w="8120" w:type="dxa"/>
            <w:vAlign w:val="bottom"/>
            <w:gridSpan w:val="2"/>
          </w:tcPr>
          <w:p>
            <w:pPr>
              <w:ind w:left="560"/>
              <w:spacing w:after="0"/>
              <w:rPr>
                <w:sz w:val="20"/>
                <w:szCs w:val="20"/>
                <w:color w:val="auto"/>
              </w:rPr>
            </w:pPr>
            <w:r>
              <w:rPr>
                <w:rFonts w:ascii="Arial" w:cs="Arial" w:eastAsia="Arial" w:hAnsi="Arial"/>
                <w:sz w:val="12"/>
                <w:szCs w:val="12"/>
                <w:color w:val="auto"/>
              </w:rPr>
              <w:t>$24.68 – $24.68</w:t>
            </w:r>
          </w:p>
        </w:tc>
        <w:tc>
          <w:tcPr>
            <w:tcW w:w="32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w w:val="87"/>
              </w:rPr>
              <w:t>23,601</w:t>
            </w:r>
          </w:p>
        </w:tc>
        <w:tc>
          <w:tcPr>
            <w:tcW w:w="1280" w:type="dxa"/>
            <w:vAlign w:val="bottom"/>
            <w:gridSpan w:val="3"/>
          </w:tcPr>
          <w:p>
            <w:pPr>
              <w:jc w:val="center"/>
              <w:ind w:left="242"/>
              <w:spacing w:after="0"/>
              <w:rPr>
                <w:sz w:val="20"/>
                <w:szCs w:val="20"/>
                <w:color w:val="auto"/>
              </w:rPr>
            </w:pPr>
            <w:r>
              <w:rPr>
                <w:rFonts w:ascii="Arial" w:cs="Arial" w:eastAsia="Arial" w:hAnsi="Arial"/>
                <w:sz w:val="12"/>
                <w:szCs w:val="12"/>
                <w:color w:val="auto"/>
                <w:w w:val="92"/>
              </w:rPr>
              <w:t>$24.68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206"/>
              <w:spacing w:after="0"/>
              <w:rPr>
                <w:sz w:val="20"/>
                <w:szCs w:val="20"/>
                <w:color w:val="auto"/>
              </w:rPr>
            </w:pPr>
            <w:r>
              <w:rPr>
                <w:rFonts w:ascii="Arial" w:cs="Arial" w:eastAsia="Arial" w:hAnsi="Arial"/>
                <w:sz w:val="12"/>
                <w:szCs w:val="12"/>
                <w:color w:val="auto"/>
                <w:w w:val="89"/>
              </w:rPr>
              <w:t>3.2 years</w:t>
            </w:r>
          </w:p>
        </w:tc>
      </w:tr>
      <w:tr>
        <w:trPr>
          <w:trHeight w:val="20"/>
        </w:trPr>
        <w:tc>
          <w:tcPr>
            <w:tcW w:w="7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r>
        <w:trPr>
          <w:trHeight w:val="174"/>
        </w:trPr>
        <w:tc>
          <w:tcPr>
            <w:tcW w:w="7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7"/>
              </w:rPr>
              <w:t>59,586</w:t>
            </w:r>
          </w:p>
        </w:tc>
        <w:tc>
          <w:tcPr>
            <w:tcW w:w="1280" w:type="dxa"/>
            <w:vAlign w:val="bottom"/>
            <w:gridSpan w:val="3"/>
            <w:shd w:val="clear" w:color="auto" w:fill="CCEEFF"/>
          </w:tcPr>
          <w:p>
            <w:pPr>
              <w:jc w:val="center"/>
              <w:ind w:left="242"/>
              <w:spacing w:after="0"/>
              <w:rPr>
                <w:sz w:val="20"/>
                <w:szCs w:val="20"/>
                <w:color w:val="auto"/>
              </w:rPr>
            </w:pPr>
            <w:r>
              <w:rPr>
                <w:rFonts w:ascii="Arial" w:cs="Arial" w:eastAsia="Arial" w:hAnsi="Arial"/>
                <w:sz w:val="12"/>
                <w:szCs w:val="12"/>
                <w:color w:val="auto"/>
                <w:w w:val="92"/>
              </w:rPr>
              <w:t>$22.26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right="206"/>
              <w:spacing w:after="0"/>
              <w:rPr>
                <w:sz w:val="20"/>
                <w:szCs w:val="20"/>
                <w:color w:val="auto"/>
              </w:rPr>
            </w:pPr>
            <w:r>
              <w:rPr>
                <w:rFonts w:ascii="Arial" w:cs="Arial" w:eastAsia="Arial" w:hAnsi="Arial"/>
                <w:sz w:val="12"/>
                <w:szCs w:val="12"/>
                <w:color w:val="auto"/>
                <w:w w:val="89"/>
              </w:rPr>
              <w:t>2.2 years</w:t>
            </w:r>
          </w:p>
        </w:tc>
      </w:tr>
      <w:tr>
        <w:trPr>
          <w:trHeight w:val="27"/>
        </w:trPr>
        <w:tc>
          <w:tcPr>
            <w:tcW w:w="7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-582930</wp:posOffset>
            </wp:positionV>
            <wp:extent cx="9144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5788660</wp:posOffset>
            </wp:positionH>
            <wp:positionV relativeFrom="paragraph">
              <wp:posOffset>-582930</wp:posOffset>
            </wp:positionV>
            <wp:extent cx="9144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-582930</wp:posOffset>
            </wp:positionV>
            <wp:extent cx="914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-582930</wp:posOffset>
            </wp:positionV>
            <wp:extent cx="571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Time-Vested Stock Awards</w:t>
      </w:r>
    </w:p>
    <w:p>
      <w:pPr>
        <w:spacing w:after="0" w:line="87" w:lineRule="exact"/>
        <w:rPr>
          <w:sz w:val="20"/>
          <w:szCs w:val="20"/>
          <w:color w:val="auto"/>
        </w:rPr>
      </w:pPr>
    </w:p>
    <w:p>
      <w:pPr>
        <w:ind w:right="260" w:firstLine="240"/>
        <w:spacing w:after="0" w:line="248" w:lineRule="auto"/>
        <w:rPr>
          <w:sz w:val="20"/>
          <w:szCs w:val="20"/>
          <w:color w:val="auto"/>
        </w:rPr>
      </w:pPr>
      <w:r>
        <w:rPr>
          <w:rFonts w:ascii="Arial" w:cs="Arial" w:eastAsia="Arial" w:hAnsi="Arial"/>
          <w:sz w:val="12"/>
          <w:szCs w:val="12"/>
          <w:color w:val="auto"/>
        </w:rPr>
        <w:t>The company grants time-vested stock awards under the LTIP in the form of restricted stock awards, restricted stock units or equity-settled phantom stock. The grant date fair value of the time-vested stock awards is equal to the closing market price of the Company’s common stock on the date of grant. Time-vested stock awards granted under the LTIP to eligible employees in 2019 generally vest ratably, on an annual basis, over three years. Time-vested stock awards granted under the LTIP to non-employee directors in 2019 vest over a one year period.</w:t>
      </w:r>
    </w:p>
    <w:p>
      <w:pPr>
        <w:spacing w:after="0" w:line="77" w:lineRule="exact"/>
        <w:rPr>
          <w:sz w:val="20"/>
          <w:szCs w:val="20"/>
          <w:color w:val="auto"/>
        </w:rPr>
      </w:pPr>
    </w:p>
    <w:p>
      <w:pPr>
        <w:ind w:firstLine="240"/>
        <w:spacing w:after="0" w:line="306" w:lineRule="auto"/>
        <w:rPr>
          <w:sz w:val="20"/>
          <w:szCs w:val="20"/>
          <w:color w:val="auto"/>
        </w:rPr>
      </w:pPr>
      <w:r>
        <w:rPr>
          <w:rFonts w:ascii="Arial" w:cs="Arial" w:eastAsia="Arial" w:hAnsi="Arial"/>
          <w:sz w:val="11"/>
          <w:szCs w:val="11"/>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which is generally three years for time-vested stock awards granted to eligible employees and one year for non-employee directors.</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During the years ended December 31, 2019, 2018 and 2017, time-vested stock vesting activity settled in common stock had an intrinsic value, at the time of vesting, of $3.4 million, $3.0 million and $3.8 million,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Following is a summary of time-vested stock awards activity for the three-year period ending December 31,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85"/>
              </w:rPr>
              <w:t>Per Share</w:t>
            </w:r>
          </w:p>
        </w:tc>
      </w:tr>
      <w:tr>
        <w:trPr>
          <w:trHeight w:val="108"/>
        </w:trPr>
        <w:tc>
          <w:tcPr>
            <w:tcW w:w="41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6"/>
              </w:rPr>
              <w:t>Weighted-</w:t>
            </w:r>
          </w:p>
        </w:tc>
      </w:tr>
      <w:tr>
        <w:trPr>
          <w:trHeight w:val="108"/>
        </w:trPr>
        <w:tc>
          <w:tcPr>
            <w:tcW w:w="41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6"/>
              </w:rPr>
              <w:t>Average</w:t>
            </w:r>
          </w:p>
        </w:tc>
      </w:tr>
      <w:tr>
        <w:trPr>
          <w:trHeight w:val="108"/>
        </w:trPr>
        <w:tc>
          <w:tcPr>
            <w:tcW w:w="41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Grant Date</w:t>
            </w:r>
          </w:p>
        </w:tc>
      </w:tr>
      <w:tr>
        <w:trPr>
          <w:trHeight w:val="132"/>
        </w:trPr>
        <w:tc>
          <w:tcPr>
            <w:tcW w:w="4180" w:type="dxa"/>
            <w:vAlign w:val="bottom"/>
            <w:tcBorders>
              <w:bottom w:val="single" w:sz="8" w:color="CCEEFF"/>
            </w:tcBorders>
          </w:tcPr>
          <w:p>
            <w:pPr>
              <w:spacing w:after="0"/>
              <w:rPr>
                <w:sz w:val="11"/>
                <w:szCs w:val="11"/>
                <w:color w:val="auto"/>
              </w:rPr>
            </w:pPr>
          </w:p>
        </w:tc>
        <w:tc>
          <w:tcPr>
            <w:tcW w:w="52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w w:val="95"/>
              </w:rPr>
              <w:t>Shares</w:t>
            </w:r>
          </w:p>
        </w:tc>
        <w:tc>
          <w:tcPr>
            <w:tcW w:w="1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Fair Value</w:t>
            </w:r>
          </w:p>
        </w:tc>
      </w:tr>
      <w:tr>
        <w:trPr>
          <w:trHeight w:val="151"/>
        </w:trPr>
        <w:tc>
          <w:tcPr>
            <w:tcW w:w="41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Outstanding unvested at January 1, 2017</w:t>
            </w:r>
          </w:p>
        </w:tc>
        <w:tc>
          <w:tcPr>
            <w:tcW w:w="610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223,416</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$25.26</w:t>
            </w:r>
          </w:p>
        </w:tc>
      </w:tr>
      <w:tr>
        <w:trPr>
          <w:trHeight w:val="153"/>
        </w:trPr>
        <w:tc>
          <w:tcPr>
            <w:tcW w:w="4180" w:type="dxa"/>
            <w:vAlign w:val="bottom"/>
          </w:tcPr>
          <w:p>
            <w:pPr>
              <w:ind w:left="660"/>
              <w:spacing w:after="0"/>
              <w:rPr>
                <w:sz w:val="20"/>
                <w:szCs w:val="20"/>
                <w:color w:val="auto"/>
              </w:rPr>
            </w:pPr>
            <w:r>
              <w:rPr>
                <w:rFonts w:ascii="Arial" w:cs="Arial" w:eastAsia="Arial" w:hAnsi="Arial"/>
                <w:sz w:val="12"/>
                <w:szCs w:val="12"/>
                <w:color w:val="auto"/>
              </w:rPr>
              <w:t>Granted</w:t>
            </w:r>
          </w:p>
        </w:tc>
        <w:tc>
          <w:tcPr>
            <w:tcW w:w="6100" w:type="dxa"/>
            <w:vAlign w:val="bottom"/>
            <w:gridSpan w:val="4"/>
          </w:tcPr>
          <w:p>
            <w:pPr>
              <w:jc w:val="right"/>
              <w:ind w:right="200"/>
              <w:spacing w:after="0"/>
              <w:rPr>
                <w:sz w:val="20"/>
                <w:szCs w:val="20"/>
                <w:color w:val="auto"/>
              </w:rPr>
            </w:pPr>
            <w:r>
              <w:rPr>
                <w:rFonts w:ascii="Arial" w:cs="Arial" w:eastAsia="Arial" w:hAnsi="Arial"/>
                <w:sz w:val="12"/>
                <w:szCs w:val="12"/>
                <w:color w:val="auto"/>
              </w:rPr>
              <w:t>66,352</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2"/>
              </w:rPr>
              <w:t>$37.49</w:t>
            </w:r>
          </w:p>
        </w:tc>
      </w:tr>
      <w:tr>
        <w:trPr>
          <w:trHeight w:val="153"/>
        </w:trPr>
        <w:tc>
          <w:tcPr>
            <w:tcW w:w="41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Vested</w:t>
            </w:r>
          </w:p>
        </w:tc>
        <w:tc>
          <w:tcPr>
            <w:tcW w:w="610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(99,774)</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$25.19</w:t>
            </w:r>
          </w:p>
        </w:tc>
      </w:tr>
      <w:tr>
        <w:trPr>
          <w:trHeight w:val="176"/>
        </w:trPr>
        <w:tc>
          <w:tcPr>
            <w:tcW w:w="4180" w:type="dxa"/>
            <w:vAlign w:val="bottom"/>
          </w:tcPr>
          <w:p>
            <w:pPr>
              <w:ind w:left="660"/>
              <w:spacing w:after="0"/>
              <w:rPr>
                <w:sz w:val="20"/>
                <w:szCs w:val="20"/>
                <w:color w:val="auto"/>
              </w:rPr>
            </w:pPr>
            <w:r>
              <w:rPr>
                <w:rFonts w:ascii="Arial" w:cs="Arial" w:eastAsia="Arial" w:hAnsi="Arial"/>
                <w:sz w:val="12"/>
                <w:szCs w:val="12"/>
                <w:color w:val="auto"/>
              </w:rPr>
              <w:t>Forfeited</w:t>
            </w:r>
          </w:p>
        </w:tc>
        <w:tc>
          <w:tcPr>
            <w:tcW w:w="5500" w:type="dxa"/>
            <w:vAlign w:val="bottom"/>
            <w:gridSpan w:val="2"/>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(1,346)</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2"/>
              </w:rPr>
              <w:t>$31.22</w:t>
            </w:r>
          </w:p>
        </w:tc>
      </w:tr>
      <w:tr>
        <w:trPr>
          <w:trHeight w:val="147"/>
        </w:trPr>
        <w:tc>
          <w:tcPr>
            <w:tcW w:w="41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Outstanding unvested at December 31, 2017</w:t>
            </w:r>
          </w:p>
        </w:tc>
        <w:tc>
          <w:tcPr>
            <w:tcW w:w="5500" w:type="dxa"/>
            <w:vAlign w:val="bottom"/>
            <w:tcBorders>
              <w:top w:val="single" w:sz="8" w:color="CCEEFF"/>
            </w:tcBorders>
            <w:gridSpan w:val="2"/>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188,648</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2"/>
              </w:rPr>
              <w:t>$29.55</w:t>
            </w:r>
          </w:p>
        </w:tc>
      </w:tr>
      <w:tr>
        <w:trPr>
          <w:trHeight w:val="153"/>
        </w:trPr>
        <w:tc>
          <w:tcPr>
            <w:tcW w:w="4180" w:type="dxa"/>
            <w:vAlign w:val="bottom"/>
          </w:tcPr>
          <w:p>
            <w:pPr>
              <w:ind w:left="660"/>
              <w:spacing w:after="0"/>
              <w:rPr>
                <w:sz w:val="20"/>
                <w:szCs w:val="20"/>
                <w:color w:val="auto"/>
              </w:rPr>
            </w:pPr>
            <w:r>
              <w:rPr>
                <w:rFonts w:ascii="Arial" w:cs="Arial" w:eastAsia="Arial" w:hAnsi="Arial"/>
                <w:sz w:val="12"/>
                <w:szCs w:val="12"/>
                <w:color w:val="auto"/>
              </w:rPr>
              <w:t>Granted</w:t>
            </w:r>
          </w:p>
        </w:tc>
        <w:tc>
          <w:tcPr>
            <w:tcW w:w="6100" w:type="dxa"/>
            <w:vAlign w:val="bottom"/>
            <w:gridSpan w:val="4"/>
          </w:tcPr>
          <w:p>
            <w:pPr>
              <w:jc w:val="right"/>
              <w:ind w:right="200"/>
              <w:spacing w:after="0"/>
              <w:rPr>
                <w:sz w:val="20"/>
                <w:szCs w:val="20"/>
                <w:color w:val="auto"/>
              </w:rPr>
            </w:pPr>
            <w:r>
              <w:rPr>
                <w:rFonts w:ascii="Arial" w:cs="Arial" w:eastAsia="Arial" w:hAnsi="Arial"/>
                <w:sz w:val="12"/>
                <w:szCs w:val="12"/>
                <w:color w:val="auto"/>
              </w:rPr>
              <w:t>93,280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2"/>
              </w:rPr>
              <w:t>$30.22</w:t>
            </w:r>
          </w:p>
        </w:tc>
      </w:tr>
      <w:tr>
        <w:trPr>
          <w:trHeight w:val="153"/>
        </w:trPr>
        <w:tc>
          <w:tcPr>
            <w:tcW w:w="41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Vested</w:t>
            </w:r>
          </w:p>
        </w:tc>
        <w:tc>
          <w:tcPr>
            <w:tcW w:w="610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(96,840)</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$28.91</w:t>
            </w:r>
          </w:p>
        </w:tc>
      </w:tr>
      <w:tr>
        <w:trPr>
          <w:trHeight w:val="176"/>
        </w:trPr>
        <w:tc>
          <w:tcPr>
            <w:tcW w:w="4180" w:type="dxa"/>
            <w:vAlign w:val="bottom"/>
          </w:tcPr>
          <w:p>
            <w:pPr>
              <w:ind w:left="660"/>
              <w:spacing w:after="0"/>
              <w:rPr>
                <w:sz w:val="20"/>
                <w:szCs w:val="20"/>
                <w:color w:val="auto"/>
              </w:rPr>
            </w:pPr>
            <w:r>
              <w:rPr>
                <w:rFonts w:ascii="Arial" w:cs="Arial" w:eastAsia="Arial" w:hAnsi="Arial"/>
                <w:sz w:val="12"/>
                <w:szCs w:val="12"/>
                <w:color w:val="auto"/>
              </w:rPr>
              <w:t>Forfeited</w:t>
            </w:r>
          </w:p>
        </w:tc>
        <w:tc>
          <w:tcPr>
            <w:tcW w:w="5500" w:type="dxa"/>
            <w:vAlign w:val="bottom"/>
            <w:gridSpan w:val="2"/>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(9,657)</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2"/>
              </w:rPr>
              <w:t>$27.02</w:t>
            </w:r>
          </w:p>
        </w:tc>
      </w:tr>
      <w:tr>
        <w:trPr>
          <w:trHeight w:val="147"/>
        </w:trPr>
        <w:tc>
          <w:tcPr>
            <w:tcW w:w="41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Outstanding unvested at December 31, 2018</w:t>
            </w:r>
          </w:p>
        </w:tc>
        <w:tc>
          <w:tcPr>
            <w:tcW w:w="5500" w:type="dxa"/>
            <w:vAlign w:val="bottom"/>
            <w:tcBorders>
              <w:top w:val="single" w:sz="8" w:color="CCEEFF"/>
            </w:tcBorders>
            <w:gridSpan w:val="2"/>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175,431</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2"/>
              </w:rPr>
              <w:t>$30.40</w:t>
            </w:r>
          </w:p>
        </w:tc>
      </w:tr>
      <w:tr>
        <w:trPr>
          <w:trHeight w:val="153"/>
        </w:trPr>
        <w:tc>
          <w:tcPr>
            <w:tcW w:w="4180" w:type="dxa"/>
            <w:vAlign w:val="bottom"/>
          </w:tcPr>
          <w:p>
            <w:pPr>
              <w:ind w:left="660"/>
              <w:spacing w:after="0"/>
              <w:rPr>
                <w:sz w:val="20"/>
                <w:szCs w:val="20"/>
                <w:color w:val="auto"/>
              </w:rPr>
            </w:pPr>
            <w:r>
              <w:rPr>
                <w:rFonts w:ascii="Arial" w:cs="Arial" w:eastAsia="Arial" w:hAnsi="Arial"/>
                <w:sz w:val="12"/>
                <w:szCs w:val="12"/>
                <w:color w:val="auto"/>
              </w:rPr>
              <w:t>Granted</w:t>
            </w:r>
          </w:p>
        </w:tc>
        <w:tc>
          <w:tcPr>
            <w:tcW w:w="6100" w:type="dxa"/>
            <w:vAlign w:val="bottom"/>
            <w:gridSpan w:val="4"/>
          </w:tcPr>
          <w:p>
            <w:pPr>
              <w:jc w:val="right"/>
              <w:ind w:right="200"/>
              <w:spacing w:after="0"/>
              <w:rPr>
                <w:sz w:val="20"/>
                <w:szCs w:val="20"/>
                <w:color w:val="auto"/>
              </w:rPr>
            </w:pPr>
            <w:r>
              <w:rPr>
                <w:rFonts w:ascii="Arial" w:cs="Arial" w:eastAsia="Arial" w:hAnsi="Arial"/>
                <w:sz w:val="12"/>
                <w:szCs w:val="12"/>
                <w:color w:val="auto"/>
              </w:rPr>
              <w:t>85,640</w:t>
            </w: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2"/>
              </w:rPr>
              <w:t>$34.22</w:t>
            </w:r>
          </w:p>
        </w:tc>
      </w:tr>
      <w:tr>
        <w:trPr>
          <w:trHeight w:val="153"/>
        </w:trPr>
        <w:tc>
          <w:tcPr>
            <w:tcW w:w="41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Vested</w:t>
            </w:r>
          </w:p>
        </w:tc>
        <w:tc>
          <w:tcPr>
            <w:tcW w:w="610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(99,655)</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$30.51</w:t>
            </w:r>
          </w:p>
        </w:tc>
      </w:tr>
      <w:tr>
        <w:trPr>
          <w:trHeight w:val="176"/>
        </w:trPr>
        <w:tc>
          <w:tcPr>
            <w:tcW w:w="4180" w:type="dxa"/>
            <w:vAlign w:val="bottom"/>
          </w:tcPr>
          <w:p>
            <w:pPr>
              <w:ind w:left="660"/>
              <w:spacing w:after="0"/>
              <w:rPr>
                <w:sz w:val="20"/>
                <w:szCs w:val="20"/>
                <w:color w:val="auto"/>
              </w:rPr>
            </w:pPr>
            <w:r>
              <w:rPr>
                <w:rFonts w:ascii="Arial" w:cs="Arial" w:eastAsia="Arial" w:hAnsi="Arial"/>
                <w:sz w:val="12"/>
                <w:szCs w:val="12"/>
                <w:color w:val="auto"/>
              </w:rPr>
              <w:t>Forfeited</w:t>
            </w:r>
          </w:p>
        </w:tc>
        <w:tc>
          <w:tcPr>
            <w:tcW w:w="5500" w:type="dxa"/>
            <w:vAlign w:val="bottom"/>
            <w:gridSpan w:val="2"/>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(3,034)</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2"/>
              </w:rPr>
              <w:t>$35.88</w:t>
            </w:r>
          </w:p>
        </w:tc>
      </w:tr>
      <w:tr>
        <w:trPr>
          <w:trHeight w:val="185"/>
        </w:trPr>
        <w:tc>
          <w:tcPr>
            <w:tcW w:w="41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Outstanding unvested at December 31, 2019</w:t>
            </w:r>
          </w:p>
        </w:tc>
        <w:tc>
          <w:tcPr>
            <w:tcW w:w="55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158,382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2"/>
              </w:rPr>
              <w:t>$32.29</w:t>
            </w:r>
          </w:p>
        </w:tc>
      </w:tr>
      <w:tr>
        <w:trPr>
          <w:trHeight w:val="509"/>
        </w:trPr>
        <w:tc>
          <w:tcPr>
            <w:tcW w:w="4180" w:type="dxa"/>
            <w:vAlign w:val="bottom"/>
          </w:tcPr>
          <w:p>
            <w:pPr>
              <w:spacing w:after="0"/>
              <w:rPr>
                <w:sz w:val="24"/>
                <w:szCs w:val="24"/>
                <w:color w:val="auto"/>
              </w:rPr>
            </w:pPr>
          </w:p>
        </w:tc>
        <w:tc>
          <w:tcPr>
            <w:tcW w:w="5280" w:type="dxa"/>
            <w:vAlign w:val="bottom"/>
          </w:tcPr>
          <w:p>
            <w:pPr>
              <w:jc w:val="right"/>
              <w:ind w:right="3600"/>
              <w:spacing w:after="0"/>
              <w:rPr>
                <w:sz w:val="20"/>
                <w:szCs w:val="20"/>
                <w:color w:val="auto"/>
              </w:rPr>
            </w:pPr>
            <w:r>
              <w:rPr>
                <w:rFonts w:ascii="Arial" w:cs="Arial" w:eastAsia="Arial" w:hAnsi="Arial"/>
                <w:sz w:val="12"/>
                <w:szCs w:val="12"/>
                <w:color w:val="auto"/>
              </w:rPr>
              <w:t>91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180" w:type="dxa"/>
            <w:vAlign w:val="bottom"/>
            <w:tcBorders>
              <w:bottom w:val="single" w:sz="8" w:color="9A9A9A"/>
            </w:tcBorders>
          </w:tcPr>
          <w:p>
            <w:pPr>
              <w:spacing w:after="0"/>
              <w:rPr>
                <w:sz w:val="23"/>
                <w:szCs w:val="23"/>
                <w:color w:val="auto"/>
              </w:rPr>
            </w:pPr>
          </w:p>
        </w:tc>
        <w:tc>
          <w:tcPr>
            <w:tcW w:w="528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-645795</wp:posOffset>
            </wp:positionV>
            <wp:extent cx="729234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-1057275</wp:posOffset>
            </wp:positionV>
            <wp:extent cx="729234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-1469390</wp:posOffset>
            </wp:positionV>
            <wp:extent cx="72923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-1880870</wp:posOffset>
            </wp:positionV>
            <wp:extent cx="662876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628765" cy="5715"/>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92" w:name="page93"/>
    <w:bookmarkEnd w:id="92"/>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Performance Awards</w:t>
      </w:r>
    </w:p>
    <w:p>
      <w:pPr>
        <w:spacing w:after="0" w:line="96" w:lineRule="exact"/>
        <w:rPr>
          <w:sz w:val="20"/>
          <w:szCs w:val="20"/>
          <w:color w:val="auto"/>
        </w:rPr>
      </w:pPr>
    </w:p>
    <w:p>
      <w:pPr>
        <w:jc w:val="both"/>
        <w:ind w:right="20" w:firstLine="240"/>
        <w:spacing w:after="0" w:line="306" w:lineRule="auto"/>
        <w:rPr>
          <w:sz w:val="20"/>
          <w:szCs w:val="20"/>
          <w:color w:val="auto"/>
        </w:rPr>
      </w:pPr>
      <w:r>
        <w:rPr>
          <w:rFonts w:ascii="Arial" w:cs="Arial" w:eastAsia="Arial" w:hAnsi="Arial"/>
          <w:sz w:val="10"/>
          <w:szCs w:val="10"/>
          <w:color w:val="auto"/>
        </w:rPr>
        <w:t>The Company grants performance awards under the LTIP. Under these awards, shares of the Company’s common stock may be earned based on the Company’s performance compared to defined metrics. The number of shares earned under a performance award may vary from zero to 200% of the target shares awarded, based upon the Company’s performance compared to the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2"/>
          <w:szCs w:val="12"/>
          <w:color w:val="auto"/>
        </w:rPr>
        <w:t>Performance awards cliff vest upon attainment of at least the minimum stated performance targets and minimum service requirements and are paid in the Company’s common stock. During 2018, management concluded that it was probable that the minimum performance threshold would not be met for certain performance shares that were granted during 2017 and 2016. As a result, in the year ended December 31, 2018, the Company reversed $0.7 million in stock compensation from previous accruals.</w:t>
      </w:r>
    </w:p>
    <w:p>
      <w:pPr>
        <w:spacing w:after="0" w:line="83" w:lineRule="exact"/>
        <w:rPr>
          <w:sz w:val="20"/>
          <w:szCs w:val="20"/>
          <w:color w:val="auto"/>
        </w:rPr>
      </w:pPr>
    </w:p>
    <w:p>
      <w:pPr>
        <w:ind w:firstLine="240"/>
        <w:spacing w:after="0" w:line="310" w:lineRule="auto"/>
        <w:rPr>
          <w:sz w:val="20"/>
          <w:szCs w:val="20"/>
          <w:color w:val="auto"/>
        </w:rPr>
      </w:pPr>
      <w:r>
        <w:rPr>
          <w:rFonts w:ascii="Arial" w:cs="Arial" w:eastAsia="Arial" w:hAnsi="Arial"/>
          <w:sz w:val="10"/>
          <w:szCs w:val="10"/>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w:t>
      </w:r>
    </w:p>
    <w:p>
      <w:pPr>
        <w:ind w:right="200"/>
        <w:spacing w:after="0" w:line="261" w:lineRule="auto"/>
        <w:rPr>
          <w:sz w:val="20"/>
          <w:szCs w:val="20"/>
          <w:color w:val="auto"/>
        </w:rPr>
      </w:pPr>
      <w:r>
        <w:rPr>
          <w:rFonts w:ascii="Arial" w:cs="Arial" w:eastAsia="Arial" w:hAnsi="Arial"/>
          <w:sz w:val="12"/>
          <w:szCs w:val="12"/>
          <w:color w:val="auto"/>
        </w:rPr>
        <w:t>2.8 years. The Company adjusts the stock-based compensation expense related to internal metric-based performance awards according to its determination of the shares expected to vest at each reporting date. Stock-based compensation expense related to market metric-based performance awards is expensed at their grant date fair value regardless of performance.</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During the years ended December 31, 2019, 2018 and 2017, performance award vesting activity settled in common stock had an intrinsic value, at the time of vesting, of $0.2 million, $1.0 million and $1.3 million, respectively.</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Following is a summary of performance share award activity for the three-year period ending December 31, 2019:</w:t>
      </w:r>
    </w:p>
    <w:p>
      <w:pPr>
        <w:spacing w:after="0" w:line="127" w:lineRule="exact"/>
        <w:rPr>
          <w:sz w:val="20"/>
          <w:szCs w:val="20"/>
          <w:color w:val="auto"/>
        </w:rPr>
      </w:pPr>
    </w:p>
    <w:p>
      <w:pPr>
        <w:jc w:val="center"/>
        <w:ind w:left="10440"/>
        <w:spacing w:after="0"/>
        <w:rPr>
          <w:sz w:val="20"/>
          <w:szCs w:val="20"/>
          <w:color w:val="auto"/>
        </w:rPr>
      </w:pPr>
      <w:r>
        <w:rPr>
          <w:rFonts w:ascii="Arial" w:cs="Arial" w:eastAsia="Arial" w:hAnsi="Arial"/>
          <w:sz w:val="10"/>
          <w:szCs w:val="10"/>
          <w:b w:val="1"/>
          <w:bCs w:val="1"/>
          <w:color w:val="auto"/>
        </w:rPr>
        <w:t>Per Share</w:t>
      </w:r>
    </w:p>
    <w:p>
      <w:pPr>
        <w:jc w:val="center"/>
        <w:ind w:left="10440"/>
        <w:spacing w:after="0" w:line="232" w:lineRule="auto"/>
        <w:rPr>
          <w:sz w:val="20"/>
          <w:szCs w:val="20"/>
          <w:color w:val="auto"/>
        </w:rPr>
      </w:pPr>
      <w:r>
        <w:rPr>
          <w:rFonts w:ascii="Arial" w:cs="Arial" w:eastAsia="Arial" w:hAnsi="Arial"/>
          <w:sz w:val="10"/>
          <w:szCs w:val="10"/>
          <w:b w:val="1"/>
          <w:bCs w:val="1"/>
          <w:color w:val="auto"/>
        </w:rPr>
        <w:t>Weighted-</w:t>
      </w:r>
    </w:p>
    <w:p>
      <w:pPr>
        <w:jc w:val="center"/>
        <w:ind w:left="10440"/>
        <w:spacing w:after="0" w:line="225" w:lineRule="auto"/>
        <w:rPr>
          <w:sz w:val="20"/>
          <w:szCs w:val="20"/>
          <w:color w:val="auto"/>
        </w:rPr>
      </w:pPr>
      <w:r>
        <w:rPr>
          <w:rFonts w:ascii="Arial" w:cs="Arial" w:eastAsia="Arial" w:hAnsi="Arial"/>
          <w:sz w:val="10"/>
          <w:szCs w:val="10"/>
          <w:b w:val="1"/>
          <w:bCs w:val="1"/>
          <w:color w:val="auto"/>
        </w:rPr>
        <w:t>Average</w:t>
      </w:r>
    </w:p>
    <w:p>
      <w:pPr>
        <w:jc w:val="center"/>
        <w:ind w:left="10440"/>
        <w:spacing w:after="0" w:line="226" w:lineRule="auto"/>
        <w:rPr>
          <w:sz w:val="20"/>
          <w:szCs w:val="20"/>
          <w:color w:val="auto"/>
        </w:rPr>
      </w:pPr>
      <w:r>
        <w:rPr>
          <w:rFonts w:ascii="Arial" w:cs="Arial" w:eastAsia="Arial" w:hAnsi="Arial"/>
          <w:sz w:val="10"/>
          <w:szCs w:val="10"/>
          <w:b w:val="1"/>
          <w:bCs w:val="1"/>
          <w:color w:val="auto"/>
        </w:rPr>
        <w:t>Grant Date</w:t>
      </w:r>
    </w:p>
    <w:p>
      <w:pPr>
        <w:ind w:left="9740"/>
        <w:spacing w:after="0" w:line="237" w:lineRule="auto"/>
        <w:tabs>
          <w:tab w:leader="none" w:pos="10720" w:val="left"/>
        </w:tabs>
        <w:rPr>
          <w:sz w:val="20"/>
          <w:szCs w:val="20"/>
          <w:color w:val="auto"/>
        </w:rPr>
      </w:pPr>
      <w:r>
        <w:rPr>
          <w:rFonts w:ascii="Arial" w:cs="Arial" w:eastAsia="Arial" w:hAnsi="Arial"/>
          <w:sz w:val="10"/>
          <w:szCs w:val="10"/>
          <w:b w:val="1"/>
          <w:bCs w:val="1"/>
          <w:color w:val="auto"/>
        </w:rPr>
        <w:t>Shares</w:t>
      </w:r>
      <w:r>
        <w:rPr>
          <w:sz w:val="20"/>
          <w:szCs w:val="20"/>
          <w:color w:val="auto"/>
        </w:rPr>
        <w:tab/>
      </w:r>
      <w:r>
        <w:rPr>
          <w:rFonts w:ascii="Arial" w:cs="Arial" w:eastAsia="Arial" w:hAnsi="Arial"/>
          <w:sz w:val="10"/>
          <w:szCs w:val="10"/>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292340" cy="1028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p>
      <w:pPr>
        <w:spacing w:after="0" w:line="4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Outstanding at January 1, 2017</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Granted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92340" cy="971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1"/>
          <w:szCs w:val="11"/>
          <w:color w:val="auto"/>
        </w:rPr>
        <w:t>Forfeited for performance below target</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92340" cy="1200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2"/>
          <w:szCs w:val="12"/>
          <w:color w:val="auto"/>
        </w:rPr>
        <w:t>Forfeited</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Outstanding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92340" cy="971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2"/>
          <w:szCs w:val="12"/>
          <w:color w:val="auto"/>
        </w:rPr>
        <w:t>Granted at target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1"/>
          <w:szCs w:val="11"/>
          <w:color w:val="auto"/>
        </w:rPr>
        <w:t>Forfeited for performance below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292340" cy="971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Vested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92340" cy="1028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Outstanding at December 31, 2018</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Granted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92340" cy="971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1"/>
          <w:szCs w:val="11"/>
          <w:color w:val="auto"/>
        </w:rPr>
        <w:t>Forfeited for performance below target</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92340" cy="1200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2"/>
          <w:szCs w:val="12"/>
          <w:color w:val="auto"/>
        </w:rPr>
        <w:t>Forfeited</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Outstanding at December 31, 2019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1080" w:val="left"/>
        </w:tabs>
        <w:rPr>
          <w:sz w:val="20"/>
          <w:szCs w:val="20"/>
          <w:color w:val="auto"/>
        </w:rPr>
      </w:pPr>
      <w:r>
        <w:rPr>
          <w:rFonts w:ascii="Arial" w:cs="Arial" w:eastAsia="Arial" w:hAnsi="Arial"/>
          <w:sz w:val="11"/>
          <w:szCs w:val="11"/>
          <w:color w:val="auto"/>
        </w:rPr>
        <w:t>144,023</w:t>
      </w:r>
      <w:r>
        <w:rPr>
          <w:sz w:val="20"/>
          <w:szCs w:val="20"/>
          <w:color w:val="auto"/>
        </w:rPr>
        <w:tab/>
      </w:r>
      <w:r>
        <w:rPr>
          <w:rFonts w:ascii="Arial" w:cs="Arial" w:eastAsia="Arial" w:hAnsi="Arial"/>
          <w:sz w:val="11"/>
          <w:szCs w:val="11"/>
          <w:color w:val="auto"/>
        </w:rPr>
        <w:t>$32.92</w:t>
      </w:r>
    </w:p>
    <w:p>
      <w:pPr>
        <w:spacing w:after="0" w:line="27"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1"/>
          <w:szCs w:val="11"/>
          <w:color w:val="auto"/>
        </w:rPr>
        <w:t>47,454</w:t>
      </w:r>
      <w:r>
        <w:rPr>
          <w:sz w:val="20"/>
          <w:szCs w:val="20"/>
          <w:color w:val="auto"/>
        </w:rPr>
        <w:tab/>
      </w:r>
      <w:r>
        <w:rPr>
          <w:rFonts w:ascii="Arial" w:cs="Arial" w:eastAsia="Arial" w:hAnsi="Arial"/>
          <w:sz w:val="11"/>
          <w:szCs w:val="11"/>
          <w:color w:val="auto"/>
        </w:rPr>
        <w:t>$47.12</w:t>
      </w:r>
    </w:p>
    <w:p>
      <w:pPr>
        <w:spacing w:after="0" w:line="2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1"/>
          <w:szCs w:val="11"/>
          <w:color w:val="auto"/>
        </w:rPr>
        <w:t>(24,873)</w:t>
      </w:r>
      <w:r>
        <w:rPr>
          <w:sz w:val="20"/>
          <w:szCs w:val="20"/>
          <w:color w:val="auto"/>
        </w:rPr>
        <w:tab/>
      </w:r>
      <w:r>
        <w:rPr>
          <w:rFonts w:ascii="Arial" w:cs="Arial" w:eastAsia="Arial" w:hAnsi="Arial"/>
          <w:sz w:val="11"/>
          <w:szCs w:val="11"/>
          <w:color w:val="auto"/>
        </w:rPr>
        <w:t>$36.40</w:t>
      </w:r>
    </w:p>
    <w:p>
      <w:pPr>
        <w:spacing w:after="0" w:line="2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1"/>
          <w:szCs w:val="11"/>
          <w:color w:val="auto"/>
        </w:rPr>
        <w:t>(39,407)</w:t>
      </w:r>
      <w:r>
        <w:rPr>
          <w:sz w:val="20"/>
          <w:szCs w:val="20"/>
          <w:color w:val="auto"/>
        </w:rPr>
        <w:tab/>
      </w:r>
      <w:r>
        <w:rPr>
          <w:rFonts w:ascii="Arial" w:cs="Arial" w:eastAsia="Arial" w:hAnsi="Arial"/>
          <w:sz w:val="11"/>
          <w:szCs w:val="11"/>
          <w:color w:val="auto"/>
        </w:rPr>
        <w:t>$40.15</w:t>
      </w:r>
    </w:p>
    <w:p>
      <w:pPr>
        <w:spacing w:after="0" w:line="27" w:lineRule="exact"/>
        <w:rPr>
          <w:sz w:val="20"/>
          <w:szCs w:val="20"/>
          <w:color w:val="auto"/>
        </w:rPr>
      </w:pPr>
    </w:p>
    <w:p>
      <w:pPr>
        <w:ind w:left="1100" w:hanging="929"/>
        <w:spacing w:after="0"/>
        <w:tabs>
          <w:tab w:leader="none" w:pos="11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$37.22</w:t>
      </w:r>
    </w:p>
    <w:p>
      <w:pPr>
        <w:spacing w:after="0" w:line="63" w:lineRule="exact"/>
        <w:rPr>
          <w:sz w:val="20"/>
          <w:szCs w:val="20"/>
          <w:color w:val="auto"/>
        </w:rPr>
      </w:pPr>
    </w:p>
    <w:p>
      <w:pPr>
        <w:spacing w:after="0"/>
        <w:tabs>
          <w:tab w:leader="none" w:pos="1080" w:val="left"/>
        </w:tabs>
        <w:rPr>
          <w:sz w:val="20"/>
          <w:szCs w:val="20"/>
          <w:color w:val="auto"/>
        </w:rPr>
      </w:pPr>
      <w:r>
        <w:rPr>
          <w:rFonts w:ascii="Arial" w:cs="Arial" w:eastAsia="Arial" w:hAnsi="Arial"/>
          <w:sz w:val="11"/>
          <w:szCs w:val="11"/>
          <w:color w:val="auto"/>
        </w:rPr>
        <w:t>126,975</w:t>
      </w:r>
      <w:r>
        <w:rPr>
          <w:sz w:val="20"/>
          <w:szCs w:val="20"/>
          <w:color w:val="auto"/>
        </w:rPr>
        <w:tab/>
      </w:r>
      <w:r>
        <w:rPr>
          <w:rFonts w:ascii="Arial" w:cs="Arial" w:eastAsia="Arial" w:hAnsi="Arial"/>
          <w:sz w:val="11"/>
          <w:szCs w:val="11"/>
          <w:color w:val="auto"/>
        </w:rPr>
        <w:t>$35.29</w:t>
      </w:r>
    </w:p>
    <w:p>
      <w:pPr>
        <w:spacing w:after="0" w:line="27"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1"/>
          <w:szCs w:val="11"/>
          <w:color w:val="auto"/>
        </w:rPr>
        <w:t>66,764</w:t>
      </w:r>
      <w:r>
        <w:rPr>
          <w:sz w:val="20"/>
          <w:szCs w:val="20"/>
          <w:color w:val="auto"/>
        </w:rPr>
        <w:tab/>
      </w:r>
      <w:r>
        <w:rPr>
          <w:rFonts w:ascii="Arial" w:cs="Arial" w:eastAsia="Arial" w:hAnsi="Arial"/>
          <w:sz w:val="11"/>
          <w:szCs w:val="11"/>
          <w:color w:val="auto"/>
        </w:rPr>
        <w:t>$34.52</w:t>
      </w:r>
    </w:p>
    <w:p>
      <w:pPr>
        <w:spacing w:after="0" w:line="2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1"/>
          <w:szCs w:val="11"/>
          <w:color w:val="auto"/>
        </w:rPr>
        <w:t>(42,584)</w:t>
      </w:r>
      <w:r>
        <w:rPr>
          <w:sz w:val="20"/>
          <w:szCs w:val="20"/>
          <w:color w:val="auto"/>
        </w:rPr>
        <w:tab/>
      </w:r>
      <w:r>
        <w:rPr>
          <w:rFonts w:ascii="Arial" w:cs="Arial" w:eastAsia="Arial" w:hAnsi="Arial"/>
          <w:sz w:val="11"/>
          <w:szCs w:val="11"/>
          <w:color w:val="auto"/>
        </w:rPr>
        <w:t>$29.73</w:t>
      </w:r>
    </w:p>
    <w:p>
      <w:pPr>
        <w:spacing w:after="0" w:line="2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1"/>
          <w:szCs w:val="11"/>
          <w:color w:val="auto"/>
        </w:rPr>
        <w:t>(29,655)</w:t>
      </w:r>
      <w:r>
        <w:rPr>
          <w:sz w:val="20"/>
          <w:szCs w:val="20"/>
          <w:color w:val="auto"/>
        </w:rPr>
        <w:tab/>
      </w:r>
      <w:r>
        <w:rPr>
          <w:rFonts w:ascii="Arial" w:cs="Arial" w:eastAsia="Arial" w:hAnsi="Arial"/>
          <w:sz w:val="11"/>
          <w:szCs w:val="11"/>
          <w:color w:val="auto"/>
        </w:rPr>
        <w:t>$33.35</w:t>
      </w:r>
    </w:p>
    <w:p>
      <w:pPr>
        <w:spacing w:after="0" w:line="27" w:lineRule="exact"/>
        <w:rPr>
          <w:sz w:val="20"/>
          <w:szCs w:val="20"/>
          <w:color w:val="auto"/>
        </w:rPr>
      </w:pPr>
    </w:p>
    <w:p>
      <w:pPr>
        <w:ind w:left="80"/>
        <w:spacing w:after="0"/>
        <w:tabs>
          <w:tab w:leader="none" w:pos="1080" w:val="left"/>
        </w:tabs>
        <w:rPr>
          <w:sz w:val="20"/>
          <w:szCs w:val="20"/>
          <w:color w:val="auto"/>
        </w:rPr>
      </w:pPr>
      <w:r>
        <w:rPr>
          <w:rFonts w:ascii="Arial" w:cs="Arial" w:eastAsia="Arial" w:hAnsi="Arial"/>
          <w:sz w:val="11"/>
          <w:szCs w:val="11"/>
          <w:color w:val="auto"/>
        </w:rPr>
        <w:t>(9,247)</w:t>
      </w:r>
      <w:r>
        <w:rPr>
          <w:sz w:val="20"/>
          <w:szCs w:val="20"/>
          <w:color w:val="auto"/>
        </w:rPr>
        <w:tab/>
      </w:r>
      <w:r>
        <w:rPr>
          <w:rFonts w:ascii="Arial" w:cs="Arial" w:eastAsia="Arial" w:hAnsi="Arial"/>
          <w:sz w:val="11"/>
          <w:szCs w:val="11"/>
          <w:color w:val="auto"/>
        </w:rPr>
        <w:t>$30.85</w:t>
      </w:r>
    </w:p>
    <w:p>
      <w:pPr>
        <w:spacing w:after="0" w:line="63" w:lineRule="exact"/>
        <w:rPr>
          <w:sz w:val="20"/>
          <w:szCs w:val="20"/>
          <w:color w:val="auto"/>
        </w:rPr>
      </w:pPr>
    </w:p>
    <w:p>
      <w:pPr>
        <w:spacing w:after="0"/>
        <w:tabs>
          <w:tab w:leader="none" w:pos="1080" w:val="left"/>
        </w:tabs>
        <w:rPr>
          <w:sz w:val="20"/>
          <w:szCs w:val="20"/>
          <w:color w:val="auto"/>
        </w:rPr>
      </w:pPr>
      <w:r>
        <w:rPr>
          <w:rFonts w:ascii="Arial" w:cs="Arial" w:eastAsia="Arial" w:hAnsi="Arial"/>
          <w:sz w:val="11"/>
          <w:szCs w:val="11"/>
          <w:color w:val="auto"/>
        </w:rPr>
        <w:t>112,253</w:t>
      </w:r>
      <w:r>
        <w:rPr>
          <w:sz w:val="20"/>
          <w:szCs w:val="20"/>
          <w:color w:val="auto"/>
        </w:rPr>
        <w:tab/>
      </w:r>
      <w:r>
        <w:rPr>
          <w:rFonts w:ascii="Arial" w:cs="Arial" w:eastAsia="Arial" w:hAnsi="Arial"/>
          <w:sz w:val="11"/>
          <w:szCs w:val="11"/>
          <w:color w:val="auto"/>
        </w:rPr>
        <w:t>$39.73</w:t>
      </w:r>
    </w:p>
    <w:p>
      <w:pPr>
        <w:spacing w:after="0" w:line="27"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1"/>
          <w:szCs w:val="11"/>
          <w:color w:val="auto"/>
        </w:rPr>
        <w:t>72,932</w:t>
      </w:r>
      <w:r>
        <w:rPr>
          <w:sz w:val="20"/>
          <w:szCs w:val="20"/>
          <w:color w:val="auto"/>
        </w:rPr>
        <w:tab/>
      </w:r>
      <w:r>
        <w:rPr>
          <w:rFonts w:ascii="Arial" w:cs="Arial" w:eastAsia="Arial" w:hAnsi="Arial"/>
          <w:sz w:val="11"/>
          <w:szCs w:val="11"/>
          <w:color w:val="auto"/>
        </w:rPr>
        <w:t>$39.26</w:t>
      </w:r>
    </w:p>
    <w:p>
      <w:pPr>
        <w:spacing w:after="0" w:line="2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1"/>
          <w:szCs w:val="11"/>
          <w:color w:val="auto"/>
        </w:rPr>
        <w:t>(36,581)</w:t>
      </w:r>
      <w:r>
        <w:rPr>
          <w:sz w:val="20"/>
          <w:szCs w:val="20"/>
          <w:color w:val="auto"/>
        </w:rPr>
        <w:tab/>
      </w:r>
      <w:r>
        <w:rPr>
          <w:rFonts w:ascii="Arial" w:cs="Arial" w:eastAsia="Arial" w:hAnsi="Arial"/>
          <w:sz w:val="11"/>
          <w:szCs w:val="11"/>
          <w:color w:val="auto"/>
        </w:rPr>
        <w:t>$48.94</w:t>
      </w:r>
    </w:p>
    <w:p>
      <w:pPr>
        <w:spacing w:after="0" w:line="27" w:lineRule="exact"/>
        <w:rPr>
          <w:sz w:val="20"/>
          <w:szCs w:val="20"/>
          <w:color w:val="auto"/>
        </w:rPr>
      </w:pPr>
    </w:p>
    <w:p>
      <w:pPr>
        <w:ind w:left="80"/>
        <w:spacing w:after="0"/>
        <w:tabs>
          <w:tab w:leader="none" w:pos="1080" w:val="left"/>
        </w:tabs>
        <w:rPr>
          <w:sz w:val="20"/>
          <w:szCs w:val="20"/>
          <w:color w:val="auto"/>
        </w:rPr>
      </w:pPr>
      <w:r>
        <w:rPr>
          <w:rFonts w:ascii="Arial" w:cs="Arial" w:eastAsia="Arial" w:hAnsi="Arial"/>
          <w:sz w:val="11"/>
          <w:szCs w:val="11"/>
          <w:color w:val="auto"/>
        </w:rPr>
        <w:t>(8,854)</w:t>
      </w:r>
      <w:r>
        <w:rPr>
          <w:sz w:val="20"/>
          <w:szCs w:val="20"/>
          <w:color w:val="auto"/>
        </w:rPr>
        <w:tab/>
      </w:r>
      <w:r>
        <w:rPr>
          <w:rFonts w:ascii="Arial" w:cs="Arial" w:eastAsia="Arial" w:hAnsi="Arial"/>
          <w:sz w:val="11"/>
          <w:szCs w:val="11"/>
          <w:color w:val="auto"/>
        </w:rPr>
        <w:t>$58.34</w:t>
      </w:r>
    </w:p>
    <w:p>
      <w:pPr>
        <w:spacing w:after="0" w:line="27" w:lineRule="exact"/>
        <w:rPr>
          <w:sz w:val="20"/>
          <w:szCs w:val="20"/>
          <w:color w:val="auto"/>
        </w:rPr>
      </w:pPr>
    </w:p>
    <w:p>
      <w:pPr>
        <w:ind w:left="80"/>
        <w:spacing w:after="0"/>
        <w:tabs>
          <w:tab w:leader="none" w:pos="1080" w:val="left"/>
        </w:tabs>
        <w:rPr>
          <w:sz w:val="20"/>
          <w:szCs w:val="20"/>
          <w:color w:val="auto"/>
        </w:rPr>
      </w:pPr>
      <w:r>
        <w:rPr>
          <w:rFonts w:ascii="Arial" w:cs="Arial" w:eastAsia="Arial" w:hAnsi="Arial"/>
          <w:sz w:val="11"/>
          <w:szCs w:val="11"/>
          <w:color w:val="auto"/>
        </w:rPr>
        <w:t>(1,505)</w:t>
      </w:r>
      <w:r>
        <w:rPr>
          <w:sz w:val="20"/>
          <w:szCs w:val="20"/>
          <w:color w:val="auto"/>
        </w:rPr>
        <w:tab/>
      </w:r>
      <w:r>
        <w:rPr>
          <w:rFonts w:ascii="Arial" w:cs="Arial" w:eastAsia="Arial" w:hAnsi="Arial"/>
          <w:sz w:val="11"/>
          <w:szCs w:val="11"/>
          <w:color w:val="auto"/>
        </w:rPr>
        <w:t>$43.43</w:t>
      </w:r>
    </w:p>
    <w:p>
      <w:pPr>
        <w:spacing w:after="0" w:line="63" w:lineRule="exact"/>
        <w:rPr>
          <w:sz w:val="20"/>
          <w:szCs w:val="20"/>
          <w:color w:val="auto"/>
        </w:rPr>
      </w:pPr>
    </w:p>
    <w:p>
      <w:pPr>
        <w:spacing w:after="0"/>
        <w:tabs>
          <w:tab w:leader="none" w:pos="1080" w:val="left"/>
        </w:tabs>
        <w:rPr>
          <w:sz w:val="20"/>
          <w:szCs w:val="20"/>
          <w:color w:val="auto"/>
        </w:rPr>
      </w:pPr>
      <w:r>
        <w:rPr>
          <w:rFonts w:ascii="Arial" w:cs="Arial" w:eastAsia="Arial" w:hAnsi="Arial"/>
          <w:sz w:val="11"/>
          <w:szCs w:val="11"/>
          <w:u w:val="single" w:color="auto"/>
          <w:color w:val="auto"/>
        </w:rPr>
        <w:t>138,245</w:t>
      </w:r>
      <w:r>
        <w:rPr>
          <w:sz w:val="20"/>
          <w:szCs w:val="20"/>
          <w:color w:val="auto"/>
        </w:rPr>
        <w:tab/>
      </w:r>
      <w:r>
        <w:rPr>
          <w:rFonts w:ascii="Arial" w:cs="Arial" w:eastAsia="Arial" w:hAnsi="Arial"/>
          <w:sz w:val="11"/>
          <w:szCs w:val="11"/>
          <w:color w:val="auto"/>
        </w:rPr>
        <w:t>$37.02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25146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960" w:space="720"/>
            <w:col w:w="1780"/>
          </w:cols>
          <w:pgMar w:left="220" w:top="134" w:right="219" w:bottom="1440" w:gutter="0" w:footer="0" w:header="0"/>
          <w:type w:val="continuous"/>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177165</wp:posOffset>
            </wp:positionV>
            <wp:extent cx="7317740"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type w:val="continuous"/>
        </w:sectPr>
      </w:pPr>
    </w:p>
    <w:bookmarkStart w:id="93" w:name="page94"/>
    <w:bookmarkEnd w:id="93"/>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96" w:lineRule="exact"/>
        <w:rPr>
          <w:sz w:val="20"/>
          <w:szCs w:val="20"/>
          <w:color w:val="auto"/>
        </w:rPr>
      </w:pPr>
    </w:p>
    <w:p>
      <w:pPr>
        <w:ind w:right="200" w:firstLine="240"/>
        <w:spacing w:after="0" w:line="264" w:lineRule="auto"/>
        <w:rPr>
          <w:sz w:val="20"/>
          <w:szCs w:val="20"/>
          <w:color w:val="auto"/>
        </w:rPr>
      </w:pPr>
      <w:r>
        <w:rPr>
          <w:rFonts w:ascii="Arial" w:cs="Arial" w:eastAsia="Arial" w:hAnsi="Arial"/>
          <w:sz w:val="11"/>
          <w:szCs w:val="11"/>
          <w:color w:val="auto"/>
        </w:rPr>
        <w:t>The Company recognized stock-based compensation expense of approximately $4.4 million, $3.2 million and $4.4 million for the years ended December 31, 2019, 2018 and 2017, respectively, in selling, general and administrative expenses on the Company’s consolidated statements of operations. As of December 31, 2019, there was approximately $5.4 million of unrecognized stock-based compensation expense related to awards granted under the Plans. This included $2.8 million of unrecognized compensation cost related to unvested time-vested stock awards expected to be recognized over a remaining weighted average vesting period of approximately 1.6 years and $2.6 million of unrecognized compensation cost related to unvested performance awards, expected to be recognized over a remaining weighted average vesting period of approximately 1.5 years. Time-vested stock awards granted to non-employee directors in 2019 and 2018 vest at the end of a one year period and those granted prior to 2018 vest over a period of three years. The grant provision of the time-vested stock awards granted to non-employee directors prior to 2018 contained provisions that call for the vesting of all shares awarded upon a change in control or resignation from the board for any reason except breach of fiduciary duty. As a result of these provisions, the fair value of time-vested stock awards granted to all directors in 2017, was expensed on the date of the grant.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Employee Benefit Plans</w:t>
      </w:r>
    </w:p>
    <w:p>
      <w:pPr>
        <w:spacing w:after="0" w:line="109" w:lineRule="exact"/>
        <w:rPr>
          <w:sz w:val="20"/>
          <w:szCs w:val="20"/>
          <w:color w:val="auto"/>
        </w:rPr>
      </w:pPr>
    </w:p>
    <w:p>
      <w:pPr>
        <w:ind w:firstLine="240"/>
        <w:spacing w:after="0" w:line="243" w:lineRule="auto"/>
        <w:rPr>
          <w:sz w:val="20"/>
          <w:szCs w:val="20"/>
          <w:color w:val="auto"/>
        </w:rPr>
      </w:pPr>
      <w:r>
        <w:rPr>
          <w:rFonts w:ascii="Arial" w:cs="Arial" w:eastAsia="Arial" w:hAnsi="Arial"/>
          <w:sz w:val="12"/>
          <w:szCs w:val="12"/>
          <w:color w:val="auto"/>
        </w:rPr>
        <w:t>The Company sponsors multiple defined contribution plans for eligible employees not covered by collective bargaining agreements. The plans include various features such as voluntary employee pre-tax and Roth-based contributions and matching contributions made by the Company. In addition, at the discretion of our Board of Directors, we may make additional profit sharing contributions to the plans. Company contributions under these defined contribution plans are based upon a percentage of income with limitations as defined by each plan. Total contributions for the years ended December 31, 2019, 2018 and 2017 amounted to $10.9 million, $5.8 million, and $4.1 million, respectively. The increase in contributions for the year ended December 31, 2019 was due to an increase in profit sharing and the acquisition of CSI.</w:t>
      </w:r>
    </w:p>
    <w:p>
      <w:pPr>
        <w:spacing w:after="0" w:line="81" w:lineRule="exact"/>
        <w:rPr>
          <w:sz w:val="20"/>
          <w:szCs w:val="20"/>
          <w:color w:val="auto"/>
        </w:rPr>
      </w:pPr>
    </w:p>
    <w:p>
      <w:pPr>
        <w:jc w:val="both"/>
        <w:ind w:right="300" w:firstLine="240"/>
        <w:spacing w:after="0" w:line="248" w:lineRule="auto"/>
        <w:rPr>
          <w:sz w:val="20"/>
          <w:szCs w:val="20"/>
          <w:color w:val="auto"/>
        </w:rPr>
      </w:pPr>
      <w:r>
        <w:rPr>
          <w:rFonts w:ascii="Arial" w:cs="Arial" w:eastAsia="Arial" w:hAnsi="Arial"/>
          <w:sz w:val="12"/>
          <w:szCs w:val="12"/>
          <w:color w:val="auto"/>
        </w:rPr>
        <w:t>The Company contributes to a number of multiemployer defined benefit pension plans under the terms of collective-bargaining agreements that cover its union-represented employees, who are represented by more than 100 local unions. The related collective-bargaining agreements between those organizations and the Company, which specify the rate at which the Company must contribute to the multi-employer defined pension plan, expire at different times between 2020 and 2022.</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risks of participating in these multiemployer defined benefit pension plans are different from single-employer plans in the following aspects:</w:t>
      </w:r>
    </w:p>
    <w:p>
      <w:pPr>
        <w:spacing w:after="0" w:line="96" w:lineRule="exact"/>
        <w:rPr>
          <w:sz w:val="20"/>
          <w:szCs w:val="20"/>
          <w:color w:val="auto"/>
        </w:rPr>
      </w:pPr>
    </w:p>
    <w:p>
      <w:pPr>
        <w:ind w:left="480" w:hanging="248"/>
        <w:spacing w:after="0"/>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Assets contributed to the multiemployer plan by one employer may be used to provide benefits to employees of other participating employers.</w:t>
      </w:r>
    </w:p>
    <w:p>
      <w:pPr>
        <w:spacing w:after="0" w:line="96" w:lineRule="exact"/>
        <w:rPr>
          <w:rFonts w:ascii="Arial" w:cs="Arial" w:eastAsia="Arial" w:hAnsi="Arial"/>
          <w:sz w:val="12"/>
          <w:szCs w:val="12"/>
          <w:color w:val="auto"/>
        </w:rPr>
      </w:pPr>
    </w:p>
    <w:p>
      <w:pPr>
        <w:ind w:left="480" w:hanging="248"/>
        <w:spacing w:after="0"/>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If a participating employer stops contributing to a plan, the unfunded obligations of the plan may be borne by the remaining participating employers.</w:t>
      </w:r>
    </w:p>
    <w:p>
      <w:pPr>
        <w:spacing w:after="0" w:line="105" w:lineRule="exact"/>
        <w:rPr>
          <w:rFonts w:ascii="Arial" w:cs="Arial" w:eastAsia="Arial" w:hAnsi="Arial"/>
          <w:sz w:val="12"/>
          <w:szCs w:val="12"/>
          <w:color w:val="auto"/>
        </w:rPr>
      </w:pPr>
    </w:p>
    <w:p>
      <w:pPr>
        <w:ind w:left="480" w:hanging="248"/>
        <w:spacing w:after="0"/>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If the Company chooses to stop participating in a multiemployer plan, it may be required to pay the plan an amount based on the underfunded status of the plan, referred to as a withdrawal liability.</w:t>
      </w:r>
    </w:p>
    <w:p>
      <w:pPr>
        <w:spacing w:after="0" w:line="105" w:lineRule="exact"/>
        <w:rPr>
          <w:sz w:val="20"/>
          <w:szCs w:val="20"/>
          <w:color w:val="auto"/>
        </w:rPr>
      </w:pPr>
    </w:p>
    <w:p>
      <w:pPr>
        <w:ind w:right="140" w:firstLine="240"/>
        <w:spacing w:after="0" w:line="261" w:lineRule="auto"/>
        <w:rPr>
          <w:sz w:val="20"/>
          <w:szCs w:val="20"/>
          <w:color w:val="auto"/>
        </w:rPr>
      </w:pPr>
      <w:r>
        <w:rPr>
          <w:rFonts w:ascii="Arial" w:cs="Arial" w:eastAsia="Arial" w:hAnsi="Arial"/>
          <w:sz w:val="12"/>
          <w:szCs w:val="12"/>
          <w:color w:val="auto"/>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spacing w:after="0" w:line="60" w:lineRule="exact"/>
        <w:rPr>
          <w:sz w:val="20"/>
          <w:szCs w:val="20"/>
          <w:color w:val="auto"/>
        </w:rPr>
      </w:pPr>
    </w:p>
    <w:p>
      <w:pPr>
        <w:jc w:val="both"/>
        <w:ind w:right="460" w:firstLine="240"/>
        <w:spacing w:after="0" w:line="273" w:lineRule="auto"/>
        <w:rPr>
          <w:sz w:val="20"/>
          <w:szCs w:val="20"/>
          <w:color w:val="auto"/>
        </w:rPr>
      </w:pPr>
      <w:r>
        <w:rPr>
          <w:rFonts w:ascii="Arial" w:cs="Arial" w:eastAsia="Arial" w:hAnsi="Arial"/>
          <w:sz w:val="11"/>
          <w:szCs w:val="11"/>
          <w:color w:val="auto"/>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 well as from publicly available information on the U.S. Department of Labor website. The PPA zone status for the plan year ended on December 31, 2019 has not been listed because Forms 5500 were not yet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4" w:name="page95"/>
    <w:bookmarkEnd w:id="94"/>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60"/>
        <w:spacing w:after="0" w:line="380" w:lineRule="auto"/>
        <w:rPr>
          <w:sz w:val="20"/>
          <w:szCs w:val="20"/>
          <w:color w:val="auto"/>
        </w:rPr>
      </w:pPr>
      <w:r>
        <w:rPr>
          <w:rFonts w:ascii="Arial" w:cs="Arial" w:eastAsia="Arial" w:hAnsi="Arial"/>
          <w:sz w:val="10"/>
          <w:szCs w:val="10"/>
          <w:color w:val="auto"/>
        </w:rPr>
        <w:t>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the aggregate for all other plans.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EIN/Pension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Contributions to Plan for the</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Funding</w:t>
            </w:r>
          </w:p>
        </w:tc>
        <w:tc>
          <w:tcPr>
            <w:tcW w:w="76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4"/>
              </w:rPr>
              <w:t>Surcharge</w:t>
            </w:r>
          </w:p>
        </w:tc>
        <w:tc>
          <w:tcPr>
            <w:tcW w:w="0" w:type="dxa"/>
            <w:vAlign w:val="bottom"/>
          </w:tcPr>
          <w:p>
            <w:pPr>
              <w:spacing w:after="0"/>
              <w:rPr>
                <w:sz w:val="1"/>
                <w:szCs w:val="1"/>
                <w:color w:val="auto"/>
              </w:rPr>
            </w:pPr>
          </w:p>
        </w:tc>
      </w:tr>
      <w:tr>
        <w:trPr>
          <w:trHeight w:val="124"/>
        </w:trPr>
        <w:tc>
          <w:tcPr>
            <w:tcW w:w="3120" w:type="dxa"/>
            <w:vAlign w:val="bottom"/>
            <w:gridSpan w:val="2"/>
          </w:tcPr>
          <w:p>
            <w:pPr>
              <w:spacing w:after="0"/>
              <w:rPr>
                <w:sz w:val="20"/>
                <w:szCs w:val="20"/>
                <w:color w:val="auto"/>
              </w:rPr>
            </w:pPr>
            <w:r>
              <w:rPr>
                <w:rFonts w:ascii="Arial" w:cs="Arial" w:eastAsia="Arial" w:hAnsi="Arial"/>
                <w:sz w:val="10"/>
                <w:szCs w:val="10"/>
                <w:b w:val="1"/>
                <w:bCs w:val="1"/>
                <w:color w:val="auto"/>
              </w:rPr>
              <w:t>Pension Fund</w:t>
            </w:r>
          </w:p>
        </w:tc>
        <w:tc>
          <w:tcPr>
            <w:tcW w:w="12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Plan Number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ind w:left="160"/>
              <w:spacing w:after="0"/>
              <w:rPr>
                <w:sz w:val="20"/>
                <w:szCs w:val="20"/>
                <w:color w:val="auto"/>
              </w:rPr>
            </w:pPr>
            <w:r>
              <w:rPr>
                <w:rFonts w:ascii="Arial" w:cs="Arial" w:eastAsia="Arial" w:hAnsi="Arial"/>
                <w:sz w:val="10"/>
                <w:szCs w:val="10"/>
                <w:b w:val="1"/>
                <w:bCs w:val="1"/>
                <w:color w:val="auto"/>
                <w:w w:val="87"/>
              </w:rPr>
              <w:t>Pension Protection Act Zone Status</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Year Ended December 31,</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Plan</w:t>
            </w:r>
          </w:p>
        </w:tc>
        <w:tc>
          <w:tcPr>
            <w:tcW w:w="76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2"/>
              </w:rPr>
              <w:t>Imposed</w:t>
            </w:r>
          </w:p>
        </w:tc>
        <w:tc>
          <w:tcPr>
            <w:tcW w:w="0" w:type="dxa"/>
            <w:vAlign w:val="bottom"/>
          </w:tcPr>
          <w:p>
            <w:pPr>
              <w:spacing w:after="0"/>
              <w:rPr>
                <w:sz w:val="1"/>
                <w:szCs w:val="1"/>
                <w:color w:val="auto"/>
              </w:rPr>
            </w:pPr>
          </w:p>
        </w:tc>
      </w:tr>
      <w:tr>
        <w:trPr>
          <w:trHeight w:val="91"/>
        </w:trPr>
        <w:tc>
          <w:tcPr>
            <w:tcW w:w="3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center"/>
              <w:ind w:right="80"/>
              <w:spacing w:after="0" w:line="91" w:lineRule="exact"/>
              <w:rPr>
                <w:sz w:val="20"/>
                <w:szCs w:val="20"/>
                <w:color w:val="auto"/>
              </w:rPr>
            </w:pPr>
            <w:r>
              <w:rPr>
                <w:rFonts w:ascii="Arial" w:cs="Arial" w:eastAsia="Arial" w:hAnsi="Arial"/>
                <w:sz w:val="10"/>
                <w:szCs w:val="10"/>
                <w:b w:val="1"/>
                <w:bCs w:val="1"/>
                <w:color w:val="auto"/>
                <w:w w:val="87"/>
              </w:rPr>
              <w:t>Plan Year</w:t>
            </w: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ind w:right="70"/>
              <w:spacing w:after="0" w:line="91" w:lineRule="exact"/>
              <w:rPr>
                <w:sz w:val="20"/>
                <w:szCs w:val="20"/>
                <w:color w:val="auto"/>
              </w:rPr>
            </w:pPr>
            <w:r>
              <w:rPr>
                <w:rFonts w:ascii="Arial" w:cs="Arial" w:eastAsia="Arial" w:hAnsi="Arial"/>
                <w:sz w:val="10"/>
                <w:szCs w:val="10"/>
                <w:b w:val="1"/>
                <w:bCs w:val="1"/>
                <w:color w:val="auto"/>
                <w:w w:val="87"/>
              </w:rPr>
              <w:t>Plan Year</w:t>
            </w:r>
          </w:p>
        </w:tc>
        <w:tc>
          <w:tcPr>
            <w:tcW w:w="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4"/>
              </w:rPr>
              <w:t>Status</w:t>
            </w:r>
          </w:p>
        </w:tc>
        <w:tc>
          <w:tcPr>
            <w:tcW w:w="9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4"/>
              </w:rPr>
              <w:t>End</w:t>
            </w:r>
          </w:p>
        </w:tc>
        <w:tc>
          <w:tcPr>
            <w:tcW w:w="7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84"/>
              </w:rPr>
              <w:t>Status</w:t>
            </w:r>
          </w:p>
        </w:tc>
        <w:tc>
          <w:tcPr>
            <w:tcW w:w="102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4"/>
              </w:rPr>
              <w:t>End</w:t>
            </w:r>
          </w:p>
        </w:tc>
        <w:tc>
          <w:tcPr>
            <w:tcW w:w="60" w:type="dxa"/>
            <w:vAlign w:val="bottom"/>
          </w:tcPr>
          <w:p>
            <w:pPr>
              <w:spacing w:after="0"/>
              <w:rPr>
                <w:sz w:val="11"/>
                <w:szCs w:val="11"/>
                <w:color w:val="auto"/>
              </w:rPr>
            </w:pPr>
          </w:p>
        </w:tc>
        <w:tc>
          <w:tcPr>
            <w:tcW w:w="340" w:type="dxa"/>
            <w:vAlign w:val="bottom"/>
          </w:tcPr>
          <w:p>
            <w:pPr>
              <w:jc w:val="right"/>
              <w:ind w:right="49"/>
              <w:spacing w:after="0"/>
              <w:rPr>
                <w:sz w:val="20"/>
                <w:szCs w:val="20"/>
                <w:color w:val="auto"/>
              </w:rPr>
            </w:pPr>
            <w:r>
              <w:rPr>
                <w:rFonts w:ascii="Arial" w:cs="Arial" w:eastAsia="Arial" w:hAnsi="Arial"/>
                <w:sz w:val="10"/>
                <w:szCs w:val="10"/>
                <w:b w:val="1"/>
                <w:bCs w:val="1"/>
                <w:color w:val="auto"/>
                <w:w w:val="98"/>
              </w:rPr>
              <w:t>2019</w:t>
            </w:r>
          </w:p>
        </w:tc>
        <w:tc>
          <w:tcPr>
            <w:tcW w:w="540" w:type="dxa"/>
            <w:vAlign w:val="bottom"/>
          </w:tcPr>
          <w:p>
            <w:pPr>
              <w:spacing w:after="0"/>
              <w:rPr>
                <w:sz w:val="11"/>
                <w:szCs w:val="11"/>
                <w:color w:val="auto"/>
              </w:rPr>
            </w:pPr>
          </w:p>
        </w:tc>
        <w:tc>
          <w:tcPr>
            <w:tcW w:w="280" w:type="dxa"/>
            <w:vAlign w:val="bottom"/>
          </w:tcPr>
          <w:p>
            <w:pPr>
              <w:jc w:val="right"/>
              <w:ind w:right="9"/>
              <w:spacing w:after="0"/>
              <w:rPr>
                <w:sz w:val="20"/>
                <w:szCs w:val="20"/>
                <w:color w:val="auto"/>
              </w:rPr>
            </w:pPr>
            <w:r>
              <w:rPr>
                <w:rFonts w:ascii="Arial" w:cs="Arial" w:eastAsia="Arial" w:hAnsi="Arial"/>
                <w:sz w:val="10"/>
                <w:szCs w:val="10"/>
                <w:b w:val="1"/>
                <w:bCs w:val="1"/>
                <w:color w:val="auto"/>
                <w:w w:val="89"/>
              </w:rPr>
              <w:t>2018</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ind w:right="29"/>
              <w:spacing w:after="0"/>
              <w:rPr>
                <w:sz w:val="20"/>
                <w:szCs w:val="20"/>
                <w:color w:val="auto"/>
              </w:rPr>
            </w:pPr>
            <w:r>
              <w:rPr>
                <w:rFonts w:ascii="Arial" w:cs="Arial" w:eastAsia="Arial" w:hAnsi="Arial"/>
                <w:sz w:val="10"/>
                <w:szCs w:val="10"/>
                <w:b w:val="1"/>
                <w:bCs w:val="1"/>
                <w:color w:val="auto"/>
                <w:w w:val="80"/>
              </w:rPr>
              <w:t>2017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3"/>
          </w:tcPr>
          <w:p>
            <w:pPr>
              <w:jc w:val="center"/>
              <w:ind w:right="80"/>
              <w:spacing w:after="0" w:line="110" w:lineRule="exact"/>
              <w:rPr>
                <w:sz w:val="20"/>
                <w:szCs w:val="20"/>
                <w:color w:val="auto"/>
              </w:rPr>
            </w:pPr>
            <w:r>
              <w:rPr>
                <w:rFonts w:ascii="Arial" w:cs="Arial" w:eastAsia="Arial" w:hAnsi="Arial"/>
                <w:sz w:val="10"/>
                <w:szCs w:val="10"/>
                <w:b w:val="1"/>
                <w:bCs w:val="1"/>
                <w:color w:val="auto"/>
                <w:w w:val="84"/>
              </w:rPr>
              <w:t>(in thousands)</w:t>
            </w: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i w:val="1"/>
                <w:iCs w:val="1"/>
                <w:color w:val="auto"/>
              </w:rPr>
              <w:t>Defined Benefit Plans:</w:t>
            </w: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20" w:type="dxa"/>
            <w:vAlign w:val="bottom"/>
            <w:gridSpan w:val="2"/>
          </w:tcPr>
          <w:p>
            <w:pPr>
              <w:spacing w:after="0"/>
              <w:rPr>
                <w:sz w:val="20"/>
                <w:szCs w:val="20"/>
                <w:color w:val="auto"/>
              </w:rPr>
            </w:pPr>
            <w:r>
              <w:rPr>
                <w:rFonts w:ascii="Arial" w:cs="Arial" w:eastAsia="Arial" w:hAnsi="Arial"/>
                <w:sz w:val="10"/>
                <w:szCs w:val="10"/>
                <w:color w:val="auto"/>
              </w:rPr>
              <w:t>Southern California IBEW-NECA Pension Trust Fund</w:t>
            </w:r>
          </w:p>
        </w:tc>
        <w:tc>
          <w:tcPr>
            <w:tcW w:w="1200" w:type="dxa"/>
            <w:vAlign w:val="bottom"/>
          </w:tcPr>
          <w:p>
            <w:pPr>
              <w:jc w:val="center"/>
              <w:spacing w:after="0"/>
              <w:rPr>
                <w:sz w:val="20"/>
                <w:szCs w:val="20"/>
                <w:color w:val="auto"/>
              </w:rPr>
            </w:pPr>
            <w:r>
              <w:rPr>
                <w:rFonts w:ascii="Arial" w:cs="Arial" w:eastAsia="Arial" w:hAnsi="Arial"/>
                <w:sz w:val="10"/>
                <w:szCs w:val="10"/>
                <w:color w:val="auto"/>
                <w:w w:val="93"/>
              </w:rPr>
              <w:t>95-6392774 001</w:t>
            </w:r>
          </w:p>
        </w:tc>
        <w:tc>
          <w:tcPr>
            <w:tcW w:w="80" w:type="dxa"/>
            <w:vAlign w:val="bottom"/>
          </w:tcPr>
          <w:p>
            <w:pPr>
              <w:spacing w:after="0"/>
              <w:rPr>
                <w:sz w:val="10"/>
                <w:szCs w:val="10"/>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0"/>
                <w:szCs w:val="10"/>
                <w:color w:val="auto"/>
              </w:rPr>
              <w:t>Yellow</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6/30/2018</w:t>
            </w:r>
          </w:p>
        </w:tc>
        <w:tc>
          <w:tcPr>
            <w:tcW w:w="80" w:type="dxa"/>
            <w:vAlign w:val="bottom"/>
          </w:tcPr>
          <w:p>
            <w:pPr>
              <w:spacing w:after="0"/>
              <w:rPr>
                <w:sz w:val="10"/>
                <w:szCs w:val="10"/>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0"/>
                <w:szCs w:val="10"/>
                <w:color w:val="auto"/>
              </w:rPr>
              <w:t>Yellow</w:t>
            </w:r>
          </w:p>
        </w:tc>
        <w:tc>
          <w:tcPr>
            <w:tcW w:w="720" w:type="dxa"/>
            <w:vAlign w:val="bottom"/>
          </w:tcPr>
          <w:p>
            <w:pPr>
              <w:jc w:val="center"/>
              <w:ind w:right="70"/>
              <w:spacing w:after="0"/>
              <w:rPr>
                <w:sz w:val="20"/>
                <w:szCs w:val="20"/>
                <w:color w:val="auto"/>
              </w:rPr>
            </w:pPr>
            <w:r>
              <w:rPr>
                <w:rFonts w:ascii="Arial" w:cs="Arial" w:eastAsia="Arial" w:hAnsi="Arial"/>
                <w:sz w:val="10"/>
                <w:szCs w:val="10"/>
                <w:color w:val="auto"/>
                <w:w w:val="89"/>
              </w:rPr>
              <w:t>6/30/2017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0"/>
                <w:szCs w:val="10"/>
                <w:color w:val="auto"/>
                <w:w w:val="97"/>
              </w:rPr>
              <w:t>14,268</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0"/>
                <w:szCs w:val="10"/>
                <w:color w:val="auto"/>
              </w:rPr>
              <w:t>767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435</w:t>
            </w:r>
          </w:p>
        </w:tc>
        <w:tc>
          <w:tcPr>
            <w:tcW w:w="8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color w:val="auto"/>
                <w:w w:val="92"/>
              </w:rPr>
              <w:t>Yes</w:t>
            </w:r>
          </w:p>
        </w:tc>
        <w:tc>
          <w:tcPr>
            <w:tcW w:w="760" w:type="dxa"/>
            <w:vAlign w:val="bottom"/>
            <w:gridSpan w:val="2"/>
          </w:tcPr>
          <w:p>
            <w:pPr>
              <w:jc w:val="center"/>
              <w:ind w:right="20"/>
              <w:spacing w:after="0"/>
              <w:rPr>
                <w:sz w:val="20"/>
                <w:szCs w:val="20"/>
                <w:color w:val="auto"/>
              </w:rPr>
            </w:pPr>
            <w:r>
              <w:rPr>
                <w:rFonts w:ascii="Arial" w:cs="Arial" w:eastAsia="Arial" w:hAnsi="Arial"/>
                <w:sz w:val="10"/>
                <w:szCs w:val="10"/>
                <w:color w:val="auto"/>
                <w:w w:val="80"/>
              </w:rPr>
              <w:t>Yes</w:t>
            </w:r>
          </w:p>
        </w:tc>
        <w:tc>
          <w:tcPr>
            <w:tcW w:w="0" w:type="dxa"/>
            <w:vAlign w:val="bottom"/>
          </w:tcPr>
          <w:p>
            <w:pPr>
              <w:spacing w:after="0"/>
              <w:rPr>
                <w:sz w:val="1"/>
                <w:szCs w:val="1"/>
                <w:color w:val="auto"/>
              </w:rPr>
            </w:pPr>
          </w:p>
        </w:tc>
      </w:tr>
      <w:tr>
        <w:trPr>
          <w:trHeight w:val="126"/>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National Electrical Benefit Fund</w:t>
            </w: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53-0181657 001</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3"/>
              </w:rPr>
              <w:t>Green</w:t>
            </w:r>
          </w:p>
        </w:tc>
        <w:tc>
          <w:tcPr>
            <w:tcW w:w="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12/31/2018</w:t>
            </w: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center"/>
              <w:ind w:right="200"/>
              <w:spacing w:after="0"/>
              <w:rPr>
                <w:sz w:val="20"/>
                <w:szCs w:val="20"/>
                <w:color w:val="auto"/>
              </w:rPr>
            </w:pPr>
            <w:r>
              <w:rPr>
                <w:rFonts w:ascii="Arial" w:cs="Arial" w:eastAsia="Arial" w:hAnsi="Arial"/>
                <w:sz w:val="10"/>
                <w:szCs w:val="10"/>
                <w:color w:val="auto"/>
                <w:w w:val="93"/>
              </w:rPr>
              <w:t>Green</w:t>
            </w:r>
          </w:p>
        </w:tc>
        <w:tc>
          <w:tcPr>
            <w:tcW w:w="720" w:type="dxa"/>
            <w:vAlign w:val="bottom"/>
            <w:shd w:val="clear" w:color="auto" w:fill="CCEEFF"/>
          </w:tcPr>
          <w:p>
            <w:pPr>
              <w:jc w:val="center"/>
              <w:ind w:right="90"/>
              <w:spacing w:after="0"/>
              <w:rPr>
                <w:sz w:val="20"/>
                <w:szCs w:val="20"/>
                <w:color w:val="auto"/>
              </w:rPr>
            </w:pPr>
            <w:r>
              <w:rPr>
                <w:rFonts w:ascii="Arial" w:cs="Arial" w:eastAsia="Arial" w:hAnsi="Arial"/>
                <w:sz w:val="10"/>
                <w:szCs w:val="10"/>
                <w:color w:val="auto"/>
                <w:w w:val="91"/>
              </w:rPr>
              <w:t>12/31/2017</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7"/>
              </w:rPr>
              <w:t>11,050</w:t>
            </w:r>
          </w:p>
        </w:tc>
        <w:tc>
          <w:tcPr>
            <w:tcW w:w="5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0"/>
                <w:szCs w:val="10"/>
                <w:color w:val="auto"/>
              </w:rPr>
              <w:t>9,840</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9,542</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3"/>
              </w:rPr>
              <w:t>No</w:t>
            </w:r>
          </w:p>
        </w:tc>
        <w:tc>
          <w:tcPr>
            <w:tcW w:w="76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rPr>
              <w:t>No</w:t>
            </w:r>
          </w:p>
        </w:tc>
        <w:tc>
          <w:tcPr>
            <w:tcW w:w="0" w:type="dxa"/>
            <w:vAlign w:val="bottom"/>
          </w:tcPr>
          <w:p>
            <w:pPr>
              <w:spacing w:after="0"/>
              <w:rPr>
                <w:sz w:val="1"/>
                <w:szCs w:val="1"/>
                <w:color w:val="auto"/>
              </w:rPr>
            </w:pPr>
          </w:p>
        </w:tc>
      </w:tr>
      <w:tr>
        <w:trPr>
          <w:trHeight w:val="108"/>
        </w:trPr>
        <w:tc>
          <w:tcPr>
            <w:tcW w:w="3120" w:type="dxa"/>
            <w:vAlign w:val="bottom"/>
            <w:gridSpan w:val="2"/>
          </w:tcPr>
          <w:p>
            <w:pPr>
              <w:spacing w:after="0" w:line="108" w:lineRule="exact"/>
              <w:rPr>
                <w:sz w:val="20"/>
                <w:szCs w:val="20"/>
                <w:color w:val="auto"/>
              </w:rPr>
            </w:pPr>
            <w:r>
              <w:rPr>
                <w:rFonts w:ascii="Arial" w:cs="Arial" w:eastAsia="Arial" w:hAnsi="Arial"/>
                <w:sz w:val="10"/>
                <w:szCs w:val="10"/>
                <w:color w:val="auto"/>
              </w:rPr>
              <w:t>Eighth District Electrical Pension</w:t>
            </w:r>
          </w:p>
        </w:tc>
        <w:tc>
          <w:tcPr>
            <w:tcW w:w="1200" w:type="dxa"/>
            <w:vAlign w:val="bottom"/>
            <w:vMerge w:val="restart"/>
          </w:tcPr>
          <w:p>
            <w:pPr>
              <w:jc w:val="center"/>
              <w:spacing w:after="0"/>
              <w:rPr>
                <w:sz w:val="20"/>
                <w:szCs w:val="20"/>
                <w:color w:val="auto"/>
              </w:rPr>
            </w:pPr>
            <w:r>
              <w:rPr>
                <w:rFonts w:ascii="Arial" w:cs="Arial" w:eastAsia="Arial" w:hAnsi="Arial"/>
                <w:sz w:val="10"/>
                <w:szCs w:val="10"/>
                <w:color w:val="auto"/>
                <w:w w:val="93"/>
              </w:rPr>
              <w:t>84-6100393 001</w:t>
            </w:r>
          </w:p>
        </w:tc>
        <w:tc>
          <w:tcPr>
            <w:tcW w:w="80" w:type="dxa"/>
            <w:vAlign w:val="bottom"/>
          </w:tcPr>
          <w:p>
            <w:pPr>
              <w:spacing w:after="0"/>
              <w:rPr>
                <w:sz w:val="9"/>
                <w:szCs w:val="9"/>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3"/>
              </w:rPr>
              <w:t>Green</w:t>
            </w: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94"/>
              </w:rPr>
              <w:t>3/31/2019</w:t>
            </w:r>
          </w:p>
        </w:tc>
        <w:tc>
          <w:tcPr>
            <w:tcW w:w="80" w:type="dxa"/>
            <w:vAlign w:val="bottom"/>
          </w:tcPr>
          <w:p>
            <w:pPr>
              <w:spacing w:after="0"/>
              <w:rPr>
                <w:sz w:val="9"/>
                <w:szCs w:val="9"/>
                <w:color w:val="auto"/>
              </w:rPr>
            </w:pPr>
          </w:p>
        </w:tc>
        <w:tc>
          <w:tcPr>
            <w:tcW w:w="740" w:type="dxa"/>
            <w:vAlign w:val="bottom"/>
            <w:gridSpan w:val="3"/>
            <w:vMerge w:val="restart"/>
          </w:tcPr>
          <w:p>
            <w:pPr>
              <w:jc w:val="center"/>
              <w:ind w:right="200"/>
              <w:spacing w:after="0"/>
              <w:rPr>
                <w:sz w:val="20"/>
                <w:szCs w:val="20"/>
                <w:color w:val="auto"/>
              </w:rPr>
            </w:pPr>
            <w:r>
              <w:rPr>
                <w:rFonts w:ascii="Arial" w:cs="Arial" w:eastAsia="Arial" w:hAnsi="Arial"/>
                <w:sz w:val="10"/>
                <w:szCs w:val="10"/>
                <w:color w:val="auto"/>
                <w:w w:val="93"/>
              </w:rPr>
              <w:t>Green</w:t>
            </w:r>
          </w:p>
        </w:tc>
        <w:tc>
          <w:tcPr>
            <w:tcW w:w="720" w:type="dxa"/>
            <w:vAlign w:val="bottom"/>
            <w:vMerge w:val="restart"/>
          </w:tcPr>
          <w:p>
            <w:pPr>
              <w:jc w:val="center"/>
              <w:ind w:right="70"/>
              <w:spacing w:after="0"/>
              <w:rPr>
                <w:sz w:val="20"/>
                <w:szCs w:val="20"/>
                <w:color w:val="auto"/>
              </w:rPr>
            </w:pPr>
            <w:r>
              <w:rPr>
                <w:rFonts w:ascii="Arial" w:cs="Arial" w:eastAsia="Arial" w:hAnsi="Arial"/>
                <w:sz w:val="10"/>
                <w:szCs w:val="10"/>
                <w:color w:val="auto"/>
                <w:w w:val="89"/>
              </w:rPr>
              <w:t>3/31/2018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0"/>
                <w:szCs w:val="10"/>
                <w:color w:val="auto"/>
                <w:w w:val="97"/>
              </w:rPr>
              <w:t>11,199</w:t>
            </w:r>
          </w:p>
        </w:tc>
        <w:tc>
          <w:tcPr>
            <w:tcW w:w="540" w:type="dxa"/>
            <w:vAlign w:val="bottom"/>
          </w:tcPr>
          <w:p>
            <w:pPr>
              <w:spacing w:after="0"/>
              <w:rPr>
                <w:sz w:val="9"/>
                <w:szCs w:val="9"/>
                <w:color w:val="auto"/>
              </w:rPr>
            </w:pPr>
          </w:p>
        </w:tc>
        <w:tc>
          <w:tcPr>
            <w:tcW w:w="760" w:type="dxa"/>
            <w:vAlign w:val="bottom"/>
            <w:gridSpan w:val="2"/>
            <w:vMerge w:val="restart"/>
          </w:tcPr>
          <w:p>
            <w:pPr>
              <w:jc w:val="right"/>
              <w:ind w:right="480"/>
              <w:spacing w:after="0"/>
              <w:rPr>
                <w:sz w:val="20"/>
                <w:szCs w:val="20"/>
                <w:color w:val="auto"/>
              </w:rPr>
            </w:pPr>
            <w:r>
              <w:rPr>
                <w:rFonts w:ascii="Arial" w:cs="Arial" w:eastAsia="Arial" w:hAnsi="Arial"/>
                <w:sz w:val="10"/>
                <w:szCs w:val="10"/>
                <w:color w:val="auto"/>
              </w:rPr>
              <w:t>9,707</w:t>
            </w:r>
          </w:p>
        </w:tc>
        <w:tc>
          <w:tcPr>
            <w:tcW w:w="60" w:type="dxa"/>
            <w:vAlign w:val="bottom"/>
          </w:tcPr>
          <w:p>
            <w:pPr>
              <w:spacing w:after="0"/>
              <w:rPr>
                <w:sz w:val="9"/>
                <w:szCs w:val="9"/>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7,908</w:t>
            </w:r>
          </w:p>
        </w:tc>
        <w:tc>
          <w:tcPr>
            <w:tcW w:w="80" w:type="dxa"/>
            <w:vAlign w:val="bottom"/>
          </w:tcPr>
          <w:p>
            <w:pPr>
              <w:spacing w:after="0"/>
              <w:rPr>
                <w:sz w:val="9"/>
                <w:szCs w:val="9"/>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3"/>
              </w:rPr>
              <w:t>No</w:t>
            </w: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auto"/>
              </w:rPr>
              <w:t>No</w:t>
            </w:r>
          </w:p>
        </w:tc>
        <w:tc>
          <w:tcPr>
            <w:tcW w:w="0" w:type="dxa"/>
            <w:vAlign w:val="bottom"/>
          </w:tcPr>
          <w:p>
            <w:pPr>
              <w:spacing w:after="0"/>
              <w:rPr>
                <w:sz w:val="1"/>
                <w:szCs w:val="1"/>
                <w:color w:val="auto"/>
              </w:rPr>
            </w:pPr>
          </w:p>
        </w:tc>
      </w:tr>
      <w:tr>
        <w:trPr>
          <w:trHeight w:val="117"/>
        </w:trPr>
        <w:tc>
          <w:tcPr>
            <w:tcW w:w="3120" w:type="dxa"/>
            <w:vAlign w:val="bottom"/>
            <w:gridSpan w:val="2"/>
          </w:tcPr>
          <w:p>
            <w:pPr>
              <w:ind w:left="100"/>
              <w:spacing w:after="0"/>
              <w:rPr>
                <w:sz w:val="20"/>
                <w:szCs w:val="20"/>
                <w:color w:val="auto"/>
              </w:rPr>
            </w:pPr>
            <w:r>
              <w:rPr>
                <w:rFonts w:ascii="Arial" w:cs="Arial" w:eastAsia="Arial" w:hAnsi="Arial"/>
                <w:sz w:val="10"/>
                <w:szCs w:val="10"/>
                <w:color w:val="auto"/>
              </w:rPr>
              <w:t>Fund</w:t>
            </w: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IBEW Local 769 Management Pension Plan A</w:t>
            </w: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86-6049763 001</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3"/>
              </w:rPr>
              <w:t>Green</w:t>
            </w:r>
          </w:p>
        </w:tc>
        <w:tc>
          <w:tcPr>
            <w:tcW w:w="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6/30/2018</w:t>
            </w:r>
          </w:p>
        </w:tc>
        <w:tc>
          <w:tcPr>
            <w:tcW w:w="8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center"/>
              <w:ind w:right="200"/>
              <w:spacing w:after="0"/>
              <w:rPr>
                <w:sz w:val="20"/>
                <w:szCs w:val="20"/>
                <w:color w:val="auto"/>
              </w:rPr>
            </w:pPr>
            <w:r>
              <w:rPr>
                <w:rFonts w:ascii="Arial" w:cs="Arial" w:eastAsia="Arial" w:hAnsi="Arial"/>
                <w:sz w:val="10"/>
                <w:szCs w:val="10"/>
                <w:color w:val="auto"/>
                <w:w w:val="93"/>
              </w:rPr>
              <w:t>Green</w:t>
            </w:r>
          </w:p>
        </w:tc>
        <w:tc>
          <w:tcPr>
            <w:tcW w:w="720" w:type="dxa"/>
            <w:vAlign w:val="bottom"/>
            <w:shd w:val="clear" w:color="auto" w:fill="CCEEFF"/>
          </w:tcPr>
          <w:p>
            <w:pPr>
              <w:jc w:val="center"/>
              <w:ind w:right="70"/>
              <w:spacing w:after="0"/>
              <w:rPr>
                <w:sz w:val="20"/>
                <w:szCs w:val="20"/>
                <w:color w:val="auto"/>
              </w:rPr>
            </w:pPr>
            <w:r>
              <w:rPr>
                <w:rFonts w:ascii="Arial" w:cs="Arial" w:eastAsia="Arial" w:hAnsi="Arial"/>
                <w:sz w:val="10"/>
                <w:szCs w:val="10"/>
                <w:color w:val="auto"/>
                <w:w w:val="89"/>
              </w:rPr>
              <w:t>6/30/2017</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2,689</w:t>
            </w:r>
          </w:p>
        </w:tc>
        <w:tc>
          <w:tcPr>
            <w:tcW w:w="5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0"/>
                <w:szCs w:val="10"/>
                <w:color w:val="auto"/>
              </w:rPr>
              <w:t>2,587</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2,115</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3"/>
              </w:rPr>
              <w:t>No</w:t>
            </w:r>
          </w:p>
        </w:tc>
        <w:tc>
          <w:tcPr>
            <w:tcW w:w="76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rPr>
              <w:t>No</w:t>
            </w:r>
          </w:p>
        </w:tc>
        <w:tc>
          <w:tcPr>
            <w:tcW w:w="0" w:type="dxa"/>
            <w:vAlign w:val="bottom"/>
          </w:tcPr>
          <w:p>
            <w:pPr>
              <w:spacing w:after="0"/>
              <w:rPr>
                <w:sz w:val="1"/>
                <w:szCs w:val="1"/>
                <w:color w:val="auto"/>
              </w:rPr>
            </w:pPr>
          </w:p>
        </w:tc>
      </w:tr>
      <w:tr>
        <w:trPr>
          <w:trHeight w:val="108"/>
        </w:trPr>
        <w:tc>
          <w:tcPr>
            <w:tcW w:w="3120" w:type="dxa"/>
            <w:vAlign w:val="bottom"/>
            <w:gridSpan w:val="2"/>
          </w:tcPr>
          <w:p>
            <w:pPr>
              <w:spacing w:after="0" w:line="108" w:lineRule="exact"/>
              <w:rPr>
                <w:sz w:val="20"/>
                <w:szCs w:val="20"/>
                <w:color w:val="auto"/>
              </w:rPr>
            </w:pPr>
            <w:r>
              <w:rPr>
                <w:rFonts w:ascii="Arial" w:cs="Arial" w:eastAsia="Arial" w:hAnsi="Arial"/>
                <w:sz w:val="10"/>
                <w:szCs w:val="10"/>
                <w:color w:val="auto"/>
              </w:rPr>
              <w:t>IBEW Local No. 640 and Arizona NECA Defined Benefit Pension</w:t>
            </w:r>
          </w:p>
        </w:tc>
        <w:tc>
          <w:tcPr>
            <w:tcW w:w="1200" w:type="dxa"/>
            <w:vAlign w:val="bottom"/>
            <w:vMerge w:val="restart"/>
          </w:tcPr>
          <w:p>
            <w:pPr>
              <w:jc w:val="center"/>
              <w:spacing w:after="0"/>
              <w:rPr>
                <w:sz w:val="20"/>
                <w:szCs w:val="20"/>
                <w:color w:val="auto"/>
              </w:rPr>
            </w:pPr>
            <w:r>
              <w:rPr>
                <w:rFonts w:ascii="Arial" w:cs="Arial" w:eastAsia="Arial" w:hAnsi="Arial"/>
                <w:sz w:val="10"/>
                <w:szCs w:val="10"/>
                <w:color w:val="auto"/>
                <w:w w:val="93"/>
              </w:rPr>
              <w:t>86-0323980 001</w:t>
            </w:r>
          </w:p>
        </w:tc>
        <w:tc>
          <w:tcPr>
            <w:tcW w:w="80" w:type="dxa"/>
            <w:vAlign w:val="bottom"/>
          </w:tcPr>
          <w:p>
            <w:pPr>
              <w:spacing w:after="0"/>
              <w:rPr>
                <w:sz w:val="9"/>
                <w:szCs w:val="9"/>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0"/>
                <w:szCs w:val="10"/>
                <w:color w:val="auto"/>
                <w:w w:val="93"/>
              </w:rPr>
              <w:t>Green</w:t>
            </w:r>
          </w:p>
        </w:tc>
        <w:tc>
          <w:tcPr>
            <w:tcW w:w="840" w:type="dxa"/>
            <w:vAlign w:val="bottom"/>
            <w:vMerge w:val="restart"/>
          </w:tcPr>
          <w:p>
            <w:pPr>
              <w:jc w:val="center"/>
              <w:spacing w:after="0"/>
              <w:rPr>
                <w:sz w:val="20"/>
                <w:szCs w:val="20"/>
                <w:color w:val="auto"/>
              </w:rPr>
            </w:pPr>
            <w:r>
              <w:rPr>
                <w:rFonts w:ascii="Arial" w:cs="Arial" w:eastAsia="Arial" w:hAnsi="Arial"/>
                <w:sz w:val="10"/>
                <w:szCs w:val="10"/>
                <w:color w:val="auto"/>
                <w:w w:val="91"/>
              </w:rPr>
              <w:t>12/31/2018</w:t>
            </w:r>
          </w:p>
        </w:tc>
        <w:tc>
          <w:tcPr>
            <w:tcW w:w="80" w:type="dxa"/>
            <w:vAlign w:val="bottom"/>
          </w:tcPr>
          <w:p>
            <w:pPr>
              <w:spacing w:after="0"/>
              <w:rPr>
                <w:sz w:val="9"/>
                <w:szCs w:val="9"/>
                <w:color w:val="auto"/>
              </w:rPr>
            </w:pPr>
          </w:p>
        </w:tc>
        <w:tc>
          <w:tcPr>
            <w:tcW w:w="740" w:type="dxa"/>
            <w:vAlign w:val="bottom"/>
            <w:gridSpan w:val="3"/>
            <w:vMerge w:val="restart"/>
          </w:tcPr>
          <w:p>
            <w:pPr>
              <w:jc w:val="center"/>
              <w:ind w:right="200"/>
              <w:spacing w:after="0"/>
              <w:rPr>
                <w:sz w:val="20"/>
                <w:szCs w:val="20"/>
                <w:color w:val="auto"/>
              </w:rPr>
            </w:pPr>
            <w:r>
              <w:rPr>
                <w:rFonts w:ascii="Arial" w:cs="Arial" w:eastAsia="Arial" w:hAnsi="Arial"/>
                <w:sz w:val="10"/>
                <w:szCs w:val="10"/>
                <w:color w:val="auto"/>
                <w:w w:val="93"/>
              </w:rPr>
              <w:t>Green</w:t>
            </w:r>
          </w:p>
        </w:tc>
        <w:tc>
          <w:tcPr>
            <w:tcW w:w="720" w:type="dxa"/>
            <w:vAlign w:val="bottom"/>
            <w:vMerge w:val="restart"/>
          </w:tcPr>
          <w:p>
            <w:pPr>
              <w:jc w:val="center"/>
              <w:ind w:right="90"/>
              <w:spacing w:after="0"/>
              <w:rPr>
                <w:sz w:val="20"/>
                <w:szCs w:val="20"/>
                <w:color w:val="auto"/>
              </w:rPr>
            </w:pPr>
            <w:r>
              <w:rPr>
                <w:rFonts w:ascii="Arial" w:cs="Arial" w:eastAsia="Arial" w:hAnsi="Arial"/>
                <w:sz w:val="10"/>
                <w:szCs w:val="10"/>
                <w:color w:val="auto"/>
                <w:w w:val="91"/>
              </w:rPr>
              <w:t>12/31/2017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0"/>
                <w:szCs w:val="10"/>
                <w:color w:val="auto"/>
              </w:rPr>
              <w:t>2,397</w:t>
            </w:r>
          </w:p>
        </w:tc>
        <w:tc>
          <w:tcPr>
            <w:tcW w:w="540" w:type="dxa"/>
            <w:vAlign w:val="bottom"/>
          </w:tcPr>
          <w:p>
            <w:pPr>
              <w:spacing w:after="0"/>
              <w:rPr>
                <w:sz w:val="9"/>
                <w:szCs w:val="9"/>
                <w:color w:val="auto"/>
              </w:rPr>
            </w:pPr>
          </w:p>
        </w:tc>
        <w:tc>
          <w:tcPr>
            <w:tcW w:w="760" w:type="dxa"/>
            <w:vAlign w:val="bottom"/>
            <w:gridSpan w:val="2"/>
            <w:vMerge w:val="restart"/>
          </w:tcPr>
          <w:p>
            <w:pPr>
              <w:jc w:val="right"/>
              <w:ind w:right="480"/>
              <w:spacing w:after="0"/>
              <w:rPr>
                <w:sz w:val="20"/>
                <w:szCs w:val="20"/>
                <w:color w:val="auto"/>
              </w:rPr>
            </w:pPr>
            <w:r>
              <w:rPr>
                <w:rFonts w:ascii="Arial" w:cs="Arial" w:eastAsia="Arial" w:hAnsi="Arial"/>
                <w:sz w:val="10"/>
                <w:szCs w:val="10"/>
                <w:color w:val="auto"/>
              </w:rPr>
              <w:t>1,629</w:t>
            </w:r>
          </w:p>
        </w:tc>
        <w:tc>
          <w:tcPr>
            <w:tcW w:w="60" w:type="dxa"/>
            <w:vAlign w:val="bottom"/>
          </w:tcPr>
          <w:p>
            <w:pPr>
              <w:spacing w:after="0"/>
              <w:rPr>
                <w:sz w:val="9"/>
                <w:szCs w:val="9"/>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3"/>
              </w:rPr>
              <w:t>No</w:t>
            </w: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auto"/>
              </w:rPr>
              <w:t>No</w:t>
            </w:r>
          </w:p>
        </w:tc>
        <w:tc>
          <w:tcPr>
            <w:tcW w:w="0" w:type="dxa"/>
            <w:vAlign w:val="bottom"/>
          </w:tcPr>
          <w:p>
            <w:pPr>
              <w:spacing w:after="0"/>
              <w:rPr>
                <w:sz w:val="1"/>
                <w:szCs w:val="1"/>
                <w:color w:val="auto"/>
              </w:rPr>
            </w:pPr>
          </w:p>
        </w:tc>
      </w:tr>
      <w:tr>
        <w:trPr>
          <w:trHeight w:val="117"/>
        </w:trPr>
        <w:tc>
          <w:tcPr>
            <w:tcW w:w="3120" w:type="dxa"/>
            <w:vAlign w:val="bottom"/>
            <w:gridSpan w:val="2"/>
          </w:tcPr>
          <w:p>
            <w:pPr>
              <w:ind w:left="100"/>
              <w:spacing w:after="0"/>
              <w:rPr>
                <w:sz w:val="20"/>
                <w:szCs w:val="20"/>
                <w:color w:val="auto"/>
              </w:rPr>
            </w:pPr>
            <w:r>
              <w:rPr>
                <w:rFonts w:ascii="Arial" w:cs="Arial" w:eastAsia="Arial" w:hAnsi="Arial"/>
                <w:sz w:val="10"/>
                <w:szCs w:val="10"/>
                <w:color w:val="auto"/>
              </w:rPr>
              <w:t>Plan</w:t>
            </w: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Indiana/Kentucky/Ohio Regional Council of Carpenters Pension</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3"/>
              </w:rPr>
              <w:t>51-6123713 001</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0"/>
                <w:szCs w:val="10"/>
                <w:color w:val="auto"/>
                <w:w w:val="93"/>
              </w:rPr>
              <w:t>Green</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4"/>
              </w:rPr>
              <w:t>6/30/2018</w:t>
            </w:r>
          </w:p>
        </w:tc>
        <w:tc>
          <w:tcPr>
            <w:tcW w:w="8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0"/>
                <w:szCs w:val="10"/>
                <w:color w:val="auto"/>
                <w:w w:val="93"/>
              </w:rPr>
              <w:t>Green</w:t>
            </w:r>
          </w:p>
        </w:tc>
        <w:tc>
          <w:tcPr>
            <w:tcW w:w="720" w:type="dxa"/>
            <w:vAlign w:val="bottom"/>
            <w:vMerge w:val="restart"/>
            <w:shd w:val="clear" w:color="auto" w:fill="CCEEFF"/>
          </w:tcPr>
          <w:p>
            <w:pPr>
              <w:jc w:val="center"/>
              <w:ind w:right="70"/>
              <w:spacing w:after="0"/>
              <w:rPr>
                <w:sz w:val="20"/>
                <w:szCs w:val="20"/>
                <w:color w:val="auto"/>
              </w:rPr>
            </w:pPr>
            <w:r>
              <w:rPr>
                <w:rFonts w:ascii="Arial" w:cs="Arial" w:eastAsia="Arial" w:hAnsi="Arial"/>
                <w:sz w:val="10"/>
                <w:szCs w:val="10"/>
                <w:color w:val="auto"/>
                <w:w w:val="89"/>
              </w:rPr>
              <w:t>6/30/2017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1,742</w:t>
            </w:r>
          </w:p>
        </w:tc>
        <w:tc>
          <w:tcPr>
            <w:tcW w:w="540" w:type="dxa"/>
            <w:vAlign w:val="bottom"/>
            <w:tcBorders>
              <w:right w:val="single" w:sz="8" w:color="CCEEFF"/>
            </w:tcBorders>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0"/>
                <w:szCs w:val="10"/>
                <w:color w:val="auto"/>
              </w:rPr>
              <w:t>1,157</w:t>
            </w: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2,515</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0"/>
                <w:szCs w:val="10"/>
                <w:color w:val="auto"/>
                <w:w w:val="93"/>
              </w:rPr>
              <w:t>No</w:t>
            </w:r>
          </w:p>
        </w:tc>
        <w:tc>
          <w:tcPr>
            <w:tcW w:w="76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0"/>
                <w:szCs w:val="10"/>
                <w:color w:val="auto"/>
              </w:rPr>
              <w:t>No</w:t>
            </w:r>
          </w:p>
        </w:tc>
        <w:tc>
          <w:tcPr>
            <w:tcW w:w="0" w:type="dxa"/>
            <w:vAlign w:val="bottom"/>
          </w:tcPr>
          <w:p>
            <w:pPr>
              <w:spacing w:after="0"/>
              <w:rPr>
                <w:sz w:val="1"/>
                <w:szCs w:val="1"/>
                <w:color w:val="auto"/>
              </w:rPr>
            </w:pPr>
          </w:p>
        </w:tc>
      </w:tr>
      <w:tr>
        <w:trPr>
          <w:trHeight w:val="117"/>
        </w:trPr>
        <w:tc>
          <w:tcPr>
            <w:tcW w:w="3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Fund</w:t>
            </w:r>
          </w:p>
        </w:tc>
        <w:tc>
          <w:tcPr>
            <w:tcW w:w="12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vMerge w:val="continue"/>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20" w:type="dxa"/>
            <w:vAlign w:val="bottom"/>
            <w:gridSpan w:val="2"/>
          </w:tcPr>
          <w:p>
            <w:pPr>
              <w:spacing w:after="0"/>
              <w:rPr>
                <w:sz w:val="20"/>
                <w:szCs w:val="20"/>
                <w:color w:val="auto"/>
              </w:rPr>
            </w:pPr>
            <w:r>
              <w:rPr>
                <w:rFonts w:ascii="Arial" w:cs="Arial" w:eastAsia="Arial" w:hAnsi="Arial"/>
                <w:sz w:val="10"/>
                <w:szCs w:val="10"/>
                <w:color w:val="auto"/>
              </w:rPr>
              <w:t>Alaska Electrical Pension Plan</w:t>
            </w:r>
          </w:p>
        </w:tc>
        <w:tc>
          <w:tcPr>
            <w:tcW w:w="1200" w:type="dxa"/>
            <w:vAlign w:val="bottom"/>
          </w:tcPr>
          <w:p>
            <w:pPr>
              <w:jc w:val="center"/>
              <w:spacing w:after="0"/>
              <w:rPr>
                <w:sz w:val="20"/>
                <w:szCs w:val="20"/>
                <w:color w:val="auto"/>
              </w:rPr>
            </w:pPr>
            <w:r>
              <w:rPr>
                <w:rFonts w:ascii="Arial" w:cs="Arial" w:eastAsia="Arial" w:hAnsi="Arial"/>
                <w:sz w:val="10"/>
                <w:szCs w:val="10"/>
                <w:color w:val="auto"/>
                <w:w w:val="93"/>
              </w:rPr>
              <w:t>92-6005171 001</w:t>
            </w:r>
          </w:p>
        </w:tc>
        <w:tc>
          <w:tcPr>
            <w:tcW w:w="80" w:type="dxa"/>
            <w:vAlign w:val="bottom"/>
          </w:tcPr>
          <w:p>
            <w:pPr>
              <w:spacing w:after="0"/>
              <w:rPr>
                <w:sz w:val="10"/>
                <w:szCs w:val="10"/>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0"/>
                <w:szCs w:val="10"/>
                <w:color w:val="auto"/>
                <w:w w:val="93"/>
              </w:rPr>
              <w:t>Green</w:t>
            </w:r>
          </w:p>
        </w:tc>
        <w:tc>
          <w:tcPr>
            <w:tcW w:w="840" w:type="dxa"/>
            <w:vAlign w:val="bottom"/>
          </w:tcPr>
          <w:p>
            <w:pPr>
              <w:jc w:val="center"/>
              <w:spacing w:after="0"/>
              <w:rPr>
                <w:sz w:val="20"/>
                <w:szCs w:val="20"/>
                <w:color w:val="auto"/>
              </w:rPr>
            </w:pPr>
            <w:r>
              <w:rPr>
                <w:rFonts w:ascii="Arial" w:cs="Arial" w:eastAsia="Arial" w:hAnsi="Arial"/>
                <w:sz w:val="10"/>
                <w:szCs w:val="10"/>
                <w:color w:val="auto"/>
                <w:w w:val="91"/>
              </w:rPr>
              <w:t>12/31/2018</w:t>
            </w:r>
          </w:p>
        </w:tc>
        <w:tc>
          <w:tcPr>
            <w:tcW w:w="80" w:type="dxa"/>
            <w:vAlign w:val="bottom"/>
          </w:tcPr>
          <w:p>
            <w:pPr>
              <w:spacing w:after="0"/>
              <w:rPr>
                <w:sz w:val="10"/>
                <w:szCs w:val="10"/>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0"/>
                <w:szCs w:val="10"/>
                <w:color w:val="auto"/>
                <w:w w:val="93"/>
              </w:rPr>
              <w:t>Green</w:t>
            </w:r>
          </w:p>
        </w:tc>
        <w:tc>
          <w:tcPr>
            <w:tcW w:w="720" w:type="dxa"/>
            <w:vAlign w:val="bottom"/>
          </w:tcPr>
          <w:p>
            <w:pPr>
              <w:jc w:val="center"/>
              <w:ind w:right="90"/>
              <w:spacing w:after="0"/>
              <w:rPr>
                <w:sz w:val="20"/>
                <w:szCs w:val="20"/>
                <w:color w:val="auto"/>
              </w:rPr>
            </w:pPr>
            <w:r>
              <w:rPr>
                <w:rFonts w:ascii="Arial" w:cs="Arial" w:eastAsia="Arial" w:hAnsi="Arial"/>
                <w:sz w:val="10"/>
                <w:szCs w:val="10"/>
                <w:color w:val="auto"/>
                <w:w w:val="91"/>
              </w:rPr>
              <w:t>12/31/2017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1,408</w:t>
            </w:r>
          </w:p>
        </w:tc>
        <w:tc>
          <w:tcPr>
            <w:tcW w:w="540" w:type="dxa"/>
            <w:vAlign w:val="bottom"/>
          </w:tcPr>
          <w:p>
            <w:pPr>
              <w:spacing w:after="0"/>
              <w:rPr>
                <w:sz w:val="10"/>
                <w:szCs w:val="10"/>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color w:val="auto"/>
              </w:rPr>
              <w:t>2,723</w:t>
            </w:r>
          </w:p>
        </w:tc>
        <w:tc>
          <w:tcPr>
            <w:tcW w:w="6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1,951</w:t>
            </w:r>
          </w:p>
        </w:tc>
        <w:tc>
          <w:tcPr>
            <w:tcW w:w="8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color w:val="auto"/>
                <w:w w:val="93"/>
              </w:rPr>
              <w:t>No</w:t>
            </w:r>
          </w:p>
        </w:tc>
        <w:tc>
          <w:tcPr>
            <w:tcW w:w="760" w:type="dxa"/>
            <w:vAlign w:val="bottom"/>
            <w:gridSpan w:val="2"/>
          </w:tcPr>
          <w:p>
            <w:pPr>
              <w:jc w:val="center"/>
              <w:ind w:right="20"/>
              <w:spacing w:after="0"/>
              <w:rPr>
                <w:sz w:val="20"/>
                <w:szCs w:val="20"/>
                <w:color w:val="auto"/>
              </w:rPr>
            </w:pPr>
            <w:r>
              <w:rPr>
                <w:rFonts w:ascii="Arial" w:cs="Arial" w:eastAsia="Arial" w:hAnsi="Arial"/>
                <w:sz w:val="10"/>
                <w:szCs w:val="10"/>
                <w:color w:val="auto"/>
              </w:rPr>
              <w:t>No</w:t>
            </w:r>
          </w:p>
        </w:tc>
        <w:tc>
          <w:tcPr>
            <w:tcW w:w="0" w:type="dxa"/>
            <w:vAlign w:val="bottom"/>
          </w:tcPr>
          <w:p>
            <w:pPr>
              <w:spacing w:after="0"/>
              <w:rPr>
                <w:sz w:val="1"/>
                <w:szCs w:val="1"/>
                <w:color w:val="auto"/>
              </w:rPr>
            </w:pPr>
          </w:p>
        </w:tc>
      </w:tr>
      <w:tr>
        <w:trPr>
          <w:trHeight w:val="126"/>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i w:val="1"/>
                <w:iCs w:val="1"/>
                <w:color w:val="auto"/>
              </w:rPr>
              <w:t>Defined Contribution Plans:</w:t>
            </w: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20" w:type="dxa"/>
            <w:vAlign w:val="bottom"/>
            <w:gridSpan w:val="2"/>
          </w:tcPr>
          <w:p>
            <w:pPr>
              <w:spacing w:after="0"/>
              <w:rPr>
                <w:sz w:val="20"/>
                <w:szCs w:val="20"/>
                <w:color w:val="auto"/>
              </w:rPr>
            </w:pPr>
            <w:r>
              <w:rPr>
                <w:rFonts w:ascii="Arial" w:cs="Arial" w:eastAsia="Arial" w:hAnsi="Arial"/>
                <w:sz w:val="10"/>
                <w:szCs w:val="10"/>
                <w:color w:val="auto"/>
              </w:rPr>
              <w:t>National Electrical Annuity Plan</w:t>
            </w:r>
          </w:p>
        </w:tc>
        <w:tc>
          <w:tcPr>
            <w:tcW w:w="1200" w:type="dxa"/>
            <w:vAlign w:val="bottom"/>
          </w:tcPr>
          <w:p>
            <w:pPr>
              <w:jc w:val="center"/>
              <w:spacing w:after="0"/>
              <w:rPr>
                <w:sz w:val="20"/>
                <w:szCs w:val="20"/>
                <w:color w:val="auto"/>
              </w:rPr>
            </w:pPr>
            <w:r>
              <w:rPr>
                <w:rFonts w:ascii="Arial" w:cs="Arial" w:eastAsia="Arial" w:hAnsi="Arial"/>
                <w:sz w:val="10"/>
                <w:szCs w:val="10"/>
                <w:color w:val="auto"/>
                <w:w w:val="93"/>
              </w:rPr>
              <w:t>52-6132372 001</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0"/>
                <w:szCs w:val="10"/>
                <w:color w:val="auto"/>
                <w:w w:val="85"/>
              </w:rPr>
              <w:t>n/a</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0"/>
                <w:szCs w:val="10"/>
                <w:color w:val="auto"/>
                <w:w w:val="85"/>
              </w:rPr>
              <w:t>n/a</w:t>
            </w:r>
          </w:p>
        </w:tc>
        <w:tc>
          <w:tcPr>
            <w:tcW w:w="6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97"/>
              </w:rPr>
              <w:t>28,822</w:t>
            </w:r>
          </w:p>
        </w:tc>
        <w:tc>
          <w:tcPr>
            <w:tcW w:w="540" w:type="dxa"/>
            <w:vAlign w:val="bottom"/>
          </w:tcPr>
          <w:p>
            <w:pPr>
              <w:spacing w:after="0"/>
              <w:rPr>
                <w:sz w:val="10"/>
                <w:szCs w:val="10"/>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color w:val="auto"/>
                <w:w w:val="84"/>
              </w:rPr>
              <w:t>26,559</w:t>
            </w:r>
          </w:p>
        </w:tc>
        <w:tc>
          <w:tcPr>
            <w:tcW w:w="6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w w:val="84"/>
              </w:rPr>
              <w:t>27,633</w:t>
            </w:r>
          </w:p>
        </w:tc>
        <w:tc>
          <w:tcPr>
            <w:tcW w:w="8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color w:val="auto"/>
                <w:w w:val="85"/>
              </w:rPr>
              <w:t>n/a</w:t>
            </w:r>
          </w:p>
        </w:tc>
        <w:tc>
          <w:tcPr>
            <w:tcW w:w="760" w:type="dxa"/>
            <w:vAlign w:val="bottom"/>
            <w:gridSpan w:val="2"/>
          </w:tcPr>
          <w:p>
            <w:pPr>
              <w:jc w:val="center"/>
              <w:ind w:right="20"/>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26"/>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Eighth District Electrical Pension Fund Annuity Plan</w:t>
            </w: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84-6100393 002</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5"/>
              </w:rPr>
              <w:t>n/a</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3"/>
            <w:shd w:val="clear" w:color="auto" w:fill="CCEEFF"/>
          </w:tcPr>
          <w:p>
            <w:pPr>
              <w:jc w:val="center"/>
              <w:ind w:right="420"/>
              <w:spacing w:after="0"/>
              <w:rPr>
                <w:sz w:val="20"/>
                <w:szCs w:val="20"/>
                <w:color w:val="auto"/>
              </w:rPr>
            </w:pPr>
            <w:r>
              <w:rPr>
                <w:rFonts w:ascii="Arial" w:cs="Arial" w:eastAsia="Arial" w:hAnsi="Arial"/>
                <w:sz w:val="10"/>
                <w:szCs w:val="10"/>
                <w:color w:val="auto"/>
                <w:w w:val="85"/>
              </w:rPr>
              <w:t>n/a</w:t>
            </w:r>
          </w:p>
        </w:tc>
        <w:tc>
          <w:tcPr>
            <w:tcW w:w="6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5,339</w:t>
            </w:r>
          </w:p>
        </w:tc>
        <w:tc>
          <w:tcPr>
            <w:tcW w:w="5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0"/>
                <w:szCs w:val="10"/>
                <w:color w:val="auto"/>
              </w:rPr>
              <w:t>4,785</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4,109</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5"/>
              </w:rPr>
              <w:t>n/a</w:t>
            </w:r>
          </w:p>
        </w:tc>
        <w:tc>
          <w:tcPr>
            <w:tcW w:w="76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44"/>
        </w:trPr>
        <w:tc>
          <w:tcPr>
            <w:tcW w:w="3120" w:type="dxa"/>
            <w:vAlign w:val="bottom"/>
            <w:gridSpan w:val="2"/>
          </w:tcPr>
          <w:p>
            <w:pPr>
              <w:spacing w:after="0"/>
              <w:rPr>
                <w:sz w:val="20"/>
                <w:szCs w:val="20"/>
                <w:color w:val="auto"/>
              </w:rPr>
            </w:pPr>
            <w:r>
              <w:rPr>
                <w:rFonts w:ascii="Arial" w:cs="Arial" w:eastAsia="Arial" w:hAnsi="Arial"/>
                <w:sz w:val="10"/>
                <w:szCs w:val="10"/>
                <w:i w:val="1"/>
                <w:iCs w:val="1"/>
                <w:color w:val="auto"/>
              </w:rPr>
              <w:t>All other plans:</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97"/>
              </w:rPr>
              <w:t>23,295</w:t>
            </w:r>
          </w:p>
        </w:tc>
        <w:tc>
          <w:tcPr>
            <w:tcW w:w="540" w:type="dxa"/>
            <w:vAlign w:val="bottom"/>
          </w:tcPr>
          <w:p>
            <w:pPr>
              <w:spacing w:after="0"/>
              <w:rPr>
                <w:sz w:val="12"/>
                <w:szCs w:val="12"/>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color w:val="auto"/>
                <w:w w:val="84"/>
              </w:rPr>
              <w:t>10,666</w:t>
            </w:r>
          </w:p>
        </w:tc>
        <w:tc>
          <w:tcPr>
            <w:tcW w:w="6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8,680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contributions: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2"/>
              </w:rPr>
              <w:t>102,209</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0"/>
                <w:szCs w:val="10"/>
                <w:color w:val="auto"/>
                <w:w w:val="84"/>
              </w:rPr>
              <w:t>70,420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84"/>
              </w:rPr>
              <w:t>64,888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54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29234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5788660</wp:posOffset>
            </wp:positionH>
            <wp:positionV relativeFrom="paragraph">
              <wp:posOffset>-1355090</wp:posOffset>
            </wp:positionV>
            <wp:extent cx="5715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-1355090</wp:posOffset>
            </wp:positionV>
            <wp:extent cx="5715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60"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spacing w:after="0" w:line="61" w:lineRule="exact"/>
        <w:rPr>
          <w:sz w:val="20"/>
          <w:szCs w:val="20"/>
          <w:color w:val="auto"/>
        </w:rPr>
      </w:pPr>
    </w:p>
    <w:p>
      <w:pPr>
        <w:ind w:right="260" w:firstLine="240"/>
        <w:spacing w:after="0" w:line="298" w:lineRule="auto"/>
        <w:rPr>
          <w:sz w:val="20"/>
          <w:szCs w:val="20"/>
          <w:color w:val="auto"/>
        </w:rPr>
      </w:pPr>
      <w:r>
        <w:rPr>
          <w:rFonts w:ascii="Arial" w:cs="Arial" w:eastAsia="Arial" w:hAnsi="Arial"/>
          <w:sz w:val="11"/>
          <w:szCs w:val="11"/>
          <w:color w:val="auto"/>
        </w:rPr>
        <w:t>One of the Company’s subsidiaries was also in the Eighth District Electrical Pension Fund’s Form 5500 as providing more than five percent of the total contributions to that plan for the plan years ended March 31, 2019, 2018 and 2017, in the IBEW local 769 Management Pension Plan A’s Form 5500 as providing more than five percent of the total contributions to that plan for the plan years ended June 30, 2018 and 2017 and in the IBEW Local No. 640 and Arizona NECA Defined Benefit Pension Plan’s Form 5500 as providing more than five percent of the total contributions to that plan for the plan years ended December 31, 2018 and 2017.</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Segment Information</w:t>
      </w:r>
    </w:p>
    <w:p>
      <w:pPr>
        <w:spacing w:after="0" w:line="109" w:lineRule="exact"/>
        <w:rPr>
          <w:sz w:val="20"/>
          <w:szCs w:val="20"/>
          <w:color w:val="auto"/>
        </w:rPr>
      </w:pPr>
    </w:p>
    <w:p>
      <w:pPr>
        <w:ind w:right="60" w:firstLine="240"/>
        <w:spacing w:after="0" w:line="259" w:lineRule="auto"/>
        <w:rPr>
          <w:sz w:val="20"/>
          <w:szCs w:val="20"/>
          <w:color w:val="auto"/>
        </w:rPr>
      </w:pPr>
      <w:r>
        <w:rPr>
          <w:rFonts w:ascii="Arial" w:cs="Arial" w:eastAsia="Arial" w:hAnsi="Arial"/>
          <w:sz w:val="12"/>
          <w:szCs w:val="12"/>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and management fees.</w:t>
      </w:r>
    </w:p>
    <w:p>
      <w:pPr>
        <w:spacing w:after="0" w:line="80" w:lineRule="exact"/>
        <w:rPr>
          <w:sz w:val="20"/>
          <w:szCs w:val="20"/>
          <w:color w:val="auto"/>
        </w:rPr>
      </w:pPr>
    </w:p>
    <w:p>
      <w:pPr>
        <w:ind w:right="80" w:firstLine="240"/>
        <w:spacing w:after="0" w:line="276" w:lineRule="auto"/>
        <w:rPr>
          <w:sz w:val="20"/>
          <w:szCs w:val="20"/>
          <w:color w:val="auto"/>
        </w:rPr>
      </w:pPr>
      <w:r>
        <w:rPr>
          <w:rFonts w:ascii="Arial" w:cs="Arial" w:eastAsia="Arial" w:hAnsi="Arial"/>
          <w:sz w:val="12"/>
          <w:szCs w:val="12"/>
          <w:i w:val="1"/>
          <w:iCs w:val="1"/>
          <w:color w:val="auto"/>
        </w:rPr>
        <w:t xml:space="preserve">Transmission and Distribution: </w:t>
      </w:r>
      <w:r>
        <w:rPr>
          <w:rFonts w:ascii="Arial" w:cs="Arial" w:eastAsia="Arial" w:hAnsi="Arial"/>
          <w:sz w:val="12"/>
          <w:szCs w:val="12"/>
          <w:color w:val="auto"/>
        </w:rPr>
        <w:t>The T&amp;D segment provides a broad range of services on electric transmission and distribution networks and substation facilities which include design, engineering, procurement, construction, upgrade,</w:t>
      </w:r>
      <w:r>
        <w:rPr>
          <w:rFonts w:ascii="Arial" w:cs="Arial" w:eastAsia="Arial" w:hAnsi="Arial"/>
          <w:sz w:val="12"/>
          <w:szCs w:val="12"/>
          <w:i w:val="1"/>
          <w:iCs w:val="1"/>
          <w:color w:val="auto"/>
        </w:rPr>
        <w:t xml:space="preserve"> </w:t>
      </w:r>
      <w:r>
        <w:rPr>
          <w:rFonts w:ascii="Arial" w:cs="Arial" w:eastAsia="Arial" w:hAnsi="Arial"/>
          <w:sz w:val="12"/>
          <w:szCs w:val="12"/>
          <w:color w:val="auto"/>
        </w:rPr>
        <w:t>maintenance and repair services with a particular focus on construction,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5" w:name="page96"/>
    <w:bookmarkEnd w:id="95"/>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69" w:lineRule="exact"/>
        <w:rPr>
          <w:sz w:val="20"/>
          <w:szCs w:val="20"/>
          <w:color w:val="auto"/>
        </w:rPr>
      </w:pPr>
    </w:p>
    <w:p>
      <w:pPr>
        <w:ind w:right="20" w:firstLine="240"/>
        <w:spacing w:after="0" w:line="259" w:lineRule="auto"/>
        <w:rPr>
          <w:sz w:val="20"/>
          <w:szCs w:val="20"/>
          <w:color w:val="auto"/>
        </w:rPr>
      </w:pPr>
      <w:r>
        <w:rPr>
          <w:rFonts w:ascii="Arial" w:cs="Arial" w:eastAsia="Arial" w:hAnsi="Arial"/>
          <w:sz w:val="12"/>
          <w:szCs w:val="12"/>
          <w:i w:val="1"/>
          <w:iCs w:val="1"/>
          <w:color w:val="auto"/>
        </w:rPr>
        <w:t xml:space="preserve">Commercial and Industrial: </w:t>
      </w:r>
      <w:r>
        <w:rPr>
          <w:rFonts w:ascii="Arial" w:cs="Arial" w:eastAsia="Arial" w:hAnsi="Arial"/>
          <w:sz w:val="12"/>
          <w:szCs w:val="12"/>
          <w:color w:val="auto"/>
        </w:rPr>
        <w:t>The C&amp;I segment provides services including the design, installation, maintenance and repair of commercial and industrial wiring, installation of traffic networks and the installation of bridge, roadway and</w:t>
      </w:r>
      <w:r>
        <w:rPr>
          <w:rFonts w:ascii="Arial" w:cs="Arial" w:eastAsia="Arial" w:hAnsi="Arial"/>
          <w:sz w:val="12"/>
          <w:szCs w:val="12"/>
          <w:i w:val="1"/>
          <w:iCs w:val="1"/>
          <w:color w:val="auto"/>
        </w:rPr>
        <w:t xml:space="preserve"> </w:t>
      </w:r>
      <w:r>
        <w:rPr>
          <w:rFonts w:ascii="Arial" w:cs="Arial" w:eastAsia="Arial" w:hAnsi="Arial"/>
          <w:sz w:val="12"/>
          <w:szCs w:val="12"/>
          <w:color w:val="auto"/>
        </w:rPr>
        <w:t>tunnel lighting.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information in the following table is derived from the segment’s internal financial reports used for corporate management purposes: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rPr>
              <w:t>For the Year Ended December 31,</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r>
      <w:tr>
        <w:trPr>
          <w:trHeight w:val="142"/>
        </w:trPr>
        <w:tc>
          <w:tcPr>
            <w:tcW w:w="730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2019</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2018</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2017</w:t>
            </w:r>
          </w:p>
        </w:tc>
        <w:tc>
          <w:tcPr>
            <w:tcW w:w="360" w:type="dxa"/>
            <w:vAlign w:val="bottom"/>
            <w:tcBorders>
              <w:bottom w:val="single" w:sz="8" w:color="auto"/>
            </w:tcBorders>
          </w:tcPr>
          <w:p>
            <w:pPr>
              <w:spacing w:after="0"/>
              <w:rPr>
                <w:sz w:val="12"/>
                <w:szCs w:val="12"/>
                <w:color w:val="auto"/>
              </w:rPr>
            </w:pPr>
          </w:p>
        </w:tc>
      </w:tr>
      <w:tr>
        <w:trPr>
          <w:trHeight w:val="169"/>
        </w:trPr>
        <w:tc>
          <w:tcPr>
            <w:tcW w:w="7780" w:type="dxa"/>
            <w:vAlign w:val="bottom"/>
            <w:gridSpan w:val="3"/>
            <w:shd w:val="clear" w:color="auto" w:fill="CCEEFF"/>
          </w:tcPr>
          <w:p>
            <w:pPr>
              <w:ind w:left="560"/>
              <w:spacing w:after="0"/>
              <w:rPr>
                <w:sz w:val="20"/>
                <w:szCs w:val="20"/>
                <w:color w:val="auto"/>
              </w:rPr>
            </w:pPr>
            <w:r>
              <w:rPr>
                <w:rFonts w:ascii="Arial" w:cs="Arial" w:eastAsia="Arial" w:hAnsi="Arial"/>
                <w:sz w:val="12"/>
                <w:szCs w:val="12"/>
                <w:b w:val="1"/>
                <w:bCs w:val="1"/>
                <w:color w:val="auto"/>
              </w:rPr>
              <w:t>Contract revenues:</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71"/>
        </w:trPr>
        <w:tc>
          <w:tcPr>
            <w:tcW w:w="7780" w:type="dxa"/>
            <w:vAlign w:val="bottom"/>
            <w:gridSpan w:val="3"/>
          </w:tcPr>
          <w:p>
            <w:pPr>
              <w:ind w:left="680"/>
              <w:spacing w:after="0"/>
              <w:rPr>
                <w:sz w:val="20"/>
                <w:szCs w:val="20"/>
                <w:color w:val="auto"/>
              </w:rPr>
            </w:pPr>
            <w:r>
              <w:rPr>
                <w:rFonts w:ascii="Arial" w:cs="Arial" w:eastAsia="Arial" w:hAnsi="Arial"/>
                <w:sz w:val="12"/>
                <w:szCs w:val="12"/>
                <w:color w:val="auto"/>
              </w:rPr>
              <w:t>T&amp;D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color w:val="auto"/>
                <w:w w:val="89"/>
              </w:rPr>
              <w:t>1,134,411</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893,108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879,372</w:t>
            </w:r>
          </w:p>
        </w:tc>
      </w:tr>
      <w:tr>
        <w:trPr>
          <w:trHeight w:val="176"/>
        </w:trPr>
        <w:tc>
          <w:tcPr>
            <w:tcW w:w="77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2"/>
                <w:szCs w:val="12"/>
                <w:color w:val="auto"/>
              </w:rPr>
              <w:t>C&amp;I</w:t>
            </w:r>
          </w:p>
        </w:tc>
        <w:tc>
          <w:tcPr>
            <w:tcW w:w="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936,748</w:t>
            </w:r>
          </w:p>
        </w:tc>
        <w:tc>
          <w:tcPr>
            <w:tcW w:w="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638,061</w:t>
            </w: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523,945</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81"/>
        </w:trPr>
        <w:tc>
          <w:tcPr>
            <w:tcW w:w="7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color w:val="auto"/>
                <w:w w:val="89"/>
              </w:rPr>
              <w:t>2,071,159</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w w:val="86"/>
              </w:rPr>
              <w:t>1,531,169</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1,403,317</w:t>
            </w:r>
          </w:p>
        </w:tc>
        <w:tc>
          <w:tcPr>
            <w:tcW w:w="360" w:type="dxa"/>
            <w:vAlign w:val="bottom"/>
          </w:tcPr>
          <w:p>
            <w:pPr>
              <w:spacing w:after="0"/>
              <w:rPr>
                <w:sz w:val="15"/>
                <w:szCs w:val="15"/>
                <w:color w:val="auto"/>
              </w:rPr>
            </w:pPr>
          </w:p>
        </w:tc>
      </w:tr>
      <w:tr>
        <w:trPr>
          <w:trHeight w:val="144"/>
        </w:trPr>
        <w:tc>
          <w:tcPr>
            <w:tcW w:w="7780" w:type="dxa"/>
            <w:vAlign w:val="bottom"/>
            <w:tcBorders>
              <w:top w:val="single" w:sz="8" w:color="CCEEFF"/>
            </w:tcBorders>
            <w:gridSpan w:val="3"/>
            <w:shd w:val="clear" w:color="auto" w:fill="CCEEFF"/>
          </w:tcPr>
          <w:p>
            <w:pPr>
              <w:ind w:left="560"/>
              <w:spacing w:after="0"/>
              <w:rPr>
                <w:sz w:val="20"/>
                <w:szCs w:val="20"/>
                <w:color w:val="auto"/>
              </w:rPr>
            </w:pPr>
            <w:r>
              <w:rPr>
                <w:rFonts w:ascii="Arial" w:cs="Arial" w:eastAsia="Arial" w:hAnsi="Arial"/>
                <w:sz w:val="12"/>
                <w:szCs w:val="12"/>
                <w:b w:val="1"/>
                <w:bCs w:val="1"/>
                <w:color w:val="auto"/>
              </w:rPr>
              <w:t>Income from operations:</w:t>
            </w: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r>
      <w:tr>
        <w:trPr>
          <w:trHeight w:val="171"/>
        </w:trPr>
        <w:tc>
          <w:tcPr>
            <w:tcW w:w="7780" w:type="dxa"/>
            <w:vAlign w:val="bottom"/>
            <w:gridSpan w:val="3"/>
          </w:tcPr>
          <w:p>
            <w:pPr>
              <w:ind w:left="680"/>
              <w:spacing w:after="0"/>
              <w:rPr>
                <w:sz w:val="20"/>
                <w:szCs w:val="20"/>
                <w:color w:val="auto"/>
              </w:rPr>
            </w:pPr>
            <w:r>
              <w:rPr>
                <w:rFonts w:ascii="Arial" w:cs="Arial" w:eastAsia="Arial" w:hAnsi="Arial"/>
                <w:sz w:val="12"/>
                <w:szCs w:val="12"/>
                <w:color w:val="auto"/>
              </w:rPr>
              <w:t>T&amp;D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color w:val="auto"/>
              </w:rPr>
              <w:t>73,580</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57,242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39,631</w:t>
            </w:r>
          </w:p>
        </w:tc>
      </w:tr>
      <w:tr>
        <w:trPr>
          <w:trHeight w:val="171"/>
        </w:trPr>
        <w:tc>
          <w:tcPr>
            <w:tcW w:w="7780" w:type="dxa"/>
            <w:vAlign w:val="bottom"/>
            <w:gridSpan w:val="3"/>
            <w:shd w:val="clear" w:color="auto" w:fill="CCEEFF"/>
          </w:tcPr>
          <w:p>
            <w:pPr>
              <w:ind w:left="680"/>
              <w:spacing w:after="0"/>
              <w:rPr>
                <w:sz w:val="20"/>
                <w:szCs w:val="20"/>
                <w:color w:val="auto"/>
              </w:rPr>
            </w:pPr>
            <w:r>
              <w:rPr>
                <w:rFonts w:ascii="Arial" w:cs="Arial" w:eastAsia="Arial" w:hAnsi="Arial"/>
                <w:sz w:val="12"/>
                <w:szCs w:val="12"/>
                <w:color w:val="auto"/>
              </w:rPr>
              <w:t>C&amp;I</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30,506</w:t>
            </w: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34,112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25,048</w:t>
            </w:r>
          </w:p>
        </w:tc>
      </w:tr>
      <w:tr>
        <w:trPr>
          <w:trHeight w:val="176"/>
        </w:trPr>
        <w:tc>
          <w:tcPr>
            <w:tcW w:w="7780" w:type="dxa"/>
            <w:vAlign w:val="bottom"/>
            <w:gridSpan w:val="3"/>
          </w:tcPr>
          <w:p>
            <w:pPr>
              <w:ind w:left="680"/>
              <w:spacing w:after="0"/>
              <w:rPr>
                <w:sz w:val="20"/>
                <w:szCs w:val="20"/>
                <w:color w:val="auto"/>
              </w:rPr>
            </w:pPr>
            <w:r>
              <w:rPr>
                <w:rFonts w:ascii="Arial" w:cs="Arial" w:eastAsia="Arial" w:hAnsi="Arial"/>
                <w:sz w:val="12"/>
                <w:szCs w:val="12"/>
                <w:color w:val="auto"/>
              </w:rPr>
              <w:t>General Corporate</w:t>
            </w:r>
          </w:p>
        </w:tc>
        <w:tc>
          <w:tcPr>
            <w:tcW w:w="6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(46,908)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2"/>
                <w:szCs w:val="12"/>
                <w:color w:val="auto"/>
              </w:rPr>
              <w:t>(41,042)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2"/>
                <w:szCs w:val="12"/>
                <w:color w:val="auto"/>
              </w:rPr>
              <w:t>(35,121)</w:t>
            </w:r>
          </w:p>
        </w:tc>
      </w:tr>
      <w:tr>
        <w:trPr>
          <w:trHeight w:val="20"/>
        </w:trPr>
        <w:tc>
          <w:tcPr>
            <w:tcW w:w="7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169"/>
        </w:trPr>
        <w:tc>
          <w:tcPr>
            <w:tcW w:w="7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57,178</w:t>
            </w:r>
          </w:p>
        </w:tc>
        <w:tc>
          <w:tcPr>
            <w:tcW w:w="3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50,312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29,558</w:t>
            </w:r>
          </w:p>
        </w:tc>
      </w:tr>
      <w:tr>
        <w:trPr>
          <w:trHeight w:val="32"/>
        </w:trPr>
        <w:tc>
          <w:tcPr>
            <w:tcW w:w="7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7058660</wp:posOffset>
            </wp:positionH>
            <wp:positionV relativeFrom="paragraph">
              <wp:posOffset>-136525</wp:posOffset>
            </wp:positionV>
            <wp:extent cx="22860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286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671449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714490" cy="5715"/>
                    </a:xfrm>
                    <a:prstGeom prst="rect">
                      <a:avLst/>
                    </a:prstGeom>
                    <a:noFill/>
                  </pic:spPr>
                </pic:pic>
              </a:graphicData>
            </a:graphic>
          </wp:anchor>
        </w:drawing>
        <w:drawing>
          <wp:anchor simplePos="0" relativeHeight="251657728" behindDoc="1" locked="0" layoutInCell="0" allowOverlap="1">
            <wp:simplePos x="0" y="0"/>
            <wp:positionH relativeFrom="column">
              <wp:posOffset>6395085</wp:posOffset>
            </wp:positionH>
            <wp:positionV relativeFrom="paragraph">
              <wp:posOffset>-1034415</wp:posOffset>
            </wp:positionV>
            <wp:extent cx="9144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-1034415</wp:posOffset>
            </wp:positionV>
            <wp:extent cx="9144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-1034415</wp:posOffset>
            </wp:positionV>
            <wp:extent cx="9144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-1034415</wp:posOffset>
            </wp:positionV>
            <wp:extent cx="571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42" w:lineRule="exact"/>
        <w:rPr>
          <w:sz w:val="20"/>
          <w:szCs w:val="20"/>
          <w:color w:val="auto"/>
        </w:rPr>
      </w:pPr>
    </w:p>
    <w:p>
      <w:pPr>
        <w:ind w:right="80" w:firstLine="240"/>
        <w:spacing w:after="0" w:line="276" w:lineRule="auto"/>
        <w:rPr>
          <w:sz w:val="20"/>
          <w:szCs w:val="20"/>
          <w:color w:val="auto"/>
        </w:rPr>
      </w:pPr>
      <w:r>
        <w:rPr>
          <w:rFonts w:ascii="Arial" w:cs="Arial" w:eastAsia="Arial" w:hAnsi="Arial"/>
          <w:sz w:val="12"/>
          <w:szCs w:val="12"/>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for each segment are as follows as of December 31: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90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(in thousands)</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2019</w:t>
            </w: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2018</w:t>
            </w:r>
          </w:p>
        </w:tc>
        <w:tc>
          <w:tcPr>
            <w:tcW w:w="300" w:type="dxa"/>
            <w:vAlign w:val="bottom"/>
            <w:tcBorders>
              <w:bottom w:val="single" w:sz="8" w:color="auto"/>
            </w:tcBorders>
          </w:tcPr>
          <w:p>
            <w:pPr>
              <w:spacing w:after="0"/>
              <w:rPr>
                <w:sz w:val="11"/>
                <w:szCs w:val="11"/>
                <w:color w:val="auto"/>
              </w:rPr>
            </w:pPr>
          </w:p>
        </w:tc>
      </w:tr>
      <w:tr>
        <w:trPr>
          <w:trHeight w:val="169"/>
        </w:trPr>
        <w:tc>
          <w:tcPr>
            <w:tcW w:w="940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T&amp;D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306,226</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$274,038</w:t>
            </w:r>
          </w:p>
        </w:tc>
        <w:tc>
          <w:tcPr>
            <w:tcW w:w="300" w:type="dxa"/>
            <w:vAlign w:val="bottom"/>
            <w:shd w:val="clear" w:color="auto" w:fill="CCEEFF"/>
          </w:tcPr>
          <w:p>
            <w:pPr>
              <w:spacing w:after="0"/>
              <w:rPr>
                <w:sz w:val="14"/>
                <w:szCs w:val="14"/>
                <w:color w:val="auto"/>
              </w:rPr>
            </w:pPr>
          </w:p>
        </w:tc>
      </w:tr>
      <w:tr>
        <w:trPr>
          <w:trHeight w:val="171"/>
        </w:trPr>
        <w:tc>
          <w:tcPr>
            <w:tcW w:w="9400" w:type="dxa"/>
            <w:vAlign w:val="bottom"/>
            <w:gridSpan w:val="3"/>
          </w:tcPr>
          <w:p>
            <w:pPr>
              <w:ind w:left="660"/>
              <w:spacing w:after="0"/>
              <w:rPr>
                <w:sz w:val="20"/>
                <w:szCs w:val="20"/>
                <w:color w:val="auto"/>
              </w:rPr>
            </w:pPr>
            <w:r>
              <w:rPr>
                <w:rFonts w:ascii="Arial" w:cs="Arial" w:eastAsia="Arial" w:hAnsi="Arial"/>
                <w:sz w:val="12"/>
                <w:szCs w:val="12"/>
                <w:color w:val="auto"/>
              </w:rPr>
              <w:t>C&amp;I</w:t>
            </w:r>
          </w:p>
        </w:tc>
        <w:tc>
          <w:tcPr>
            <w:tcW w:w="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rPr>
              <w:t>414,264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257,049</w:t>
            </w:r>
          </w:p>
        </w:tc>
        <w:tc>
          <w:tcPr>
            <w:tcW w:w="300" w:type="dxa"/>
            <w:vAlign w:val="bottom"/>
          </w:tcPr>
          <w:p>
            <w:pPr>
              <w:spacing w:after="0"/>
              <w:rPr>
                <w:sz w:val="14"/>
                <w:szCs w:val="14"/>
                <w:color w:val="auto"/>
              </w:rPr>
            </w:pPr>
          </w:p>
        </w:tc>
      </w:tr>
      <w:tr>
        <w:trPr>
          <w:trHeight w:val="176"/>
        </w:trPr>
        <w:tc>
          <w:tcPr>
            <w:tcW w:w="940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General Corporate</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287,381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217,668</w:t>
            </w:r>
          </w:p>
        </w:tc>
        <w:tc>
          <w:tcPr>
            <w:tcW w:w="300" w:type="dxa"/>
            <w:vAlign w:val="bottom"/>
            <w:shd w:val="clear" w:color="auto" w:fill="CCEEFF"/>
          </w:tcPr>
          <w:p>
            <w:pPr>
              <w:spacing w:after="0"/>
              <w:rPr>
                <w:sz w:val="15"/>
                <w:szCs w:val="15"/>
                <w:color w:val="auto"/>
              </w:rPr>
            </w:pPr>
          </w:p>
        </w:tc>
      </w:tr>
      <w:tr>
        <w:trPr>
          <w:trHeight w:val="20"/>
        </w:trPr>
        <w:tc>
          <w:tcPr>
            <w:tcW w:w="8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69"/>
        </w:trPr>
        <w:tc>
          <w:tcPr>
            <w:tcW w:w="8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2"/>
                <w:szCs w:val="12"/>
                <w:color w:val="auto"/>
                <w:w w:val="86"/>
              </w:rPr>
              <w:t>1,007,871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87"/>
              </w:rPr>
              <w:t>$748,755</w:t>
            </w:r>
          </w:p>
        </w:tc>
        <w:tc>
          <w:tcPr>
            <w:tcW w:w="300" w:type="dxa"/>
            <w:vAlign w:val="bottom"/>
          </w:tcPr>
          <w:p>
            <w:pPr>
              <w:spacing w:after="0"/>
              <w:rPr>
                <w:sz w:val="14"/>
                <w:szCs w:val="14"/>
                <w:color w:val="auto"/>
              </w:rPr>
            </w:pPr>
          </w:p>
        </w:tc>
      </w:tr>
      <w:tr>
        <w:trPr>
          <w:trHeight w:val="32"/>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6532245</wp:posOffset>
            </wp:positionH>
            <wp:positionV relativeFrom="paragraph">
              <wp:posOffset>-474345</wp:posOffset>
            </wp:positionV>
            <wp:extent cx="9144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5657215</wp:posOffset>
            </wp:positionH>
            <wp:positionV relativeFrom="paragraph">
              <wp:posOffset>-474345</wp:posOffset>
            </wp:positionV>
            <wp:extent cx="9144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-474345</wp:posOffset>
            </wp:positionV>
            <wp:extent cx="571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An allocation of total depreciation, including depreciation of shared construction equipment, and amortization to each segment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9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0"/>
                <w:szCs w:val="10"/>
                <w:b w:val="1"/>
                <w:bCs w:val="1"/>
                <w:color w:val="auto"/>
                <w:w w:val="87"/>
              </w:rPr>
              <w:t>For the Year Ended December 31,</w:t>
            </w:r>
          </w:p>
        </w:tc>
        <w:tc>
          <w:tcPr>
            <w:tcW w:w="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r>
      <w:tr>
        <w:trPr>
          <w:trHeight w:val="142"/>
        </w:trPr>
        <w:tc>
          <w:tcPr>
            <w:tcW w:w="3900" w:type="dxa"/>
            <w:vAlign w:val="bottom"/>
          </w:tcPr>
          <w:p>
            <w:pPr>
              <w:ind w:left="560"/>
              <w:spacing w:after="0"/>
              <w:rPr>
                <w:sz w:val="20"/>
                <w:szCs w:val="20"/>
                <w:color w:val="auto"/>
              </w:rPr>
            </w:pPr>
            <w:r>
              <w:rPr>
                <w:rFonts w:ascii="Arial" w:cs="Arial" w:eastAsia="Arial" w:hAnsi="Arial"/>
                <w:sz w:val="10"/>
                <w:szCs w:val="10"/>
                <w:b w:val="1"/>
                <w:bCs w:val="1"/>
                <w:color w:val="auto"/>
              </w:rPr>
              <w:t>(in thousands)</w:t>
            </w:r>
          </w:p>
        </w:tc>
        <w:tc>
          <w:tcPr>
            <w:tcW w:w="5180" w:type="dxa"/>
            <w:vAlign w:val="bottom"/>
            <w:gridSpan w:val="4"/>
          </w:tcPr>
          <w:p>
            <w:pPr>
              <w:jc w:val="right"/>
              <w:ind w:right="40"/>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2"/>
                <w:szCs w:val="12"/>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2018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ind w:right="43"/>
              <w:spacing w:after="0"/>
              <w:rPr>
                <w:sz w:val="20"/>
                <w:szCs w:val="20"/>
                <w:color w:val="auto"/>
              </w:rPr>
            </w:pPr>
            <w:r>
              <w:rPr>
                <w:rFonts w:ascii="Arial" w:cs="Arial" w:eastAsia="Arial" w:hAnsi="Arial"/>
                <w:sz w:val="10"/>
                <w:szCs w:val="10"/>
                <w:b w:val="1"/>
                <w:bCs w:val="1"/>
                <w:color w:val="auto"/>
              </w:rPr>
              <w:t>2017</w:t>
            </w:r>
          </w:p>
        </w:tc>
        <w:tc>
          <w:tcPr>
            <w:tcW w:w="280" w:type="dxa"/>
            <w:vAlign w:val="bottom"/>
          </w:tcPr>
          <w:p>
            <w:pPr>
              <w:spacing w:after="0"/>
              <w:rPr>
                <w:sz w:val="12"/>
                <w:szCs w:val="12"/>
                <w:color w:val="auto"/>
              </w:rPr>
            </w:pPr>
          </w:p>
        </w:tc>
      </w:tr>
      <w:tr>
        <w:trPr>
          <w:trHeight w:val="151"/>
        </w:trPr>
        <w:tc>
          <w:tcPr>
            <w:tcW w:w="39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2"/>
                <w:szCs w:val="12"/>
                <w:b w:val="1"/>
                <w:bCs w:val="1"/>
                <w:color w:val="auto"/>
              </w:rPr>
              <w:t>Depreciation and amortization</w:t>
            </w:r>
          </w:p>
        </w:tc>
        <w:tc>
          <w:tcPr>
            <w:tcW w:w="44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r>
      <w:tr>
        <w:trPr>
          <w:trHeight w:val="153"/>
        </w:trPr>
        <w:tc>
          <w:tcPr>
            <w:tcW w:w="3900" w:type="dxa"/>
            <w:vAlign w:val="bottom"/>
          </w:tcPr>
          <w:p>
            <w:pPr>
              <w:ind w:left="680"/>
              <w:spacing w:after="0"/>
              <w:rPr>
                <w:sz w:val="20"/>
                <w:szCs w:val="20"/>
                <w:color w:val="auto"/>
              </w:rPr>
            </w:pPr>
            <w:r>
              <w:rPr>
                <w:rFonts w:ascii="Arial" w:cs="Arial" w:eastAsia="Arial" w:hAnsi="Arial"/>
                <w:sz w:val="12"/>
                <w:szCs w:val="12"/>
                <w:color w:val="auto"/>
              </w:rPr>
              <w:t>T&amp;D</w:t>
            </w:r>
          </w:p>
        </w:tc>
        <w:tc>
          <w:tcPr>
            <w:tcW w:w="5280" w:type="dxa"/>
            <w:vAlign w:val="bottom"/>
            <w:gridSpan w:val="5"/>
          </w:tcPr>
          <w:p>
            <w:pPr>
              <w:jc w:val="right"/>
              <w:ind w:right="100"/>
              <w:spacing w:after="0"/>
              <w:rPr>
                <w:sz w:val="20"/>
                <w:szCs w:val="20"/>
                <w:color w:val="auto"/>
              </w:rPr>
            </w:pPr>
            <w:r>
              <w:rPr>
                <w:rFonts w:ascii="Arial" w:cs="Arial" w:eastAsia="Arial" w:hAnsi="Arial"/>
                <w:sz w:val="12"/>
                <w:szCs w:val="12"/>
                <w:color w:val="auto"/>
              </w:rPr>
              <w:t>$35,711</w:t>
            </w:r>
          </w:p>
        </w:tc>
        <w:tc>
          <w:tcPr>
            <w:tcW w:w="1220" w:type="dxa"/>
            <w:vAlign w:val="bottom"/>
            <w:gridSpan w:val="5"/>
          </w:tcPr>
          <w:p>
            <w:pPr>
              <w:jc w:val="right"/>
              <w:ind w:right="260"/>
              <w:spacing w:after="0"/>
              <w:rPr>
                <w:sz w:val="20"/>
                <w:szCs w:val="20"/>
                <w:color w:val="auto"/>
              </w:rPr>
            </w:pPr>
            <w:r>
              <w:rPr>
                <w:rFonts w:ascii="Arial" w:cs="Arial" w:eastAsia="Arial" w:hAnsi="Arial"/>
                <w:sz w:val="12"/>
                <w:szCs w:val="12"/>
                <w:color w:val="auto"/>
              </w:rPr>
              <w:t>$33,977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w w:val="87"/>
              </w:rPr>
              <w:t>$34,990</w:t>
            </w:r>
          </w:p>
        </w:tc>
      </w:tr>
      <w:tr>
        <w:trPr>
          <w:trHeight w:val="176"/>
        </w:trPr>
        <w:tc>
          <w:tcPr>
            <w:tcW w:w="3900" w:type="dxa"/>
            <w:vAlign w:val="bottom"/>
            <w:shd w:val="clear" w:color="auto" w:fill="CCEEFF"/>
          </w:tcPr>
          <w:p>
            <w:pPr>
              <w:ind w:left="680"/>
              <w:spacing w:after="0"/>
              <w:rPr>
                <w:sz w:val="20"/>
                <w:szCs w:val="20"/>
                <w:color w:val="auto"/>
              </w:rPr>
            </w:pPr>
            <w:r>
              <w:rPr>
                <w:rFonts w:ascii="Arial" w:cs="Arial" w:eastAsia="Arial" w:hAnsi="Arial"/>
                <w:sz w:val="12"/>
                <w:szCs w:val="12"/>
                <w:color w:val="auto"/>
              </w:rPr>
              <w:t>C&amp;I</w:t>
            </w:r>
          </w:p>
        </w:tc>
        <w:tc>
          <w:tcPr>
            <w:tcW w:w="4800" w:type="dxa"/>
            <w:vAlign w:val="bottom"/>
            <w:gridSpan w:val="3"/>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8,805</w:t>
            </w:r>
          </w:p>
        </w:tc>
        <w:tc>
          <w:tcPr>
            <w:tcW w:w="1220" w:type="dxa"/>
            <w:vAlign w:val="bottom"/>
            <w:gridSpan w:val="5"/>
            <w:shd w:val="clear" w:color="auto" w:fill="CCEEFF"/>
          </w:tcPr>
          <w:p>
            <w:pPr>
              <w:jc w:val="right"/>
              <w:ind w:right="260"/>
              <w:spacing w:after="0"/>
              <w:rPr>
                <w:sz w:val="20"/>
                <w:szCs w:val="20"/>
                <w:color w:val="auto"/>
              </w:rPr>
            </w:pPr>
            <w:r>
              <w:rPr>
                <w:rFonts w:ascii="Arial" w:cs="Arial" w:eastAsia="Arial" w:hAnsi="Arial"/>
                <w:sz w:val="12"/>
                <w:szCs w:val="12"/>
                <w:color w:val="auto"/>
              </w:rPr>
              <w:t>5,936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3,586</w:t>
            </w:r>
          </w:p>
        </w:tc>
      </w:tr>
      <w:tr>
        <w:trPr>
          <w:trHeight w:val="20"/>
        </w:trPr>
        <w:tc>
          <w:tcPr>
            <w:tcW w:w="3900" w:type="dxa"/>
            <w:vAlign w:val="bottom"/>
            <w:shd w:val="clear" w:color="auto" w:fill="CCEEFF"/>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72"/>
        </w:trPr>
        <w:tc>
          <w:tcPr>
            <w:tcW w:w="3900" w:type="dxa"/>
            <w:vAlign w:val="bottom"/>
          </w:tcPr>
          <w:p>
            <w:pPr>
              <w:spacing w:after="0"/>
              <w:rPr>
                <w:sz w:val="14"/>
                <w:szCs w:val="14"/>
                <w:color w:val="auto"/>
              </w:rPr>
            </w:pPr>
          </w:p>
        </w:tc>
        <w:tc>
          <w:tcPr>
            <w:tcW w:w="5280" w:type="dxa"/>
            <w:vAlign w:val="bottom"/>
            <w:gridSpan w:val="5"/>
          </w:tcPr>
          <w:p>
            <w:pPr>
              <w:jc w:val="right"/>
              <w:ind w:right="10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44,516</w:t>
            </w:r>
          </w:p>
        </w:tc>
        <w:tc>
          <w:tcPr>
            <w:tcW w:w="1220" w:type="dxa"/>
            <w:vAlign w:val="bottom"/>
            <w:gridSpan w:val="5"/>
          </w:tcPr>
          <w:p>
            <w:pPr>
              <w:jc w:val="right"/>
              <w:ind w:right="26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39,913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38,576</w:t>
            </w:r>
          </w:p>
        </w:tc>
      </w:tr>
      <w:tr>
        <w:trPr>
          <w:trHeight w:val="459"/>
        </w:trPr>
        <w:tc>
          <w:tcPr>
            <w:tcW w:w="3900" w:type="dxa"/>
            <w:vAlign w:val="bottom"/>
          </w:tcPr>
          <w:p>
            <w:pPr>
              <w:spacing w:after="0"/>
              <w:rPr>
                <w:sz w:val="24"/>
                <w:szCs w:val="24"/>
                <w:color w:val="auto"/>
              </w:rPr>
            </w:pPr>
          </w:p>
        </w:tc>
        <w:tc>
          <w:tcPr>
            <w:tcW w:w="4400" w:type="dxa"/>
            <w:vAlign w:val="bottom"/>
          </w:tcPr>
          <w:p>
            <w:pPr>
              <w:jc w:val="right"/>
              <w:ind w:right="2443"/>
              <w:spacing w:after="0"/>
              <w:rPr>
                <w:sz w:val="20"/>
                <w:szCs w:val="20"/>
                <w:color w:val="auto"/>
              </w:rPr>
            </w:pPr>
            <w:r>
              <w:rPr>
                <w:rFonts w:ascii="Arial" w:cs="Arial" w:eastAsia="Arial" w:hAnsi="Arial"/>
                <w:sz w:val="12"/>
                <w:szCs w:val="12"/>
                <w:color w:val="auto"/>
              </w:rPr>
              <w:t>95</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61"/>
        </w:trPr>
        <w:tc>
          <w:tcPr>
            <w:tcW w:w="3900" w:type="dxa"/>
            <w:vAlign w:val="bottom"/>
            <w:tcBorders>
              <w:bottom w:val="single" w:sz="8" w:color="9A9A9A"/>
            </w:tcBorders>
          </w:tcPr>
          <w:p>
            <w:pPr>
              <w:spacing w:after="0"/>
              <w:rPr>
                <w:sz w:val="22"/>
                <w:szCs w:val="22"/>
                <w:color w:val="auto"/>
              </w:rPr>
            </w:pPr>
          </w:p>
        </w:tc>
        <w:tc>
          <w:tcPr>
            <w:tcW w:w="44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6606540</wp:posOffset>
            </wp:positionH>
            <wp:positionV relativeFrom="paragraph">
              <wp:posOffset>-914400</wp:posOffset>
            </wp:positionV>
            <wp:extent cx="9144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5931535</wp:posOffset>
            </wp:positionH>
            <wp:positionV relativeFrom="paragraph">
              <wp:posOffset>-914400</wp:posOffset>
            </wp:positionV>
            <wp:extent cx="914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-914400</wp:posOffset>
            </wp:positionV>
            <wp:extent cx="914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-914400</wp:posOffset>
            </wp:positionV>
            <wp:extent cx="571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96" w:name="page97"/>
    <w:bookmarkEnd w:id="96"/>
    <w:p>
      <w:pPr>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right="240" w:firstLine="240"/>
        <w:spacing w:after="0" w:line="306" w:lineRule="auto"/>
        <w:rPr>
          <w:sz w:val="20"/>
          <w:szCs w:val="20"/>
          <w:color w:val="auto"/>
        </w:rPr>
      </w:pPr>
      <w:r>
        <w:rPr>
          <w:rFonts w:ascii="Arial" w:cs="Arial" w:eastAsia="Arial" w:hAnsi="Arial"/>
          <w:sz w:val="11"/>
          <w:szCs w:val="11"/>
          <w:color w:val="auto"/>
        </w:rPr>
        <w:t>For the years ended December 31, 2019, 2018 and 2017 the Company had Canadian contract revenues of $79.5 million, $53.8 million and $84.1 million, respectively. Canadian contract revenues for the years ended December 31, 2019, 2018 and 2017 were predominantly in the C&amp;I segment. As of December 31, 2019 and 2018, there were $24.8 million and $20.5 million, respectively, of identifiable assets attributable to Canadian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Noncontrolling Interests</w:t>
      </w:r>
    </w:p>
    <w:p>
      <w:pPr>
        <w:spacing w:after="0" w:line="100" w:lineRule="exact"/>
        <w:rPr>
          <w:sz w:val="20"/>
          <w:szCs w:val="20"/>
          <w:color w:val="auto"/>
        </w:rPr>
      </w:pPr>
    </w:p>
    <w:p>
      <w:pPr>
        <w:ind w:right="40" w:firstLine="240"/>
        <w:spacing w:after="0" w:line="241" w:lineRule="auto"/>
        <w:rPr>
          <w:sz w:val="20"/>
          <w:szCs w:val="20"/>
          <w:color w:val="auto"/>
        </w:rPr>
      </w:pPr>
      <w:r>
        <w:rPr>
          <w:rFonts w:ascii="Arial" w:cs="Arial" w:eastAsia="Arial" w:hAnsi="Arial"/>
          <w:sz w:val="12"/>
          <w:szCs w:val="12"/>
          <w:color w:val="auto"/>
        </w:rPr>
        <w:t>On July 2, 2018, through the acquisition of certain assets of the Huen Companies, the Company became the majority controlling interest in a joint venture. As a result, the Company has consolidated the carrying value of the joint ventures’ assets and liabilities and results of operations on the Company’s consolidated financial statements. The Company records the equity owned by the other joint venture partners as noncontrolling interests on the Company’s consolidated balance sheets, consolidated statements of stockholders’ equity, and their portions, if material, of net income (loss) and other comprehensive income (loss) is shown as net income (loss) or other comprehensive income (loss) attributable to noncontrolling interests on the Company’s consolidated statements of operations and other comprehensive income (loss). Additionally the joint venture associated with the Company’s noncontrolling interests is a partnership, and consequently, the tax effect of only the Company’s share of the joint venture income (loss) is recognized by the Company.</w:t>
      </w:r>
    </w:p>
    <w:p>
      <w:pPr>
        <w:spacing w:after="0" w:line="82" w:lineRule="exact"/>
        <w:rPr>
          <w:sz w:val="20"/>
          <w:szCs w:val="20"/>
          <w:color w:val="auto"/>
        </w:rPr>
      </w:pPr>
    </w:p>
    <w:p>
      <w:pPr>
        <w:ind w:right="80" w:firstLine="240"/>
        <w:spacing w:after="0" w:line="248" w:lineRule="auto"/>
        <w:rPr>
          <w:sz w:val="20"/>
          <w:szCs w:val="20"/>
          <w:color w:val="auto"/>
        </w:rPr>
      </w:pPr>
      <w:r>
        <w:rPr>
          <w:rFonts w:ascii="Arial" w:cs="Arial" w:eastAsia="Arial" w:hAnsi="Arial"/>
          <w:sz w:val="12"/>
          <w:szCs w:val="12"/>
          <w:color w:val="auto"/>
        </w:rPr>
        <w:t>The acquired joint venture made no distributions to its partners, and the Company made no capital contributions to the joint venture during the year ended December 31, 2019. Additionally, there have been no changes in ownership during the year ended December 31, 2019, and the underlying project was substantially completed in 2019. The balance of the Company’s noncontrolling interest consists of the preliminary fair value of noncontrolling interest acquired on July 2, 2018 with the Huen Companies. Net loss attributable to the noncontrolling interest, subsequent to the acquisition through December 31, 2019, was $1.5 million.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Earnings Per Share</w:t>
      </w:r>
    </w:p>
    <w:p>
      <w:pPr>
        <w:spacing w:after="0" w:line="109" w:lineRule="exact"/>
        <w:rPr>
          <w:sz w:val="20"/>
          <w:szCs w:val="20"/>
          <w:color w:val="auto"/>
        </w:rPr>
      </w:pPr>
    </w:p>
    <w:p>
      <w:pPr>
        <w:ind w:right="60" w:firstLine="240"/>
        <w:spacing w:after="0" w:line="281" w:lineRule="auto"/>
        <w:rPr>
          <w:sz w:val="20"/>
          <w:szCs w:val="20"/>
          <w:color w:val="auto"/>
        </w:rPr>
      </w:pPr>
      <w:r>
        <w:rPr>
          <w:rFonts w:ascii="Arial" w:cs="Arial" w:eastAsia="Arial" w:hAnsi="Arial"/>
          <w:sz w:val="11"/>
          <w:szCs w:val="11"/>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Net income attributable to MYR Group Inc. and the weighted average number of common shares used to compute basic and diluted earnings per share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0"/>
                <w:szCs w:val="10"/>
                <w:b w:val="1"/>
                <w:bCs w:val="1"/>
                <w:color w:val="auto"/>
                <w:w w:val="86"/>
              </w:rPr>
              <w:t>For the Year Ended December 31,</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142"/>
        </w:trPr>
        <w:tc>
          <w:tcPr>
            <w:tcW w:w="8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auto"/>
            </w:tcBorders>
          </w:tcPr>
          <w:p>
            <w:pPr>
              <w:spacing w:after="0"/>
              <w:rPr>
                <w:sz w:val="12"/>
                <w:szCs w:val="12"/>
                <w:color w:val="auto"/>
              </w:rPr>
            </w:pPr>
          </w:p>
        </w:tc>
      </w:tr>
      <w:tr>
        <w:trPr>
          <w:trHeight w:val="151"/>
        </w:trPr>
        <w:tc>
          <w:tcPr>
            <w:tcW w:w="87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Numerator:</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53"/>
        </w:trPr>
        <w:tc>
          <w:tcPr>
            <w:tcW w:w="8780" w:type="dxa"/>
            <w:vAlign w:val="bottom"/>
            <w:gridSpan w:val="3"/>
          </w:tcPr>
          <w:p>
            <w:pPr>
              <w:ind w:left="120"/>
              <w:spacing w:after="0"/>
              <w:rPr>
                <w:sz w:val="20"/>
                <w:szCs w:val="20"/>
                <w:color w:val="auto"/>
              </w:rPr>
            </w:pPr>
            <w:r>
              <w:rPr>
                <w:rFonts w:ascii="Arial" w:cs="Arial" w:eastAsia="Arial" w:hAnsi="Arial"/>
                <w:sz w:val="12"/>
                <w:szCs w:val="12"/>
                <w:color w:val="auto"/>
              </w:rPr>
              <w:t>Net income</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$36,214</w:t>
            </w:r>
          </w:p>
        </w:tc>
        <w:tc>
          <w:tcPr>
            <w:tcW w:w="1180" w:type="dxa"/>
            <w:vAlign w:val="bottom"/>
            <w:gridSpan w:val="5"/>
          </w:tcPr>
          <w:p>
            <w:pPr>
              <w:jc w:val="right"/>
              <w:ind w:right="240"/>
              <w:spacing w:after="0"/>
              <w:rPr>
                <w:sz w:val="20"/>
                <w:szCs w:val="20"/>
                <w:color w:val="auto"/>
              </w:rPr>
            </w:pPr>
            <w:r>
              <w:rPr>
                <w:rFonts w:ascii="Arial" w:cs="Arial" w:eastAsia="Arial" w:hAnsi="Arial"/>
                <w:sz w:val="12"/>
                <w:szCs w:val="12"/>
                <w:color w:val="auto"/>
              </w:rPr>
              <w:t>$31,294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$21,154</w:t>
            </w:r>
          </w:p>
        </w:tc>
      </w:tr>
      <w:tr>
        <w:trPr>
          <w:trHeight w:val="176"/>
        </w:trPr>
        <w:tc>
          <w:tcPr>
            <w:tcW w:w="8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net income (loss) attributable to noncontrolling interest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(1,476)</w:t>
            </w:r>
          </w:p>
        </w:tc>
        <w:tc>
          <w:tcPr>
            <w:tcW w:w="1180" w:type="dxa"/>
            <w:vAlign w:val="bottom"/>
            <w:gridSpan w:val="5"/>
            <w:shd w:val="clear" w:color="auto" w:fill="CCEEFF"/>
          </w:tcPr>
          <w:p>
            <w:pPr>
              <w:jc w:val="right"/>
              <w:ind w:right="240"/>
              <w:spacing w:after="0"/>
              <w:rPr>
                <w:sz w:val="20"/>
                <w:szCs w:val="20"/>
                <w:color w:val="auto"/>
              </w:rPr>
            </w:pPr>
            <w:r>
              <w:rPr>
                <w:rFonts w:ascii="Arial" w:cs="Arial" w:eastAsia="Arial" w:hAnsi="Arial"/>
                <w:sz w:val="12"/>
                <w:szCs w:val="12"/>
                <w:color w:val="auto"/>
              </w:rPr>
              <w:t>207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r>
      <w:tr>
        <w:trPr>
          <w:trHeight w:val="20"/>
        </w:trPr>
        <w:tc>
          <w:tcPr>
            <w:tcW w:w="8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81"/>
        </w:trPr>
        <w:tc>
          <w:tcPr>
            <w:tcW w:w="8780" w:type="dxa"/>
            <w:vAlign w:val="bottom"/>
            <w:gridSpan w:val="3"/>
          </w:tcPr>
          <w:p>
            <w:pPr>
              <w:ind w:left="120"/>
              <w:spacing w:after="0"/>
              <w:rPr>
                <w:sz w:val="20"/>
                <w:szCs w:val="20"/>
                <w:color w:val="auto"/>
              </w:rPr>
            </w:pPr>
            <w:r>
              <w:rPr>
                <w:rFonts w:ascii="Arial" w:cs="Arial" w:eastAsia="Arial" w:hAnsi="Arial"/>
                <w:sz w:val="12"/>
                <w:szCs w:val="12"/>
                <w:color w:val="auto"/>
              </w:rPr>
              <w:t>Net income attributable to MYR Group Inc.</w:t>
            </w:r>
          </w:p>
        </w:tc>
        <w:tc>
          <w:tcPr>
            <w:tcW w:w="400" w:type="dxa"/>
            <w:vAlign w:val="bottom"/>
          </w:tcPr>
          <w:p>
            <w:pPr>
              <w:jc w:val="right"/>
              <w:spacing w:after="0"/>
              <w:rPr>
                <w:sz w:val="20"/>
                <w:szCs w:val="20"/>
                <w:color w:val="auto"/>
              </w:rPr>
            </w:pPr>
            <w:r>
              <w:rPr>
                <w:rFonts w:ascii="Arial" w:cs="Arial" w:eastAsia="Arial" w:hAnsi="Arial"/>
                <w:sz w:val="12"/>
                <w:szCs w:val="12"/>
                <w:color w:val="auto"/>
                <w:w w:val="87"/>
              </w:rPr>
              <w:t>$37,690</w:t>
            </w:r>
          </w:p>
        </w:tc>
        <w:tc>
          <w:tcPr>
            <w:tcW w:w="80" w:type="dxa"/>
            <w:vAlign w:val="bottom"/>
          </w:tcPr>
          <w:p>
            <w:pPr>
              <w:spacing w:after="0"/>
              <w:rPr>
                <w:sz w:val="15"/>
                <w:szCs w:val="15"/>
                <w:color w:val="auto"/>
              </w:rPr>
            </w:pPr>
          </w:p>
        </w:tc>
        <w:tc>
          <w:tcPr>
            <w:tcW w:w="540" w:type="dxa"/>
            <w:vAlign w:val="bottom"/>
            <w:gridSpan w:val="3"/>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$31,087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$21,154</w:t>
            </w:r>
          </w:p>
        </w:tc>
      </w:tr>
      <w:tr>
        <w:trPr>
          <w:trHeight w:val="126"/>
        </w:trPr>
        <w:tc>
          <w:tcPr>
            <w:tcW w:w="8780" w:type="dxa"/>
            <w:vAlign w:val="bottom"/>
            <w:tcBorders>
              <w:top w:val="single" w:sz="8" w:color="CCEEFF"/>
            </w:tcBorders>
            <w:gridSpan w:val="3"/>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Denominator:</w:t>
            </w: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r>
      <w:tr>
        <w:trPr>
          <w:trHeight w:val="153"/>
        </w:trPr>
        <w:tc>
          <w:tcPr>
            <w:tcW w:w="8780" w:type="dxa"/>
            <w:vAlign w:val="bottom"/>
            <w:gridSpan w:val="3"/>
          </w:tcPr>
          <w:p>
            <w:pPr>
              <w:ind w:left="120"/>
              <w:spacing w:after="0"/>
              <w:rPr>
                <w:sz w:val="20"/>
                <w:szCs w:val="20"/>
                <w:color w:val="auto"/>
              </w:rPr>
            </w:pPr>
            <w:r>
              <w:rPr>
                <w:rFonts w:ascii="Arial" w:cs="Arial" w:eastAsia="Arial" w:hAnsi="Arial"/>
                <w:sz w:val="12"/>
                <w:szCs w:val="12"/>
                <w:color w:val="auto"/>
              </w:rPr>
              <w:t>Weighted average common shares outstanding</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16,587</w:t>
            </w:r>
          </w:p>
        </w:tc>
        <w:tc>
          <w:tcPr>
            <w:tcW w:w="1180" w:type="dxa"/>
            <w:vAlign w:val="bottom"/>
            <w:gridSpan w:val="5"/>
          </w:tcPr>
          <w:p>
            <w:pPr>
              <w:jc w:val="right"/>
              <w:ind w:right="240"/>
              <w:spacing w:after="0"/>
              <w:rPr>
                <w:sz w:val="20"/>
                <w:szCs w:val="20"/>
                <w:color w:val="auto"/>
              </w:rPr>
            </w:pPr>
            <w:r>
              <w:rPr>
                <w:rFonts w:ascii="Arial" w:cs="Arial" w:eastAsia="Arial" w:hAnsi="Arial"/>
                <w:sz w:val="12"/>
                <w:szCs w:val="12"/>
                <w:color w:val="auto"/>
              </w:rPr>
              <w:t>16,441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16,273</w:t>
            </w:r>
          </w:p>
        </w:tc>
      </w:tr>
      <w:tr>
        <w:trPr>
          <w:trHeight w:val="176"/>
        </w:trPr>
        <w:tc>
          <w:tcPr>
            <w:tcW w:w="8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Weighted average dilutive securities</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223</w:t>
            </w:r>
          </w:p>
        </w:tc>
      </w:tr>
      <w:tr>
        <w:trPr>
          <w:trHeight w:val="20"/>
        </w:trPr>
        <w:tc>
          <w:tcPr>
            <w:tcW w:w="8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65"/>
        </w:trPr>
        <w:tc>
          <w:tcPr>
            <w:tcW w:w="8780" w:type="dxa"/>
            <w:vAlign w:val="bottom"/>
            <w:gridSpan w:val="3"/>
          </w:tcPr>
          <w:p>
            <w:pPr>
              <w:spacing w:after="0"/>
              <w:rPr>
                <w:sz w:val="20"/>
                <w:szCs w:val="20"/>
                <w:color w:val="auto"/>
              </w:rPr>
            </w:pPr>
            <w:r>
              <w:rPr>
                <w:rFonts w:ascii="Arial" w:cs="Arial" w:eastAsia="Arial" w:hAnsi="Arial"/>
                <w:sz w:val="12"/>
                <w:szCs w:val="12"/>
                <w:color w:val="auto"/>
              </w:rPr>
              <w:t>Weighted average common shares outstanding, diluted</w:t>
            </w:r>
          </w:p>
        </w:tc>
        <w:tc>
          <w:tcPr>
            <w:tcW w:w="400" w:type="dxa"/>
            <w:vAlign w:val="bottom"/>
          </w:tcPr>
          <w:p>
            <w:pPr>
              <w:jc w:val="right"/>
              <w:spacing w:after="0"/>
              <w:rPr>
                <w:sz w:val="20"/>
                <w:szCs w:val="20"/>
                <w:color w:val="auto"/>
              </w:rPr>
            </w:pPr>
            <w:r>
              <w:rPr>
                <w:rFonts w:ascii="Arial" w:cs="Arial" w:eastAsia="Arial" w:hAnsi="Arial"/>
                <w:sz w:val="12"/>
                <w:szCs w:val="12"/>
                <w:color w:val="auto"/>
              </w:rPr>
              <w:t>16,699</w:t>
            </w:r>
          </w:p>
        </w:tc>
        <w:tc>
          <w:tcPr>
            <w:tcW w:w="80" w:type="dxa"/>
            <w:vAlign w:val="bottom"/>
          </w:tcPr>
          <w:p>
            <w:pPr>
              <w:spacing w:after="0"/>
              <w:rPr>
                <w:sz w:val="14"/>
                <w:szCs w:val="14"/>
                <w:color w:val="auto"/>
              </w:rPr>
            </w:pPr>
          </w:p>
        </w:tc>
        <w:tc>
          <w:tcPr>
            <w:tcW w:w="540" w:type="dxa"/>
            <w:vAlign w:val="bottom"/>
            <w:gridSpan w:val="3"/>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16,585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16,496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292340" cy="971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6635115</wp:posOffset>
            </wp:positionH>
            <wp:positionV relativeFrom="paragraph">
              <wp:posOffset>-857250</wp:posOffset>
            </wp:positionV>
            <wp:extent cx="9144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-857250</wp:posOffset>
            </wp:positionV>
            <wp:extent cx="9144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-857250</wp:posOffset>
            </wp:positionV>
            <wp:extent cx="9144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 per share attributable to MYR Group Inc.:</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Pr>
          <w:p>
            <w:pPr>
              <w:ind w:left="120"/>
              <w:spacing w:after="0"/>
              <w:rPr>
                <w:sz w:val="20"/>
                <w:szCs w:val="20"/>
                <w:color w:val="auto"/>
              </w:rPr>
            </w:pPr>
            <w:r>
              <w:rPr>
                <w:rFonts w:ascii="Arial" w:cs="Arial" w:eastAsia="Arial" w:hAnsi="Arial"/>
                <w:sz w:val="12"/>
                <w:szCs w:val="12"/>
                <w:color w:val="auto"/>
              </w:rPr>
              <w:t>Basic</w:t>
            </w:r>
          </w:p>
        </w:tc>
        <w:tc>
          <w:tcPr>
            <w:tcW w:w="5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60"/>
              <w:spacing w:after="0"/>
              <w:rPr>
                <w:sz w:val="20"/>
                <w:szCs w:val="20"/>
                <w:color w:val="auto"/>
              </w:rPr>
            </w:pPr>
            <w:r>
              <w:rPr>
                <w:rFonts w:ascii="Arial" w:cs="Arial" w:eastAsia="Arial" w:hAnsi="Arial"/>
                <w:sz w:val="12"/>
                <w:szCs w:val="12"/>
                <w:color w:val="auto"/>
              </w:rPr>
              <w:t>2.27</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60"/>
              <w:spacing w:after="0"/>
              <w:rPr>
                <w:sz w:val="20"/>
                <w:szCs w:val="20"/>
                <w:color w:val="auto"/>
              </w:rPr>
            </w:pPr>
            <w:r>
              <w:rPr>
                <w:rFonts w:ascii="Arial" w:cs="Arial" w:eastAsia="Arial" w:hAnsi="Arial"/>
                <w:sz w:val="12"/>
                <w:szCs w:val="12"/>
                <w:color w:val="auto"/>
              </w:rPr>
              <w:t>1.89</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80"/>
              <w:spacing w:after="0"/>
              <w:rPr>
                <w:sz w:val="20"/>
                <w:szCs w:val="20"/>
                <w:color w:val="auto"/>
              </w:rPr>
            </w:pPr>
            <w:r>
              <w:rPr>
                <w:rFonts w:ascii="Arial" w:cs="Arial" w:eastAsia="Arial" w:hAnsi="Arial"/>
                <w:sz w:val="12"/>
                <w:szCs w:val="12"/>
                <w:color w:val="auto"/>
              </w:rPr>
              <w:t>1.30</w:t>
            </w:r>
          </w:p>
        </w:tc>
      </w:tr>
      <w:tr>
        <w:trPr>
          <w:trHeight w:val="153"/>
        </w:trPr>
        <w:tc>
          <w:tcPr>
            <w:tcW w:w="30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5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2.26</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1.87</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1.28</w:t>
            </w:r>
          </w:p>
        </w:tc>
      </w:tr>
      <w:tr>
        <w:trPr>
          <w:trHeight w:val="405"/>
        </w:trPr>
        <w:tc>
          <w:tcPr>
            <w:tcW w:w="3080" w:type="dxa"/>
            <w:vAlign w:val="bottom"/>
          </w:tcPr>
          <w:p>
            <w:pPr>
              <w:spacing w:after="0"/>
              <w:rPr>
                <w:sz w:val="24"/>
                <w:szCs w:val="24"/>
                <w:color w:val="auto"/>
              </w:rPr>
            </w:pPr>
          </w:p>
        </w:tc>
        <w:tc>
          <w:tcPr>
            <w:tcW w:w="5820" w:type="dxa"/>
            <w:vAlign w:val="bottom"/>
          </w:tcPr>
          <w:p>
            <w:pPr>
              <w:jc w:val="right"/>
              <w:ind w:right="3040"/>
              <w:spacing w:after="0"/>
              <w:rPr>
                <w:sz w:val="20"/>
                <w:szCs w:val="20"/>
                <w:color w:val="auto"/>
              </w:rPr>
            </w:pPr>
            <w:r>
              <w:rPr>
                <w:rFonts w:ascii="Arial" w:cs="Arial" w:eastAsia="Arial" w:hAnsi="Arial"/>
                <w:sz w:val="12"/>
                <w:szCs w:val="12"/>
                <w:color w:val="auto"/>
              </w:rPr>
              <w:t>96</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1"/>
        </w:trPr>
        <w:tc>
          <w:tcPr>
            <w:tcW w:w="3080" w:type="dxa"/>
            <w:vAlign w:val="bottom"/>
            <w:tcBorders>
              <w:bottom w:val="single" w:sz="8" w:color="9A9A9A"/>
            </w:tcBorders>
          </w:tcPr>
          <w:p>
            <w:pPr>
              <w:spacing w:after="0"/>
              <w:rPr>
                <w:sz w:val="22"/>
                <w:szCs w:val="22"/>
                <w:color w:val="auto"/>
              </w:rPr>
            </w:pPr>
          </w:p>
        </w:tc>
        <w:tc>
          <w:tcPr>
            <w:tcW w:w="582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7" w:name="page98"/>
    <w:bookmarkEnd w:id="97"/>
    <w:p>
      <w:pPr>
        <w:ind w:left="8"/>
        <w:spacing w:after="0"/>
        <w:rPr>
          <w:rFonts w:ascii="Arial" w:cs="Arial" w:eastAsia="Arial" w:hAnsi="Arial"/>
          <w:sz w:val="10"/>
          <w:szCs w:val="10"/>
          <w:color w:val="003366"/>
        </w:rPr>
      </w:pPr>
      <w:hyperlink w:anchor="page55">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8" w:right="40" w:firstLine="240"/>
        <w:spacing w:after="0" w:line="340" w:lineRule="auto"/>
        <w:rPr>
          <w:sz w:val="20"/>
          <w:szCs w:val="20"/>
          <w:color w:val="auto"/>
        </w:rPr>
      </w:pPr>
      <w:r>
        <w:rPr>
          <w:rFonts w:ascii="Arial" w:cs="Arial" w:eastAsia="Arial" w:hAnsi="Arial"/>
          <w:sz w:val="10"/>
          <w:szCs w:val="10"/>
          <w:color w:val="auto"/>
        </w:rPr>
        <w:t>For the years ended December 31, 2019, 2018 and 2017,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 The following table summarizes the shares of common stock underlying the Company’s unvested time-vested and performance awards that were excluded from the calculation of dilutive securities:</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76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2019</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2017</w:t>
            </w:r>
          </w:p>
        </w:tc>
      </w:tr>
      <w:tr>
        <w:trPr>
          <w:trHeight w:val="169"/>
        </w:trPr>
        <w:tc>
          <w:tcPr>
            <w:tcW w:w="990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Time-vested stock awards</w:t>
            </w:r>
          </w:p>
        </w:tc>
        <w:tc>
          <w:tcPr>
            <w:tcW w:w="56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44</w:t>
            </w:r>
          </w:p>
        </w:tc>
      </w:tr>
      <w:tr>
        <w:trPr>
          <w:trHeight w:val="171"/>
        </w:trPr>
        <w:tc>
          <w:tcPr>
            <w:tcW w:w="9900" w:type="dxa"/>
            <w:vAlign w:val="bottom"/>
            <w:gridSpan w:val="2"/>
          </w:tcPr>
          <w:p>
            <w:pPr>
              <w:ind w:left="560"/>
              <w:spacing w:after="0"/>
              <w:rPr>
                <w:sz w:val="20"/>
                <w:szCs w:val="20"/>
                <w:color w:val="auto"/>
              </w:rPr>
            </w:pPr>
            <w:r>
              <w:rPr>
                <w:rFonts w:ascii="Arial" w:cs="Arial" w:eastAsia="Arial" w:hAnsi="Arial"/>
                <w:sz w:val="12"/>
                <w:szCs w:val="12"/>
                <w:color w:val="auto"/>
              </w:rPr>
              <w:t>Performance awards</w:t>
            </w:r>
          </w:p>
        </w:tc>
        <w:tc>
          <w:tcPr>
            <w:tcW w:w="420" w:type="dxa"/>
            <w:vAlign w:val="bottom"/>
          </w:tcPr>
          <w:p>
            <w:pPr>
              <w:jc w:val="center"/>
              <w:spacing w:after="0"/>
              <w:rPr>
                <w:sz w:val="20"/>
                <w:szCs w:val="20"/>
                <w:color w:val="auto"/>
              </w:rPr>
            </w:pPr>
            <w:r>
              <w:rPr>
                <w:rFonts w:ascii="Arial" w:cs="Arial" w:eastAsia="Arial" w:hAnsi="Arial"/>
                <w:sz w:val="12"/>
                <w:szCs w:val="12"/>
                <w:color w:val="auto"/>
              </w:rPr>
              <w:t>73</w:t>
            </w:r>
          </w:p>
        </w:tc>
        <w:tc>
          <w:tcPr>
            <w:tcW w:w="140" w:type="dxa"/>
            <w:vAlign w:val="bottom"/>
          </w:tcPr>
          <w:p>
            <w:pPr>
              <w:spacing w:after="0"/>
              <w:rPr>
                <w:sz w:val="14"/>
                <w:szCs w:val="14"/>
                <w:color w:val="auto"/>
              </w:rPr>
            </w:pPr>
          </w:p>
        </w:tc>
        <w:tc>
          <w:tcPr>
            <w:tcW w:w="440" w:type="dxa"/>
            <w:vAlign w:val="bottom"/>
          </w:tcPr>
          <w:p>
            <w:pPr>
              <w:jc w:val="right"/>
              <w:ind w:right="104"/>
              <w:spacing w:after="0"/>
              <w:rPr>
                <w:sz w:val="20"/>
                <w:szCs w:val="20"/>
                <w:color w:val="auto"/>
              </w:rPr>
            </w:pPr>
            <w:r>
              <w:rPr>
                <w:rFonts w:ascii="Arial" w:cs="Arial" w:eastAsia="Arial" w:hAnsi="Arial"/>
                <w:sz w:val="12"/>
                <w:szCs w:val="12"/>
                <w:color w:val="auto"/>
              </w:rPr>
              <w:t>67</w:t>
            </w:r>
          </w:p>
        </w:tc>
        <w:tc>
          <w:tcPr>
            <w:tcW w:w="1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auto"/>
                <w:w w:val="89"/>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6920230</wp:posOffset>
            </wp:positionH>
            <wp:positionV relativeFrom="paragraph">
              <wp:posOffset>-222250</wp:posOffset>
            </wp:positionV>
            <wp:extent cx="9144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-222250</wp:posOffset>
            </wp:positionV>
            <wp:extent cx="9144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-222250</wp:posOffset>
            </wp:positionV>
            <wp:extent cx="914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-222250</wp:posOffset>
            </wp:positionV>
            <wp:extent cx="571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Share Repurchase Program</w:t>
      </w:r>
    </w:p>
    <w:p>
      <w:pPr>
        <w:spacing w:after="0" w:line="105" w:lineRule="exact"/>
        <w:rPr>
          <w:sz w:val="20"/>
          <w:szCs w:val="20"/>
          <w:color w:val="auto"/>
        </w:rPr>
      </w:pPr>
    </w:p>
    <w:p>
      <w:pPr>
        <w:ind w:left="8" w:right="80" w:firstLine="240"/>
        <w:spacing w:after="0" w:line="276" w:lineRule="auto"/>
        <w:rPr>
          <w:sz w:val="20"/>
          <w:szCs w:val="20"/>
          <w:color w:val="auto"/>
        </w:rPr>
      </w:pPr>
      <w:r>
        <w:rPr>
          <w:rFonts w:ascii="Arial" w:cs="Arial" w:eastAsia="Arial" w:hAnsi="Arial"/>
          <w:sz w:val="12"/>
          <w:szCs w:val="12"/>
          <w:color w:val="auto"/>
        </w:rPr>
        <w:t>During 2019 and 2018, the Company repurchased 23,103 and 32,857 shares of stock, respectively, for approximately $0.8 million and $1.0 million, respectively, from its employees to satisfy tax obligations on shares vested under the Plans. All of the shares repurchased were retired and returned to authorized but unissued stock.</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19. Quarterly Financial Data (Unaudited)</w:t>
      </w:r>
    </w:p>
    <w:p>
      <w:pPr>
        <w:spacing w:after="0" w:line="100" w:lineRule="exact"/>
        <w:rPr>
          <w:sz w:val="20"/>
          <w:szCs w:val="20"/>
          <w:color w:val="auto"/>
        </w:rPr>
      </w:pPr>
    </w:p>
    <w:p>
      <w:pPr>
        <w:ind w:left="248"/>
        <w:spacing w:after="0"/>
        <w:rPr>
          <w:sz w:val="20"/>
          <w:szCs w:val="20"/>
          <w:color w:val="auto"/>
        </w:rPr>
      </w:pPr>
      <w:r>
        <w:rPr>
          <w:rFonts w:ascii="Arial" w:cs="Arial" w:eastAsia="Arial" w:hAnsi="Arial"/>
          <w:sz w:val="12"/>
          <w:szCs w:val="12"/>
          <w:color w:val="auto"/>
        </w:rPr>
        <w:t>The following table presents the unaudited consolidated operating results by quarter for the years ended December 31, 2019 and 2018:</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5"/>
          </w:tcPr>
          <w:p>
            <w:pPr>
              <w:ind w:left="380"/>
              <w:spacing w:after="0"/>
              <w:rPr>
                <w:sz w:val="20"/>
                <w:szCs w:val="20"/>
                <w:color w:val="auto"/>
              </w:rPr>
            </w:pPr>
            <w:r>
              <w:rPr>
                <w:rFonts w:ascii="Arial" w:cs="Arial" w:eastAsia="Arial" w:hAnsi="Arial"/>
                <w:sz w:val="10"/>
                <w:szCs w:val="10"/>
                <w:b w:val="1"/>
                <w:bCs w:val="1"/>
                <w:color w:val="auto"/>
              </w:rPr>
              <w:t>For the Three Months Ended</w:t>
            </w: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42"/>
        </w:trPr>
        <w:tc>
          <w:tcPr>
            <w:tcW w:w="6480" w:type="dxa"/>
            <w:vAlign w:val="bottom"/>
            <w:gridSpan w:val="2"/>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1160" w:type="dxa"/>
            <w:vAlign w:val="bottom"/>
            <w:gridSpan w:val="3"/>
          </w:tcPr>
          <w:p>
            <w:pPr>
              <w:ind w:left="300"/>
              <w:spacing w:after="0"/>
              <w:rPr>
                <w:sz w:val="20"/>
                <w:szCs w:val="20"/>
                <w:color w:val="auto"/>
              </w:rPr>
            </w:pPr>
            <w:r>
              <w:rPr>
                <w:rFonts w:ascii="Arial" w:cs="Arial" w:eastAsia="Arial" w:hAnsi="Arial"/>
                <w:sz w:val="10"/>
                <w:szCs w:val="10"/>
                <w:b w:val="1"/>
                <w:bCs w:val="1"/>
                <w:color w:val="auto"/>
              </w:rPr>
              <w:t>March 31,</w:t>
            </w:r>
          </w:p>
        </w:tc>
        <w:tc>
          <w:tcPr>
            <w:tcW w:w="1160" w:type="dxa"/>
            <w:vAlign w:val="bottom"/>
            <w:gridSpan w:val="3"/>
          </w:tcPr>
          <w:p>
            <w:pPr>
              <w:ind w:left="340"/>
              <w:spacing w:after="0"/>
              <w:rPr>
                <w:sz w:val="20"/>
                <w:szCs w:val="20"/>
                <w:color w:val="auto"/>
              </w:rPr>
            </w:pPr>
            <w:r>
              <w:rPr>
                <w:rFonts w:ascii="Arial" w:cs="Arial" w:eastAsia="Arial" w:hAnsi="Arial"/>
                <w:sz w:val="10"/>
                <w:szCs w:val="10"/>
                <w:b w:val="1"/>
                <w:bCs w:val="1"/>
                <w:color w:val="auto"/>
              </w:rPr>
              <w:t>June 30,</w:t>
            </w:r>
          </w:p>
        </w:tc>
        <w:tc>
          <w:tcPr>
            <w:tcW w:w="1440" w:type="dxa"/>
            <w:vAlign w:val="bottom"/>
            <w:gridSpan w:val="3"/>
          </w:tcPr>
          <w:p>
            <w:pPr>
              <w:ind w:left="360"/>
              <w:spacing w:after="0"/>
              <w:rPr>
                <w:sz w:val="20"/>
                <w:szCs w:val="20"/>
                <w:color w:val="auto"/>
              </w:rPr>
            </w:pPr>
            <w:r>
              <w:rPr>
                <w:rFonts w:ascii="Arial" w:cs="Arial" w:eastAsia="Arial" w:hAnsi="Arial"/>
                <w:sz w:val="10"/>
                <w:szCs w:val="10"/>
                <w:b w:val="1"/>
                <w:bCs w:val="1"/>
                <w:color w:val="auto"/>
              </w:rPr>
              <w:t>September 30,</w:t>
            </w:r>
          </w:p>
        </w:tc>
        <w:tc>
          <w:tcPr>
            <w:tcW w:w="12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December 31,</w:t>
            </w:r>
          </w:p>
        </w:tc>
      </w:tr>
      <w:tr>
        <w:trPr>
          <w:trHeight w:val="169"/>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171"/>
        </w:trPr>
        <w:tc>
          <w:tcPr>
            <w:tcW w:w="6480" w:type="dxa"/>
            <w:vAlign w:val="bottom"/>
            <w:gridSpan w:val="2"/>
          </w:tcPr>
          <w:p>
            <w:pPr>
              <w:ind w:left="120"/>
              <w:spacing w:after="0"/>
              <w:rPr>
                <w:sz w:val="20"/>
                <w:szCs w:val="20"/>
                <w:color w:val="auto"/>
              </w:rPr>
            </w:pPr>
            <w:r>
              <w:rPr>
                <w:rFonts w:ascii="Arial" w:cs="Arial" w:eastAsia="Arial" w:hAnsi="Arial"/>
                <w:sz w:val="12"/>
                <w:szCs w:val="12"/>
                <w:color w:val="auto"/>
              </w:rPr>
              <w:t>Revenues</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w w:val="82"/>
              </w:rPr>
              <w:t>468,094</w:t>
            </w: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1"/>
              <w:spacing w:after="0"/>
              <w:rPr>
                <w:sz w:val="20"/>
                <w:szCs w:val="20"/>
                <w:color w:val="auto"/>
              </w:rPr>
            </w:pPr>
            <w:r>
              <w:rPr>
                <w:rFonts w:ascii="Arial" w:cs="Arial" w:eastAsia="Arial" w:hAnsi="Arial"/>
                <w:sz w:val="12"/>
                <w:szCs w:val="12"/>
                <w:color w:val="auto"/>
                <w:w w:val="82"/>
              </w:rPr>
              <w:t>448,776</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360"/>
              <w:spacing w:after="0"/>
              <w:rPr>
                <w:sz w:val="20"/>
                <w:szCs w:val="20"/>
                <w:color w:val="auto"/>
              </w:rPr>
            </w:pPr>
            <w:r>
              <w:rPr>
                <w:rFonts w:ascii="Arial" w:cs="Arial" w:eastAsia="Arial" w:hAnsi="Arial"/>
                <w:sz w:val="12"/>
                <w:szCs w:val="12"/>
                <w:color w:val="auto"/>
                <w:w w:val="87"/>
              </w:rPr>
              <w:t>583,214</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340"/>
              <w:spacing w:after="0"/>
              <w:rPr>
                <w:sz w:val="20"/>
                <w:szCs w:val="20"/>
                <w:color w:val="auto"/>
              </w:rPr>
            </w:pPr>
            <w:r>
              <w:rPr>
                <w:rFonts w:ascii="Arial" w:cs="Arial" w:eastAsia="Arial" w:hAnsi="Arial"/>
                <w:sz w:val="12"/>
                <w:szCs w:val="12"/>
                <w:color w:val="auto"/>
                <w:w w:val="82"/>
              </w:rPr>
              <w:t>571,075</w:t>
            </w:r>
          </w:p>
        </w:tc>
      </w:tr>
      <w:tr>
        <w:trPr>
          <w:trHeight w:val="171"/>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Gross profit</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97"/>
              </w:rPr>
              <w:t>42,876</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w w:val="97"/>
              </w:rPr>
              <w:t>43,163</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59,197</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97"/>
              </w:rPr>
              <w:t>68,922</w:t>
            </w:r>
          </w:p>
        </w:tc>
      </w:tr>
      <w:tr>
        <w:trPr>
          <w:trHeight w:val="171"/>
        </w:trPr>
        <w:tc>
          <w:tcPr>
            <w:tcW w:w="6480" w:type="dxa"/>
            <w:vAlign w:val="bottom"/>
            <w:gridSpan w:val="2"/>
          </w:tcPr>
          <w:p>
            <w:pPr>
              <w:ind w:left="120"/>
              <w:spacing w:after="0"/>
              <w:rPr>
                <w:sz w:val="20"/>
                <w:szCs w:val="20"/>
                <w:color w:val="auto"/>
              </w:rPr>
            </w:pPr>
            <w:r>
              <w:rPr>
                <w:rFonts w:ascii="Arial" w:cs="Arial" w:eastAsia="Arial" w:hAnsi="Arial"/>
                <w:sz w:val="12"/>
                <w:szCs w:val="12"/>
                <w:color w:val="auto"/>
              </w:rPr>
              <w:t>Net income attributable to MYR Group</w:t>
            </w:r>
          </w:p>
        </w:tc>
        <w:tc>
          <w:tcPr>
            <w:tcW w:w="360" w:type="dxa"/>
            <w:vAlign w:val="bottom"/>
          </w:tcPr>
          <w:p>
            <w:pPr>
              <w:spacing w:after="0"/>
              <w:rPr>
                <w:sz w:val="14"/>
                <w:szCs w:val="14"/>
                <w:color w:val="auto"/>
              </w:rPr>
            </w:pP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7,353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221"/>
              <w:spacing w:after="0"/>
              <w:rPr>
                <w:sz w:val="20"/>
                <w:szCs w:val="20"/>
                <w:color w:val="auto"/>
              </w:rPr>
            </w:pPr>
            <w:r>
              <w:rPr>
                <w:rFonts w:ascii="Arial" w:cs="Arial" w:eastAsia="Arial" w:hAnsi="Arial"/>
                <w:sz w:val="12"/>
                <w:szCs w:val="12"/>
                <w:color w:val="auto"/>
              </w:rPr>
              <w:t>7,207</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360"/>
              <w:spacing w:after="0"/>
              <w:rPr>
                <w:sz w:val="20"/>
                <w:szCs w:val="20"/>
                <w:color w:val="auto"/>
              </w:rPr>
            </w:pPr>
            <w:r>
              <w:rPr>
                <w:rFonts w:ascii="Arial" w:cs="Arial" w:eastAsia="Arial" w:hAnsi="Arial"/>
                <w:sz w:val="12"/>
                <w:szCs w:val="12"/>
                <w:color w:val="auto"/>
              </w:rPr>
              <w:t>10,355</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340"/>
              <w:spacing w:after="0"/>
              <w:rPr>
                <w:sz w:val="20"/>
                <w:szCs w:val="20"/>
                <w:color w:val="auto"/>
              </w:rPr>
            </w:pPr>
            <w:r>
              <w:rPr>
                <w:rFonts w:ascii="Arial" w:cs="Arial" w:eastAsia="Arial" w:hAnsi="Arial"/>
                <w:sz w:val="12"/>
                <w:szCs w:val="12"/>
                <w:color w:val="auto"/>
                <w:w w:val="97"/>
              </w:rPr>
              <w:t>12,775</w:t>
            </w:r>
          </w:p>
        </w:tc>
      </w:tr>
      <w:tr>
        <w:trPr>
          <w:trHeight w:val="180"/>
        </w:trPr>
        <w:tc>
          <w:tcPr>
            <w:tcW w:w="6480" w:type="dxa"/>
            <w:vAlign w:val="bottom"/>
            <w:gridSpan w:val="2"/>
            <w:shd w:val="clear" w:color="auto" w:fill="CCEEFF"/>
          </w:tcPr>
          <w:p>
            <w:pPr>
              <w:ind w:left="120"/>
              <w:spacing w:after="0" w:line="180" w:lineRule="exact"/>
              <w:rPr>
                <w:sz w:val="20"/>
                <w:szCs w:val="20"/>
                <w:color w:val="auto"/>
              </w:rPr>
            </w:pPr>
            <w:r>
              <w:rPr>
                <w:rFonts w:ascii="Arial" w:cs="Arial" w:eastAsia="Arial" w:hAnsi="Arial"/>
                <w:sz w:val="12"/>
                <w:szCs w:val="12"/>
                <w:color w:val="auto"/>
              </w:rPr>
              <w:t>Basic earnings per share attributable to MYR Group</w:t>
            </w:r>
            <w:r>
              <w:rPr>
                <w:rFonts w:ascii="Arial" w:cs="Arial" w:eastAsia="Arial" w:hAnsi="Arial"/>
                <w:sz w:val="18"/>
                <w:szCs w:val="18"/>
                <w:color w:val="auto"/>
                <w:vertAlign w:val="superscript"/>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0.45</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0.43</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0.62</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0.77</w:t>
            </w:r>
          </w:p>
        </w:tc>
      </w:tr>
      <w:tr>
        <w:trPr>
          <w:trHeight w:val="180"/>
        </w:trPr>
        <w:tc>
          <w:tcPr>
            <w:tcW w:w="6480" w:type="dxa"/>
            <w:vAlign w:val="bottom"/>
            <w:gridSpan w:val="2"/>
          </w:tcPr>
          <w:p>
            <w:pPr>
              <w:ind w:left="120"/>
              <w:spacing w:after="0" w:line="180" w:lineRule="exact"/>
              <w:rPr>
                <w:sz w:val="20"/>
                <w:szCs w:val="20"/>
                <w:color w:val="auto"/>
              </w:rPr>
            </w:pPr>
            <w:r>
              <w:rPr>
                <w:rFonts w:ascii="Arial" w:cs="Arial" w:eastAsia="Arial" w:hAnsi="Arial"/>
                <w:sz w:val="12"/>
                <w:szCs w:val="12"/>
                <w:color w:val="auto"/>
              </w:rPr>
              <w:t>Diluted earnings per share attributable to MYR Group</w:t>
            </w:r>
            <w:r>
              <w:rPr>
                <w:rFonts w:ascii="Arial" w:cs="Arial" w:eastAsia="Arial" w:hAnsi="Arial"/>
                <w:sz w:val="18"/>
                <w:szCs w:val="18"/>
                <w:color w:val="auto"/>
                <w:vertAlign w:val="superscript"/>
              </w:rPr>
              <w:t>(1)</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0.44</w:t>
            </w: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1"/>
              <w:spacing w:after="0"/>
              <w:rPr>
                <w:sz w:val="20"/>
                <w:szCs w:val="20"/>
                <w:color w:val="auto"/>
              </w:rPr>
            </w:pPr>
            <w:r>
              <w:rPr>
                <w:rFonts w:ascii="Arial" w:cs="Arial" w:eastAsia="Arial" w:hAnsi="Arial"/>
                <w:sz w:val="12"/>
                <w:szCs w:val="12"/>
                <w:color w:val="auto"/>
              </w:rPr>
              <w:t>0.43</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360"/>
              <w:spacing w:after="0"/>
              <w:rPr>
                <w:sz w:val="20"/>
                <w:szCs w:val="20"/>
                <w:color w:val="auto"/>
              </w:rPr>
            </w:pPr>
            <w:r>
              <w:rPr>
                <w:rFonts w:ascii="Arial" w:cs="Arial" w:eastAsia="Arial" w:hAnsi="Arial"/>
                <w:sz w:val="12"/>
                <w:szCs w:val="12"/>
                <w:color w:val="auto"/>
              </w:rPr>
              <w:t>0.62</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340"/>
              <w:spacing w:after="0"/>
              <w:rPr>
                <w:sz w:val="20"/>
                <w:szCs w:val="20"/>
                <w:color w:val="auto"/>
              </w:rPr>
            </w:pPr>
            <w:r>
              <w:rPr>
                <w:rFonts w:ascii="Arial" w:cs="Arial" w:eastAsia="Arial" w:hAnsi="Arial"/>
                <w:sz w:val="12"/>
                <w:szCs w:val="12"/>
                <w:color w:val="auto"/>
              </w:rPr>
              <w:t>0.76</w:t>
            </w:r>
          </w:p>
        </w:tc>
      </w:tr>
      <w:tr>
        <w:trPr>
          <w:trHeight w:val="171"/>
        </w:trPr>
        <w:tc>
          <w:tcPr>
            <w:tcW w:w="6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2018:</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1"/>
        </w:trPr>
        <w:tc>
          <w:tcPr>
            <w:tcW w:w="6480" w:type="dxa"/>
            <w:vAlign w:val="bottom"/>
            <w:gridSpan w:val="2"/>
          </w:tcPr>
          <w:p>
            <w:pPr>
              <w:ind w:left="120"/>
              <w:spacing w:after="0"/>
              <w:rPr>
                <w:sz w:val="20"/>
                <w:szCs w:val="20"/>
                <w:color w:val="auto"/>
              </w:rPr>
            </w:pPr>
            <w:r>
              <w:rPr>
                <w:rFonts w:ascii="Arial" w:cs="Arial" w:eastAsia="Arial" w:hAnsi="Arial"/>
                <w:sz w:val="12"/>
                <w:szCs w:val="12"/>
                <w:color w:val="auto"/>
              </w:rPr>
              <w:t>Revenues</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w w:val="82"/>
              </w:rPr>
              <w:t>345,611</w:t>
            </w: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1"/>
              <w:spacing w:after="0"/>
              <w:rPr>
                <w:sz w:val="20"/>
                <w:szCs w:val="20"/>
                <w:color w:val="auto"/>
              </w:rPr>
            </w:pPr>
            <w:r>
              <w:rPr>
                <w:rFonts w:ascii="Arial" w:cs="Arial" w:eastAsia="Arial" w:hAnsi="Arial"/>
                <w:sz w:val="12"/>
                <w:szCs w:val="12"/>
                <w:color w:val="auto"/>
                <w:w w:val="82"/>
              </w:rPr>
              <w:t>339,676</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360"/>
              <w:spacing w:after="0"/>
              <w:rPr>
                <w:sz w:val="20"/>
                <w:szCs w:val="20"/>
                <w:color w:val="auto"/>
              </w:rPr>
            </w:pPr>
            <w:r>
              <w:rPr>
                <w:rFonts w:ascii="Arial" w:cs="Arial" w:eastAsia="Arial" w:hAnsi="Arial"/>
                <w:sz w:val="12"/>
                <w:szCs w:val="12"/>
                <w:color w:val="auto"/>
                <w:w w:val="87"/>
              </w:rPr>
              <w:t>399,537</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340"/>
              <w:spacing w:after="0"/>
              <w:rPr>
                <w:sz w:val="20"/>
                <w:szCs w:val="20"/>
                <w:color w:val="auto"/>
              </w:rPr>
            </w:pPr>
            <w:r>
              <w:rPr>
                <w:rFonts w:ascii="Arial" w:cs="Arial" w:eastAsia="Arial" w:hAnsi="Arial"/>
                <w:sz w:val="12"/>
                <w:szCs w:val="12"/>
                <w:color w:val="auto"/>
                <w:w w:val="82"/>
              </w:rPr>
              <w:t>446,345</w:t>
            </w:r>
          </w:p>
        </w:tc>
      </w:tr>
      <w:tr>
        <w:trPr>
          <w:trHeight w:val="171"/>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Gross profit</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97"/>
              </w:rPr>
              <w:t>35,753</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w w:val="97"/>
              </w:rPr>
              <w:t>38,630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45,286</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97"/>
              </w:rPr>
              <w:t>47,391</w:t>
            </w:r>
          </w:p>
        </w:tc>
      </w:tr>
      <w:tr>
        <w:trPr>
          <w:trHeight w:val="171"/>
        </w:trPr>
        <w:tc>
          <w:tcPr>
            <w:tcW w:w="6480" w:type="dxa"/>
            <w:vAlign w:val="bottom"/>
            <w:gridSpan w:val="2"/>
          </w:tcPr>
          <w:p>
            <w:pPr>
              <w:ind w:left="120"/>
              <w:spacing w:after="0"/>
              <w:rPr>
                <w:sz w:val="20"/>
                <w:szCs w:val="20"/>
                <w:color w:val="auto"/>
              </w:rPr>
            </w:pPr>
            <w:r>
              <w:rPr>
                <w:rFonts w:ascii="Arial" w:cs="Arial" w:eastAsia="Arial" w:hAnsi="Arial"/>
                <w:sz w:val="12"/>
                <w:szCs w:val="12"/>
                <w:color w:val="auto"/>
              </w:rPr>
              <w:t>Net income attributable to MYR Group</w:t>
            </w:r>
          </w:p>
        </w:tc>
        <w:tc>
          <w:tcPr>
            <w:tcW w:w="360" w:type="dxa"/>
            <w:vAlign w:val="bottom"/>
          </w:tcPr>
          <w:p>
            <w:pPr>
              <w:spacing w:after="0"/>
              <w:rPr>
                <w:sz w:val="14"/>
                <w:szCs w:val="14"/>
                <w:color w:val="auto"/>
              </w:rPr>
            </w:pP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5,644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221"/>
              <w:spacing w:after="0"/>
              <w:rPr>
                <w:sz w:val="20"/>
                <w:szCs w:val="20"/>
                <w:color w:val="auto"/>
              </w:rPr>
            </w:pPr>
            <w:r>
              <w:rPr>
                <w:rFonts w:ascii="Arial" w:cs="Arial" w:eastAsia="Arial" w:hAnsi="Arial"/>
                <w:sz w:val="12"/>
                <w:szCs w:val="12"/>
                <w:color w:val="auto"/>
              </w:rPr>
              <w:t>6,835</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360"/>
              <w:spacing w:after="0"/>
              <w:rPr>
                <w:sz w:val="20"/>
                <w:szCs w:val="20"/>
                <w:color w:val="auto"/>
              </w:rPr>
            </w:pPr>
            <w:r>
              <w:rPr>
                <w:rFonts w:ascii="Arial" w:cs="Arial" w:eastAsia="Arial" w:hAnsi="Arial"/>
                <w:sz w:val="12"/>
                <w:szCs w:val="12"/>
                <w:color w:val="auto"/>
              </w:rPr>
              <w:t>7,957</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340"/>
              <w:spacing w:after="0"/>
              <w:rPr>
                <w:sz w:val="20"/>
                <w:szCs w:val="20"/>
                <w:color w:val="auto"/>
              </w:rPr>
            </w:pPr>
            <w:r>
              <w:rPr>
                <w:rFonts w:ascii="Arial" w:cs="Arial" w:eastAsia="Arial" w:hAnsi="Arial"/>
                <w:sz w:val="12"/>
                <w:szCs w:val="12"/>
                <w:color w:val="auto"/>
                <w:w w:val="97"/>
              </w:rPr>
              <w:t>10,651</w:t>
            </w:r>
          </w:p>
        </w:tc>
      </w:tr>
      <w:tr>
        <w:trPr>
          <w:trHeight w:val="180"/>
        </w:trPr>
        <w:tc>
          <w:tcPr>
            <w:tcW w:w="6480" w:type="dxa"/>
            <w:vAlign w:val="bottom"/>
            <w:gridSpan w:val="2"/>
            <w:shd w:val="clear" w:color="auto" w:fill="CCEEFF"/>
          </w:tcPr>
          <w:p>
            <w:pPr>
              <w:ind w:left="120"/>
              <w:spacing w:after="0" w:line="180" w:lineRule="exact"/>
              <w:rPr>
                <w:sz w:val="20"/>
                <w:szCs w:val="20"/>
                <w:color w:val="auto"/>
              </w:rPr>
            </w:pPr>
            <w:r>
              <w:rPr>
                <w:rFonts w:ascii="Arial" w:cs="Arial" w:eastAsia="Arial" w:hAnsi="Arial"/>
                <w:sz w:val="12"/>
                <w:szCs w:val="12"/>
                <w:color w:val="auto"/>
              </w:rPr>
              <w:t>Basic earnings per share attributable to MYR Group</w:t>
            </w:r>
            <w:r>
              <w:rPr>
                <w:rFonts w:ascii="Arial" w:cs="Arial" w:eastAsia="Arial" w:hAnsi="Arial"/>
                <w:sz w:val="18"/>
                <w:szCs w:val="18"/>
                <w:color w:val="auto"/>
                <w:vertAlign w:val="superscript"/>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0.35</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21"/>
              <w:spacing w:after="0"/>
              <w:rPr>
                <w:sz w:val="20"/>
                <w:szCs w:val="20"/>
                <w:color w:val="auto"/>
              </w:rPr>
            </w:pPr>
            <w:r>
              <w:rPr>
                <w:rFonts w:ascii="Arial" w:cs="Arial" w:eastAsia="Arial" w:hAnsi="Arial"/>
                <w:sz w:val="12"/>
                <w:szCs w:val="12"/>
                <w:color w:val="auto"/>
              </w:rPr>
              <w:t>0.42</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0.48</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0.65</w:t>
            </w:r>
          </w:p>
        </w:tc>
      </w:tr>
      <w:tr>
        <w:trPr>
          <w:trHeight w:val="235"/>
        </w:trPr>
        <w:tc>
          <w:tcPr>
            <w:tcW w:w="6480" w:type="dxa"/>
            <w:vAlign w:val="bottom"/>
            <w:gridSpan w:val="2"/>
          </w:tcPr>
          <w:p>
            <w:pPr>
              <w:ind w:left="120"/>
              <w:spacing w:after="0"/>
              <w:rPr>
                <w:sz w:val="20"/>
                <w:szCs w:val="20"/>
                <w:color w:val="auto"/>
              </w:rPr>
            </w:pPr>
            <w:r>
              <w:rPr>
                <w:rFonts w:ascii="Arial" w:cs="Arial" w:eastAsia="Arial" w:hAnsi="Arial"/>
                <w:sz w:val="12"/>
                <w:szCs w:val="12"/>
                <w:color w:val="auto"/>
              </w:rPr>
              <w:t>Diluted earnings per share attributable to MYR Group</w:t>
            </w:r>
            <w:r>
              <w:rPr>
                <w:rFonts w:ascii="Arial" w:cs="Arial" w:eastAsia="Arial" w:hAnsi="Arial"/>
                <w:sz w:val="18"/>
                <w:szCs w:val="18"/>
                <w:color w:val="auto"/>
                <w:vertAlign w:val="superscript"/>
              </w:rPr>
              <w:t>(1)</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0.34</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1"/>
              <w:spacing w:after="0"/>
              <w:rPr>
                <w:sz w:val="20"/>
                <w:szCs w:val="20"/>
                <w:color w:val="auto"/>
              </w:rPr>
            </w:pPr>
            <w:r>
              <w:rPr>
                <w:rFonts w:ascii="Arial" w:cs="Arial" w:eastAsia="Arial" w:hAnsi="Arial"/>
                <w:sz w:val="12"/>
                <w:szCs w:val="12"/>
                <w:color w:val="auto"/>
              </w:rPr>
              <w:t>0.41</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360"/>
              <w:spacing w:after="0"/>
              <w:rPr>
                <w:sz w:val="20"/>
                <w:szCs w:val="20"/>
                <w:color w:val="auto"/>
              </w:rPr>
            </w:pPr>
            <w:r>
              <w:rPr>
                <w:rFonts w:ascii="Arial" w:cs="Arial" w:eastAsia="Arial" w:hAnsi="Arial"/>
                <w:sz w:val="12"/>
                <w:szCs w:val="12"/>
                <w:color w:val="auto"/>
              </w:rPr>
              <w:t>0.48</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340"/>
              <w:spacing w:after="0"/>
              <w:rPr>
                <w:sz w:val="20"/>
                <w:szCs w:val="20"/>
                <w:color w:val="auto"/>
              </w:rPr>
            </w:pPr>
            <w:r>
              <w:rPr>
                <w:rFonts w:ascii="Arial" w:cs="Arial" w:eastAsia="Arial" w:hAnsi="Arial"/>
                <w:sz w:val="12"/>
                <w:szCs w:val="12"/>
                <w:color w:val="auto"/>
              </w:rPr>
              <w:t>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-1366520</wp:posOffset>
            </wp:positionV>
            <wp:extent cx="9144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5507990</wp:posOffset>
            </wp:positionH>
            <wp:positionV relativeFrom="paragraph">
              <wp:posOffset>-1366520</wp:posOffset>
            </wp:positionV>
            <wp:extent cx="9144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-1366520</wp:posOffset>
            </wp:positionV>
            <wp:extent cx="9144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-1366520</wp:posOffset>
            </wp:positionV>
            <wp:extent cx="9144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172720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69" w:lineRule="exact"/>
        <w:rPr>
          <w:sz w:val="20"/>
          <w:szCs w:val="20"/>
          <w:color w:val="auto"/>
        </w:rPr>
      </w:pPr>
    </w:p>
    <w:p>
      <w:pPr>
        <w:ind w:left="248" w:right="480" w:hanging="248"/>
        <w:spacing w:after="0" w:line="276" w:lineRule="auto"/>
        <w:tabs>
          <w:tab w:leader="none" w:pos="248" w:val="left"/>
        </w:tabs>
        <w:numPr>
          <w:ilvl w:val="0"/>
          <w:numId w:val="24"/>
        </w:numPr>
        <w:rPr>
          <w:rFonts w:ascii="Arial" w:cs="Arial" w:eastAsia="Arial" w:hAnsi="Arial"/>
          <w:sz w:val="12"/>
          <w:szCs w:val="12"/>
          <w:color w:val="auto"/>
        </w:rPr>
      </w:pPr>
      <w:r>
        <w:rPr>
          <w:rFonts w:ascii="Arial" w:cs="Arial" w:eastAsia="Arial" w:hAnsi="Arial"/>
          <w:sz w:val="12"/>
          <w:szCs w:val="12"/>
          <w:color w:val="auto"/>
        </w:rPr>
        <w:t>Earnings per share amounts for each quarter are required to be computed independently using the weighted average number of shares outstanding during the period. As a result, the sum of the individual quarterly earnings per share amounts may not agree to the earnings per share calculated for the year.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317740" cy="368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8" w:name="page99"/>
    <w:bookmarkEnd w:id="98"/>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Changes in and Disagreements With Accountants on Accounting and Financial Disclosure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0"/>
          <w:szCs w:val="10"/>
          <w:b w:val="1"/>
          <w:bCs w:val="1"/>
          <w:color w:val="auto"/>
        </w:rPr>
        <w:t>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05" w:lineRule="exact"/>
        <w:rPr>
          <w:sz w:val="20"/>
          <w:szCs w:val="20"/>
          <w:color w:val="auto"/>
        </w:rPr>
      </w:pPr>
    </w:p>
    <w:p>
      <w:pPr>
        <w:ind w:right="20" w:firstLine="240"/>
        <w:spacing w:after="0" w:line="248" w:lineRule="auto"/>
        <w:rPr>
          <w:sz w:val="20"/>
          <w:szCs w:val="20"/>
          <w:color w:val="auto"/>
        </w:rPr>
      </w:pPr>
      <w:r>
        <w:rPr>
          <w:rFonts w:ascii="Arial" w:cs="Arial" w:eastAsia="Arial" w:hAnsi="Arial"/>
          <w:sz w:val="12"/>
          <w:szCs w:val="12"/>
          <w:color w:val="auto"/>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6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2"/>
          <w:szCs w:val="12"/>
          <w:color w:val="auto"/>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Internal Control over Financial Reporting</w:t>
      </w:r>
    </w:p>
    <w:p>
      <w:pPr>
        <w:spacing w:after="0" w:line="105" w:lineRule="exact"/>
        <w:rPr>
          <w:sz w:val="20"/>
          <w:szCs w:val="20"/>
          <w:color w:val="auto"/>
        </w:rPr>
      </w:pPr>
    </w:p>
    <w:p>
      <w:pPr>
        <w:ind w:right="60" w:firstLine="240"/>
        <w:spacing w:after="0" w:line="268" w:lineRule="auto"/>
        <w:rPr>
          <w:sz w:val="20"/>
          <w:szCs w:val="20"/>
          <w:color w:val="auto"/>
        </w:rPr>
      </w:pPr>
      <w:r>
        <w:rPr>
          <w:rFonts w:ascii="Arial" w:cs="Arial" w:eastAsia="Arial" w:hAnsi="Arial"/>
          <w:sz w:val="11"/>
          <w:szCs w:val="11"/>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Arial" w:cs="Arial" w:eastAsia="Arial" w:hAnsi="Arial"/>
          <w:sz w:val="11"/>
          <w:szCs w:val="11"/>
          <w:i w:val="1"/>
          <w:iCs w:val="1"/>
          <w:color w:val="auto"/>
        </w:rPr>
        <w:t>Internal Control —</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Integrated Framework </w:t>
      </w:r>
      <w:r>
        <w:rPr>
          <w:rFonts w:ascii="Arial" w:cs="Arial" w:eastAsia="Arial" w:hAnsi="Arial"/>
          <w:sz w:val="11"/>
          <w:szCs w:val="11"/>
          <w:color w:val="auto"/>
        </w:rPr>
        <w:t>(2013) issued by the Committee of Sponsoring Organizations of the Treadway Commission. Based on this evaluation, our management has concluded that our internal control over financial reporting was effective,</w:t>
      </w:r>
      <w:r>
        <w:rPr>
          <w:rFonts w:ascii="Arial" w:cs="Arial" w:eastAsia="Arial" w:hAnsi="Arial"/>
          <w:sz w:val="11"/>
          <w:szCs w:val="11"/>
          <w:i w:val="1"/>
          <w:iCs w:val="1"/>
          <w:color w:val="auto"/>
        </w:rPr>
        <w:t xml:space="preserve"> </w:t>
      </w:r>
      <w:r>
        <w:rPr>
          <w:rFonts w:ascii="Arial" w:cs="Arial" w:eastAsia="Arial" w:hAnsi="Arial"/>
          <w:sz w:val="11"/>
          <w:szCs w:val="11"/>
          <w:color w:val="auto"/>
        </w:rPr>
        <w:t>as of December 31, 2019, in providing reasonable assurance regarding the reliability of financial reporting and the preparation of financial statements for external reporting purposes in accordance with GAAP. Management’s annual report on internal control over financial reporting is included in “Item 8. Financial Statements and Supplementary Data” of this Annual Report on Form 10-K.</w:t>
      </w:r>
    </w:p>
    <w:p>
      <w:pPr>
        <w:spacing w:after="0" w:line="68" w:lineRule="exact"/>
        <w:rPr>
          <w:sz w:val="20"/>
          <w:szCs w:val="20"/>
          <w:color w:val="auto"/>
        </w:rPr>
      </w:pPr>
    </w:p>
    <w:p>
      <w:pPr>
        <w:ind w:right="140" w:firstLine="240"/>
        <w:spacing w:after="0" w:line="261" w:lineRule="auto"/>
        <w:rPr>
          <w:sz w:val="20"/>
          <w:szCs w:val="20"/>
          <w:color w:val="auto"/>
        </w:rPr>
      </w:pPr>
      <w:r>
        <w:rPr>
          <w:rFonts w:ascii="Arial" w:cs="Arial" w:eastAsia="Arial" w:hAnsi="Arial"/>
          <w:sz w:val="12"/>
          <w:szCs w:val="12"/>
          <w:color w:val="auto"/>
        </w:rPr>
        <w:t>In addition, Crowe LLP, an independent registered public accounting firm, audited and reported on the 2019 Financial Statements included in this Annual Report on Form 10-K, has issued an attestation report on our internal control over financial reporting. The report is included in “Item 8. Financial Statements and Supplementary Data” of this Annual Report on Form 10-K.</w:t>
      </w:r>
    </w:p>
    <w:p>
      <w:pPr>
        <w:spacing w:after="0" w:line="60" w:lineRule="exact"/>
        <w:rPr>
          <w:sz w:val="20"/>
          <w:szCs w:val="20"/>
          <w:color w:val="auto"/>
        </w:rPr>
      </w:pPr>
    </w:p>
    <w:p>
      <w:pPr>
        <w:ind w:right="140" w:firstLine="240"/>
        <w:spacing w:after="0" w:line="243" w:lineRule="auto"/>
        <w:rPr>
          <w:sz w:val="20"/>
          <w:szCs w:val="20"/>
          <w:color w:val="auto"/>
        </w:rPr>
      </w:pPr>
      <w:r>
        <w:rPr>
          <w:rFonts w:ascii="Arial" w:cs="Arial" w:eastAsia="Arial" w:hAnsi="Arial"/>
          <w:sz w:val="12"/>
          <w:szCs w:val="12"/>
          <w:color w:val="auto"/>
        </w:rPr>
        <w:t>For the year ended December 31, 2019, management’s assessment of our internal control over financial reporting excluded the internal control over financial reporting of CSI Electrical Contractors, Inc., which was acquired on July 15, 2019. Pursuant to the SEC’s general guidance that a recently acquired business may be omitted from the scope of an assessment in the year of the acquisition, the scope of our assessment does not include CSI Electrical Contractors, Inc. As of December 31, 2019, CSI Electrical Contractors, Inc. represented a total of approximately 14.8% and 20.4% of total assets and net assets, respectively, and 6.7.% and (2.9)% of contract revenues and income before income taxes, respectively, for the year then ended.</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05" w:lineRule="exact"/>
        <w:rPr>
          <w:sz w:val="20"/>
          <w:szCs w:val="20"/>
          <w:color w:val="auto"/>
        </w:rPr>
      </w:pPr>
    </w:p>
    <w:p>
      <w:pPr>
        <w:ind w:right="160" w:firstLine="240"/>
        <w:spacing w:after="0" w:line="261" w:lineRule="auto"/>
        <w:rPr>
          <w:sz w:val="20"/>
          <w:szCs w:val="20"/>
          <w:color w:val="auto"/>
        </w:rPr>
      </w:pPr>
      <w:r>
        <w:rPr>
          <w:rFonts w:ascii="Arial" w:cs="Arial" w:eastAsia="Arial" w:hAnsi="Arial"/>
          <w:sz w:val="12"/>
          <w:szCs w:val="12"/>
          <w:color w:val="auto"/>
        </w:rPr>
        <w:t>There have been no changes in our internal control over financial reporting during the fourth quarter ended December 31, 2019 that have materially affected, or that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Limitations on the Effectiveness of Controls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management, including our Chief Executive Officer and Chief Financial Officer, does not expect that our disclosure controls and procedures or our internal control over financial reporting will detect or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9" w:name="page100"/>
    <w:bookmarkEnd w:id="99"/>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12"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00" w:name="page101"/>
    <w:bookmarkEnd w:id="100"/>
    <w:p>
      <w:pPr>
        <w:ind w:left="8"/>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0"/>
          <w:szCs w:val="10"/>
          <w:b w:val="1"/>
          <w:bCs w:val="1"/>
          <w:color w:val="auto"/>
        </w:rPr>
        <w:t>Directors, Executive Officers and Corporate Governance</w:t>
      </w:r>
    </w:p>
    <w:p>
      <w:pPr>
        <w:spacing w:after="0" w:line="100" w:lineRule="exact"/>
        <w:rPr>
          <w:sz w:val="20"/>
          <w:szCs w:val="20"/>
          <w:color w:val="auto"/>
        </w:rPr>
      </w:pPr>
    </w:p>
    <w:p>
      <w:pPr>
        <w:ind w:left="8" w:right="40" w:firstLine="240"/>
        <w:spacing w:after="0" w:line="286" w:lineRule="auto"/>
        <w:rPr>
          <w:sz w:val="20"/>
          <w:szCs w:val="20"/>
          <w:color w:val="auto"/>
        </w:rPr>
      </w:pPr>
      <w:r>
        <w:rPr>
          <w:rFonts w:ascii="Arial" w:cs="Arial" w:eastAsia="Arial" w:hAnsi="Arial"/>
          <w:sz w:val="11"/>
          <w:szCs w:val="11"/>
          <w:color w:val="auto"/>
        </w:rPr>
        <w:t>Information required by this Item 10 related to our directors is incorporated by reference to the information to be included under “Proposal No. 1. Election of Directors” of our definitive Proxy Statement for our Annual Meeting of Stockholders scheduled to be held April 23, 2020 (our “2020 Proxy Statement”). Information regarding the procedures by which our stockholders may recommend nominees to our board of directors is incorporated by reference to the information to be included under the heading “Nominating and Corporate Governance Committee Matters — Criteria for Nomination to the Board of Directors and Diversity” in our 2020 Proxy Statement. Information about our Audit Committee, including its members, and our Audit Committee financial experts, is incorporated by reference to the information to be included under the headings “Audit Committee Matters” in our 2020 Proxy Statement. The balance of the information required by this item is contained in the discussion entitled “Information about our Executive Officers” in Part I of this Annual Report on Form 10-K.</w:t>
      </w:r>
    </w:p>
    <w:p>
      <w:pPr>
        <w:spacing w:after="0" w:line="66" w:lineRule="exact"/>
        <w:rPr>
          <w:sz w:val="20"/>
          <w:szCs w:val="20"/>
          <w:color w:val="auto"/>
        </w:rPr>
      </w:pPr>
    </w:p>
    <w:p>
      <w:pPr>
        <w:ind w:left="8" w:right="120" w:firstLine="240"/>
        <w:spacing w:after="0" w:line="259" w:lineRule="auto"/>
        <w:rPr>
          <w:sz w:val="20"/>
          <w:szCs w:val="20"/>
          <w:color w:val="auto"/>
        </w:rPr>
      </w:pPr>
      <w:r>
        <w:rPr>
          <w:rFonts w:ascii="Arial" w:cs="Arial" w:eastAsia="Arial" w:hAnsi="Arial"/>
          <w:sz w:val="12"/>
          <w:szCs w:val="12"/>
          <w:color w:val="auto"/>
        </w:rPr>
        <w:t xml:space="preserve">We have a code of ethics that applies to all of our directors, officers and other employees, including our principal executive officer, principal financial officer and principal accounting officer. This code is publicly available on our website at </w:t>
      </w:r>
      <w:r>
        <w:rPr>
          <w:rFonts w:ascii="Arial" w:cs="Arial" w:eastAsia="Arial" w:hAnsi="Arial"/>
          <w:sz w:val="12"/>
          <w:szCs w:val="12"/>
          <w:i w:val="1"/>
          <w:iCs w:val="1"/>
          <w:color w:val="auto"/>
        </w:rPr>
        <w:t>www.myrgroup.com</w:t>
      </w:r>
      <w:r>
        <w:rPr>
          <w:rFonts w:ascii="Arial" w:cs="Arial" w:eastAsia="Arial" w:hAnsi="Arial"/>
          <w:sz w:val="12"/>
          <w:szCs w:val="12"/>
          <w:color w:val="auto"/>
        </w:rPr>
        <w:t>. Amendments to the code of ethics or any grant of a waiver from a provision of the code that applies to our principal executive officer, principal financial officer and principal accounting officer requiring disclosure under applicable SEC and Nasdaq Global Market rules will be disclosed on our website. The information on our website is not a part of this Annual Report on Form 10-K or incorporated into any other filings we make with the SEC.</w:t>
      </w:r>
    </w:p>
    <w:p>
      <w:pPr>
        <w:spacing w:after="0" w:line="121"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Executive Compensation</w:t>
      </w:r>
    </w:p>
    <w:p>
      <w:pPr>
        <w:spacing w:after="0" w:line="109" w:lineRule="exact"/>
        <w:rPr>
          <w:sz w:val="20"/>
          <w:szCs w:val="20"/>
          <w:color w:val="auto"/>
        </w:rPr>
      </w:pPr>
    </w:p>
    <w:p>
      <w:pPr>
        <w:ind w:left="8" w:right="40" w:firstLine="240"/>
        <w:spacing w:after="0" w:line="276" w:lineRule="auto"/>
        <w:rPr>
          <w:sz w:val="20"/>
          <w:szCs w:val="20"/>
          <w:color w:val="auto"/>
        </w:rPr>
      </w:pPr>
      <w:r>
        <w:rPr>
          <w:rFonts w:ascii="Arial" w:cs="Arial" w:eastAsia="Arial" w:hAnsi="Arial"/>
          <w:sz w:val="12"/>
          <w:szCs w:val="12"/>
          <w:color w:val="auto"/>
        </w:rPr>
        <w:t>The information required by this Item 11 is incorporated by reference to the information to be included in our 2020 Proxy Statement under the headings “Director Compensation,” “Compensation Discussion and Analysis,” “Executive Compensation Tables” and “Compensation Committee Matters–Compensation Committee Report for the Year Ended December 31, 2019.”</w:t>
      </w:r>
    </w:p>
    <w:p>
      <w:pPr>
        <w:spacing w:after="0" w:line="111"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0"/>
          <w:szCs w:val="10"/>
          <w:b w:val="1"/>
          <w:bCs w:val="1"/>
          <w:color w:val="auto"/>
        </w:rPr>
        <w:t>Security Ownership of Certain Beneficial Owners and Management and Related Stockholder Matters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Equity Compensation Plan Information</w:t>
      </w:r>
    </w:p>
    <w:p>
      <w:pPr>
        <w:spacing w:after="0" w:line="96" w:lineRule="exact"/>
        <w:rPr>
          <w:sz w:val="20"/>
          <w:szCs w:val="20"/>
          <w:color w:val="auto"/>
        </w:rPr>
      </w:pPr>
    </w:p>
    <w:p>
      <w:pPr>
        <w:ind w:left="8" w:right="80" w:firstLine="240"/>
        <w:spacing w:after="0" w:line="276" w:lineRule="auto"/>
        <w:rPr>
          <w:sz w:val="20"/>
          <w:szCs w:val="20"/>
          <w:color w:val="auto"/>
        </w:rPr>
      </w:pPr>
      <w:r>
        <w:rPr>
          <w:rFonts w:ascii="Arial" w:cs="Arial" w:eastAsia="Arial" w:hAnsi="Arial"/>
          <w:sz w:val="12"/>
          <w:szCs w:val="12"/>
          <w:color w:val="auto"/>
        </w:rPr>
        <w:t>The following table sets forth certain information regarding our 2007 Long-Term Incentive Plan (Amended and Restated as of May 1, 2014) (the “2007 Plan”) and our 2017 Long-Term Incentive Plan (the “LTIP”) as of December 31, 2019. At December 31, 2019, our only active equity compensation plan was the LTIP.</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Arial" w:cs="Arial" w:eastAsia="Arial" w:hAnsi="Arial"/>
                <w:sz w:val="10"/>
                <w:szCs w:val="10"/>
                <w:b w:val="1"/>
                <w:bCs w:val="1"/>
                <w:color w:val="auto"/>
                <w:w w:val="86"/>
              </w:rPr>
              <w:t>Number of securities</w:t>
            </w: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8"/>
              </w:rPr>
              <w:t>remaining available</w:t>
            </w: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6"/>
              </w:rPr>
              <w:t>Number of securities</w:t>
            </w: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6"/>
              </w:rPr>
              <w:t>for future issuance</w:t>
            </w: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1"/>
              </w:rPr>
              <w:t>to be issued upon</w:t>
            </w:r>
          </w:p>
        </w:tc>
        <w:tc>
          <w:tcPr>
            <w:tcW w:w="17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5"/>
              </w:rPr>
              <w:t>Weighted-average</w:t>
            </w:r>
          </w:p>
        </w:tc>
        <w:tc>
          <w:tcPr>
            <w:tcW w:w="1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under equity</w:t>
            </w: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0"/>
              </w:rPr>
              <w:t>exercise of</w:t>
            </w:r>
          </w:p>
        </w:tc>
        <w:tc>
          <w:tcPr>
            <w:tcW w:w="1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83"/>
              </w:rPr>
              <w:t>exercise price</w:t>
            </w:r>
          </w:p>
        </w:tc>
        <w:tc>
          <w:tcPr>
            <w:tcW w:w="1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4"/>
              </w:rPr>
              <w:t>compensation plans</w:t>
            </w: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7"/>
              </w:rPr>
              <w:t>outstanding</w:t>
            </w:r>
          </w:p>
        </w:tc>
        <w:tc>
          <w:tcPr>
            <w:tcW w:w="17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3"/>
              </w:rPr>
              <w:t>of outstanding</w:t>
            </w:r>
          </w:p>
        </w:tc>
        <w:tc>
          <w:tcPr>
            <w:tcW w:w="1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2"/>
              </w:rPr>
              <w:t>(excluding shares</w:t>
            </w: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6"/>
              </w:rPr>
              <w:t>options,warrants</w:t>
            </w:r>
          </w:p>
        </w:tc>
        <w:tc>
          <w:tcPr>
            <w:tcW w:w="1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86"/>
              </w:rPr>
              <w:t>options, warrants</w:t>
            </w:r>
          </w:p>
        </w:tc>
        <w:tc>
          <w:tcPr>
            <w:tcW w:w="1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6"/>
              </w:rPr>
              <w:t>reflected in</w:t>
            </w: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6"/>
              </w:rPr>
              <w:t>and rights</w:t>
            </w:r>
          </w:p>
        </w:tc>
        <w:tc>
          <w:tcPr>
            <w:tcW w:w="17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6"/>
              </w:rPr>
              <w:t>and rights</w:t>
            </w:r>
          </w:p>
        </w:tc>
        <w:tc>
          <w:tcPr>
            <w:tcW w:w="1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5"/>
              </w:rPr>
              <w:t>column(a))</w:t>
            </w:r>
          </w:p>
        </w:tc>
      </w:tr>
      <w:tr>
        <w:trPr>
          <w:trHeight w:val="132"/>
        </w:trPr>
        <w:tc>
          <w:tcPr>
            <w:tcW w:w="5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Plan Category</w:t>
            </w:r>
          </w:p>
        </w:tc>
        <w:tc>
          <w:tcPr>
            <w:tcW w:w="14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(a)</w:t>
            </w:r>
          </w:p>
        </w:tc>
        <w:tc>
          <w:tcPr>
            <w:tcW w:w="14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(b)</w:t>
            </w:r>
          </w:p>
        </w:tc>
        <w:tc>
          <w:tcPr>
            <w:tcW w:w="140" w:type="dxa"/>
            <w:vAlign w:val="bottom"/>
            <w:tcBorders>
              <w:bottom w:val="single" w:sz="8" w:color="CCEEFF"/>
            </w:tcBorders>
          </w:tcPr>
          <w:p>
            <w:pPr>
              <w:spacing w:after="0"/>
              <w:rPr>
                <w:sz w:val="11"/>
                <w:szCs w:val="1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w:t>
            </w:r>
          </w:p>
        </w:tc>
      </w:tr>
      <w:tr>
        <w:trPr>
          <w:trHeight w:val="169"/>
        </w:trPr>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1780" w:type="dxa"/>
            <w:vAlign w:val="bottom"/>
            <w:shd w:val="clear" w:color="auto" w:fill="CCEEFF"/>
          </w:tcPr>
          <w:p>
            <w:pPr>
              <w:jc w:val="right"/>
              <w:ind w:right="549"/>
              <w:spacing w:after="0" w:line="169" w:lineRule="exact"/>
              <w:rPr>
                <w:sz w:val="20"/>
                <w:szCs w:val="20"/>
                <w:color w:val="auto"/>
              </w:rPr>
            </w:pPr>
            <w:r>
              <w:rPr>
                <w:rFonts w:ascii="Arial" w:cs="Arial" w:eastAsia="Arial" w:hAnsi="Arial"/>
                <w:sz w:val="12"/>
                <w:szCs w:val="12"/>
                <w:color w:val="auto"/>
              </w:rPr>
              <w:t>483,332</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469"/>
              <w:spacing w:after="0" w:line="169" w:lineRule="exact"/>
              <w:rPr>
                <w:sz w:val="20"/>
                <w:szCs w:val="20"/>
                <w:color w:val="auto"/>
              </w:rPr>
            </w:pPr>
            <w:r>
              <w:rPr>
                <w:rFonts w:ascii="Arial" w:cs="Arial" w:eastAsia="Arial" w:hAnsi="Arial"/>
                <w:sz w:val="12"/>
                <w:szCs w:val="12"/>
                <w:color w:val="auto"/>
              </w:rPr>
              <w:t>$22.26</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550"/>
              <w:spacing w:after="0" w:line="169" w:lineRule="exact"/>
              <w:rPr>
                <w:sz w:val="20"/>
                <w:szCs w:val="20"/>
                <w:color w:val="auto"/>
              </w:rPr>
            </w:pPr>
            <w:r>
              <w:rPr>
                <w:rFonts w:ascii="Arial" w:cs="Arial" w:eastAsia="Arial" w:hAnsi="Arial"/>
                <w:sz w:val="12"/>
                <w:szCs w:val="12"/>
                <w:color w:val="auto"/>
              </w:rPr>
              <w:t>426,925</w:t>
            </w:r>
            <w:r>
              <w:rPr>
                <w:rFonts w:ascii="Arial" w:cs="Arial" w:eastAsia="Arial" w:hAnsi="Arial"/>
                <w:sz w:val="18"/>
                <w:szCs w:val="18"/>
                <w:color w:val="auto"/>
                <w:vertAlign w:val="superscript"/>
              </w:rPr>
              <w:t>(3)</w:t>
            </w:r>
          </w:p>
        </w:tc>
      </w:tr>
      <w:tr>
        <w:trPr>
          <w:trHeight w:val="162"/>
        </w:trPr>
        <w:tc>
          <w:tcPr>
            <w:tcW w:w="6040" w:type="dxa"/>
            <w:vAlign w:val="bottom"/>
            <w:gridSpan w:val="2"/>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920" w:type="dxa"/>
            <w:vAlign w:val="bottom"/>
            <w:gridSpan w:val="2"/>
          </w:tcPr>
          <w:p>
            <w:pPr>
              <w:jc w:val="right"/>
              <w:ind w:right="84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1800" w:type="dxa"/>
            <w:vAlign w:val="bottom"/>
          </w:tcPr>
          <w:p>
            <w:pPr>
              <w:jc w:val="right"/>
              <w:ind w:right="650"/>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6062345</wp:posOffset>
            </wp:positionH>
            <wp:positionV relativeFrom="paragraph">
              <wp:posOffset>-216535</wp:posOffset>
            </wp:positionV>
            <wp:extent cx="914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-216535</wp:posOffset>
            </wp:positionV>
            <wp:extent cx="914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-216535</wp:posOffset>
            </wp:positionV>
            <wp:extent cx="9144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172720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232" w:lineRule="exact"/>
        <w:rPr>
          <w:sz w:val="20"/>
          <w:szCs w:val="20"/>
          <w:color w:val="auto"/>
        </w:rPr>
      </w:pPr>
    </w:p>
    <w:p>
      <w:pPr>
        <w:ind w:left="248" w:right="520" w:hanging="248"/>
        <w:spacing w:after="0" w:line="276" w:lineRule="auto"/>
        <w:tabs>
          <w:tab w:leader="none" w:pos="248"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(i) 17,708 shares committed to be issued for performance awards granted in 2017 under the 2007 Plan (assumes actual performance for performance awards granted in 2017), (ii) 59,586 shares subject to outstanding option awards granted under the 2007 Plan, (iii) 276,490 shares committed to be</w:t>
      </w:r>
    </w:p>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317740"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1" w:name="page102"/>
    <w:bookmarkEnd w:id="101"/>
    <w:p>
      <w:pPr>
        <w:ind w:left="8"/>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40" w:lineRule="exact"/>
        <w:rPr>
          <w:sz w:val="20"/>
          <w:szCs w:val="20"/>
          <w:color w:val="auto"/>
        </w:rPr>
      </w:pPr>
    </w:p>
    <w:p>
      <w:pPr>
        <w:ind w:left="248"/>
        <w:spacing w:after="0"/>
        <w:rPr>
          <w:sz w:val="20"/>
          <w:szCs w:val="20"/>
          <w:color w:val="auto"/>
        </w:rPr>
      </w:pPr>
      <w:r>
        <w:rPr>
          <w:rFonts w:ascii="Arial" w:cs="Arial" w:eastAsia="Arial" w:hAnsi="Arial"/>
          <w:sz w:val="12"/>
          <w:szCs w:val="12"/>
          <w:color w:val="auto"/>
        </w:rPr>
        <w:t>issued for performance awards granted in 2018 and 2019 under the LTIP (assumes maximum performance) and (iv) 129,548 shares subject to outstanding restricted stock units granted under the LTIP.</w:t>
      </w:r>
    </w:p>
    <w:p>
      <w:pPr>
        <w:spacing w:after="0" w:line="51" w:lineRule="exact"/>
        <w:rPr>
          <w:sz w:val="20"/>
          <w:szCs w:val="20"/>
          <w:color w:val="auto"/>
        </w:rPr>
      </w:pPr>
    </w:p>
    <w:p>
      <w:pPr>
        <w:ind w:left="248" w:right="160" w:hanging="248"/>
        <w:spacing w:after="0" w:line="276" w:lineRule="auto"/>
        <w:tabs>
          <w:tab w:leader="none" w:pos="248"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calculation in this column includes only option awards because the shares underlying other outstanding awards will be issued upon vesting or satisfaction of relevant performance criteria without any cash consideration payable for those shares.</w:t>
      </w:r>
    </w:p>
    <w:p>
      <w:pPr>
        <w:spacing w:after="0" w:line="15" w:lineRule="exact"/>
        <w:rPr>
          <w:rFonts w:ascii="Arial" w:cs="Arial" w:eastAsia="Arial" w:hAnsi="Arial"/>
          <w:sz w:val="12"/>
          <w:szCs w:val="12"/>
          <w:color w:val="auto"/>
        </w:rPr>
      </w:pPr>
    </w:p>
    <w:p>
      <w:pPr>
        <w:ind w:left="248" w:hanging="248"/>
        <w:spacing w:after="0"/>
        <w:tabs>
          <w:tab w:leader="none" w:pos="248"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Reflects securities remaining available for future issuance under our LTIP. No further awards will be granted under the 2007 Plan.</w:t>
      </w:r>
    </w:p>
    <w:p>
      <w:pPr>
        <w:spacing w:after="0" w:line="105" w:lineRule="exact"/>
        <w:rPr>
          <w:sz w:val="20"/>
          <w:szCs w:val="20"/>
          <w:color w:val="auto"/>
        </w:rPr>
      </w:pPr>
    </w:p>
    <w:p>
      <w:pPr>
        <w:ind w:left="8" w:right="60" w:firstLine="240"/>
        <w:spacing w:after="0" w:line="276" w:lineRule="auto"/>
        <w:rPr>
          <w:sz w:val="20"/>
          <w:szCs w:val="20"/>
          <w:color w:val="auto"/>
        </w:rPr>
      </w:pPr>
      <w:r>
        <w:rPr>
          <w:rFonts w:ascii="Arial" w:cs="Arial" w:eastAsia="Arial" w:hAnsi="Arial"/>
          <w:sz w:val="12"/>
          <w:szCs w:val="12"/>
          <w:color w:val="auto"/>
        </w:rPr>
        <w:t>Other information required by this Item 12 is incorporated by reference to the information to be included in our 2020 Proxy Statement under the headings “Ownership of Equity Securities” and “Compensation Discussion and Analysis.”</w:t>
      </w:r>
    </w:p>
    <w:p>
      <w:pPr>
        <w:spacing w:after="0" w:line="111"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Certain Relationships and Related Transactions, and Director Independence</w:t>
      </w:r>
    </w:p>
    <w:p>
      <w:pPr>
        <w:spacing w:after="0" w:line="109" w:lineRule="exact"/>
        <w:rPr>
          <w:sz w:val="20"/>
          <w:szCs w:val="20"/>
          <w:color w:val="auto"/>
        </w:rPr>
      </w:pPr>
    </w:p>
    <w:p>
      <w:pPr>
        <w:ind w:left="8" w:firstLine="240"/>
        <w:spacing w:after="0" w:line="276" w:lineRule="auto"/>
        <w:rPr>
          <w:sz w:val="20"/>
          <w:szCs w:val="20"/>
          <w:color w:val="auto"/>
        </w:rPr>
      </w:pPr>
      <w:r>
        <w:rPr>
          <w:rFonts w:ascii="Arial" w:cs="Arial" w:eastAsia="Arial" w:hAnsi="Arial"/>
          <w:sz w:val="12"/>
          <w:szCs w:val="12"/>
          <w:color w:val="auto"/>
        </w:rPr>
        <w:t>The information required by this Item 13 is incorporated by reference to the information to be included in our 2020 Proxy Statement under the headings “Certain Relationships and Related Person Transactions” and “Corporate Governance — Director Independence.”</w:t>
      </w:r>
    </w:p>
    <w:p>
      <w:pPr>
        <w:spacing w:after="0" w:line="111"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Principal Accounting Fees and Services</w:t>
      </w:r>
    </w:p>
    <w:p>
      <w:pPr>
        <w:spacing w:after="0" w:line="100" w:lineRule="exact"/>
        <w:rPr>
          <w:sz w:val="20"/>
          <w:szCs w:val="20"/>
          <w:color w:val="auto"/>
        </w:rPr>
      </w:pPr>
    </w:p>
    <w:p>
      <w:pPr>
        <w:ind w:left="248"/>
        <w:spacing w:after="0"/>
        <w:rPr>
          <w:sz w:val="20"/>
          <w:szCs w:val="20"/>
          <w:color w:val="auto"/>
        </w:rPr>
      </w:pPr>
      <w:r>
        <w:rPr>
          <w:rFonts w:ascii="Arial" w:cs="Arial" w:eastAsia="Arial" w:hAnsi="Arial"/>
          <w:sz w:val="11"/>
          <w:szCs w:val="11"/>
          <w:color w:val="auto"/>
        </w:rPr>
        <w:t>The information required by this Item 14 is incorporated by reference to the information to be included in our 2020 Proxy Statement under the heading “Audit Committee Matters — Independent Auditors’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317740"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068"/>
          </w:cols>
          <w:pgMar w:left="212" w:top="134" w:right="619" w:bottom="1440" w:gutter="0" w:footer="0" w:header="0"/>
        </w:sectPr>
      </w:pPr>
    </w:p>
    <w:bookmarkStart w:id="102" w:name="page103"/>
    <w:bookmarkEnd w:id="102"/>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Exhibits and Financial Statement Schedules</w:t>
      </w:r>
    </w:p>
    <w:p>
      <w:pPr>
        <w:spacing w:after="0" w:line="100" w:lineRule="exact"/>
        <w:rPr>
          <w:sz w:val="20"/>
          <w:szCs w:val="20"/>
          <w:color w:val="auto"/>
        </w:rPr>
      </w:pPr>
    </w:p>
    <w:p>
      <w:pPr>
        <w:ind w:left="480" w:hanging="248"/>
        <w:spacing w:after="0"/>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Documents filed as part of this Report</w:t>
      </w:r>
    </w:p>
    <w:p>
      <w:pPr>
        <w:spacing w:after="0" w:line="105" w:lineRule="exact"/>
        <w:rPr>
          <w:rFonts w:ascii="Arial" w:cs="Arial" w:eastAsia="Arial" w:hAnsi="Arial"/>
          <w:sz w:val="12"/>
          <w:szCs w:val="12"/>
          <w:color w:val="auto"/>
        </w:rPr>
      </w:pPr>
    </w:p>
    <w:p>
      <w:pPr>
        <w:ind w:left="720" w:hanging="248"/>
        <w:spacing w:after="0"/>
        <w:tabs>
          <w:tab w:leader="none" w:pos="720" w:val="left"/>
        </w:tabs>
        <w:numPr>
          <w:ilvl w:val="1"/>
          <w:numId w:val="27"/>
        </w:numPr>
        <w:rPr>
          <w:rFonts w:ascii="Arial" w:cs="Arial" w:eastAsia="Arial" w:hAnsi="Arial"/>
          <w:sz w:val="12"/>
          <w:szCs w:val="12"/>
          <w:color w:val="auto"/>
        </w:rPr>
      </w:pPr>
      <w:r>
        <w:rPr>
          <w:rFonts w:ascii="Arial" w:cs="Arial" w:eastAsia="Arial" w:hAnsi="Arial"/>
          <w:sz w:val="12"/>
          <w:szCs w:val="12"/>
          <w:color w:val="auto"/>
        </w:rPr>
        <w:t>The following Financial Statements are filed herewith in Item 8 of Part II above.</w:t>
      </w:r>
    </w:p>
    <w:p>
      <w:pPr>
        <w:spacing w:after="0" w:line="105" w:lineRule="exact"/>
        <w:rPr>
          <w:rFonts w:ascii="Arial" w:cs="Arial" w:eastAsia="Arial" w:hAnsi="Arial"/>
          <w:sz w:val="12"/>
          <w:szCs w:val="12"/>
          <w:color w:val="auto"/>
        </w:rPr>
      </w:pPr>
    </w:p>
    <w:p>
      <w:pPr>
        <w:ind w:left="960" w:hanging="247"/>
        <w:spacing w:after="0"/>
        <w:tabs>
          <w:tab w:leader="none" w:pos="960" w:val="left"/>
        </w:tabs>
        <w:numPr>
          <w:ilvl w:val="2"/>
          <w:numId w:val="27"/>
        </w:numPr>
        <w:rPr>
          <w:rFonts w:ascii="Arial" w:cs="Arial" w:eastAsia="Arial" w:hAnsi="Arial"/>
          <w:sz w:val="12"/>
          <w:szCs w:val="12"/>
          <w:color w:val="auto"/>
        </w:rPr>
      </w:pPr>
      <w:r>
        <w:rPr>
          <w:rFonts w:ascii="Arial" w:cs="Arial" w:eastAsia="Arial" w:hAnsi="Arial"/>
          <w:sz w:val="12"/>
          <w:szCs w:val="12"/>
          <w:color w:val="auto"/>
        </w:rPr>
        <w:t>Report of Management</w:t>
      </w:r>
    </w:p>
    <w:p>
      <w:pPr>
        <w:spacing w:after="0" w:line="96" w:lineRule="exact"/>
        <w:rPr>
          <w:rFonts w:ascii="Arial" w:cs="Arial" w:eastAsia="Arial" w:hAnsi="Arial"/>
          <w:sz w:val="12"/>
          <w:szCs w:val="12"/>
          <w:color w:val="auto"/>
        </w:rPr>
      </w:pPr>
    </w:p>
    <w:p>
      <w:pPr>
        <w:ind w:left="960" w:hanging="247"/>
        <w:spacing w:after="0"/>
        <w:tabs>
          <w:tab w:leader="none" w:pos="960" w:val="left"/>
        </w:tabs>
        <w:numPr>
          <w:ilvl w:val="2"/>
          <w:numId w:val="27"/>
        </w:numPr>
        <w:rPr>
          <w:rFonts w:ascii="Arial" w:cs="Arial" w:eastAsia="Arial" w:hAnsi="Arial"/>
          <w:sz w:val="12"/>
          <w:szCs w:val="12"/>
          <w:color w:val="auto"/>
        </w:rPr>
      </w:pPr>
      <w:r>
        <w:rPr>
          <w:rFonts w:ascii="Arial" w:cs="Arial" w:eastAsia="Arial" w:hAnsi="Arial"/>
          <w:sz w:val="12"/>
          <w:szCs w:val="12"/>
          <w:color w:val="auto"/>
        </w:rPr>
        <w:t>Reports of Independent Registered Public Accounting Firms</w:t>
      </w:r>
    </w:p>
    <w:p>
      <w:pPr>
        <w:spacing w:after="0" w:line="105" w:lineRule="exact"/>
        <w:rPr>
          <w:rFonts w:ascii="Arial" w:cs="Arial" w:eastAsia="Arial" w:hAnsi="Arial"/>
          <w:sz w:val="12"/>
          <w:szCs w:val="12"/>
          <w:color w:val="auto"/>
        </w:rPr>
      </w:pPr>
    </w:p>
    <w:p>
      <w:pPr>
        <w:ind w:left="960" w:hanging="247"/>
        <w:spacing w:after="0"/>
        <w:tabs>
          <w:tab w:leader="none" w:pos="960"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Consolidated Balance Sheets</w:t>
      </w:r>
    </w:p>
    <w:p>
      <w:pPr>
        <w:spacing w:after="0" w:line="105" w:lineRule="exact"/>
        <w:rPr>
          <w:rFonts w:ascii="Arial" w:cs="Arial" w:eastAsia="Arial" w:hAnsi="Arial"/>
          <w:sz w:val="12"/>
          <w:szCs w:val="12"/>
          <w:color w:val="auto"/>
        </w:rPr>
      </w:pPr>
    </w:p>
    <w:p>
      <w:pPr>
        <w:ind w:left="960" w:hanging="247"/>
        <w:spacing w:after="0"/>
        <w:tabs>
          <w:tab w:leader="none" w:pos="960"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Consolidated Statements of Operations</w:t>
      </w:r>
    </w:p>
    <w:p>
      <w:pPr>
        <w:spacing w:after="0" w:line="96" w:lineRule="exact"/>
        <w:rPr>
          <w:rFonts w:ascii="Arial" w:cs="Arial" w:eastAsia="Arial" w:hAnsi="Arial"/>
          <w:sz w:val="12"/>
          <w:szCs w:val="12"/>
          <w:color w:val="auto"/>
        </w:rPr>
      </w:pPr>
    </w:p>
    <w:p>
      <w:pPr>
        <w:ind w:left="960" w:hanging="247"/>
        <w:spacing w:after="0"/>
        <w:tabs>
          <w:tab w:leader="none" w:pos="960"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Consolidated Statements of Comprehensive Income</w:t>
      </w:r>
    </w:p>
    <w:p>
      <w:pPr>
        <w:spacing w:after="0" w:line="105" w:lineRule="exact"/>
        <w:rPr>
          <w:rFonts w:ascii="Arial" w:cs="Arial" w:eastAsia="Arial" w:hAnsi="Arial"/>
          <w:sz w:val="12"/>
          <w:szCs w:val="12"/>
          <w:color w:val="auto"/>
        </w:rPr>
      </w:pPr>
    </w:p>
    <w:p>
      <w:pPr>
        <w:ind w:left="960" w:hanging="247"/>
        <w:spacing w:after="0"/>
        <w:tabs>
          <w:tab w:leader="none" w:pos="960"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Consolidated Statements of Stockholders’ Equity</w:t>
      </w:r>
    </w:p>
    <w:p>
      <w:pPr>
        <w:spacing w:after="0" w:line="105" w:lineRule="exact"/>
        <w:rPr>
          <w:rFonts w:ascii="Arial" w:cs="Arial" w:eastAsia="Arial" w:hAnsi="Arial"/>
          <w:sz w:val="12"/>
          <w:szCs w:val="12"/>
          <w:color w:val="auto"/>
        </w:rPr>
      </w:pPr>
    </w:p>
    <w:p>
      <w:pPr>
        <w:ind w:left="960" w:hanging="247"/>
        <w:spacing w:after="0"/>
        <w:tabs>
          <w:tab w:leader="none" w:pos="960"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Consolidated Statements of Cash Flows</w:t>
      </w:r>
    </w:p>
    <w:p>
      <w:pPr>
        <w:spacing w:after="0" w:line="96" w:lineRule="exact"/>
        <w:rPr>
          <w:rFonts w:ascii="Arial" w:cs="Arial" w:eastAsia="Arial" w:hAnsi="Arial"/>
          <w:sz w:val="12"/>
          <w:szCs w:val="12"/>
          <w:color w:val="auto"/>
        </w:rPr>
      </w:pPr>
    </w:p>
    <w:p>
      <w:pPr>
        <w:ind w:left="960" w:hanging="247"/>
        <w:spacing w:after="0"/>
        <w:tabs>
          <w:tab w:leader="none" w:pos="960" w:val="left"/>
        </w:tabs>
        <w:numPr>
          <w:ilvl w:val="2"/>
          <w:numId w:val="27"/>
        </w:numPr>
        <w:rPr>
          <w:rFonts w:ascii="Arial" w:cs="Arial" w:eastAsia="Arial" w:hAnsi="Arial"/>
          <w:sz w:val="12"/>
          <w:szCs w:val="12"/>
          <w:color w:val="auto"/>
        </w:rPr>
      </w:pPr>
      <w:r>
        <w:rPr>
          <w:rFonts w:ascii="Arial" w:cs="Arial" w:eastAsia="Arial" w:hAnsi="Arial"/>
          <w:sz w:val="12"/>
          <w:szCs w:val="12"/>
          <w:color w:val="auto"/>
        </w:rPr>
        <w:t>Notes to Financial Statements</w:t>
      </w:r>
    </w:p>
    <w:p>
      <w:pPr>
        <w:spacing w:after="0" w:line="105" w:lineRule="exact"/>
        <w:rPr>
          <w:rFonts w:ascii="Arial" w:cs="Arial" w:eastAsia="Arial" w:hAnsi="Arial"/>
          <w:sz w:val="12"/>
          <w:szCs w:val="12"/>
          <w:color w:val="auto"/>
        </w:rPr>
      </w:pPr>
    </w:p>
    <w:p>
      <w:pPr>
        <w:ind w:left="480" w:hanging="248"/>
        <w:spacing w:after="0"/>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Financial Statement Schedules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All other supplemental schedules are omitted because of the absence of conditions under which they are required, or the required information is shown in the notes to the Financial Statements.</w:t>
      </w:r>
    </w:p>
    <w:p>
      <w:pPr>
        <w:spacing w:after="0" w:line="14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1"/>
          <w:szCs w:val="11"/>
          <w:b w:val="1"/>
          <w:bCs w:val="1"/>
          <w:color w:val="auto"/>
        </w:rPr>
        <w:t>Form 10-K Summary</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Registrants may voluntarily include a summary of information required by Form 10-K under the Item.16. The Company has elected not to included such summary information.</w:t>
      </w:r>
    </w:p>
    <w:p>
      <w:pPr>
        <w:spacing w:after="0" w:line="105"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2"/>
          <w:szCs w:val="12"/>
          <w:color w:val="auto"/>
        </w:rPr>
        <w:t>iii)</w:t>
      </w:r>
      <w:r>
        <w:rPr>
          <w:sz w:val="20"/>
          <w:szCs w:val="20"/>
          <w:color w:val="auto"/>
        </w:rPr>
        <w:tab/>
      </w:r>
      <w:r>
        <w:rPr>
          <w:rFonts w:ascii="Arial" w:cs="Arial" w:eastAsia="Arial" w:hAnsi="Arial"/>
          <w:sz w:val="11"/>
          <w:szCs w:val="11"/>
          <w:color w:val="auto"/>
        </w:rPr>
        <w:t>Exhibit List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480" w:type="dxa"/>
            <w:vAlign w:val="bottom"/>
            <w:tcBorders>
              <w:bottom w:val="single" w:sz="8" w:color="auto"/>
            </w:tcBorders>
            <w:gridSpan w:val="7"/>
          </w:tcPr>
          <w:p>
            <w:pPr>
              <w:ind w:left="1920"/>
              <w:spacing w:after="0"/>
              <w:rPr>
                <w:sz w:val="20"/>
                <w:szCs w:val="20"/>
                <w:color w:val="auto"/>
              </w:rPr>
            </w:pPr>
            <w:r>
              <w:rPr>
                <w:rFonts w:ascii="Arial" w:cs="Arial" w:eastAsia="Arial" w:hAnsi="Arial"/>
                <w:sz w:val="10"/>
                <w:szCs w:val="10"/>
                <w:b w:val="1"/>
                <w:bCs w:val="1"/>
                <w:color w:val="auto"/>
              </w:rPr>
              <w:t>Description</w:t>
            </w:r>
          </w:p>
        </w:tc>
        <w:tc>
          <w:tcPr>
            <w:tcW w:w="20" w:type="dxa"/>
            <w:vAlign w:val="bottom"/>
          </w:tcPr>
          <w:p>
            <w:pPr>
              <w:spacing w:after="0"/>
              <w:rPr>
                <w:sz w:val="11"/>
                <w:szCs w:val="11"/>
                <w:color w:val="auto"/>
              </w:rPr>
            </w:pPr>
          </w:p>
        </w:tc>
      </w:tr>
      <w:tr>
        <w:trPr>
          <w:trHeight w:val="119"/>
        </w:trPr>
        <w:tc>
          <w:tcPr>
            <w:tcW w:w="400" w:type="dxa"/>
            <w:vAlign w:val="bottom"/>
            <w:gridSpan w:val="2"/>
          </w:tcPr>
          <w:p>
            <w:pPr>
              <w:jc w:val="center"/>
              <w:ind w:left="202"/>
              <w:spacing w:after="0" w:line="120" w:lineRule="exact"/>
              <w:rPr>
                <w:rFonts w:ascii="Arial" w:cs="Arial" w:eastAsia="Arial" w:hAnsi="Arial"/>
                <w:sz w:val="12"/>
                <w:szCs w:val="12"/>
                <w:color w:val="0000EE"/>
                <w:w w:val="83"/>
              </w:rPr>
            </w:pPr>
            <w:hyperlink r:id="rId458">
              <w:r>
                <w:rPr>
                  <w:rFonts w:ascii="Arial" w:cs="Arial" w:eastAsia="Arial" w:hAnsi="Arial"/>
                  <w:sz w:val="12"/>
                  <w:szCs w:val="12"/>
                  <w:color w:val="0000EE"/>
                  <w:w w:val="83"/>
                </w:rPr>
                <w:t>3.</w:t>
              </w:r>
              <w:r>
                <w:rPr>
                  <w:rFonts w:ascii="Arial" w:cs="Arial" w:eastAsia="Arial" w:hAnsi="Arial"/>
                  <w:sz w:val="12"/>
                  <w:szCs w:val="12"/>
                  <w:u w:val="single" w:color="auto"/>
                  <w:color w:val="0000EE"/>
                  <w:w w:val="83"/>
                </w:rPr>
                <w:t>1</w:t>
              </w:r>
            </w:hyperlink>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40" w:type="dxa"/>
            <w:vAlign w:val="bottom"/>
            <w:gridSpan w:val="12"/>
          </w:tcPr>
          <w:p>
            <w:pPr>
              <w:spacing w:after="0" w:line="120" w:lineRule="exact"/>
              <w:rPr>
                <w:rFonts w:ascii="Arial" w:cs="Arial" w:eastAsia="Arial" w:hAnsi="Arial"/>
                <w:sz w:val="12"/>
                <w:szCs w:val="12"/>
                <w:color w:val="0000EE"/>
              </w:rPr>
            </w:pPr>
            <w:hyperlink r:id="rId458">
              <w:r>
                <w:rPr>
                  <w:rFonts w:ascii="Arial" w:cs="Arial" w:eastAsia="Arial" w:hAnsi="Arial"/>
                  <w:sz w:val="12"/>
                  <w:szCs w:val="12"/>
                  <w:color w:val="0000EE"/>
                </w:rPr>
                <w:t>Restated Certificate of Incorporation, incorporated by reference to exhibit 3.1 of the Company’s Form 8-K (File No. 001-08325), filed with the SEC on May 7, 2014</w:t>
              </w:r>
            </w:hyperlink>
          </w:p>
        </w:tc>
        <w:tc>
          <w:tcPr>
            <w:tcW w:w="20" w:type="dxa"/>
            <w:vAlign w:val="bottom"/>
          </w:tcPr>
          <w:p>
            <w:pPr>
              <w:spacing w:after="0"/>
              <w:rPr>
                <w:sz w:val="10"/>
                <w:szCs w:val="10"/>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0" w:type="dxa"/>
            <w:vAlign w:val="bottom"/>
            <w:gridSpan w:val="2"/>
          </w:tcPr>
          <w:p>
            <w:pPr>
              <w:jc w:val="center"/>
              <w:ind w:left="202"/>
              <w:spacing w:after="0"/>
              <w:rPr>
                <w:rFonts w:ascii="Arial" w:cs="Arial" w:eastAsia="Arial" w:hAnsi="Arial"/>
                <w:sz w:val="12"/>
                <w:szCs w:val="12"/>
                <w:color w:val="0000EE"/>
                <w:w w:val="83"/>
              </w:rPr>
            </w:pPr>
            <w:hyperlink r:id="rId459">
              <w:r>
                <w:rPr>
                  <w:rFonts w:ascii="Arial" w:cs="Arial" w:eastAsia="Arial" w:hAnsi="Arial"/>
                  <w:sz w:val="12"/>
                  <w:szCs w:val="12"/>
                  <w:color w:val="0000EE"/>
                  <w:w w:val="83"/>
                </w:rPr>
                <w:t>3.</w:t>
              </w:r>
              <w:r>
                <w:rPr>
                  <w:rFonts w:ascii="Arial" w:cs="Arial" w:eastAsia="Arial" w:hAnsi="Arial"/>
                  <w:sz w:val="12"/>
                  <w:szCs w:val="12"/>
                  <w:u w:val="single" w:color="auto"/>
                  <w:color w:val="0000EE"/>
                  <w:w w:val="83"/>
                </w:rPr>
                <w:t>2</w:t>
              </w:r>
            </w:hyperlink>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40" w:type="dxa"/>
            <w:vAlign w:val="bottom"/>
            <w:gridSpan w:val="12"/>
          </w:tcPr>
          <w:p>
            <w:pPr>
              <w:spacing w:after="0"/>
              <w:rPr>
                <w:rFonts w:ascii="Arial" w:cs="Arial" w:eastAsia="Arial" w:hAnsi="Arial"/>
                <w:sz w:val="12"/>
                <w:szCs w:val="12"/>
                <w:color w:val="0000EE"/>
              </w:rPr>
            </w:pPr>
            <w:hyperlink r:id="rId459">
              <w:r>
                <w:rPr>
                  <w:rFonts w:ascii="Arial" w:cs="Arial" w:eastAsia="Arial" w:hAnsi="Arial"/>
                  <w:sz w:val="12"/>
                  <w:szCs w:val="12"/>
                  <w:color w:val="0000EE"/>
                </w:rPr>
                <w:t>Amended and Restated By-Laws, incorporated by reference to exhibit 3.1 of the Company’s Form 8-K (File No. 001-08325), filed with the SEC on December 22, 2015</w:t>
              </w:r>
            </w:hyperlink>
          </w:p>
        </w:tc>
        <w:tc>
          <w:tcPr>
            <w:tcW w:w="2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90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0" w:type="dxa"/>
            <w:vAlign w:val="bottom"/>
            <w:gridSpan w:val="2"/>
          </w:tcPr>
          <w:p>
            <w:pPr>
              <w:jc w:val="center"/>
              <w:ind w:left="202"/>
              <w:spacing w:after="0"/>
              <w:rPr>
                <w:rFonts w:ascii="Arial" w:cs="Arial" w:eastAsia="Arial" w:hAnsi="Arial"/>
                <w:sz w:val="12"/>
                <w:szCs w:val="12"/>
                <w:color w:val="0000EE"/>
                <w:w w:val="83"/>
              </w:rPr>
            </w:pPr>
            <w:hyperlink r:id="rId460">
              <w:r>
                <w:rPr>
                  <w:rFonts w:ascii="Arial" w:cs="Arial" w:eastAsia="Arial" w:hAnsi="Arial"/>
                  <w:sz w:val="12"/>
                  <w:szCs w:val="12"/>
                  <w:color w:val="0000EE"/>
                  <w:w w:val="83"/>
                </w:rPr>
                <w:t>4.</w:t>
              </w:r>
              <w:r>
                <w:rPr>
                  <w:rFonts w:ascii="Arial" w:cs="Arial" w:eastAsia="Arial" w:hAnsi="Arial"/>
                  <w:sz w:val="12"/>
                  <w:szCs w:val="12"/>
                  <w:u w:val="single" w:color="auto"/>
                  <w:color w:val="0000EE"/>
                  <w:w w:val="83"/>
                </w:rPr>
                <w:t>1</w:t>
              </w:r>
            </w:hyperlink>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40" w:type="dxa"/>
            <w:vAlign w:val="bottom"/>
            <w:gridSpan w:val="12"/>
          </w:tcPr>
          <w:p>
            <w:pPr>
              <w:spacing w:after="0"/>
              <w:rPr>
                <w:rFonts w:ascii="Arial" w:cs="Arial" w:eastAsia="Arial" w:hAnsi="Arial"/>
                <w:sz w:val="12"/>
                <w:szCs w:val="12"/>
                <w:color w:val="0000EE"/>
              </w:rPr>
            </w:pPr>
            <w:hyperlink r:id="rId460">
              <w:r>
                <w:rPr>
                  <w:rFonts w:ascii="Arial" w:cs="Arial" w:eastAsia="Arial" w:hAnsi="Arial"/>
                  <w:sz w:val="12"/>
                  <w:szCs w:val="12"/>
                  <w:color w:val="0000EE"/>
                </w:rPr>
                <w:t>Specimen Common Stock Certificate, incorporated by reference to exhibit 4.2 of the Company’s Registration Statement on Form S-1/A (File No. 333-148864), filed with the SEC on July 14, 2008</w:t>
              </w:r>
            </w:hyperlink>
          </w:p>
        </w:tc>
        <w:tc>
          <w:tcPr>
            <w:tcW w:w="2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400" w:type="dxa"/>
            <w:vAlign w:val="bottom"/>
            <w:gridSpan w:val="2"/>
          </w:tcPr>
          <w:p>
            <w:pPr>
              <w:jc w:val="center"/>
              <w:ind w:left="202"/>
              <w:spacing w:after="0"/>
              <w:rPr>
                <w:rFonts w:ascii="Arial" w:cs="Arial" w:eastAsia="Arial" w:hAnsi="Arial"/>
                <w:sz w:val="12"/>
                <w:szCs w:val="12"/>
                <w:color w:val="0000EE"/>
                <w:w w:val="83"/>
              </w:rPr>
            </w:pPr>
            <w:hyperlink w:anchor="page108">
              <w:r>
                <w:rPr>
                  <w:rFonts w:ascii="Arial" w:cs="Arial" w:eastAsia="Arial" w:hAnsi="Arial"/>
                  <w:sz w:val="12"/>
                  <w:szCs w:val="12"/>
                  <w:color w:val="0000EE"/>
                  <w:w w:val="83"/>
                </w:rPr>
                <w:t>4.</w:t>
              </w:r>
              <w:r>
                <w:rPr>
                  <w:rFonts w:ascii="Arial" w:cs="Arial" w:eastAsia="Arial" w:hAnsi="Arial"/>
                  <w:sz w:val="12"/>
                  <w:szCs w:val="12"/>
                  <w:u w:val="single" w:color="auto"/>
                  <w:color w:val="0000EE"/>
                  <w:w w:val="83"/>
                </w:rPr>
                <w:t>2</w:t>
              </w:r>
            </w:hyperlink>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40" w:type="dxa"/>
            <w:vAlign w:val="bottom"/>
            <w:gridSpan w:val="12"/>
          </w:tcPr>
          <w:p>
            <w:pPr>
              <w:spacing w:after="0"/>
              <w:rPr>
                <w:rFonts w:ascii="Arial" w:cs="Arial" w:eastAsia="Arial" w:hAnsi="Arial"/>
                <w:sz w:val="12"/>
                <w:szCs w:val="12"/>
                <w:color w:val="0000EE"/>
              </w:rPr>
            </w:pPr>
            <w:hyperlink w:anchor="page108">
              <w:r>
                <w:rPr>
                  <w:rFonts w:ascii="Arial" w:cs="Arial" w:eastAsia="Arial" w:hAnsi="Arial"/>
                  <w:sz w:val="12"/>
                  <w:szCs w:val="12"/>
                  <w:color w:val="0000EE"/>
                </w:rPr>
                <w:t>Description of Securities†</w:t>
              </w:r>
            </w:hyperlink>
          </w:p>
        </w:tc>
        <w:tc>
          <w:tcPr>
            <w:tcW w:w="2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140" w:type="dxa"/>
            <w:vAlign w:val="bottom"/>
          </w:tcPr>
          <w:p>
            <w:pPr>
              <w:jc w:val="center"/>
              <w:spacing w:after="0" w:line="133" w:lineRule="exact"/>
              <w:rPr>
                <w:rFonts w:ascii="Arial" w:cs="Arial" w:eastAsia="Arial" w:hAnsi="Arial"/>
                <w:sz w:val="12"/>
                <w:szCs w:val="12"/>
                <w:color w:val="0000EE"/>
                <w:w w:val="76"/>
              </w:rPr>
            </w:pPr>
            <w:hyperlink r:id="rId461">
              <w:r>
                <w:rPr>
                  <w:rFonts w:ascii="Arial" w:cs="Arial" w:eastAsia="Arial" w:hAnsi="Arial"/>
                  <w:sz w:val="12"/>
                  <w:szCs w:val="12"/>
                  <w:color w:val="0000EE"/>
                  <w:w w:val="76"/>
                </w:rPr>
                <w:t>10.</w:t>
              </w:r>
              <w:r>
                <w:rPr>
                  <w:rFonts w:ascii="Arial" w:cs="Arial" w:eastAsia="Arial" w:hAnsi="Arial"/>
                  <w:sz w:val="12"/>
                  <w:szCs w:val="12"/>
                  <w:u w:val="single" w:color="auto"/>
                  <w:color w:val="0000EE"/>
                  <w:w w:val="76"/>
                </w:rPr>
                <w:t>1</w:t>
              </w:r>
            </w:hyperlink>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40" w:type="dxa"/>
            <w:vAlign w:val="bottom"/>
            <w:gridSpan w:val="12"/>
          </w:tcPr>
          <w:p>
            <w:pPr>
              <w:spacing w:after="0" w:line="133" w:lineRule="exact"/>
              <w:rPr>
                <w:rFonts w:ascii="Arial" w:cs="Arial" w:eastAsia="Arial" w:hAnsi="Arial"/>
                <w:sz w:val="12"/>
                <w:szCs w:val="12"/>
                <w:color w:val="0000EE"/>
                <w:w w:val="93"/>
              </w:rPr>
            </w:pPr>
            <w:hyperlink r:id="rId461">
              <w:r>
                <w:rPr>
                  <w:rFonts w:ascii="Arial" w:cs="Arial" w:eastAsia="Arial" w:hAnsi="Arial"/>
                  <w:sz w:val="12"/>
                  <w:szCs w:val="12"/>
                  <w:color w:val="0000EE"/>
                  <w:w w:val="93"/>
                </w:rPr>
                <w:t>MYR Group Inc. 2007 Long-Term Incentive Plan (Amended and Restated as of May 1, 2014), incorporated by reference to exhibit 10.1 of the Company’s Form 8-K (File No. 001-08325), filed with the SEC on May 7,</w:t>
              </w:r>
            </w:hyperlink>
          </w:p>
        </w:tc>
        <w:tc>
          <w:tcPr>
            <w:tcW w:w="20" w:type="dxa"/>
            <w:vAlign w:val="bottom"/>
          </w:tcPr>
          <w:p>
            <w:pPr>
              <w:spacing w:after="0"/>
              <w:rPr>
                <w:sz w:val="11"/>
                <w:szCs w:val="1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0000EE"/>
            </w:tcBorders>
            <w:gridSpan w:val="2"/>
          </w:tcPr>
          <w:p>
            <w:pPr>
              <w:spacing w:after="0" w:line="124" w:lineRule="exact"/>
              <w:rPr>
                <w:rFonts w:ascii="Arial" w:cs="Arial" w:eastAsia="Arial" w:hAnsi="Arial"/>
                <w:sz w:val="12"/>
                <w:szCs w:val="12"/>
                <w:color w:val="0000EE"/>
                <w:w w:val="82"/>
              </w:rPr>
            </w:pPr>
            <w:hyperlink r:id="rId461">
              <w:r>
                <w:rPr>
                  <w:rFonts w:ascii="Arial" w:cs="Arial" w:eastAsia="Arial" w:hAnsi="Arial"/>
                  <w:sz w:val="12"/>
                  <w:szCs w:val="12"/>
                  <w:color w:val="0000EE"/>
                  <w:w w:val="82"/>
                </w:rPr>
                <w:t>2014+</w:t>
              </w:r>
            </w:hyperlink>
          </w:p>
        </w:tc>
        <w:tc>
          <w:tcPr>
            <w:tcW w:w="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260" w:type="dxa"/>
            <w:vAlign w:val="bottom"/>
          </w:tcPr>
          <w:p>
            <w:pPr>
              <w:spacing w:after="0"/>
              <w:rPr>
                <w:sz w:val="12"/>
                <w:szCs w:val="12"/>
                <w:color w:val="auto"/>
              </w:rPr>
            </w:pPr>
          </w:p>
        </w:tc>
        <w:tc>
          <w:tcPr>
            <w:tcW w:w="140" w:type="dxa"/>
            <w:vAlign w:val="bottom"/>
          </w:tcPr>
          <w:p>
            <w:pPr>
              <w:jc w:val="center"/>
              <w:spacing w:after="0"/>
              <w:rPr>
                <w:rFonts w:ascii="Arial" w:cs="Arial" w:eastAsia="Arial" w:hAnsi="Arial"/>
                <w:sz w:val="12"/>
                <w:szCs w:val="12"/>
                <w:color w:val="0000EE"/>
                <w:w w:val="76"/>
              </w:rPr>
            </w:pPr>
            <w:hyperlink r:id="rId462">
              <w:r>
                <w:rPr>
                  <w:rFonts w:ascii="Arial" w:cs="Arial" w:eastAsia="Arial" w:hAnsi="Arial"/>
                  <w:sz w:val="12"/>
                  <w:szCs w:val="12"/>
                  <w:color w:val="0000EE"/>
                  <w:w w:val="76"/>
                </w:rPr>
                <w:t>10.</w:t>
              </w:r>
              <w:r>
                <w:rPr>
                  <w:rFonts w:ascii="Arial" w:cs="Arial" w:eastAsia="Arial" w:hAnsi="Arial"/>
                  <w:sz w:val="12"/>
                  <w:szCs w:val="12"/>
                  <w:u w:val="single" w:color="auto"/>
                  <w:color w:val="0000EE"/>
                  <w:w w:val="76"/>
                </w:rPr>
                <w:t>2</w:t>
              </w:r>
            </w:hyperlink>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40" w:type="dxa"/>
            <w:vAlign w:val="bottom"/>
            <w:gridSpan w:val="12"/>
          </w:tcPr>
          <w:p>
            <w:pPr>
              <w:spacing w:after="0"/>
              <w:rPr>
                <w:rFonts w:ascii="Arial" w:cs="Arial" w:eastAsia="Arial" w:hAnsi="Arial"/>
                <w:sz w:val="12"/>
                <w:szCs w:val="12"/>
                <w:color w:val="0000EE"/>
                <w:w w:val="93"/>
              </w:rPr>
            </w:pPr>
            <w:hyperlink r:id="rId462">
              <w:r>
                <w:rPr>
                  <w:rFonts w:ascii="Arial" w:cs="Arial" w:eastAsia="Arial" w:hAnsi="Arial"/>
                  <w:sz w:val="12"/>
                  <w:szCs w:val="12"/>
                  <w:color w:val="0000EE"/>
                  <w:w w:val="93"/>
                </w:rPr>
                <w:t>Form of Named Executive Officer Nonqualified Stock Option Award under the 2007 Long-Term Incentive Plan, incorporated by reference to exhibit 10.1 of the Company’s Form 10-Q for the quarter ended March 31,</w:t>
              </w:r>
            </w:hyperlink>
          </w:p>
        </w:tc>
        <w:tc>
          <w:tcPr>
            <w:tcW w:w="20" w:type="dxa"/>
            <w:vAlign w:val="bottom"/>
          </w:tcPr>
          <w:p>
            <w:pPr>
              <w:spacing w:after="0"/>
              <w:rPr>
                <w:sz w:val="12"/>
                <w:szCs w:val="12"/>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1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40" w:type="dxa"/>
            <w:vAlign w:val="bottom"/>
            <w:gridSpan w:val="12"/>
          </w:tcPr>
          <w:p>
            <w:pPr>
              <w:spacing w:after="0" w:line="124" w:lineRule="exact"/>
              <w:rPr>
                <w:rFonts w:ascii="Arial" w:cs="Arial" w:eastAsia="Arial" w:hAnsi="Arial"/>
                <w:sz w:val="12"/>
                <w:szCs w:val="12"/>
                <w:color w:val="0000EE"/>
              </w:rPr>
            </w:pPr>
            <w:hyperlink r:id="rId462">
              <w:r>
                <w:rPr>
                  <w:rFonts w:ascii="Arial" w:cs="Arial" w:eastAsia="Arial" w:hAnsi="Arial"/>
                  <w:sz w:val="12"/>
                  <w:szCs w:val="12"/>
                  <w:color w:val="0000EE"/>
                </w:rPr>
                <w:t>2010 (File No. 001-08325), filed with the SEC on May 10, 2010+</w:t>
              </w:r>
            </w:hyperlink>
          </w:p>
        </w:tc>
        <w:tc>
          <w:tcPr>
            <w:tcW w:w="20" w:type="dxa"/>
            <w:vAlign w:val="bottom"/>
          </w:tcPr>
          <w:p>
            <w:pPr>
              <w:spacing w:after="0"/>
              <w:rPr>
                <w:sz w:val="10"/>
                <w:szCs w:val="10"/>
                <w:color w:val="auto"/>
              </w:rPr>
            </w:pPr>
          </w:p>
        </w:tc>
      </w:tr>
      <w:tr>
        <w:trPr>
          <w:trHeight w:val="20"/>
        </w:trPr>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140" w:type="dxa"/>
            <w:vAlign w:val="bottom"/>
          </w:tcPr>
          <w:p>
            <w:pPr>
              <w:jc w:val="center"/>
              <w:spacing w:after="0"/>
              <w:rPr>
                <w:rFonts w:ascii="Arial" w:cs="Arial" w:eastAsia="Arial" w:hAnsi="Arial"/>
                <w:sz w:val="12"/>
                <w:szCs w:val="12"/>
                <w:color w:val="0000EE"/>
                <w:w w:val="76"/>
              </w:rPr>
            </w:pPr>
            <w:hyperlink r:id="rId463">
              <w:r>
                <w:rPr>
                  <w:rFonts w:ascii="Arial" w:cs="Arial" w:eastAsia="Arial" w:hAnsi="Arial"/>
                  <w:sz w:val="12"/>
                  <w:szCs w:val="12"/>
                  <w:color w:val="0000EE"/>
                  <w:w w:val="76"/>
                </w:rPr>
                <w:t>10.</w:t>
              </w:r>
              <w:r>
                <w:rPr>
                  <w:rFonts w:ascii="Arial" w:cs="Arial" w:eastAsia="Arial" w:hAnsi="Arial"/>
                  <w:sz w:val="12"/>
                  <w:szCs w:val="12"/>
                  <w:u w:val="single" w:color="auto"/>
                  <w:color w:val="0000EE"/>
                  <w:w w:val="76"/>
                </w:rPr>
                <w:t>3</w:t>
              </w:r>
            </w:hyperlink>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40" w:type="dxa"/>
            <w:vAlign w:val="bottom"/>
            <w:gridSpan w:val="12"/>
          </w:tcPr>
          <w:p>
            <w:pPr>
              <w:spacing w:after="0"/>
              <w:rPr>
                <w:rFonts w:ascii="Arial" w:cs="Arial" w:eastAsia="Arial" w:hAnsi="Arial"/>
                <w:sz w:val="12"/>
                <w:szCs w:val="12"/>
                <w:color w:val="0000EE"/>
                <w:w w:val="92"/>
              </w:rPr>
            </w:pPr>
            <w:hyperlink r:id="rId463">
              <w:r>
                <w:rPr>
                  <w:rFonts w:ascii="Arial" w:cs="Arial" w:eastAsia="Arial" w:hAnsi="Arial"/>
                  <w:sz w:val="12"/>
                  <w:szCs w:val="12"/>
                  <w:color w:val="0000EE"/>
                  <w:w w:val="92"/>
                </w:rPr>
                <w:t>Form of Employment Agreement, dated March 11, 2010, between the Registrant and Executive Officer, incorporated by reference to exhibit 10.5 of the Company’s Form 10-Q for the quarter ended March 31, 2010 (File</w:t>
              </w:r>
            </w:hyperlink>
          </w:p>
        </w:tc>
        <w:tc>
          <w:tcPr>
            <w:tcW w:w="20" w:type="dxa"/>
            <w:vAlign w:val="bottom"/>
          </w:tcPr>
          <w:p>
            <w:pPr>
              <w:spacing w:after="0"/>
              <w:rPr>
                <w:sz w:val="12"/>
                <w:szCs w:val="12"/>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6700" w:type="dxa"/>
            <w:vAlign w:val="bottom"/>
            <w:gridSpan w:val="4"/>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40" w:type="dxa"/>
            <w:vAlign w:val="bottom"/>
            <w:tcBorders>
              <w:bottom w:val="single" w:sz="8" w:color="0000EE"/>
            </w:tcBorders>
            <w:gridSpan w:val="4"/>
          </w:tcPr>
          <w:p>
            <w:pPr>
              <w:spacing w:after="0" w:line="124" w:lineRule="exact"/>
              <w:rPr>
                <w:rFonts w:ascii="Arial" w:cs="Arial" w:eastAsia="Arial" w:hAnsi="Arial"/>
                <w:sz w:val="12"/>
                <w:szCs w:val="12"/>
                <w:color w:val="0000EE"/>
                <w:w w:val="92"/>
              </w:rPr>
            </w:pPr>
            <w:hyperlink r:id="rId463">
              <w:r>
                <w:rPr>
                  <w:rFonts w:ascii="Arial" w:cs="Arial" w:eastAsia="Arial" w:hAnsi="Arial"/>
                  <w:sz w:val="12"/>
                  <w:szCs w:val="12"/>
                  <w:color w:val="0000EE"/>
                  <w:w w:val="92"/>
                </w:rPr>
                <w:t>No. 001-08325), filed with the SEC on May 10, 2010+</w:t>
              </w:r>
            </w:hyperlink>
          </w:p>
        </w:tc>
        <w:tc>
          <w:tcPr>
            <w:tcW w:w="800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260" w:type="dxa"/>
            <w:vAlign w:val="bottom"/>
          </w:tcPr>
          <w:p>
            <w:pPr>
              <w:spacing w:after="0"/>
              <w:rPr>
                <w:sz w:val="12"/>
                <w:szCs w:val="12"/>
                <w:color w:val="auto"/>
              </w:rPr>
            </w:pPr>
          </w:p>
        </w:tc>
        <w:tc>
          <w:tcPr>
            <w:tcW w:w="140" w:type="dxa"/>
            <w:vAlign w:val="bottom"/>
          </w:tcPr>
          <w:p>
            <w:pPr>
              <w:jc w:val="center"/>
              <w:spacing w:after="0"/>
              <w:rPr>
                <w:rFonts w:ascii="Arial" w:cs="Arial" w:eastAsia="Arial" w:hAnsi="Arial"/>
                <w:sz w:val="12"/>
                <w:szCs w:val="12"/>
                <w:color w:val="0000EE"/>
                <w:w w:val="76"/>
              </w:rPr>
            </w:pPr>
            <w:hyperlink r:id="rId464">
              <w:r>
                <w:rPr>
                  <w:rFonts w:ascii="Arial" w:cs="Arial" w:eastAsia="Arial" w:hAnsi="Arial"/>
                  <w:sz w:val="12"/>
                  <w:szCs w:val="12"/>
                  <w:color w:val="0000EE"/>
                  <w:w w:val="76"/>
                </w:rPr>
                <w:t>10.</w:t>
              </w:r>
              <w:r>
                <w:rPr>
                  <w:rFonts w:ascii="Arial" w:cs="Arial" w:eastAsia="Arial" w:hAnsi="Arial"/>
                  <w:sz w:val="12"/>
                  <w:szCs w:val="12"/>
                  <w:u w:val="single" w:color="auto"/>
                  <w:color w:val="0000EE"/>
                  <w:w w:val="76"/>
                </w:rPr>
                <w:t>4</w:t>
              </w:r>
            </w:hyperlink>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40" w:type="dxa"/>
            <w:vAlign w:val="bottom"/>
            <w:gridSpan w:val="12"/>
          </w:tcPr>
          <w:p>
            <w:pPr>
              <w:spacing w:after="0"/>
              <w:rPr>
                <w:rFonts w:ascii="Arial" w:cs="Arial" w:eastAsia="Arial" w:hAnsi="Arial"/>
                <w:sz w:val="12"/>
                <w:szCs w:val="12"/>
                <w:color w:val="0000EE"/>
              </w:rPr>
            </w:pPr>
            <w:hyperlink r:id="rId464">
              <w:r>
                <w:rPr>
                  <w:rFonts w:ascii="Arial" w:cs="Arial" w:eastAsia="Arial" w:hAnsi="Arial"/>
                  <w:sz w:val="12"/>
                  <w:szCs w:val="12"/>
                  <w:color w:val="0000EE"/>
                </w:rPr>
                <w:t>Form of Indemnification Agreement for Directors and Officers, incorporated by reference to exhibit 10.1 of the Company’s Form 8-K (File No. 001-08325), filed with the SEC on May 11, 2011+</w:t>
              </w:r>
            </w:hyperlink>
          </w:p>
        </w:tc>
        <w:tc>
          <w:tcPr>
            <w:tcW w:w="20" w:type="dxa"/>
            <w:vAlign w:val="bottom"/>
          </w:tcPr>
          <w:p>
            <w:pPr>
              <w:spacing w:after="0"/>
              <w:rPr>
                <w:sz w:val="12"/>
                <w:szCs w:val="12"/>
                <w:color w:val="auto"/>
              </w:rPr>
            </w:pPr>
          </w:p>
        </w:tc>
      </w:tr>
      <w:tr>
        <w:trPr>
          <w:trHeight w:val="412"/>
        </w:trPr>
        <w:tc>
          <w:tcPr>
            <w:tcW w:w="2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7880" w:type="dxa"/>
            <w:vAlign w:val="bottom"/>
            <w:tcBorders>
              <w:top w:val="single" w:sz="8" w:color="0000EE"/>
            </w:tcBorders>
            <w:gridSpan w:val="5"/>
          </w:tcPr>
          <w:p>
            <w:pPr>
              <w:jc w:val="right"/>
              <w:ind w:right="2852"/>
              <w:spacing w:after="0"/>
              <w:rPr>
                <w:sz w:val="20"/>
                <w:szCs w:val="20"/>
                <w:color w:val="auto"/>
              </w:rPr>
            </w:pPr>
            <w:r>
              <w:rPr>
                <w:rFonts w:ascii="Arial" w:cs="Arial" w:eastAsia="Arial" w:hAnsi="Arial"/>
                <w:sz w:val="12"/>
                <w:szCs w:val="12"/>
                <w:color w:val="auto"/>
              </w:rPr>
              <w:t>102</w:t>
            </w:r>
          </w:p>
        </w:tc>
        <w:tc>
          <w:tcPr>
            <w:tcW w:w="16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47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3" w:name="page104"/>
    <w:bookmarkEnd w:id="103"/>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25" w:lineRule="exact"/>
        <w:rPr>
          <w:sz w:val="20"/>
          <w:szCs w:val="20"/>
          <w:color w:val="auto"/>
        </w:rPr>
      </w:pPr>
    </w:p>
    <w:p>
      <w:pPr>
        <w:spacing w:after="0"/>
        <w:tabs>
          <w:tab w:leader="none" w:pos="588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28662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286625" cy="5715"/>
                    </a:xfrm>
                    <a:prstGeom prst="rect">
                      <a:avLst/>
                    </a:prstGeom>
                    <a:noFill/>
                  </pic:spPr>
                </pic:pic>
              </a:graphicData>
            </a:graphic>
          </wp:anchor>
        </w:drawing>
      </w:r>
    </w:p>
    <w:p>
      <w:pPr>
        <w:spacing w:after="0" w:line="6" w:lineRule="exact"/>
        <w:rPr>
          <w:sz w:val="20"/>
          <w:szCs w:val="20"/>
          <w:color w:val="auto"/>
        </w:rPr>
      </w:pPr>
    </w:p>
    <w:p>
      <w:pPr>
        <w:ind w:left="820" w:right="160" w:hanging="590"/>
        <w:spacing w:after="0" w:line="266" w:lineRule="auto"/>
        <w:tabs>
          <w:tab w:leader="none" w:pos="800" w:val="left"/>
        </w:tabs>
        <w:rPr>
          <w:rFonts w:ascii="Arial" w:cs="Arial" w:eastAsia="Arial" w:hAnsi="Arial"/>
          <w:sz w:val="12"/>
          <w:szCs w:val="12"/>
          <w:u w:val="single" w:color="auto"/>
          <w:color w:val="0000EE"/>
        </w:rPr>
      </w:pPr>
      <w:hyperlink r:id="rId468">
        <w:r>
          <w:rPr>
            <w:rFonts w:ascii="Arial" w:cs="Arial" w:eastAsia="Arial" w:hAnsi="Arial"/>
            <w:sz w:val="12"/>
            <w:szCs w:val="12"/>
            <w:u w:val="single" w:color="auto"/>
            <w:color w:val="0000EE"/>
          </w:rPr>
          <w:t>10.5</w:t>
        </w:r>
      </w:hyperlink>
      <w:r>
        <w:rPr>
          <w:rFonts w:ascii="Arial" w:cs="Arial" w:eastAsia="Arial" w:hAnsi="Arial"/>
          <w:sz w:val="12"/>
          <w:szCs w:val="12"/>
          <w:u w:val="single" w:color="auto"/>
          <w:color w:val="0000EE"/>
        </w:rPr>
        <w:tab/>
      </w:r>
      <w:hyperlink r:id="rId468">
        <w:r>
          <w:rPr>
            <w:rFonts w:ascii="Arial" w:cs="Arial" w:eastAsia="Arial" w:hAnsi="Arial"/>
            <w:sz w:val="12"/>
            <w:szCs w:val="12"/>
            <w:u w:val="single" w:color="auto"/>
            <w:color w:val="0000EE"/>
          </w:rPr>
          <w:t>MYR Group Senior Management Incentive Plan, Amended and Restated as of May 1, 2014, incorporated by reference to exhibit 10.2 of the Company’s Current Report on Form 8-K (File No. 001-08325), filed with the</w:t>
        </w:r>
      </w:hyperlink>
      <w:r>
        <w:rPr>
          <w:rFonts w:ascii="Arial" w:cs="Arial" w:eastAsia="Arial" w:hAnsi="Arial"/>
          <w:sz w:val="12"/>
          <w:szCs w:val="12"/>
          <w:u w:val="single" w:color="auto"/>
          <w:color w:val="0000EE"/>
        </w:rPr>
        <w:t xml:space="preserve"> </w:t>
      </w:r>
      <w:hyperlink r:id="rId468">
        <w:r>
          <w:rPr>
            <w:rFonts w:ascii="Arial" w:cs="Arial" w:eastAsia="Arial" w:hAnsi="Arial"/>
            <w:sz w:val="12"/>
            <w:szCs w:val="12"/>
            <w:u w:val="single" w:color="auto"/>
            <w:color w:val="0000EE"/>
          </w:rPr>
          <w:t>SEC on May 7, 2014+</w:t>
        </w:r>
      </w:hyperlink>
    </w:p>
    <w:p>
      <w:pPr>
        <w:ind w:left="220"/>
        <w:spacing w:after="0"/>
        <w:tabs>
          <w:tab w:leader="none" w:pos="800" w:val="left"/>
        </w:tabs>
        <w:rPr>
          <w:rFonts w:ascii="Arial" w:cs="Arial" w:eastAsia="Arial" w:hAnsi="Arial"/>
          <w:sz w:val="10"/>
          <w:szCs w:val="10"/>
          <w:u w:val="single" w:color="auto"/>
          <w:color w:val="0000EE"/>
        </w:rPr>
      </w:pPr>
      <w:hyperlink r:id="rId469">
        <w:r>
          <w:rPr>
            <w:rFonts w:ascii="Arial" w:cs="Arial" w:eastAsia="Arial" w:hAnsi="Arial"/>
            <w:sz w:val="12"/>
            <w:szCs w:val="12"/>
            <w:u w:val="single" w:color="auto"/>
            <w:color w:val="0000EE"/>
          </w:rPr>
          <w:t>10.6</w:t>
        </w:r>
      </w:hyperlink>
      <w:r>
        <w:rPr>
          <w:rFonts w:ascii="Arial" w:cs="Arial" w:eastAsia="Arial" w:hAnsi="Arial"/>
          <w:sz w:val="12"/>
          <w:szCs w:val="12"/>
          <w:u w:val="single" w:color="auto"/>
          <w:color w:val="0000EE"/>
        </w:rPr>
        <w:tab/>
      </w:r>
      <w:hyperlink r:id="rId469">
        <w:r>
          <w:rPr>
            <w:rFonts w:ascii="Arial" w:cs="Arial" w:eastAsia="Arial" w:hAnsi="Arial"/>
            <w:sz w:val="10"/>
            <w:szCs w:val="10"/>
            <w:u w:val="single" w:color="auto"/>
            <w:color w:val="0000EE"/>
          </w:rPr>
          <w:t>Form of Named Executive Officer Restricted Stock Award under 2007 Long-Term Incentive Plan, incorporated by reference to exhibit 10.15 of the Company’s Form 10-K for the year ended December 31, 2013 (File No.</w:t>
        </w:r>
      </w:hyperlink>
    </w:p>
    <w:p>
      <w:pPr>
        <w:spacing w:after="0" w:line="15" w:lineRule="exact"/>
        <w:rPr>
          <w:sz w:val="20"/>
          <w:szCs w:val="20"/>
          <w:color w:val="auto"/>
        </w:rPr>
      </w:pPr>
    </w:p>
    <w:p>
      <w:pPr>
        <w:ind w:left="820"/>
        <w:spacing w:after="0"/>
        <w:rPr>
          <w:rFonts w:ascii="Arial" w:cs="Arial" w:eastAsia="Arial" w:hAnsi="Arial"/>
          <w:sz w:val="12"/>
          <w:szCs w:val="12"/>
          <w:u w:val="single" w:color="auto"/>
          <w:color w:val="0000EE"/>
        </w:rPr>
      </w:pPr>
      <w:hyperlink r:id="rId469">
        <w:r>
          <w:rPr>
            <w:rFonts w:ascii="Arial" w:cs="Arial" w:eastAsia="Arial" w:hAnsi="Arial"/>
            <w:sz w:val="12"/>
            <w:szCs w:val="12"/>
            <w:u w:val="single" w:color="auto"/>
            <w:color w:val="0000EE"/>
          </w:rPr>
          <w:t>001-08325), filed with the SEC on March 5, 2014+</w:t>
        </w:r>
      </w:hyperlink>
    </w:p>
    <w:p>
      <w:pPr>
        <w:spacing w:after="0" w:line="15" w:lineRule="exact"/>
        <w:rPr>
          <w:sz w:val="20"/>
          <w:szCs w:val="20"/>
          <w:color w:val="auto"/>
        </w:rPr>
      </w:pPr>
    </w:p>
    <w:p>
      <w:pPr>
        <w:ind w:left="820" w:right="160" w:hanging="590"/>
        <w:spacing w:after="0" w:line="266" w:lineRule="auto"/>
        <w:tabs>
          <w:tab w:leader="none" w:pos="800" w:val="left"/>
        </w:tabs>
        <w:rPr>
          <w:rFonts w:ascii="Arial" w:cs="Arial" w:eastAsia="Arial" w:hAnsi="Arial"/>
          <w:sz w:val="12"/>
          <w:szCs w:val="12"/>
          <w:u w:val="single" w:color="auto"/>
          <w:color w:val="0000EE"/>
        </w:rPr>
      </w:pPr>
      <w:hyperlink r:id="rId470">
        <w:r>
          <w:rPr>
            <w:rFonts w:ascii="Arial" w:cs="Arial" w:eastAsia="Arial" w:hAnsi="Arial"/>
            <w:sz w:val="12"/>
            <w:szCs w:val="12"/>
            <w:u w:val="single" w:color="auto"/>
            <w:color w:val="0000EE"/>
          </w:rPr>
          <w:t>10.7</w:t>
        </w:r>
      </w:hyperlink>
      <w:r>
        <w:rPr>
          <w:rFonts w:ascii="Arial" w:cs="Arial" w:eastAsia="Arial" w:hAnsi="Arial"/>
          <w:sz w:val="12"/>
          <w:szCs w:val="12"/>
          <w:u w:val="single" w:color="auto"/>
          <w:color w:val="0000EE"/>
        </w:rPr>
        <w:tab/>
      </w:r>
      <w:hyperlink r:id="rId470">
        <w:r>
          <w:rPr>
            <w:rFonts w:ascii="Arial" w:cs="Arial" w:eastAsia="Arial" w:hAnsi="Arial"/>
            <w:sz w:val="12"/>
            <w:szCs w:val="12"/>
            <w:u w:val="single" w:color="auto"/>
            <w:color w:val="0000EE"/>
          </w:rPr>
          <w:t>Form of Named Executive Officer Performance Share Award under 2007 Long-Term Incentive Plan, incorporated by reference to exhibit 10.16 of the Company’s Form 10-K for the year ended December 31, 2013 (File</w:t>
        </w:r>
      </w:hyperlink>
      <w:r>
        <w:rPr>
          <w:rFonts w:ascii="Arial" w:cs="Arial" w:eastAsia="Arial" w:hAnsi="Arial"/>
          <w:sz w:val="12"/>
          <w:szCs w:val="12"/>
          <w:u w:val="single" w:color="auto"/>
          <w:color w:val="0000EE"/>
        </w:rPr>
        <w:t xml:space="preserve"> </w:t>
      </w:r>
      <w:hyperlink r:id="rId470">
        <w:r>
          <w:rPr>
            <w:rFonts w:ascii="Arial" w:cs="Arial" w:eastAsia="Arial" w:hAnsi="Arial"/>
            <w:sz w:val="12"/>
            <w:szCs w:val="12"/>
            <w:u w:val="single" w:color="auto"/>
            <w:color w:val="0000EE"/>
          </w:rPr>
          <w:t>No. 001-08325), filed with the SEC on March 5, 2014+</w:t>
        </w:r>
      </w:hyperlink>
    </w:p>
    <w:p>
      <w:pPr>
        <w:ind w:left="220"/>
        <w:spacing w:after="0"/>
        <w:tabs>
          <w:tab w:leader="none" w:pos="800" w:val="left"/>
        </w:tabs>
        <w:rPr>
          <w:rFonts w:ascii="Arial" w:cs="Arial" w:eastAsia="Arial" w:hAnsi="Arial"/>
          <w:sz w:val="10"/>
          <w:szCs w:val="10"/>
          <w:u w:val="single" w:color="auto"/>
          <w:color w:val="0000EE"/>
        </w:rPr>
      </w:pPr>
      <w:hyperlink r:id="rId471">
        <w:r>
          <w:rPr>
            <w:rFonts w:ascii="Arial" w:cs="Arial" w:eastAsia="Arial" w:hAnsi="Arial"/>
            <w:sz w:val="12"/>
            <w:szCs w:val="12"/>
            <w:u w:val="single" w:color="auto"/>
            <w:color w:val="0000EE"/>
          </w:rPr>
          <w:t>10.8</w:t>
        </w:r>
      </w:hyperlink>
      <w:r>
        <w:rPr>
          <w:rFonts w:ascii="Arial" w:cs="Arial" w:eastAsia="Arial" w:hAnsi="Arial"/>
          <w:sz w:val="12"/>
          <w:szCs w:val="12"/>
          <w:u w:val="single" w:color="auto"/>
          <w:color w:val="0000EE"/>
        </w:rPr>
        <w:tab/>
      </w:r>
      <w:hyperlink r:id="rId471">
        <w:r>
          <w:rPr>
            <w:rFonts w:ascii="Arial" w:cs="Arial" w:eastAsia="Arial" w:hAnsi="Arial"/>
            <w:sz w:val="10"/>
            <w:szCs w:val="10"/>
            <w:u w:val="single" w:color="auto"/>
            <w:color w:val="0000EE"/>
          </w:rPr>
          <w:t>Form of Independent Director Restricted Stock Award under 2007 Long-Term Incentive Plan, incorporated by reference to exhibit 10.17 of the Company’s Form 10-K for the year ended December 31, 2013 (File No. 001-</w:t>
        </w:r>
      </w:hyperlink>
    </w:p>
    <w:p>
      <w:pPr>
        <w:spacing w:after="0" w:line="15" w:lineRule="exact"/>
        <w:rPr>
          <w:sz w:val="20"/>
          <w:szCs w:val="20"/>
          <w:color w:val="auto"/>
        </w:rPr>
      </w:pPr>
    </w:p>
    <w:p>
      <w:pPr>
        <w:ind w:left="820"/>
        <w:spacing w:after="0"/>
        <w:rPr>
          <w:rFonts w:ascii="Arial" w:cs="Arial" w:eastAsia="Arial" w:hAnsi="Arial"/>
          <w:sz w:val="12"/>
          <w:szCs w:val="12"/>
          <w:u w:val="single" w:color="auto"/>
          <w:color w:val="0000EE"/>
        </w:rPr>
      </w:pPr>
      <w:hyperlink r:id="rId471">
        <w:r>
          <w:rPr>
            <w:rFonts w:ascii="Arial" w:cs="Arial" w:eastAsia="Arial" w:hAnsi="Arial"/>
            <w:sz w:val="12"/>
            <w:szCs w:val="12"/>
            <w:u w:val="single" w:color="auto"/>
            <w:color w:val="0000EE"/>
          </w:rPr>
          <w:t>08325), filed with the SEC on March 5, 2014+</w:t>
        </w:r>
      </w:hyperlink>
    </w:p>
    <w:p>
      <w:pPr>
        <w:spacing w:after="0" w:line="15" w:lineRule="exact"/>
        <w:rPr>
          <w:sz w:val="20"/>
          <w:szCs w:val="20"/>
          <w:color w:val="auto"/>
        </w:rPr>
      </w:pPr>
    </w:p>
    <w:p>
      <w:pPr>
        <w:ind w:left="820" w:right="260" w:hanging="590"/>
        <w:spacing w:after="0" w:line="266" w:lineRule="auto"/>
        <w:tabs>
          <w:tab w:leader="none" w:pos="800" w:val="left"/>
        </w:tabs>
        <w:rPr>
          <w:rFonts w:ascii="Arial" w:cs="Arial" w:eastAsia="Arial" w:hAnsi="Arial"/>
          <w:sz w:val="12"/>
          <w:szCs w:val="12"/>
          <w:u w:val="single" w:color="auto"/>
          <w:color w:val="0000EE"/>
        </w:rPr>
      </w:pPr>
      <w:hyperlink r:id="rId472">
        <w:r>
          <w:rPr>
            <w:rFonts w:ascii="Arial" w:cs="Arial" w:eastAsia="Arial" w:hAnsi="Arial"/>
            <w:sz w:val="12"/>
            <w:szCs w:val="12"/>
            <w:u w:val="single" w:color="auto"/>
            <w:color w:val="0000EE"/>
          </w:rPr>
          <w:t>10.9</w:t>
        </w:r>
      </w:hyperlink>
      <w:r>
        <w:rPr>
          <w:rFonts w:ascii="Arial" w:cs="Arial" w:eastAsia="Arial" w:hAnsi="Arial"/>
          <w:sz w:val="12"/>
          <w:szCs w:val="12"/>
          <w:u w:val="single" w:color="auto"/>
          <w:color w:val="0000EE"/>
        </w:rPr>
        <w:tab/>
      </w:r>
      <w:hyperlink r:id="rId472">
        <w:r>
          <w:rPr>
            <w:rFonts w:ascii="Arial" w:cs="Arial" w:eastAsia="Arial" w:hAnsi="Arial"/>
            <w:sz w:val="12"/>
            <w:szCs w:val="12"/>
            <w:u w:val="single" w:color="auto"/>
            <w:color w:val="0000EE"/>
          </w:rPr>
          <w:t>Form of Independent Director Phantom Stock and Dividend Equivalents Award under the 2007 Long-Term Incentive Plan, incorporated by reference to exhibit 10.1 of the Company’s Form 10-Q for the quarter ended</w:t>
        </w:r>
      </w:hyperlink>
      <w:r>
        <w:rPr>
          <w:rFonts w:ascii="Arial" w:cs="Arial" w:eastAsia="Arial" w:hAnsi="Arial"/>
          <w:sz w:val="12"/>
          <w:szCs w:val="12"/>
          <w:u w:val="single" w:color="auto"/>
          <w:color w:val="0000EE"/>
        </w:rPr>
        <w:t xml:space="preserve"> </w:t>
      </w:r>
      <w:hyperlink r:id="rId472">
        <w:r>
          <w:rPr>
            <w:rFonts w:ascii="Arial" w:cs="Arial" w:eastAsia="Arial" w:hAnsi="Arial"/>
            <w:sz w:val="12"/>
            <w:szCs w:val="12"/>
            <w:u w:val="single" w:color="auto"/>
            <w:color w:val="0000EE"/>
          </w:rPr>
          <w:t>June 30, 2015 (File No. 001-08325), filed with the SEC on August 5, 2015+</w:t>
        </w:r>
      </w:hyperlink>
    </w:p>
    <w:p>
      <w:pPr>
        <w:ind w:left="200"/>
        <w:spacing w:after="0"/>
        <w:tabs>
          <w:tab w:leader="none" w:pos="800" w:val="left"/>
        </w:tabs>
        <w:rPr>
          <w:rFonts w:ascii="Arial" w:cs="Arial" w:eastAsia="Arial" w:hAnsi="Arial"/>
          <w:sz w:val="10"/>
          <w:szCs w:val="10"/>
          <w:u w:val="single" w:color="auto"/>
          <w:color w:val="0000EE"/>
        </w:rPr>
      </w:pPr>
      <w:hyperlink r:id="rId473">
        <w:r>
          <w:rPr>
            <w:rFonts w:ascii="Arial" w:cs="Arial" w:eastAsia="Arial" w:hAnsi="Arial"/>
            <w:sz w:val="12"/>
            <w:szCs w:val="12"/>
            <w:u w:val="single" w:color="auto"/>
            <w:color w:val="0000EE"/>
          </w:rPr>
          <w:t>10.10</w:t>
        </w:r>
      </w:hyperlink>
      <w:r>
        <w:rPr>
          <w:rFonts w:ascii="Arial" w:cs="Arial" w:eastAsia="Arial" w:hAnsi="Arial"/>
          <w:sz w:val="12"/>
          <w:szCs w:val="12"/>
          <w:u w:val="single" w:color="auto"/>
          <w:color w:val="0000EE"/>
        </w:rPr>
        <w:tab/>
      </w:r>
      <w:hyperlink r:id="rId473">
        <w:r>
          <w:rPr>
            <w:rFonts w:ascii="Arial" w:cs="Arial" w:eastAsia="Arial" w:hAnsi="Arial"/>
            <w:sz w:val="10"/>
            <w:szCs w:val="10"/>
            <w:u w:val="single" w:color="auto"/>
            <w:color w:val="0000EE"/>
          </w:rPr>
          <w:t>Employment agreement with Betty R. Johnson, incorporated by reference to exhibit 10.1 of the Company’s Form 10-Q for the quarter ended September 30, 2015 (File No. 001-08325), filed with the SEC on November 4,</w:t>
        </w:r>
      </w:hyperlink>
    </w:p>
    <w:p>
      <w:pPr>
        <w:spacing w:after="0" w:line="15" w:lineRule="exact"/>
        <w:rPr>
          <w:sz w:val="20"/>
          <w:szCs w:val="20"/>
          <w:color w:val="auto"/>
        </w:rPr>
      </w:pPr>
    </w:p>
    <w:p>
      <w:pPr>
        <w:ind w:left="820"/>
        <w:spacing w:after="0"/>
        <w:rPr>
          <w:rFonts w:ascii="Arial" w:cs="Arial" w:eastAsia="Arial" w:hAnsi="Arial"/>
          <w:sz w:val="12"/>
          <w:szCs w:val="12"/>
          <w:u w:val="single" w:color="auto"/>
          <w:color w:val="0000EE"/>
        </w:rPr>
      </w:pPr>
      <w:hyperlink r:id="rId473">
        <w:r>
          <w:rPr>
            <w:rFonts w:ascii="Arial" w:cs="Arial" w:eastAsia="Arial" w:hAnsi="Arial"/>
            <w:sz w:val="12"/>
            <w:szCs w:val="12"/>
            <w:u w:val="single" w:color="auto"/>
            <w:color w:val="0000EE"/>
          </w:rPr>
          <w:t>2015+</w:t>
        </w:r>
      </w:hyperlink>
    </w:p>
    <w:p>
      <w:pPr>
        <w:spacing w:after="0" w:line="15" w:lineRule="exact"/>
        <w:rPr>
          <w:sz w:val="20"/>
          <w:szCs w:val="20"/>
          <w:color w:val="auto"/>
        </w:rPr>
      </w:pPr>
    </w:p>
    <w:p>
      <w:pPr>
        <w:ind w:left="200"/>
        <w:spacing w:after="0"/>
        <w:tabs>
          <w:tab w:leader="none" w:pos="800" w:val="left"/>
        </w:tabs>
        <w:rPr>
          <w:rFonts w:ascii="Arial" w:cs="Arial" w:eastAsia="Arial" w:hAnsi="Arial"/>
          <w:sz w:val="10"/>
          <w:szCs w:val="10"/>
          <w:u w:val="single" w:color="auto"/>
          <w:color w:val="0000EE"/>
        </w:rPr>
      </w:pPr>
      <w:hyperlink r:id="rId474">
        <w:r>
          <w:rPr>
            <w:rFonts w:ascii="Arial" w:cs="Arial" w:eastAsia="Arial" w:hAnsi="Arial"/>
            <w:sz w:val="12"/>
            <w:szCs w:val="12"/>
            <w:u w:val="single" w:color="auto"/>
            <w:color w:val="0000EE"/>
          </w:rPr>
          <w:t>10.11</w:t>
        </w:r>
      </w:hyperlink>
      <w:r>
        <w:rPr>
          <w:rFonts w:ascii="Arial" w:cs="Arial" w:eastAsia="Arial" w:hAnsi="Arial"/>
          <w:sz w:val="12"/>
          <w:szCs w:val="12"/>
          <w:u w:val="single" w:color="auto"/>
          <w:color w:val="0000EE"/>
        </w:rPr>
        <w:tab/>
      </w:r>
      <w:hyperlink r:id="rId474">
        <w:r>
          <w:rPr>
            <w:rFonts w:ascii="Arial" w:cs="Arial" w:eastAsia="Arial" w:hAnsi="Arial"/>
            <w:sz w:val="10"/>
            <w:szCs w:val="10"/>
            <w:u w:val="single" w:color="auto"/>
            <w:color w:val="0000EE"/>
          </w:rPr>
          <w:t>Employment Agreement, dated April 29, 2015 between the Company and Tod Cooper, incorporated by reference to exhibit 10.21 of the Company’s Form 10-K for the year ended December 31, 2015 (File No. 001-</w:t>
        </w:r>
      </w:hyperlink>
    </w:p>
    <w:p>
      <w:pPr>
        <w:spacing w:after="0" w:line="15" w:lineRule="exact"/>
        <w:rPr>
          <w:sz w:val="20"/>
          <w:szCs w:val="20"/>
          <w:color w:val="auto"/>
        </w:rPr>
      </w:pPr>
    </w:p>
    <w:p>
      <w:pPr>
        <w:ind w:left="820"/>
        <w:spacing w:after="0"/>
        <w:rPr>
          <w:rFonts w:ascii="Arial" w:cs="Arial" w:eastAsia="Arial" w:hAnsi="Arial"/>
          <w:sz w:val="12"/>
          <w:szCs w:val="12"/>
          <w:u w:val="single" w:color="auto"/>
          <w:color w:val="0000EE"/>
        </w:rPr>
      </w:pPr>
      <w:hyperlink r:id="rId474">
        <w:r>
          <w:rPr>
            <w:rFonts w:ascii="Arial" w:cs="Arial" w:eastAsia="Arial" w:hAnsi="Arial"/>
            <w:sz w:val="12"/>
            <w:szCs w:val="12"/>
            <w:u w:val="single" w:color="auto"/>
            <w:color w:val="0000EE"/>
          </w:rPr>
          <w:t>08325), filed with the SEC on March 3, 2016+</w:t>
        </w:r>
      </w:hyperlink>
    </w:p>
    <w:p>
      <w:pPr>
        <w:spacing w:after="0" w:line="15" w:lineRule="exact"/>
        <w:rPr>
          <w:sz w:val="20"/>
          <w:szCs w:val="20"/>
          <w:color w:val="auto"/>
        </w:rPr>
      </w:pPr>
    </w:p>
    <w:p>
      <w:pPr>
        <w:ind w:left="820" w:right="340" w:hanging="620"/>
        <w:spacing w:after="0" w:line="290" w:lineRule="auto"/>
        <w:tabs>
          <w:tab w:leader="none" w:pos="800" w:val="left"/>
        </w:tabs>
        <w:rPr>
          <w:rFonts w:ascii="Arial" w:cs="Arial" w:eastAsia="Arial" w:hAnsi="Arial"/>
          <w:sz w:val="11"/>
          <w:szCs w:val="11"/>
          <w:u w:val="single" w:color="auto"/>
          <w:color w:val="0000EE"/>
        </w:rPr>
      </w:pPr>
      <w:hyperlink r:id="rId475">
        <w:r>
          <w:rPr>
            <w:rFonts w:ascii="Arial" w:cs="Arial" w:eastAsia="Arial" w:hAnsi="Arial"/>
            <w:sz w:val="12"/>
            <w:szCs w:val="12"/>
            <w:u w:val="single" w:color="auto"/>
            <w:color w:val="0000EE"/>
          </w:rPr>
          <w:t>10.12</w:t>
        </w:r>
      </w:hyperlink>
      <w:r>
        <w:rPr>
          <w:rFonts w:ascii="Arial" w:cs="Arial" w:eastAsia="Arial" w:hAnsi="Arial"/>
          <w:sz w:val="12"/>
          <w:szCs w:val="12"/>
          <w:u w:val="single" w:color="auto"/>
          <w:color w:val="0000EE"/>
        </w:rPr>
        <w:tab/>
      </w:r>
      <w:hyperlink r:id="rId475">
        <w:r>
          <w:rPr>
            <w:rFonts w:ascii="Arial" w:cs="Arial" w:eastAsia="Arial" w:hAnsi="Arial"/>
            <w:sz w:val="11"/>
            <w:szCs w:val="11"/>
            <w:u w:val="single" w:color="auto"/>
            <w:color w:val="0000EE"/>
          </w:rPr>
          <w:t>Agreement, dated March 22, 2016, by and among MYR Group Inc., Engine Capital Management, LLC, Engine Capital, L.P., Engine Jet Capital, L.P., Engine Airflow Capital, L.P., Engine Investments, LLC, Engine</w:t>
        </w:r>
      </w:hyperlink>
      <w:r>
        <w:rPr>
          <w:rFonts w:ascii="Arial" w:cs="Arial" w:eastAsia="Arial" w:hAnsi="Arial"/>
          <w:sz w:val="11"/>
          <w:szCs w:val="11"/>
          <w:u w:val="single" w:color="auto"/>
          <w:color w:val="0000EE"/>
        </w:rPr>
        <w:t xml:space="preserve"> </w:t>
      </w:r>
      <w:hyperlink r:id="rId475">
        <w:r>
          <w:rPr>
            <w:rFonts w:ascii="Arial" w:cs="Arial" w:eastAsia="Arial" w:hAnsi="Arial"/>
            <w:sz w:val="11"/>
            <w:szCs w:val="11"/>
            <w:u w:val="single" w:color="auto"/>
            <w:color w:val="0000EE"/>
          </w:rPr>
          <w:t>Investments II, LLC, Arnaud Ajdler and John P. Schauerman, incorporated by reference to exhibit 10.1 of the Company’s Current Report on Form 8-K (File No. 001-08325), filed with the SEC on March 23, 2016</w:t>
        </w:r>
      </w:hyperlink>
    </w:p>
    <w:p>
      <w:pPr>
        <w:spacing w:after="0" w:line="1" w:lineRule="exact"/>
        <w:rPr>
          <w:rFonts w:ascii="Arial" w:cs="Arial" w:eastAsia="Arial" w:hAnsi="Arial"/>
          <w:sz w:val="12"/>
          <w:szCs w:val="12"/>
          <w:u w:val="single" w:color="auto"/>
          <w:color w:val="0000EE"/>
        </w:rPr>
      </w:pPr>
    </w:p>
    <w:p>
      <w:pPr>
        <w:ind w:left="820" w:right="420" w:hanging="620"/>
        <w:spacing w:after="0" w:line="266" w:lineRule="auto"/>
        <w:tabs>
          <w:tab w:leader="none" w:pos="800" w:val="left"/>
        </w:tabs>
        <w:rPr>
          <w:rFonts w:ascii="Arial" w:cs="Arial" w:eastAsia="Arial" w:hAnsi="Arial"/>
          <w:sz w:val="12"/>
          <w:szCs w:val="12"/>
          <w:u w:val="single" w:color="auto"/>
          <w:color w:val="0000EE"/>
        </w:rPr>
      </w:pPr>
      <w:hyperlink r:id="rId476">
        <w:r>
          <w:rPr>
            <w:rFonts w:ascii="Arial" w:cs="Arial" w:eastAsia="Arial" w:hAnsi="Arial"/>
            <w:sz w:val="12"/>
            <w:szCs w:val="12"/>
            <w:u w:val="single" w:color="auto"/>
            <w:color w:val="0000EE"/>
          </w:rPr>
          <w:t>10.13</w:t>
        </w:r>
      </w:hyperlink>
      <w:r>
        <w:rPr>
          <w:rFonts w:ascii="Arial" w:cs="Arial" w:eastAsia="Arial" w:hAnsi="Arial"/>
          <w:sz w:val="12"/>
          <w:szCs w:val="12"/>
          <w:u w:val="single" w:color="auto"/>
          <w:color w:val="0000EE"/>
        </w:rPr>
        <w:tab/>
      </w:r>
      <w:hyperlink r:id="rId476">
        <w:r>
          <w:rPr>
            <w:rFonts w:ascii="Arial" w:cs="Arial" w:eastAsia="Arial" w:hAnsi="Arial"/>
            <w:sz w:val="12"/>
            <w:szCs w:val="12"/>
            <w:u w:val="single" w:color="auto"/>
            <w:color w:val="0000EE"/>
          </w:rPr>
          <w:t>Amended and Restated Employment Agreement, dated January 1, 2017, between the Company and William A. Koertner, incorporated by reference to exhibit 10.24 of the Company’s Form 10-K for the year ended</w:t>
        </w:r>
      </w:hyperlink>
      <w:r>
        <w:rPr>
          <w:rFonts w:ascii="Arial" w:cs="Arial" w:eastAsia="Arial" w:hAnsi="Arial"/>
          <w:sz w:val="12"/>
          <w:szCs w:val="12"/>
          <w:u w:val="single" w:color="auto"/>
          <w:color w:val="0000EE"/>
        </w:rPr>
        <w:t xml:space="preserve"> </w:t>
      </w:r>
      <w:hyperlink r:id="rId476">
        <w:r>
          <w:rPr>
            <w:rFonts w:ascii="Arial" w:cs="Arial" w:eastAsia="Arial" w:hAnsi="Arial"/>
            <w:sz w:val="12"/>
            <w:szCs w:val="12"/>
            <w:u w:val="single" w:color="auto"/>
            <w:color w:val="0000EE"/>
          </w:rPr>
          <w:t>December 31, 2016 (File No. 001-08325), filed with the SEC on March 9, 2017+</w:t>
        </w:r>
      </w:hyperlink>
    </w:p>
    <w:p>
      <w:pPr>
        <w:ind w:left="820" w:right="580" w:hanging="620"/>
        <w:spacing w:after="0" w:line="266" w:lineRule="auto"/>
        <w:tabs>
          <w:tab w:leader="none" w:pos="800" w:val="left"/>
        </w:tabs>
        <w:rPr>
          <w:rFonts w:ascii="Arial" w:cs="Arial" w:eastAsia="Arial" w:hAnsi="Arial"/>
          <w:sz w:val="12"/>
          <w:szCs w:val="12"/>
          <w:u w:val="single" w:color="auto"/>
          <w:color w:val="0000EE"/>
        </w:rPr>
      </w:pPr>
      <w:hyperlink r:id="rId477">
        <w:r>
          <w:rPr>
            <w:rFonts w:ascii="Arial" w:cs="Arial" w:eastAsia="Arial" w:hAnsi="Arial"/>
            <w:sz w:val="12"/>
            <w:szCs w:val="12"/>
            <w:u w:val="single" w:color="auto"/>
            <w:color w:val="0000EE"/>
          </w:rPr>
          <w:t>10.14</w:t>
        </w:r>
      </w:hyperlink>
      <w:r>
        <w:rPr>
          <w:rFonts w:ascii="Arial" w:cs="Arial" w:eastAsia="Arial" w:hAnsi="Arial"/>
          <w:sz w:val="12"/>
          <w:szCs w:val="12"/>
          <w:u w:val="single" w:color="auto"/>
          <w:color w:val="0000EE"/>
        </w:rPr>
        <w:tab/>
      </w:r>
      <w:hyperlink r:id="rId477">
        <w:r>
          <w:rPr>
            <w:rFonts w:ascii="Arial" w:cs="Arial" w:eastAsia="Arial" w:hAnsi="Arial"/>
            <w:sz w:val="12"/>
            <w:szCs w:val="12"/>
            <w:u w:val="single" w:color="auto"/>
            <w:color w:val="0000EE"/>
          </w:rPr>
          <w:t>Amendment to the Employment Agreement, dated January 1, 2017, between the Company and Richard S. Swartz, Jr., incorporated by reference to exhibit 10.25 of the Company’s Form 10-K for the year ended</w:t>
        </w:r>
      </w:hyperlink>
      <w:r>
        <w:rPr>
          <w:rFonts w:ascii="Arial" w:cs="Arial" w:eastAsia="Arial" w:hAnsi="Arial"/>
          <w:sz w:val="12"/>
          <w:szCs w:val="12"/>
          <w:u w:val="single" w:color="auto"/>
          <w:color w:val="0000EE"/>
        </w:rPr>
        <w:t xml:space="preserve"> </w:t>
      </w:r>
      <w:hyperlink r:id="rId477">
        <w:r>
          <w:rPr>
            <w:rFonts w:ascii="Arial" w:cs="Arial" w:eastAsia="Arial" w:hAnsi="Arial"/>
            <w:sz w:val="12"/>
            <w:szCs w:val="12"/>
            <w:u w:val="single" w:color="auto"/>
            <w:color w:val="0000EE"/>
          </w:rPr>
          <w:t>December 31, 2016 (File No. 001-08325), filed with the SEC on March 9, 2017+</w:t>
        </w:r>
      </w:hyperlink>
    </w:p>
    <w:p>
      <w:pPr>
        <w:ind w:left="200"/>
        <w:spacing w:after="0"/>
        <w:tabs>
          <w:tab w:leader="none" w:pos="800" w:val="left"/>
        </w:tabs>
        <w:rPr>
          <w:rFonts w:ascii="Arial" w:cs="Arial" w:eastAsia="Arial" w:hAnsi="Arial"/>
          <w:sz w:val="10"/>
          <w:szCs w:val="10"/>
          <w:u w:val="single" w:color="auto"/>
          <w:color w:val="0000EE"/>
        </w:rPr>
      </w:pPr>
      <w:hyperlink r:id="rId478">
        <w:r>
          <w:rPr>
            <w:rFonts w:ascii="Arial" w:cs="Arial" w:eastAsia="Arial" w:hAnsi="Arial"/>
            <w:sz w:val="12"/>
            <w:szCs w:val="12"/>
            <w:u w:val="single" w:color="auto"/>
            <w:color w:val="0000EE"/>
          </w:rPr>
          <w:t>10.15</w:t>
        </w:r>
      </w:hyperlink>
      <w:r>
        <w:rPr>
          <w:rFonts w:ascii="Arial" w:cs="Arial" w:eastAsia="Arial" w:hAnsi="Arial"/>
          <w:sz w:val="12"/>
          <w:szCs w:val="12"/>
          <w:u w:val="single" w:color="auto"/>
          <w:color w:val="0000EE"/>
        </w:rPr>
        <w:tab/>
      </w:r>
      <w:hyperlink r:id="rId478">
        <w:r>
          <w:rPr>
            <w:rFonts w:ascii="Arial" w:cs="Arial" w:eastAsia="Arial" w:hAnsi="Arial"/>
            <w:sz w:val="10"/>
            <w:szCs w:val="10"/>
            <w:u w:val="single" w:color="auto"/>
            <w:color w:val="0000EE"/>
          </w:rPr>
          <w:t>Amendment to the Employment Agreement, dated January 1, 2017, between the Company and Tod M. Cooper, incorporated by reference to exhibit 10.26 of the Company’s Form 10-K for the year ended December 31,</w:t>
        </w:r>
      </w:hyperlink>
    </w:p>
    <w:p>
      <w:pPr>
        <w:spacing w:after="0" w:line="15" w:lineRule="exact"/>
        <w:rPr>
          <w:sz w:val="20"/>
          <w:szCs w:val="20"/>
          <w:color w:val="auto"/>
        </w:rPr>
      </w:pPr>
    </w:p>
    <w:p>
      <w:pPr>
        <w:ind w:left="820"/>
        <w:spacing w:after="0"/>
        <w:rPr>
          <w:rFonts w:ascii="Arial" w:cs="Arial" w:eastAsia="Arial" w:hAnsi="Arial"/>
          <w:sz w:val="12"/>
          <w:szCs w:val="12"/>
          <w:u w:val="single" w:color="auto"/>
          <w:color w:val="0000EE"/>
        </w:rPr>
      </w:pPr>
      <w:hyperlink r:id="rId478">
        <w:r>
          <w:rPr>
            <w:rFonts w:ascii="Arial" w:cs="Arial" w:eastAsia="Arial" w:hAnsi="Arial"/>
            <w:sz w:val="12"/>
            <w:szCs w:val="12"/>
            <w:u w:val="single" w:color="auto"/>
            <w:color w:val="0000EE"/>
          </w:rPr>
          <w:t>2016 (File No. 001-08325), filed with the SEC on March 9, 2017+</w:t>
        </w:r>
      </w:hyperlink>
    </w:p>
    <w:p>
      <w:pPr>
        <w:spacing w:after="0" w:line="15" w:lineRule="exact"/>
        <w:rPr>
          <w:sz w:val="20"/>
          <w:szCs w:val="20"/>
          <w:color w:val="auto"/>
        </w:rPr>
      </w:pPr>
    </w:p>
    <w:p>
      <w:pPr>
        <w:ind w:left="200"/>
        <w:spacing w:after="0"/>
        <w:tabs>
          <w:tab w:leader="none" w:pos="800" w:val="left"/>
        </w:tabs>
        <w:rPr>
          <w:rFonts w:ascii="Arial" w:cs="Arial" w:eastAsia="Arial" w:hAnsi="Arial"/>
          <w:sz w:val="10"/>
          <w:szCs w:val="10"/>
          <w:u w:val="single" w:color="auto"/>
          <w:color w:val="0000EE"/>
        </w:rPr>
      </w:pPr>
      <w:hyperlink r:id="rId479">
        <w:r>
          <w:rPr>
            <w:rFonts w:ascii="Arial" w:cs="Arial" w:eastAsia="Arial" w:hAnsi="Arial"/>
            <w:sz w:val="12"/>
            <w:szCs w:val="12"/>
            <w:u w:val="single" w:color="auto"/>
            <w:color w:val="0000EE"/>
          </w:rPr>
          <w:t>10.16</w:t>
        </w:r>
      </w:hyperlink>
      <w:r>
        <w:rPr>
          <w:rFonts w:ascii="Arial" w:cs="Arial" w:eastAsia="Arial" w:hAnsi="Arial"/>
          <w:sz w:val="12"/>
          <w:szCs w:val="12"/>
          <w:u w:val="single" w:color="auto"/>
          <w:color w:val="0000EE"/>
        </w:rPr>
        <w:tab/>
      </w:r>
      <w:hyperlink r:id="rId479">
        <w:r>
          <w:rPr>
            <w:rFonts w:ascii="Arial" w:cs="Arial" w:eastAsia="Arial" w:hAnsi="Arial"/>
            <w:sz w:val="10"/>
            <w:szCs w:val="10"/>
            <w:u w:val="single" w:color="auto"/>
            <w:color w:val="0000EE"/>
          </w:rPr>
          <w:t>Employment Agreement, dated January 1, 2017, between the Company and Jeffrey J. Waneka, incorporated by reference to exhibit 10.27 of the Company’s Form 10-K for the year ended December 31, 2016 (File No. 001-</w:t>
        </w:r>
      </w:hyperlink>
    </w:p>
    <w:p>
      <w:pPr>
        <w:spacing w:after="0" w:line="15" w:lineRule="exact"/>
        <w:rPr>
          <w:sz w:val="20"/>
          <w:szCs w:val="20"/>
          <w:color w:val="auto"/>
        </w:rPr>
      </w:pPr>
    </w:p>
    <w:p>
      <w:pPr>
        <w:ind w:left="820"/>
        <w:spacing w:after="0"/>
        <w:rPr>
          <w:rFonts w:ascii="Arial" w:cs="Arial" w:eastAsia="Arial" w:hAnsi="Arial"/>
          <w:sz w:val="12"/>
          <w:szCs w:val="12"/>
          <w:u w:val="single" w:color="auto"/>
          <w:color w:val="0000EE"/>
        </w:rPr>
      </w:pPr>
      <w:hyperlink r:id="rId479">
        <w:r>
          <w:rPr>
            <w:rFonts w:ascii="Arial" w:cs="Arial" w:eastAsia="Arial" w:hAnsi="Arial"/>
            <w:sz w:val="12"/>
            <w:szCs w:val="12"/>
            <w:u w:val="single" w:color="auto"/>
            <w:color w:val="0000EE"/>
          </w:rPr>
          <w:t>08325), filed with the SEC on March 9, 2017+</w:t>
        </w:r>
      </w:hyperlink>
    </w:p>
    <w:p>
      <w:pPr>
        <w:spacing w:after="0" w:line="15" w:lineRule="exact"/>
        <w:rPr>
          <w:sz w:val="20"/>
          <w:szCs w:val="20"/>
          <w:color w:val="auto"/>
        </w:rPr>
      </w:pPr>
    </w:p>
    <w:p>
      <w:pPr>
        <w:ind w:left="820" w:right="280" w:hanging="620"/>
        <w:spacing w:after="0" w:line="319" w:lineRule="auto"/>
        <w:tabs>
          <w:tab w:leader="none" w:pos="800" w:val="left"/>
        </w:tabs>
        <w:rPr>
          <w:rFonts w:ascii="Arial" w:cs="Arial" w:eastAsia="Arial" w:hAnsi="Arial"/>
          <w:sz w:val="10"/>
          <w:szCs w:val="10"/>
          <w:u w:val="single" w:color="auto"/>
          <w:color w:val="0000EE"/>
        </w:rPr>
      </w:pPr>
      <w:hyperlink r:id="rId480">
        <w:r>
          <w:rPr>
            <w:rFonts w:ascii="Arial" w:cs="Arial" w:eastAsia="Arial" w:hAnsi="Arial"/>
            <w:sz w:val="12"/>
            <w:szCs w:val="12"/>
            <w:u w:val="single" w:color="auto"/>
            <w:color w:val="0000EE"/>
          </w:rPr>
          <w:t>10.17</w:t>
        </w:r>
      </w:hyperlink>
      <w:r>
        <w:rPr>
          <w:rFonts w:ascii="Arial" w:cs="Arial" w:eastAsia="Arial" w:hAnsi="Arial"/>
          <w:sz w:val="12"/>
          <w:szCs w:val="12"/>
          <w:u w:val="single" w:color="auto"/>
          <w:color w:val="0000EE"/>
        </w:rPr>
        <w:tab/>
      </w:r>
      <w:hyperlink r:id="rId480">
        <w:r>
          <w:rPr>
            <w:rFonts w:ascii="Arial" w:cs="Arial" w:eastAsia="Arial" w:hAnsi="Arial"/>
            <w:sz w:val="10"/>
            <w:szCs w:val="10"/>
            <w:u w:val="single" w:color="auto"/>
            <w:color w:val="0000EE"/>
          </w:rPr>
          <w:t>Agreement, dated January 30, 2017, by and among MYR Group Inc., Engine Capital Management, LLC, Engine Capital, L.P., Engine Jet Capital, L.P., Engine Airflow Capital, L.P., Engine Investments, LLC, Engine</w:t>
        </w:r>
      </w:hyperlink>
      <w:r>
        <w:rPr>
          <w:rFonts w:ascii="Arial" w:cs="Arial" w:eastAsia="Arial" w:hAnsi="Arial"/>
          <w:sz w:val="10"/>
          <w:szCs w:val="10"/>
          <w:u w:val="single" w:color="auto"/>
          <w:color w:val="0000EE"/>
        </w:rPr>
        <w:t xml:space="preserve"> </w:t>
      </w:r>
      <w:hyperlink r:id="rId480">
        <w:r>
          <w:rPr>
            <w:rFonts w:ascii="Arial" w:cs="Arial" w:eastAsia="Arial" w:hAnsi="Arial"/>
            <w:sz w:val="10"/>
            <w:szCs w:val="10"/>
            <w:u w:val="single" w:color="auto"/>
            <w:color w:val="0000EE"/>
          </w:rPr>
          <w:t>Investments II, LLC and Bradley Favreau, incorporated by reference to exhibit 10.28 of the Company’s Form 10-K for the year ended December 31, 2016 (File No. 001-08325), filed with the SEC on March 9, 2017</w:t>
        </w:r>
      </w:hyperlink>
    </w:p>
    <w:p>
      <w:pPr>
        <w:spacing w:after="0" w:line="1" w:lineRule="exact"/>
        <w:rPr>
          <w:rFonts w:ascii="Arial" w:cs="Arial" w:eastAsia="Arial" w:hAnsi="Arial"/>
          <w:sz w:val="12"/>
          <w:szCs w:val="12"/>
          <w:u w:val="single" w:color="auto"/>
          <w:color w:val="0000EE"/>
        </w:rPr>
      </w:pPr>
    </w:p>
    <w:p>
      <w:pPr>
        <w:ind w:left="820" w:hanging="620"/>
        <w:spacing w:after="0" w:line="266" w:lineRule="auto"/>
        <w:tabs>
          <w:tab w:leader="none" w:pos="800" w:val="left"/>
        </w:tabs>
        <w:rPr>
          <w:rFonts w:ascii="Arial" w:cs="Arial" w:eastAsia="Arial" w:hAnsi="Arial"/>
          <w:sz w:val="12"/>
          <w:szCs w:val="12"/>
          <w:u w:val="single" w:color="auto"/>
          <w:color w:val="0000EE"/>
        </w:rPr>
      </w:pPr>
      <w:hyperlink r:id="rId481">
        <w:r>
          <w:rPr>
            <w:rFonts w:ascii="Arial" w:cs="Arial" w:eastAsia="Arial" w:hAnsi="Arial"/>
            <w:sz w:val="12"/>
            <w:szCs w:val="12"/>
            <w:u w:val="single" w:color="auto"/>
            <w:color w:val="0000EE"/>
          </w:rPr>
          <w:t>10.18</w:t>
        </w:r>
      </w:hyperlink>
      <w:r>
        <w:rPr>
          <w:rFonts w:ascii="Arial" w:cs="Arial" w:eastAsia="Arial" w:hAnsi="Arial"/>
          <w:sz w:val="12"/>
          <w:szCs w:val="12"/>
          <w:u w:val="single" w:color="auto"/>
          <w:color w:val="0000EE"/>
        </w:rPr>
        <w:tab/>
      </w:r>
      <w:hyperlink r:id="rId481">
        <w:r>
          <w:rPr>
            <w:rFonts w:ascii="Arial" w:cs="Arial" w:eastAsia="Arial" w:hAnsi="Arial"/>
            <w:sz w:val="12"/>
            <w:szCs w:val="12"/>
            <w:u w:val="single" w:color="auto"/>
            <w:color w:val="0000EE"/>
          </w:rPr>
          <w:t>Form of Restricted Stock Award Agreement (Named Executive Officer), incorporated by reference to exhibit 10.1 of the Company’s Current Report on Form 8-K (File No. 001-08325) under the 2007 Long-Term Incentive</w:t>
        </w:r>
      </w:hyperlink>
      <w:r>
        <w:rPr>
          <w:rFonts w:ascii="Arial" w:cs="Arial" w:eastAsia="Arial" w:hAnsi="Arial"/>
          <w:sz w:val="12"/>
          <w:szCs w:val="12"/>
          <w:u w:val="single" w:color="auto"/>
          <w:color w:val="0000EE"/>
        </w:rPr>
        <w:t xml:space="preserve"> </w:t>
      </w:r>
      <w:hyperlink r:id="rId481">
        <w:r>
          <w:rPr>
            <w:rFonts w:ascii="Arial" w:cs="Arial" w:eastAsia="Arial" w:hAnsi="Arial"/>
            <w:sz w:val="12"/>
            <w:szCs w:val="12"/>
            <w:u w:val="single" w:color="auto"/>
            <w:color w:val="0000EE"/>
          </w:rPr>
          <w:t>Plan, filed with the SEC on April 28, 2017+</w:t>
        </w:r>
      </w:hyperlink>
    </w:p>
    <w:p>
      <w:pPr>
        <w:ind w:left="200"/>
        <w:spacing w:after="0"/>
        <w:tabs>
          <w:tab w:leader="none" w:pos="800" w:val="left"/>
        </w:tabs>
        <w:rPr>
          <w:rFonts w:ascii="Arial" w:cs="Arial" w:eastAsia="Arial" w:hAnsi="Arial"/>
          <w:sz w:val="10"/>
          <w:szCs w:val="10"/>
          <w:u w:val="single" w:color="auto"/>
          <w:color w:val="0000EE"/>
        </w:rPr>
      </w:pPr>
      <w:hyperlink r:id="rId482">
        <w:r>
          <w:rPr>
            <w:rFonts w:ascii="Arial" w:cs="Arial" w:eastAsia="Arial" w:hAnsi="Arial"/>
            <w:sz w:val="12"/>
            <w:szCs w:val="12"/>
            <w:u w:val="single" w:color="auto"/>
            <w:color w:val="0000EE"/>
          </w:rPr>
          <w:t>10.19</w:t>
        </w:r>
      </w:hyperlink>
      <w:r>
        <w:rPr>
          <w:rFonts w:ascii="Arial" w:cs="Arial" w:eastAsia="Arial" w:hAnsi="Arial"/>
          <w:sz w:val="12"/>
          <w:szCs w:val="12"/>
          <w:u w:val="single" w:color="auto"/>
          <w:color w:val="0000EE"/>
        </w:rPr>
        <w:tab/>
      </w:r>
      <w:hyperlink r:id="rId482">
        <w:r>
          <w:rPr>
            <w:rFonts w:ascii="Arial" w:cs="Arial" w:eastAsia="Arial" w:hAnsi="Arial"/>
            <w:sz w:val="10"/>
            <w:szCs w:val="10"/>
            <w:u w:val="single" w:color="auto"/>
            <w:color w:val="0000EE"/>
          </w:rPr>
          <w:t>Form of Performance Shares Award Agreement (Named Executive Officer) under the 2007 Long-Term Incentive Plan, incorporated by reference to exhibit 10.2 of the Company’s Current Report on Form 8-K (File No.</w:t>
        </w:r>
      </w:hyperlink>
    </w:p>
    <w:p>
      <w:pPr>
        <w:spacing w:after="0" w:line="15" w:lineRule="exact"/>
        <w:rPr>
          <w:sz w:val="20"/>
          <w:szCs w:val="20"/>
          <w:color w:val="auto"/>
        </w:rPr>
      </w:pPr>
    </w:p>
    <w:p>
      <w:pPr>
        <w:ind w:left="820"/>
        <w:spacing w:after="0"/>
        <w:rPr>
          <w:rFonts w:ascii="Arial" w:cs="Arial" w:eastAsia="Arial" w:hAnsi="Arial"/>
          <w:sz w:val="12"/>
          <w:szCs w:val="12"/>
          <w:u w:val="single" w:color="auto"/>
          <w:color w:val="0000EE"/>
        </w:rPr>
      </w:pPr>
      <w:hyperlink r:id="rId482">
        <w:r>
          <w:rPr>
            <w:rFonts w:ascii="Arial" w:cs="Arial" w:eastAsia="Arial" w:hAnsi="Arial"/>
            <w:sz w:val="12"/>
            <w:szCs w:val="12"/>
            <w:u w:val="single" w:color="auto"/>
            <w:color w:val="0000EE"/>
          </w:rPr>
          <w:t>001-08325), filed with the SEC on April 28, 2017+</w:t>
        </w:r>
      </w:hyperlink>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4" w:name="page105"/>
    <w:bookmarkEnd w:id="104"/>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40" w:type="dxa"/>
            <w:vAlign w:val="bottom"/>
            <w:gridSpan w:val="4"/>
          </w:tcPr>
          <w:p>
            <w:pPr>
              <w:spacing w:after="0"/>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700" w:type="dxa"/>
            <w:vAlign w:val="bottom"/>
            <w:gridSpan w:val="7"/>
          </w:tcPr>
          <w:p>
            <w:pPr>
              <w:ind w:left="140"/>
              <w:spacing w:after="0"/>
              <w:rPr>
                <w:sz w:val="20"/>
                <w:szCs w:val="20"/>
                <w:color w:val="auto"/>
              </w:rPr>
            </w:pPr>
            <w:r>
              <w:rPr>
                <w:rFonts w:ascii="Arial" w:cs="Arial" w:eastAsia="Arial" w:hAnsi="Arial"/>
                <w:sz w:val="10"/>
                <w:szCs w:val="10"/>
                <w:b w:val="1"/>
                <w:bCs w:val="1"/>
                <w:color w:val="auto"/>
              </w:rPr>
              <w:t>Description</w:t>
            </w:r>
          </w:p>
        </w:tc>
        <w:tc>
          <w:tcPr>
            <w:tcW w:w="20" w:type="dxa"/>
            <w:vAlign w:val="bottom"/>
          </w:tcPr>
          <w:p>
            <w:pPr>
              <w:spacing w:after="0"/>
              <w:rPr>
                <w:sz w:val="11"/>
                <w:szCs w:val="11"/>
                <w:color w:val="auto"/>
              </w:rPr>
            </w:pPr>
          </w:p>
        </w:tc>
      </w:tr>
      <w:tr>
        <w:trPr>
          <w:trHeight w:val="110"/>
        </w:trPr>
        <w:tc>
          <w:tcPr>
            <w:tcW w:w="20" w:type="dxa"/>
            <w:vAlign w:val="bottom"/>
          </w:tcPr>
          <w:p>
            <w:pPr>
              <w:spacing w:after="0"/>
              <w:rPr>
                <w:sz w:val="9"/>
                <w:szCs w:val="9"/>
                <w:color w:val="auto"/>
              </w:rPr>
            </w:pPr>
          </w:p>
        </w:tc>
        <w:tc>
          <w:tcPr>
            <w:tcW w:w="720" w:type="dxa"/>
            <w:vAlign w:val="bottom"/>
            <w:tcBorders>
              <w:top w:val="single" w:sz="8" w:color="auto"/>
            </w:tcBorders>
            <w:gridSpan w:val="3"/>
          </w:tcPr>
          <w:p>
            <w:pPr>
              <w:jc w:val="center"/>
              <w:ind w:right="100"/>
              <w:spacing w:after="0" w:line="110" w:lineRule="exact"/>
              <w:rPr>
                <w:rFonts w:ascii="Arial" w:cs="Arial" w:eastAsia="Arial" w:hAnsi="Arial"/>
                <w:sz w:val="12"/>
                <w:szCs w:val="12"/>
                <w:color w:val="0000EE"/>
                <w:w w:val="86"/>
              </w:rPr>
            </w:pPr>
            <w:hyperlink r:id="rId484">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20</w:t>
              </w:r>
            </w:hyperlink>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20" w:type="dxa"/>
            <w:vAlign w:val="bottom"/>
            <w:tcBorders>
              <w:top w:val="single" w:sz="8" w:color="auto"/>
            </w:tcBorders>
            <w:gridSpan w:val="18"/>
          </w:tcPr>
          <w:p>
            <w:pPr>
              <w:spacing w:after="0" w:line="110" w:lineRule="exact"/>
              <w:rPr>
                <w:rFonts w:ascii="Arial" w:cs="Arial" w:eastAsia="Arial" w:hAnsi="Arial"/>
                <w:sz w:val="12"/>
                <w:szCs w:val="12"/>
                <w:color w:val="0000EE"/>
                <w:w w:val="92"/>
              </w:rPr>
            </w:pPr>
            <w:hyperlink r:id="rId484">
              <w:r>
                <w:rPr>
                  <w:rFonts w:ascii="Arial" w:cs="Arial" w:eastAsia="Arial" w:hAnsi="Arial"/>
                  <w:sz w:val="12"/>
                  <w:szCs w:val="12"/>
                  <w:color w:val="0000EE"/>
                  <w:w w:val="92"/>
                </w:rPr>
                <w:t>Form of Restricted Stock Units Award Agreement (Non-Employee Director) under the 2017 Long-Term Incentive Plan, incorporated by reference to exhibit 10.3 of the Company’s Current Report on Form 8-K (File No.</w:t>
              </w:r>
            </w:hyperlink>
          </w:p>
        </w:tc>
        <w:tc>
          <w:tcPr>
            <w:tcW w:w="20" w:type="dxa"/>
            <w:vAlign w:val="bottom"/>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rPr>
            </w:pPr>
            <w:hyperlink r:id="rId484">
              <w:r>
                <w:rPr>
                  <w:rFonts w:ascii="Arial" w:cs="Arial" w:eastAsia="Arial" w:hAnsi="Arial"/>
                  <w:sz w:val="12"/>
                  <w:szCs w:val="12"/>
                  <w:color w:val="0000EE"/>
                </w:rPr>
                <w:t>001-08325), filed with the SEC on April 28, 2017+</w:t>
              </w:r>
            </w:hyperlink>
          </w:p>
        </w:tc>
        <w:tc>
          <w:tcPr>
            <w:tcW w:w="20" w:type="dxa"/>
            <w:vAlign w:val="bottom"/>
          </w:tcPr>
          <w:p>
            <w:pPr>
              <w:spacing w:after="0"/>
              <w:rPr>
                <w:sz w:val="10"/>
                <w:szCs w:val="10"/>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85">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21</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1"/>
              </w:rPr>
            </w:pPr>
            <w:hyperlink r:id="rId485">
              <w:r>
                <w:rPr>
                  <w:rFonts w:ascii="Arial" w:cs="Arial" w:eastAsia="Arial" w:hAnsi="Arial"/>
                  <w:sz w:val="12"/>
                  <w:szCs w:val="12"/>
                  <w:color w:val="0000EE"/>
                  <w:w w:val="91"/>
                </w:rPr>
                <w:t>Form of Restricted Stock Units Award Agreement (Director) under the 2017 Long-Term Incentive Plan, incorporated by reference to exhibit 10.4 of the Company’s Current Report on Form 8-K (File No. 001-08325), filed</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Borders>
              <w:bottom w:val="single" w:sz="8" w:color="0000EE"/>
            </w:tcBorders>
            <w:gridSpan w:val="5"/>
          </w:tcPr>
          <w:p>
            <w:pPr>
              <w:spacing w:after="0" w:line="124" w:lineRule="exact"/>
              <w:rPr>
                <w:rFonts w:ascii="Arial" w:cs="Arial" w:eastAsia="Arial" w:hAnsi="Arial"/>
                <w:sz w:val="12"/>
                <w:szCs w:val="12"/>
                <w:color w:val="0000EE"/>
                <w:w w:val="92"/>
              </w:rPr>
            </w:pPr>
            <w:hyperlink r:id="rId485">
              <w:r>
                <w:rPr>
                  <w:rFonts w:ascii="Arial" w:cs="Arial" w:eastAsia="Arial" w:hAnsi="Arial"/>
                  <w:sz w:val="12"/>
                  <w:szCs w:val="12"/>
                  <w:color w:val="0000EE"/>
                  <w:w w:val="92"/>
                </w:rPr>
                <w:t>with the SEC on April 28, 2017+</w:t>
              </w:r>
            </w:hyperlink>
          </w:p>
        </w:tc>
        <w:tc>
          <w:tcPr>
            <w:tcW w:w="9040" w:type="dxa"/>
            <w:vAlign w:val="bottom"/>
            <w:gridSpan w:val="14"/>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86">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22</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1"/>
              </w:rPr>
            </w:pPr>
            <w:hyperlink r:id="rId486">
              <w:r>
                <w:rPr>
                  <w:rFonts w:ascii="Arial" w:cs="Arial" w:eastAsia="Arial" w:hAnsi="Arial"/>
                  <w:sz w:val="12"/>
                  <w:szCs w:val="12"/>
                  <w:color w:val="0000EE"/>
                  <w:w w:val="91"/>
                </w:rPr>
                <w:t>Amendment to the Amended and Restated Employment Agreement, dated April 11, 2017, between the Company and Richard S. Swartz, Jr., incorporated by reference to exhibit 10.1 of the Company’s Current Report on</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tcBorders>
              <w:bottom w:val="single" w:sz="8" w:color="0000EE"/>
            </w:tcBorders>
            <w:gridSpan w:val="10"/>
          </w:tcPr>
          <w:p>
            <w:pPr>
              <w:spacing w:after="0" w:line="124" w:lineRule="exact"/>
              <w:rPr>
                <w:rFonts w:ascii="Arial" w:cs="Arial" w:eastAsia="Arial" w:hAnsi="Arial"/>
                <w:sz w:val="12"/>
                <w:szCs w:val="12"/>
                <w:color w:val="0000EE"/>
                <w:w w:val="92"/>
              </w:rPr>
            </w:pPr>
            <w:hyperlink r:id="rId486">
              <w:r>
                <w:rPr>
                  <w:rFonts w:ascii="Arial" w:cs="Arial" w:eastAsia="Arial" w:hAnsi="Arial"/>
                  <w:sz w:val="12"/>
                  <w:szCs w:val="12"/>
                  <w:color w:val="0000EE"/>
                  <w:w w:val="92"/>
                </w:rPr>
                <w:t>Form 10-Q (File No. 001-08325), filed with the SEC on May 3, 2017+</w:t>
              </w:r>
            </w:hyperlink>
          </w:p>
        </w:tc>
        <w:tc>
          <w:tcPr>
            <w:tcW w:w="724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87">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23</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1"/>
              </w:rPr>
            </w:pPr>
            <w:hyperlink r:id="rId487">
              <w:r>
                <w:rPr>
                  <w:rFonts w:ascii="Arial" w:cs="Arial" w:eastAsia="Arial" w:hAnsi="Arial"/>
                  <w:sz w:val="12"/>
                  <w:szCs w:val="12"/>
                  <w:color w:val="0000EE"/>
                  <w:w w:val="91"/>
                </w:rPr>
                <w:t>Form of Restricted Stock Unit Award Agreement (Named Executive Officer) under the 2017 Long-Term Incentive Plan, incorporated by reference to exhibit 10.1 of the Company’s Current Report on Form 10-Q (File No.</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rPr>
            </w:pPr>
            <w:hyperlink r:id="rId487">
              <w:r>
                <w:rPr>
                  <w:rFonts w:ascii="Arial" w:cs="Arial" w:eastAsia="Arial" w:hAnsi="Arial"/>
                  <w:sz w:val="12"/>
                  <w:szCs w:val="12"/>
                  <w:color w:val="0000EE"/>
                </w:rPr>
                <w:t>001-08325), filed with the SEC on May 2, 2018+</w:t>
              </w:r>
            </w:hyperlink>
          </w:p>
        </w:tc>
        <w:tc>
          <w:tcPr>
            <w:tcW w:w="20" w:type="dxa"/>
            <w:vAlign w:val="bottom"/>
          </w:tcPr>
          <w:p>
            <w:pPr>
              <w:spacing w:after="0"/>
              <w:rPr>
                <w:sz w:val="10"/>
                <w:szCs w:val="10"/>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88">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24</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2"/>
              </w:rPr>
            </w:pPr>
            <w:hyperlink r:id="rId488">
              <w:r>
                <w:rPr>
                  <w:rFonts w:ascii="Arial" w:cs="Arial" w:eastAsia="Arial" w:hAnsi="Arial"/>
                  <w:sz w:val="12"/>
                  <w:szCs w:val="12"/>
                  <w:color w:val="0000EE"/>
                  <w:w w:val="92"/>
                </w:rPr>
                <w:t>Form of Performance Shares Award Agreement (Named Executive Officer) under the 2017 Long-Term Incentive Plan, incorporated by reference to exhibit 10.2 of the Company’s Current Report on Form 10-Q (File No.</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rPr>
            </w:pPr>
            <w:hyperlink r:id="rId488">
              <w:r>
                <w:rPr>
                  <w:rFonts w:ascii="Arial" w:cs="Arial" w:eastAsia="Arial" w:hAnsi="Arial"/>
                  <w:sz w:val="12"/>
                  <w:szCs w:val="12"/>
                  <w:color w:val="0000EE"/>
                </w:rPr>
                <w:t>001-08325), filed with the SEC on May 2, 2018+</w:t>
              </w:r>
            </w:hyperlink>
          </w:p>
        </w:tc>
        <w:tc>
          <w:tcPr>
            <w:tcW w:w="20" w:type="dxa"/>
            <w:vAlign w:val="bottom"/>
          </w:tcPr>
          <w:p>
            <w:pPr>
              <w:spacing w:after="0"/>
              <w:rPr>
                <w:sz w:val="10"/>
                <w:szCs w:val="10"/>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89">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25</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3"/>
              </w:rPr>
            </w:pPr>
            <w:hyperlink r:id="rId489">
              <w:r>
                <w:rPr>
                  <w:rFonts w:ascii="Arial" w:cs="Arial" w:eastAsia="Arial" w:hAnsi="Arial"/>
                  <w:sz w:val="12"/>
                  <w:szCs w:val="12"/>
                  <w:color w:val="0000EE"/>
                  <w:w w:val="93"/>
                </w:rPr>
                <w:t>Asset Purchase Agreement, dated as of July 2, 2018, by and among MYR Group, Inc., certain subsidiaries of MYR Group, Inc., as purchasers, and Huen Electric, Inc., incorporated by reference to exhibit 10.1 of the</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40" w:type="dxa"/>
            <w:vAlign w:val="bottom"/>
            <w:tcBorders>
              <w:bottom w:val="single" w:sz="8" w:color="0000EE"/>
            </w:tcBorders>
            <w:gridSpan w:val="12"/>
          </w:tcPr>
          <w:p>
            <w:pPr>
              <w:spacing w:after="0" w:line="124" w:lineRule="exact"/>
              <w:rPr>
                <w:rFonts w:ascii="Arial" w:cs="Arial" w:eastAsia="Arial" w:hAnsi="Arial"/>
                <w:sz w:val="12"/>
                <w:szCs w:val="12"/>
                <w:color w:val="0000EE"/>
                <w:w w:val="91"/>
              </w:rPr>
            </w:pPr>
            <w:hyperlink r:id="rId489">
              <w:r>
                <w:rPr>
                  <w:rFonts w:ascii="Arial" w:cs="Arial" w:eastAsia="Arial" w:hAnsi="Arial"/>
                  <w:sz w:val="12"/>
                  <w:szCs w:val="12"/>
                  <w:color w:val="0000EE"/>
                  <w:w w:val="91"/>
                </w:rPr>
                <w:t>Company’s Current Report on Form 10-Q (File No. 001-08325), filed with the SEC on August 1, 2018</w:t>
              </w:r>
            </w:hyperlink>
          </w:p>
        </w:tc>
        <w:tc>
          <w:tcPr>
            <w:tcW w:w="570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90">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26</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1"/>
              </w:rPr>
            </w:pPr>
            <w:hyperlink r:id="rId490">
              <w:r>
                <w:rPr>
                  <w:rFonts w:ascii="Arial" w:cs="Arial" w:eastAsia="Arial" w:hAnsi="Arial"/>
                  <w:sz w:val="12"/>
                  <w:szCs w:val="12"/>
                  <w:color w:val="0000EE"/>
                  <w:w w:val="91"/>
                </w:rPr>
                <w:t>Employment Agreement, dated January 21, 2019, between the Company and William F. Fry, incorporated by reference to exhibit 10.33 of the Company’s Annual Report on Form 10-K (File No. 001-08325), filed with the</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Borders>
              <w:left w:val="single" w:sz="8" w:color="0000EE"/>
            </w:tcBorders>
            <w:gridSpan w:val="2"/>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bottom w:val="single" w:sz="8" w:color="0000EE"/>
            </w:tcBorders>
            <w:gridSpan w:val="4"/>
          </w:tcPr>
          <w:p>
            <w:pPr>
              <w:spacing w:after="0" w:line="124" w:lineRule="exact"/>
              <w:rPr>
                <w:rFonts w:ascii="Arial" w:cs="Arial" w:eastAsia="Arial" w:hAnsi="Arial"/>
                <w:sz w:val="12"/>
                <w:szCs w:val="12"/>
                <w:color w:val="0000EE"/>
                <w:w w:val="90"/>
              </w:rPr>
            </w:pPr>
            <w:hyperlink r:id="rId490">
              <w:r>
                <w:rPr>
                  <w:rFonts w:ascii="Arial" w:cs="Arial" w:eastAsia="Arial" w:hAnsi="Arial"/>
                  <w:sz w:val="12"/>
                  <w:szCs w:val="12"/>
                  <w:color w:val="0000EE"/>
                  <w:w w:val="90"/>
                </w:rPr>
                <w:t>SEC on March 6, 2019+</w:t>
              </w:r>
            </w:hyperlink>
          </w:p>
        </w:tc>
        <w:tc>
          <w:tcPr>
            <w:tcW w:w="9460" w:type="dxa"/>
            <w:vAlign w:val="bottom"/>
            <w:gridSpan w:val="15"/>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91">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27</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1"/>
              </w:rPr>
            </w:pPr>
            <w:hyperlink r:id="rId491">
              <w:r>
                <w:rPr>
                  <w:rFonts w:ascii="Arial" w:cs="Arial" w:eastAsia="Arial" w:hAnsi="Arial"/>
                  <w:sz w:val="12"/>
                  <w:szCs w:val="12"/>
                  <w:color w:val="0000EE"/>
                  <w:w w:val="91"/>
                </w:rPr>
                <w:t>Form of Performance Shares Award Agreement (Named Executive Officer) under the 2017 Long-Term Incentive Plan, incorporated by reference to exhibit 10.1 of the Company’s Quarterly Report on Form 10-Q (File No.</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Borders>
              <w:left w:val="single" w:sz="8" w:color="0000EE"/>
            </w:tcBorders>
            <w:gridSpan w:val="2"/>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rPr>
            </w:pPr>
            <w:hyperlink r:id="rId491">
              <w:r>
                <w:rPr>
                  <w:rFonts w:ascii="Arial" w:cs="Arial" w:eastAsia="Arial" w:hAnsi="Arial"/>
                  <w:sz w:val="12"/>
                  <w:szCs w:val="12"/>
                  <w:color w:val="0000EE"/>
                </w:rPr>
                <w:t>001-08325), filed with the SEC on May 1, 2019+</w:t>
              </w:r>
            </w:hyperlink>
          </w:p>
        </w:tc>
        <w:tc>
          <w:tcPr>
            <w:tcW w:w="20" w:type="dxa"/>
            <w:vAlign w:val="bottom"/>
          </w:tcPr>
          <w:p>
            <w:pPr>
              <w:spacing w:after="0"/>
              <w:rPr>
                <w:sz w:val="10"/>
                <w:szCs w:val="10"/>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92">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28</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2"/>
              </w:rPr>
            </w:pPr>
            <w:hyperlink r:id="rId492">
              <w:r>
                <w:rPr>
                  <w:rFonts w:ascii="Arial" w:cs="Arial" w:eastAsia="Arial" w:hAnsi="Arial"/>
                  <w:sz w:val="12"/>
                  <w:szCs w:val="12"/>
                  <w:color w:val="0000EE"/>
                  <w:w w:val="92"/>
                </w:rPr>
                <w:t>Form of Non-Employee Directors Restricted Stock Unit Award Agreement under the 2017 Long-Term Incentive Plan, incorporated by reference to exhibit 10.1 of the Company’s Quarterly Report on Form 10-Q (File No.</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Borders>
              <w:left w:val="single" w:sz="8" w:color="0000EE"/>
            </w:tcBorders>
            <w:gridSpan w:val="2"/>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rPr>
            </w:pPr>
            <w:hyperlink r:id="rId492">
              <w:r>
                <w:rPr>
                  <w:rFonts w:ascii="Arial" w:cs="Arial" w:eastAsia="Arial" w:hAnsi="Arial"/>
                  <w:sz w:val="12"/>
                  <w:szCs w:val="12"/>
                  <w:color w:val="0000EE"/>
                </w:rPr>
                <w:t>001-08325), filed with the SEC on July 31, 2019+</w:t>
              </w:r>
            </w:hyperlink>
          </w:p>
        </w:tc>
        <w:tc>
          <w:tcPr>
            <w:tcW w:w="20" w:type="dxa"/>
            <w:vAlign w:val="bottom"/>
          </w:tcPr>
          <w:p>
            <w:pPr>
              <w:spacing w:after="0"/>
              <w:rPr>
                <w:sz w:val="10"/>
                <w:szCs w:val="10"/>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93">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29</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0"/>
              </w:rPr>
            </w:pPr>
            <w:hyperlink r:id="rId493">
              <w:r>
                <w:rPr>
                  <w:rFonts w:ascii="Arial" w:cs="Arial" w:eastAsia="Arial" w:hAnsi="Arial"/>
                  <w:sz w:val="12"/>
                  <w:szCs w:val="12"/>
                  <w:color w:val="0000EE"/>
                  <w:w w:val="90"/>
                </w:rPr>
                <w:t>Amendment No. 2 to Amended and Restated Credit Agreement, dated June 7, 2019, incorporated by reference to exhibit 10.2 of the Company’s Quarterly Report on Form 10-Q (File No. 001-08325), filed with the SEC on</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Borders>
              <w:left w:val="single" w:sz="8" w:color="0000EE"/>
            </w:tcBorders>
            <w:gridSpan w:val="2"/>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0000EE"/>
            </w:tcBorders>
            <w:gridSpan w:val="2"/>
          </w:tcPr>
          <w:p>
            <w:pPr>
              <w:spacing w:after="0" w:line="124" w:lineRule="exact"/>
              <w:rPr>
                <w:rFonts w:ascii="Arial" w:cs="Arial" w:eastAsia="Arial" w:hAnsi="Arial"/>
                <w:sz w:val="12"/>
                <w:szCs w:val="12"/>
                <w:color w:val="0000EE"/>
                <w:w w:val="89"/>
              </w:rPr>
            </w:pPr>
            <w:hyperlink r:id="rId493">
              <w:r>
                <w:rPr>
                  <w:rFonts w:ascii="Arial" w:cs="Arial" w:eastAsia="Arial" w:hAnsi="Arial"/>
                  <w:sz w:val="12"/>
                  <w:szCs w:val="12"/>
                  <w:color w:val="0000EE"/>
                  <w:w w:val="89"/>
                </w:rPr>
                <w:t>July 31, 2019</w:t>
              </w:r>
            </w:hyperlink>
          </w:p>
        </w:tc>
        <w:tc>
          <w:tcPr>
            <w:tcW w:w="998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94">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30</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2"/>
              </w:rPr>
            </w:pPr>
            <w:hyperlink r:id="rId494">
              <w:r>
                <w:rPr>
                  <w:rFonts w:ascii="Arial" w:cs="Arial" w:eastAsia="Arial" w:hAnsi="Arial"/>
                  <w:sz w:val="12"/>
                  <w:szCs w:val="12"/>
                  <w:color w:val="0000EE"/>
                  <w:w w:val="92"/>
                </w:rPr>
                <w:t>Asset Purchase Agreement, dated as of July 15, 2019, by and among MYR Group, Inc., certain subsidiaries of MYR Group, Inc., as purchasers, and CSI Electrical Contractors, Inc., incorporated by reference to exhibit</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Borders>
              <w:left w:val="single" w:sz="8" w:color="0000EE"/>
            </w:tcBorders>
            <w:gridSpan w:val="2"/>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r:id="rId494">
              <w:r>
                <w:rPr>
                  <w:rFonts w:ascii="Arial" w:cs="Arial" w:eastAsia="Arial" w:hAnsi="Arial"/>
                  <w:sz w:val="12"/>
                  <w:szCs w:val="12"/>
                  <w:color w:val="0000EE"/>
                  <w:w w:val="91"/>
                </w:rPr>
                <w:t>10.</w:t>
              </w:r>
              <w:r>
                <w:rPr>
                  <w:rFonts w:ascii="Arial" w:cs="Arial" w:eastAsia="Arial" w:hAnsi="Arial"/>
                  <w:sz w:val="12"/>
                  <w:szCs w:val="12"/>
                  <w:u w:val="single" w:color="auto"/>
                  <w:color w:val="0000EE"/>
                  <w:w w:val="91"/>
                </w:rPr>
                <w:t>3</w:t>
              </w:r>
              <w:r>
                <w:rPr>
                  <w:rFonts w:ascii="Arial" w:cs="Arial" w:eastAsia="Arial" w:hAnsi="Arial"/>
                  <w:sz w:val="12"/>
                  <w:szCs w:val="12"/>
                  <w:color w:val="0000EE"/>
                  <w:w w:val="91"/>
                </w:rPr>
                <w:t xml:space="preserve"> of the Company’s Quarterly Report on Form 10-Q (File No. 001-08325), filed with the SEC on July 31, 2019</w:t>
              </w:r>
            </w:hyperlink>
          </w:p>
        </w:tc>
        <w:tc>
          <w:tcPr>
            <w:tcW w:w="514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740" w:type="dxa"/>
            <w:vAlign w:val="bottom"/>
            <w:gridSpan w:val="4"/>
          </w:tcPr>
          <w:p>
            <w:pPr>
              <w:jc w:val="center"/>
              <w:ind w:right="80"/>
              <w:spacing w:after="0" w:line="124" w:lineRule="exact"/>
              <w:rPr>
                <w:rFonts w:ascii="Arial" w:cs="Arial" w:eastAsia="Arial" w:hAnsi="Arial"/>
                <w:sz w:val="12"/>
                <w:szCs w:val="12"/>
                <w:color w:val="0000EE"/>
                <w:w w:val="86"/>
              </w:rPr>
            </w:pPr>
            <w:hyperlink r:id="rId495">
              <w:r>
                <w:rPr>
                  <w:rFonts w:ascii="Arial" w:cs="Arial" w:eastAsia="Arial" w:hAnsi="Arial"/>
                  <w:sz w:val="12"/>
                  <w:szCs w:val="12"/>
                  <w:color w:val="0000EE"/>
                  <w:w w:val="86"/>
                </w:rPr>
                <w:t>10.</w:t>
              </w:r>
              <w:r>
                <w:rPr>
                  <w:rFonts w:ascii="Arial" w:cs="Arial" w:eastAsia="Arial" w:hAnsi="Arial"/>
                  <w:sz w:val="12"/>
                  <w:szCs w:val="12"/>
                  <w:u w:val="single" w:color="auto"/>
                  <w:color w:val="0000EE"/>
                  <w:w w:val="86"/>
                </w:rPr>
                <w:t>31</w:t>
              </w:r>
            </w:hyperlink>
          </w:p>
        </w:tc>
        <w:tc>
          <w:tcPr>
            <w:tcW w:w="80" w:type="dxa"/>
            <w:vAlign w:val="bottom"/>
          </w:tcPr>
          <w:p>
            <w:pPr>
              <w:spacing w:after="0"/>
              <w:rPr>
                <w:sz w:val="10"/>
                <w:szCs w:val="10"/>
                <w:color w:val="auto"/>
              </w:rPr>
            </w:pPr>
          </w:p>
        </w:tc>
        <w:tc>
          <w:tcPr>
            <w:tcW w:w="10640" w:type="dxa"/>
            <w:vAlign w:val="bottom"/>
            <w:gridSpan w:val="19"/>
          </w:tcPr>
          <w:p>
            <w:pPr>
              <w:spacing w:after="0" w:line="124" w:lineRule="exact"/>
              <w:rPr>
                <w:rFonts w:ascii="Arial" w:cs="Arial" w:eastAsia="Arial" w:hAnsi="Arial"/>
                <w:sz w:val="12"/>
                <w:szCs w:val="12"/>
                <w:color w:val="0000EE"/>
                <w:w w:val="96"/>
              </w:rPr>
            </w:pPr>
            <w:hyperlink r:id="rId495">
              <w:r>
                <w:rPr>
                  <w:rFonts w:ascii="Arial" w:cs="Arial" w:eastAsia="Arial" w:hAnsi="Arial"/>
                  <w:sz w:val="12"/>
                  <w:szCs w:val="12"/>
                  <w:color w:val="0000EE"/>
                  <w:w w:val="96"/>
                </w:rPr>
                <w:t>Second Amended and Restated Credit Agreement, dated September 13, 2019, by and among MYR Group Inc., the lenders party thereto, Bank of Montreal and Wells Fargo Bank, National Association, as Co-</w:t>
              </w:r>
            </w:hyperlink>
          </w:p>
        </w:tc>
        <w:tc>
          <w:tcPr>
            <w:tcW w:w="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596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40" w:type="dxa"/>
            <w:vAlign w:val="bottom"/>
            <w:tcBorders>
              <w:bottom w:val="single" w:sz="8" w:color="0000EE"/>
            </w:tcBorders>
            <w:gridSpan w:val="19"/>
          </w:tcPr>
          <w:p>
            <w:pPr>
              <w:spacing w:after="0" w:line="124" w:lineRule="exact"/>
              <w:rPr>
                <w:rFonts w:ascii="Arial" w:cs="Arial" w:eastAsia="Arial" w:hAnsi="Arial"/>
                <w:sz w:val="12"/>
                <w:szCs w:val="12"/>
                <w:color w:val="0000EE"/>
                <w:w w:val="91"/>
              </w:rPr>
            </w:pPr>
            <w:hyperlink r:id="rId495">
              <w:r>
                <w:rPr>
                  <w:rFonts w:ascii="Arial" w:cs="Arial" w:eastAsia="Arial" w:hAnsi="Arial"/>
                  <w:sz w:val="12"/>
                  <w:szCs w:val="12"/>
                  <w:color w:val="0000EE"/>
                  <w:w w:val="91"/>
                </w:rPr>
                <w:t>Documentation Agents, Bank of America, N.A., as Syndication Agent and JPMorgan Chase Bank, N.A., as Administrative Agent, incorporated by reference to exhibit 10.1 of the Company’s Current Report on Form 10-Q</w:t>
              </w:r>
            </w:hyperlink>
          </w:p>
        </w:tc>
        <w:tc>
          <w:tcPr>
            <w:tcW w:w="2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495">
              <w:r>
                <w:rPr>
                  <w:rFonts w:ascii="Arial" w:cs="Arial" w:eastAsia="Arial" w:hAnsi="Arial"/>
                  <w:sz w:val="12"/>
                  <w:szCs w:val="12"/>
                  <w:color w:val="0000EE"/>
                  <w:w w:val="91"/>
                </w:rPr>
                <w:t>(File No. 001-08325), filed with the SEC on October 30, 2019</w:t>
              </w:r>
            </w:hyperlink>
          </w:p>
        </w:tc>
        <w:tc>
          <w:tcPr>
            <w:tcW w:w="76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r>
      <w:tr>
        <w:trPr>
          <w:trHeight w:val="151"/>
        </w:trPr>
        <w:tc>
          <w:tcPr>
            <w:tcW w:w="220" w:type="dxa"/>
            <w:vAlign w:val="bottom"/>
            <w:gridSpan w:val="2"/>
          </w:tcPr>
          <w:p>
            <w:pPr>
              <w:spacing w:after="0"/>
              <w:rPr>
                <w:sz w:val="13"/>
                <w:szCs w:val="13"/>
                <w:color w:val="auto"/>
              </w:rPr>
            </w:pPr>
          </w:p>
        </w:tc>
        <w:tc>
          <w:tcPr>
            <w:tcW w:w="220" w:type="dxa"/>
            <w:vAlign w:val="bottom"/>
          </w:tcPr>
          <w:p>
            <w:pPr>
              <w:jc w:val="center"/>
              <w:spacing w:after="0"/>
              <w:rPr>
                <w:rFonts w:ascii="Arial" w:cs="Arial" w:eastAsia="Arial" w:hAnsi="Arial"/>
                <w:sz w:val="12"/>
                <w:szCs w:val="12"/>
                <w:color w:val="0000EE"/>
                <w:w w:val="93"/>
              </w:rPr>
            </w:pPr>
            <w:hyperlink w:anchor="page111">
              <w:r>
                <w:rPr>
                  <w:rFonts w:ascii="Arial" w:cs="Arial" w:eastAsia="Arial" w:hAnsi="Arial"/>
                  <w:sz w:val="12"/>
                  <w:szCs w:val="12"/>
                  <w:color w:val="0000EE"/>
                  <w:w w:val="93"/>
                </w:rPr>
                <w:t>21.</w:t>
              </w:r>
              <w:r>
                <w:rPr>
                  <w:rFonts w:ascii="Arial" w:cs="Arial" w:eastAsia="Arial" w:hAnsi="Arial"/>
                  <w:sz w:val="12"/>
                  <w:szCs w:val="12"/>
                  <w:u w:val="single" w:color="auto"/>
                  <w:color w:val="0000EE"/>
                  <w:w w:val="93"/>
                </w:rPr>
                <w:t>1</w:t>
              </w:r>
            </w:hyperlink>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40" w:type="dxa"/>
            <w:vAlign w:val="bottom"/>
            <w:gridSpan w:val="19"/>
          </w:tcPr>
          <w:p>
            <w:pPr>
              <w:spacing w:after="0"/>
              <w:rPr>
                <w:rFonts w:ascii="Arial" w:cs="Arial" w:eastAsia="Arial" w:hAnsi="Arial"/>
                <w:sz w:val="12"/>
                <w:szCs w:val="12"/>
                <w:color w:val="0000EE"/>
              </w:rPr>
            </w:pPr>
            <w:hyperlink w:anchor="page111">
              <w:r>
                <w:rPr>
                  <w:rFonts w:ascii="Arial" w:cs="Arial" w:eastAsia="Arial" w:hAnsi="Arial"/>
                  <w:sz w:val="12"/>
                  <w:szCs w:val="12"/>
                  <w:color w:val="0000EE"/>
                </w:rPr>
                <w:t>List of Subsidiaries†</w:t>
              </w:r>
            </w:hyperlink>
          </w:p>
        </w:tc>
        <w:tc>
          <w:tcPr>
            <w:tcW w:w="20" w:type="dxa"/>
            <w:vAlign w:val="bottom"/>
          </w:tcPr>
          <w:p>
            <w:pPr>
              <w:spacing w:after="0"/>
              <w:rPr>
                <w:sz w:val="13"/>
                <w:szCs w:val="13"/>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20" w:type="dxa"/>
            <w:vAlign w:val="bottom"/>
            <w:gridSpan w:val="2"/>
          </w:tcPr>
          <w:p>
            <w:pPr>
              <w:spacing w:after="0"/>
              <w:rPr>
                <w:sz w:val="11"/>
                <w:szCs w:val="11"/>
                <w:color w:val="auto"/>
              </w:rPr>
            </w:pPr>
          </w:p>
        </w:tc>
        <w:tc>
          <w:tcPr>
            <w:tcW w:w="220" w:type="dxa"/>
            <w:vAlign w:val="bottom"/>
          </w:tcPr>
          <w:p>
            <w:pPr>
              <w:jc w:val="center"/>
              <w:spacing w:after="0" w:line="133" w:lineRule="exact"/>
              <w:rPr>
                <w:rFonts w:ascii="Arial" w:cs="Arial" w:eastAsia="Arial" w:hAnsi="Arial"/>
                <w:sz w:val="12"/>
                <w:szCs w:val="12"/>
                <w:color w:val="0000EE"/>
                <w:w w:val="93"/>
              </w:rPr>
            </w:pPr>
            <w:hyperlink w:anchor="page112">
              <w:r>
                <w:rPr>
                  <w:rFonts w:ascii="Arial" w:cs="Arial" w:eastAsia="Arial" w:hAnsi="Arial"/>
                  <w:sz w:val="12"/>
                  <w:szCs w:val="12"/>
                  <w:color w:val="0000EE"/>
                  <w:w w:val="93"/>
                </w:rPr>
                <w:t>23.</w:t>
              </w:r>
              <w:r>
                <w:rPr>
                  <w:rFonts w:ascii="Arial" w:cs="Arial" w:eastAsia="Arial" w:hAnsi="Arial"/>
                  <w:sz w:val="12"/>
                  <w:szCs w:val="12"/>
                  <w:u w:val="single" w:color="auto"/>
                  <w:color w:val="0000EE"/>
                  <w:w w:val="93"/>
                </w:rPr>
                <w:t>1</w:t>
              </w:r>
            </w:hyperlink>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40" w:type="dxa"/>
            <w:vAlign w:val="bottom"/>
            <w:gridSpan w:val="19"/>
          </w:tcPr>
          <w:p>
            <w:pPr>
              <w:spacing w:after="0" w:line="133" w:lineRule="exact"/>
              <w:rPr>
                <w:rFonts w:ascii="Arial" w:cs="Arial" w:eastAsia="Arial" w:hAnsi="Arial"/>
                <w:sz w:val="12"/>
                <w:szCs w:val="12"/>
                <w:color w:val="0000EE"/>
              </w:rPr>
            </w:pPr>
            <w:hyperlink w:anchor="page112">
              <w:r>
                <w:rPr>
                  <w:rFonts w:ascii="Arial" w:cs="Arial" w:eastAsia="Arial" w:hAnsi="Arial"/>
                  <w:sz w:val="12"/>
                  <w:szCs w:val="12"/>
                  <w:color w:val="0000EE"/>
                </w:rPr>
                <w:t>Consent of Crowe LLP†</w:t>
              </w:r>
            </w:hyperlink>
          </w:p>
        </w:tc>
        <w:tc>
          <w:tcPr>
            <w:tcW w:w="20" w:type="dxa"/>
            <w:vAlign w:val="bottom"/>
          </w:tcPr>
          <w:p>
            <w:pPr>
              <w:spacing w:after="0"/>
              <w:rPr>
                <w:sz w:val="11"/>
                <w:szCs w:val="1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20" w:type="dxa"/>
            <w:vAlign w:val="bottom"/>
            <w:gridSpan w:val="2"/>
          </w:tcPr>
          <w:p>
            <w:pPr>
              <w:spacing w:after="0"/>
              <w:rPr>
                <w:sz w:val="11"/>
                <w:szCs w:val="11"/>
                <w:color w:val="auto"/>
              </w:rPr>
            </w:pPr>
          </w:p>
        </w:tc>
        <w:tc>
          <w:tcPr>
            <w:tcW w:w="220" w:type="dxa"/>
            <w:vAlign w:val="bottom"/>
          </w:tcPr>
          <w:p>
            <w:pPr>
              <w:jc w:val="center"/>
              <w:spacing w:after="0" w:line="133" w:lineRule="exact"/>
              <w:rPr>
                <w:rFonts w:ascii="Arial" w:cs="Arial" w:eastAsia="Arial" w:hAnsi="Arial"/>
                <w:sz w:val="12"/>
                <w:szCs w:val="12"/>
                <w:color w:val="0000EE"/>
                <w:w w:val="93"/>
              </w:rPr>
            </w:pPr>
            <w:hyperlink w:anchor="page113">
              <w:r>
                <w:rPr>
                  <w:rFonts w:ascii="Arial" w:cs="Arial" w:eastAsia="Arial" w:hAnsi="Arial"/>
                  <w:sz w:val="12"/>
                  <w:szCs w:val="12"/>
                  <w:color w:val="0000EE"/>
                  <w:w w:val="93"/>
                </w:rPr>
                <w:t>24.</w:t>
              </w:r>
              <w:r>
                <w:rPr>
                  <w:rFonts w:ascii="Arial" w:cs="Arial" w:eastAsia="Arial" w:hAnsi="Arial"/>
                  <w:sz w:val="12"/>
                  <w:szCs w:val="12"/>
                  <w:u w:val="single" w:color="auto"/>
                  <w:color w:val="0000EE"/>
                  <w:w w:val="93"/>
                </w:rPr>
                <w:t>1</w:t>
              </w:r>
            </w:hyperlink>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40" w:type="dxa"/>
            <w:vAlign w:val="bottom"/>
            <w:gridSpan w:val="19"/>
          </w:tcPr>
          <w:p>
            <w:pPr>
              <w:spacing w:after="0" w:line="133" w:lineRule="exact"/>
              <w:rPr>
                <w:rFonts w:ascii="Arial" w:cs="Arial" w:eastAsia="Arial" w:hAnsi="Arial"/>
                <w:sz w:val="12"/>
                <w:szCs w:val="12"/>
                <w:color w:val="0000EE"/>
              </w:rPr>
            </w:pPr>
            <w:hyperlink w:anchor="page113">
              <w:r>
                <w:rPr>
                  <w:rFonts w:ascii="Arial" w:cs="Arial" w:eastAsia="Arial" w:hAnsi="Arial"/>
                  <w:sz w:val="12"/>
                  <w:szCs w:val="12"/>
                  <w:color w:val="0000EE"/>
                </w:rPr>
                <w:t>Power of Attorney†</w:t>
              </w:r>
            </w:hyperlink>
          </w:p>
        </w:tc>
        <w:tc>
          <w:tcPr>
            <w:tcW w:w="20" w:type="dxa"/>
            <w:vAlign w:val="bottom"/>
          </w:tcPr>
          <w:p>
            <w:pPr>
              <w:spacing w:after="0"/>
              <w:rPr>
                <w:sz w:val="11"/>
                <w:szCs w:val="1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20" w:type="dxa"/>
            <w:vAlign w:val="bottom"/>
            <w:gridSpan w:val="2"/>
          </w:tcPr>
          <w:p>
            <w:pPr>
              <w:spacing w:after="0"/>
              <w:rPr>
                <w:sz w:val="11"/>
                <w:szCs w:val="11"/>
                <w:color w:val="auto"/>
              </w:rPr>
            </w:pPr>
          </w:p>
        </w:tc>
        <w:tc>
          <w:tcPr>
            <w:tcW w:w="220" w:type="dxa"/>
            <w:vAlign w:val="bottom"/>
          </w:tcPr>
          <w:p>
            <w:pPr>
              <w:jc w:val="center"/>
              <w:spacing w:after="0" w:line="133" w:lineRule="exact"/>
              <w:rPr>
                <w:rFonts w:ascii="Arial" w:cs="Arial" w:eastAsia="Arial" w:hAnsi="Arial"/>
                <w:sz w:val="12"/>
                <w:szCs w:val="12"/>
                <w:color w:val="0000EE"/>
                <w:w w:val="93"/>
              </w:rPr>
            </w:pPr>
            <w:hyperlink w:anchor="page115">
              <w:r>
                <w:rPr>
                  <w:rFonts w:ascii="Arial" w:cs="Arial" w:eastAsia="Arial" w:hAnsi="Arial"/>
                  <w:sz w:val="12"/>
                  <w:szCs w:val="12"/>
                  <w:color w:val="0000EE"/>
                  <w:w w:val="93"/>
                </w:rPr>
                <w:t>31.</w:t>
              </w:r>
              <w:r>
                <w:rPr>
                  <w:rFonts w:ascii="Arial" w:cs="Arial" w:eastAsia="Arial" w:hAnsi="Arial"/>
                  <w:sz w:val="12"/>
                  <w:szCs w:val="12"/>
                  <w:u w:val="single" w:color="auto"/>
                  <w:color w:val="0000EE"/>
                  <w:w w:val="93"/>
                </w:rPr>
                <w:t>1</w:t>
              </w:r>
            </w:hyperlink>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40" w:type="dxa"/>
            <w:vAlign w:val="bottom"/>
            <w:gridSpan w:val="19"/>
          </w:tcPr>
          <w:p>
            <w:pPr>
              <w:spacing w:after="0" w:line="133" w:lineRule="exact"/>
              <w:rPr>
                <w:rFonts w:ascii="Arial" w:cs="Arial" w:eastAsia="Arial" w:hAnsi="Arial"/>
                <w:sz w:val="12"/>
                <w:szCs w:val="12"/>
                <w:color w:val="0000EE"/>
              </w:rPr>
            </w:pPr>
            <w:hyperlink w:anchor="page115">
              <w:r>
                <w:rPr>
                  <w:rFonts w:ascii="Arial" w:cs="Arial" w:eastAsia="Arial" w:hAnsi="Arial"/>
                  <w:sz w:val="12"/>
                  <w:szCs w:val="12"/>
                  <w:color w:val="0000EE"/>
                </w:rPr>
                <w:t>Certification of Chief Executive Officer pursuant to SEC Rule 13a-14(a)/15d-14(a)†</w:t>
              </w:r>
            </w:hyperlink>
          </w:p>
        </w:tc>
        <w:tc>
          <w:tcPr>
            <w:tcW w:w="20" w:type="dxa"/>
            <w:vAlign w:val="bottom"/>
          </w:tcPr>
          <w:p>
            <w:pPr>
              <w:spacing w:after="0"/>
              <w:rPr>
                <w:sz w:val="11"/>
                <w:szCs w:val="1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8"/>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tcBorders>
              <w:left w:val="single" w:sz="8" w:color="0000EE"/>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20" w:type="dxa"/>
            <w:vAlign w:val="bottom"/>
            <w:gridSpan w:val="2"/>
          </w:tcPr>
          <w:p>
            <w:pPr>
              <w:spacing w:after="0"/>
              <w:rPr>
                <w:sz w:val="11"/>
                <w:szCs w:val="11"/>
                <w:color w:val="auto"/>
              </w:rPr>
            </w:pPr>
          </w:p>
        </w:tc>
        <w:tc>
          <w:tcPr>
            <w:tcW w:w="220" w:type="dxa"/>
            <w:vAlign w:val="bottom"/>
          </w:tcPr>
          <w:p>
            <w:pPr>
              <w:jc w:val="center"/>
              <w:spacing w:after="0" w:line="133" w:lineRule="exact"/>
              <w:rPr>
                <w:rFonts w:ascii="Arial" w:cs="Arial" w:eastAsia="Arial" w:hAnsi="Arial"/>
                <w:sz w:val="12"/>
                <w:szCs w:val="12"/>
                <w:color w:val="0000EE"/>
                <w:w w:val="93"/>
              </w:rPr>
            </w:pPr>
            <w:hyperlink w:anchor="page116">
              <w:r>
                <w:rPr>
                  <w:rFonts w:ascii="Arial" w:cs="Arial" w:eastAsia="Arial" w:hAnsi="Arial"/>
                  <w:sz w:val="12"/>
                  <w:szCs w:val="12"/>
                  <w:color w:val="0000EE"/>
                  <w:w w:val="93"/>
                </w:rPr>
                <w:t>31.</w:t>
              </w:r>
              <w:r>
                <w:rPr>
                  <w:rFonts w:ascii="Arial" w:cs="Arial" w:eastAsia="Arial" w:hAnsi="Arial"/>
                  <w:sz w:val="12"/>
                  <w:szCs w:val="12"/>
                  <w:u w:val="single" w:color="auto"/>
                  <w:color w:val="0000EE"/>
                  <w:w w:val="93"/>
                </w:rPr>
                <w:t>2</w:t>
              </w:r>
            </w:hyperlink>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40" w:type="dxa"/>
            <w:vAlign w:val="bottom"/>
            <w:gridSpan w:val="19"/>
          </w:tcPr>
          <w:p>
            <w:pPr>
              <w:spacing w:after="0" w:line="133" w:lineRule="exact"/>
              <w:rPr>
                <w:rFonts w:ascii="Arial" w:cs="Arial" w:eastAsia="Arial" w:hAnsi="Arial"/>
                <w:sz w:val="12"/>
                <w:szCs w:val="12"/>
                <w:color w:val="0000EE"/>
              </w:rPr>
            </w:pPr>
            <w:hyperlink w:anchor="page116">
              <w:r>
                <w:rPr>
                  <w:rFonts w:ascii="Arial" w:cs="Arial" w:eastAsia="Arial" w:hAnsi="Arial"/>
                  <w:sz w:val="12"/>
                  <w:szCs w:val="12"/>
                  <w:color w:val="0000EE"/>
                </w:rPr>
                <w:t>Certification of Chief Financial Officer pursuant to SEC Rule 13a-14(a)/15d-14(a)†</w:t>
              </w:r>
            </w:hyperlink>
          </w:p>
        </w:tc>
        <w:tc>
          <w:tcPr>
            <w:tcW w:w="20" w:type="dxa"/>
            <w:vAlign w:val="bottom"/>
          </w:tcPr>
          <w:p>
            <w:pPr>
              <w:spacing w:after="0"/>
              <w:rPr>
                <w:sz w:val="11"/>
                <w:szCs w:val="1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8"/>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20" w:type="dxa"/>
            <w:vAlign w:val="bottom"/>
            <w:gridSpan w:val="2"/>
          </w:tcPr>
          <w:p>
            <w:pPr>
              <w:spacing w:after="0"/>
              <w:rPr>
                <w:sz w:val="11"/>
                <w:szCs w:val="11"/>
                <w:color w:val="auto"/>
              </w:rPr>
            </w:pPr>
          </w:p>
        </w:tc>
        <w:tc>
          <w:tcPr>
            <w:tcW w:w="220" w:type="dxa"/>
            <w:vAlign w:val="bottom"/>
          </w:tcPr>
          <w:p>
            <w:pPr>
              <w:jc w:val="center"/>
              <w:spacing w:after="0" w:line="133" w:lineRule="exact"/>
              <w:rPr>
                <w:rFonts w:ascii="Arial" w:cs="Arial" w:eastAsia="Arial" w:hAnsi="Arial"/>
                <w:sz w:val="12"/>
                <w:szCs w:val="12"/>
                <w:color w:val="0000EE"/>
                <w:w w:val="93"/>
              </w:rPr>
            </w:pPr>
            <w:hyperlink w:anchor="page117">
              <w:r>
                <w:rPr>
                  <w:rFonts w:ascii="Arial" w:cs="Arial" w:eastAsia="Arial" w:hAnsi="Arial"/>
                  <w:sz w:val="12"/>
                  <w:szCs w:val="12"/>
                  <w:color w:val="0000EE"/>
                  <w:w w:val="93"/>
                </w:rPr>
                <w:t>32.</w:t>
              </w:r>
              <w:r>
                <w:rPr>
                  <w:rFonts w:ascii="Arial" w:cs="Arial" w:eastAsia="Arial" w:hAnsi="Arial"/>
                  <w:sz w:val="12"/>
                  <w:szCs w:val="12"/>
                  <w:u w:val="single" w:color="auto"/>
                  <w:color w:val="0000EE"/>
                  <w:w w:val="93"/>
                </w:rPr>
                <w:t>1</w:t>
              </w:r>
            </w:hyperlink>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40" w:type="dxa"/>
            <w:vAlign w:val="bottom"/>
            <w:gridSpan w:val="19"/>
          </w:tcPr>
          <w:p>
            <w:pPr>
              <w:spacing w:after="0" w:line="133" w:lineRule="exact"/>
              <w:rPr>
                <w:rFonts w:ascii="Arial" w:cs="Arial" w:eastAsia="Arial" w:hAnsi="Arial"/>
                <w:sz w:val="12"/>
                <w:szCs w:val="12"/>
                <w:color w:val="0000EE"/>
              </w:rPr>
            </w:pPr>
            <w:hyperlink w:anchor="page117">
              <w:r>
                <w:rPr>
                  <w:rFonts w:ascii="Arial" w:cs="Arial" w:eastAsia="Arial" w:hAnsi="Arial"/>
                  <w:sz w:val="12"/>
                  <w:szCs w:val="12"/>
                  <w:color w:val="0000EE"/>
                </w:rPr>
                <w:t>Certification of Chief Executive Officer pursuant to 18 U.S.C. §1350†</w:t>
              </w:r>
            </w:hyperlink>
          </w:p>
        </w:tc>
        <w:tc>
          <w:tcPr>
            <w:tcW w:w="20" w:type="dxa"/>
            <w:vAlign w:val="bottom"/>
          </w:tcPr>
          <w:p>
            <w:pPr>
              <w:spacing w:after="0"/>
              <w:rPr>
                <w:sz w:val="11"/>
                <w:szCs w:val="1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8"/>
            <w:shd w:val="clear" w:color="auto" w:fill="0000EE"/>
          </w:tcPr>
          <w:p>
            <w:pPr>
              <w:spacing w:after="0" w:line="20" w:lineRule="exact"/>
              <w:rPr>
                <w:sz w:val="1"/>
                <w:szCs w:val="1"/>
                <w:color w:val="auto"/>
              </w:rPr>
            </w:pPr>
          </w:p>
        </w:tc>
        <w:tc>
          <w:tcPr>
            <w:tcW w:w="7300" w:type="dxa"/>
            <w:vAlign w:val="bottom"/>
            <w:tcBorders>
              <w:left w:val="single" w:sz="8" w:color="0000EE"/>
            </w:tcBorders>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20" w:type="dxa"/>
            <w:vAlign w:val="bottom"/>
            <w:gridSpan w:val="2"/>
          </w:tcPr>
          <w:p>
            <w:pPr>
              <w:spacing w:after="0"/>
              <w:rPr>
                <w:sz w:val="11"/>
                <w:szCs w:val="11"/>
                <w:color w:val="auto"/>
              </w:rPr>
            </w:pPr>
          </w:p>
        </w:tc>
        <w:tc>
          <w:tcPr>
            <w:tcW w:w="220" w:type="dxa"/>
            <w:vAlign w:val="bottom"/>
          </w:tcPr>
          <w:p>
            <w:pPr>
              <w:jc w:val="center"/>
              <w:spacing w:after="0" w:line="133" w:lineRule="exact"/>
              <w:rPr>
                <w:rFonts w:ascii="Arial" w:cs="Arial" w:eastAsia="Arial" w:hAnsi="Arial"/>
                <w:sz w:val="12"/>
                <w:szCs w:val="12"/>
                <w:color w:val="0000EE"/>
                <w:w w:val="93"/>
              </w:rPr>
            </w:pPr>
            <w:hyperlink w:anchor="page118">
              <w:r>
                <w:rPr>
                  <w:rFonts w:ascii="Arial" w:cs="Arial" w:eastAsia="Arial" w:hAnsi="Arial"/>
                  <w:sz w:val="12"/>
                  <w:szCs w:val="12"/>
                  <w:color w:val="0000EE"/>
                  <w:w w:val="93"/>
                </w:rPr>
                <w:t>32.</w:t>
              </w:r>
              <w:r>
                <w:rPr>
                  <w:rFonts w:ascii="Arial" w:cs="Arial" w:eastAsia="Arial" w:hAnsi="Arial"/>
                  <w:sz w:val="12"/>
                  <w:szCs w:val="12"/>
                  <w:u w:val="single" w:color="auto"/>
                  <w:color w:val="0000EE"/>
                  <w:w w:val="93"/>
                </w:rPr>
                <w:t>2</w:t>
              </w:r>
            </w:hyperlink>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40" w:type="dxa"/>
            <w:vAlign w:val="bottom"/>
            <w:gridSpan w:val="19"/>
          </w:tcPr>
          <w:p>
            <w:pPr>
              <w:spacing w:after="0" w:line="133" w:lineRule="exact"/>
              <w:rPr>
                <w:rFonts w:ascii="Arial" w:cs="Arial" w:eastAsia="Arial" w:hAnsi="Arial"/>
                <w:sz w:val="12"/>
                <w:szCs w:val="12"/>
                <w:color w:val="0000EE"/>
              </w:rPr>
            </w:pPr>
            <w:hyperlink w:anchor="page118">
              <w:r>
                <w:rPr>
                  <w:rFonts w:ascii="Arial" w:cs="Arial" w:eastAsia="Arial" w:hAnsi="Arial"/>
                  <w:sz w:val="12"/>
                  <w:szCs w:val="12"/>
                  <w:color w:val="0000EE"/>
                </w:rPr>
                <w:t>Certification of Chief Financial Officer pursuant to 18 U.S.C. §1350†</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8"/>
            <w:shd w:val="clear" w:color="auto" w:fill="0000EE"/>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color w:val="auto"/>
              </w:rPr>
              <w:t>101.INS</w:t>
            </w:r>
          </w:p>
        </w:tc>
        <w:tc>
          <w:tcPr>
            <w:tcW w:w="80" w:type="dxa"/>
            <w:vAlign w:val="bottom"/>
          </w:tcPr>
          <w:p>
            <w:pPr>
              <w:spacing w:after="0"/>
              <w:rPr>
                <w:sz w:val="13"/>
                <w:szCs w:val="13"/>
                <w:color w:val="auto"/>
              </w:rPr>
            </w:pPr>
          </w:p>
        </w:tc>
        <w:tc>
          <w:tcPr>
            <w:tcW w:w="10640" w:type="dxa"/>
            <w:vAlign w:val="bottom"/>
            <w:gridSpan w:val="19"/>
          </w:tcPr>
          <w:p>
            <w:pPr>
              <w:spacing w:after="0"/>
              <w:rPr>
                <w:sz w:val="20"/>
                <w:szCs w:val="20"/>
                <w:color w:val="auto"/>
              </w:rPr>
            </w:pPr>
            <w:r>
              <w:rPr>
                <w:rFonts w:ascii="Arial" w:cs="Arial" w:eastAsia="Arial" w:hAnsi="Arial"/>
                <w:sz w:val="12"/>
                <w:szCs w:val="12"/>
                <w:color w:val="auto"/>
              </w:rPr>
              <w:t>XBRL Instance Document*</w:t>
            </w:r>
          </w:p>
        </w:tc>
        <w:tc>
          <w:tcPr>
            <w:tcW w:w="20" w:type="dxa"/>
            <w:vAlign w:val="bottom"/>
          </w:tcPr>
          <w:p>
            <w:pPr>
              <w:spacing w:after="0"/>
              <w:rPr>
                <w:sz w:val="13"/>
                <w:szCs w:val="13"/>
                <w:color w:val="auto"/>
              </w:rPr>
            </w:pPr>
          </w:p>
        </w:tc>
      </w:tr>
      <w:tr>
        <w:trPr>
          <w:trHeight w:val="3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14"/>
          </w:tcPr>
          <w:p>
            <w:pPr>
              <w:jc w:val="right"/>
              <w:ind w:right="452"/>
              <w:spacing w:after="0"/>
              <w:rPr>
                <w:sz w:val="20"/>
                <w:szCs w:val="20"/>
                <w:color w:val="auto"/>
              </w:rPr>
            </w:pPr>
            <w:r>
              <w:rPr>
                <w:rFonts w:ascii="Arial" w:cs="Arial" w:eastAsia="Arial" w:hAnsi="Arial"/>
                <w:sz w:val="12"/>
                <w:szCs w:val="12"/>
                <w:color w:val="auto"/>
              </w:rPr>
              <w:t>104</w:t>
            </w:r>
          </w:p>
        </w:tc>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448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5" w:name="page106"/>
    <w:bookmarkEnd w:id="105"/>
    <w:p>
      <w:pPr>
        <w:ind w:left="8"/>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11"/>
                <w:szCs w:val="11"/>
                <w:color w:val="auto"/>
              </w:rPr>
            </w:pPr>
          </w:p>
        </w:tc>
        <w:tc>
          <w:tcPr>
            <w:tcW w:w="10640" w:type="dxa"/>
            <w:vAlign w:val="bottom"/>
            <w:tcBorders>
              <w:bottom w:val="single" w:sz="8" w:color="auto"/>
            </w:tcBorders>
          </w:tcPr>
          <w:p>
            <w:pPr>
              <w:ind w:left="50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740" w:type="dxa"/>
            <w:vAlign w:val="bottom"/>
          </w:tcPr>
          <w:p>
            <w:pPr>
              <w:ind w:left="120"/>
              <w:spacing w:after="0"/>
              <w:rPr>
                <w:sz w:val="20"/>
                <w:szCs w:val="20"/>
                <w:color w:val="auto"/>
              </w:rPr>
            </w:pPr>
            <w:r>
              <w:rPr>
                <w:rFonts w:ascii="Arial" w:cs="Arial" w:eastAsia="Arial" w:hAnsi="Arial"/>
                <w:sz w:val="12"/>
                <w:szCs w:val="12"/>
                <w:color w:val="auto"/>
              </w:rPr>
              <w:t>101.SCH</w:t>
            </w:r>
          </w:p>
        </w:tc>
        <w:tc>
          <w:tcPr>
            <w:tcW w:w="10720" w:type="dxa"/>
            <w:vAlign w:val="bottom"/>
            <w:gridSpan w:val="2"/>
          </w:tcPr>
          <w:p>
            <w:pPr>
              <w:ind w:left="80"/>
              <w:spacing w:after="0"/>
              <w:rPr>
                <w:sz w:val="20"/>
                <w:szCs w:val="20"/>
                <w:color w:val="auto"/>
              </w:rPr>
            </w:pPr>
            <w:r>
              <w:rPr>
                <w:rFonts w:ascii="Arial" w:cs="Arial" w:eastAsia="Arial" w:hAnsi="Arial"/>
                <w:sz w:val="12"/>
                <w:szCs w:val="12"/>
                <w:color w:val="auto"/>
              </w:rPr>
              <w:t>XBRL Taxonomy Extension Schema Document*</w:t>
            </w:r>
          </w:p>
        </w:tc>
      </w:tr>
      <w:tr>
        <w:trPr>
          <w:trHeight w:val="162"/>
        </w:trPr>
        <w:tc>
          <w:tcPr>
            <w:tcW w:w="740" w:type="dxa"/>
            <w:vAlign w:val="bottom"/>
          </w:tcPr>
          <w:p>
            <w:pPr>
              <w:ind w:left="100"/>
              <w:spacing w:after="0"/>
              <w:rPr>
                <w:sz w:val="20"/>
                <w:szCs w:val="20"/>
                <w:color w:val="auto"/>
              </w:rPr>
            </w:pPr>
            <w:r>
              <w:rPr>
                <w:rFonts w:ascii="Arial" w:cs="Arial" w:eastAsia="Arial" w:hAnsi="Arial"/>
                <w:sz w:val="12"/>
                <w:szCs w:val="12"/>
                <w:color w:val="auto"/>
              </w:rPr>
              <w:t>101.CAL</w:t>
            </w:r>
          </w:p>
        </w:tc>
        <w:tc>
          <w:tcPr>
            <w:tcW w:w="10720" w:type="dxa"/>
            <w:vAlign w:val="bottom"/>
            <w:gridSpan w:val="2"/>
          </w:tcPr>
          <w:p>
            <w:pPr>
              <w:ind w:left="80"/>
              <w:spacing w:after="0"/>
              <w:rPr>
                <w:sz w:val="20"/>
                <w:szCs w:val="20"/>
                <w:color w:val="auto"/>
              </w:rPr>
            </w:pPr>
            <w:r>
              <w:rPr>
                <w:rFonts w:ascii="Arial" w:cs="Arial" w:eastAsia="Arial" w:hAnsi="Arial"/>
                <w:sz w:val="12"/>
                <w:szCs w:val="12"/>
                <w:color w:val="auto"/>
              </w:rPr>
              <w:t>XBRL Taxonomy Extension Calculation Linkbase Document*</w:t>
            </w:r>
          </w:p>
        </w:tc>
      </w:tr>
      <w:tr>
        <w:trPr>
          <w:trHeight w:val="162"/>
        </w:trPr>
        <w:tc>
          <w:tcPr>
            <w:tcW w:w="740" w:type="dxa"/>
            <w:vAlign w:val="bottom"/>
          </w:tcPr>
          <w:p>
            <w:pPr>
              <w:ind w:left="120"/>
              <w:spacing w:after="0"/>
              <w:rPr>
                <w:sz w:val="20"/>
                <w:szCs w:val="20"/>
                <w:color w:val="auto"/>
              </w:rPr>
            </w:pPr>
            <w:r>
              <w:rPr>
                <w:rFonts w:ascii="Arial" w:cs="Arial" w:eastAsia="Arial" w:hAnsi="Arial"/>
                <w:sz w:val="12"/>
                <w:szCs w:val="12"/>
                <w:color w:val="auto"/>
              </w:rPr>
              <w:t>101.DEF</w:t>
            </w:r>
          </w:p>
        </w:tc>
        <w:tc>
          <w:tcPr>
            <w:tcW w:w="10720" w:type="dxa"/>
            <w:vAlign w:val="bottom"/>
            <w:gridSpan w:val="2"/>
          </w:tcPr>
          <w:p>
            <w:pPr>
              <w:ind w:left="80"/>
              <w:spacing w:after="0"/>
              <w:rPr>
                <w:sz w:val="20"/>
                <w:szCs w:val="20"/>
                <w:color w:val="auto"/>
              </w:rPr>
            </w:pPr>
            <w:r>
              <w:rPr>
                <w:rFonts w:ascii="Arial" w:cs="Arial" w:eastAsia="Arial" w:hAnsi="Arial"/>
                <w:sz w:val="12"/>
                <w:szCs w:val="12"/>
                <w:color w:val="auto"/>
              </w:rPr>
              <w:t>XBRL Taxonomy Extension Definition Linkbase Document*</w:t>
            </w:r>
          </w:p>
        </w:tc>
      </w:tr>
      <w:tr>
        <w:trPr>
          <w:trHeight w:val="162"/>
        </w:trPr>
        <w:tc>
          <w:tcPr>
            <w:tcW w:w="740" w:type="dxa"/>
            <w:vAlign w:val="bottom"/>
          </w:tcPr>
          <w:p>
            <w:pPr>
              <w:ind w:left="100"/>
              <w:spacing w:after="0"/>
              <w:rPr>
                <w:sz w:val="20"/>
                <w:szCs w:val="20"/>
                <w:color w:val="auto"/>
              </w:rPr>
            </w:pPr>
            <w:r>
              <w:rPr>
                <w:rFonts w:ascii="Arial" w:cs="Arial" w:eastAsia="Arial" w:hAnsi="Arial"/>
                <w:sz w:val="12"/>
                <w:szCs w:val="12"/>
                <w:color w:val="auto"/>
              </w:rPr>
              <w:t>101.LAB</w:t>
            </w:r>
          </w:p>
        </w:tc>
        <w:tc>
          <w:tcPr>
            <w:tcW w:w="10720" w:type="dxa"/>
            <w:vAlign w:val="bottom"/>
            <w:gridSpan w:val="2"/>
          </w:tcPr>
          <w:p>
            <w:pPr>
              <w:ind w:left="80"/>
              <w:spacing w:after="0"/>
              <w:rPr>
                <w:sz w:val="20"/>
                <w:szCs w:val="20"/>
                <w:color w:val="auto"/>
              </w:rPr>
            </w:pPr>
            <w:r>
              <w:rPr>
                <w:rFonts w:ascii="Arial" w:cs="Arial" w:eastAsia="Arial" w:hAnsi="Arial"/>
                <w:sz w:val="12"/>
                <w:szCs w:val="12"/>
                <w:color w:val="auto"/>
              </w:rPr>
              <w:t>XBRL Taxonomy Extension Label Linkbase Document*</w:t>
            </w:r>
          </w:p>
        </w:tc>
      </w:tr>
      <w:tr>
        <w:trPr>
          <w:trHeight w:val="162"/>
        </w:trPr>
        <w:tc>
          <w:tcPr>
            <w:tcW w:w="740" w:type="dxa"/>
            <w:vAlign w:val="bottom"/>
          </w:tcPr>
          <w:p>
            <w:pPr>
              <w:ind w:left="120"/>
              <w:spacing w:after="0"/>
              <w:rPr>
                <w:sz w:val="20"/>
                <w:szCs w:val="20"/>
                <w:color w:val="auto"/>
              </w:rPr>
            </w:pPr>
            <w:r>
              <w:rPr>
                <w:rFonts w:ascii="Arial" w:cs="Arial" w:eastAsia="Arial" w:hAnsi="Arial"/>
                <w:sz w:val="12"/>
                <w:szCs w:val="12"/>
                <w:color w:val="auto"/>
              </w:rPr>
              <w:t>101.PRE</w:t>
            </w:r>
          </w:p>
        </w:tc>
        <w:tc>
          <w:tcPr>
            <w:tcW w:w="10720" w:type="dxa"/>
            <w:vAlign w:val="bottom"/>
            <w:gridSpan w:val="2"/>
          </w:tcPr>
          <w:p>
            <w:pPr>
              <w:ind w:left="80"/>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72720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214" w:lineRule="exact"/>
        <w:rPr>
          <w:sz w:val="20"/>
          <w:szCs w:val="20"/>
          <w:color w:val="auto"/>
        </w:rPr>
      </w:pPr>
    </w:p>
    <w:p>
      <w:pPr>
        <w:ind w:left="248" w:hanging="248"/>
        <w:spacing w:after="0"/>
        <w:tabs>
          <w:tab w:leader="none" w:pos="248" w:val="left"/>
        </w:tabs>
        <w:numPr>
          <w:ilvl w:val="0"/>
          <w:numId w:val="28"/>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60" w:lineRule="exact"/>
        <w:rPr>
          <w:sz w:val="20"/>
          <w:szCs w:val="20"/>
          <w:color w:val="auto"/>
        </w:rPr>
      </w:pPr>
    </w:p>
    <w:p>
      <w:pPr>
        <w:ind w:left="8" w:right="7880" w:hanging="8"/>
        <w:spacing w:after="0" w:line="355" w:lineRule="auto"/>
        <w:tabs>
          <w:tab w:leader="none" w:pos="248"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 or arrangement. * Electronically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317740" cy="36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8"/>
          </w:cols>
          <w:pgMar w:left="212" w:top="133" w:right="219" w:bottom="1440" w:gutter="0" w:footer="0" w:header="0"/>
        </w:sectPr>
      </w:pPr>
    </w:p>
    <w:bookmarkStart w:id="106" w:name="page107"/>
    <w:bookmarkEnd w:id="106"/>
    <w:p>
      <w:pPr>
        <w:spacing w:after="0"/>
        <w:rPr>
          <w:rFonts w:ascii="Arial" w:cs="Arial" w:eastAsia="Arial" w:hAnsi="Arial"/>
          <w:sz w:val="10"/>
          <w:szCs w:val="10"/>
          <w:color w:val="003366"/>
        </w:rPr>
      </w:pPr>
      <w:hyperlink w:anchor="page1">
        <w:r>
          <w:rPr>
            <w:rFonts w:ascii="Arial" w:cs="Arial" w:eastAsia="Arial" w:hAnsi="Arial"/>
            <w:sz w:val="10"/>
            <w:szCs w:val="10"/>
            <w:color w:val="003366"/>
          </w:rPr>
          <w:t>TABLE OF CONTENTS</w:t>
        </w:r>
      </w:hyperlink>
    </w:p>
    <w:p>
      <w:pPr>
        <w:spacing w:after="0" w:line="200" w:lineRule="exact"/>
        <w:rPr>
          <w:sz w:val="20"/>
          <w:szCs w:val="20"/>
          <w:color w:val="auto"/>
        </w:rPr>
      </w:pPr>
    </w:p>
    <w:p>
      <w:pPr>
        <w:spacing w:after="0" w:line="33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800"/>
        <w:spacing w:after="0"/>
        <w:rPr>
          <w:sz w:val="20"/>
          <w:szCs w:val="20"/>
          <w:color w:val="auto"/>
        </w:rPr>
      </w:pPr>
      <w:r>
        <w:rPr>
          <w:rFonts w:ascii="Arial" w:cs="Arial" w:eastAsia="Arial" w:hAnsi="Arial"/>
          <w:sz w:val="12"/>
          <w:szCs w:val="12"/>
          <w:b w:val="1"/>
          <w:bCs w:val="1"/>
          <w:color w:val="auto"/>
        </w:rPr>
        <w:t>MYR GROUP INC.</w:t>
      </w:r>
    </w:p>
    <w:p>
      <w:pPr>
        <w:spacing w:after="0" w:line="19" w:lineRule="exact"/>
        <w:rPr>
          <w:sz w:val="20"/>
          <w:szCs w:val="20"/>
          <w:color w:val="auto"/>
        </w:rPr>
      </w:pPr>
    </w:p>
    <w:p>
      <w:pPr>
        <w:ind w:left="5800"/>
        <w:spacing w:after="0"/>
        <w:rPr>
          <w:sz w:val="20"/>
          <w:szCs w:val="20"/>
          <w:color w:val="auto"/>
        </w:rPr>
      </w:pPr>
      <w:r>
        <w:rPr>
          <w:rFonts w:ascii="Arial" w:cs="Arial" w:eastAsia="Arial" w:hAnsi="Arial"/>
          <w:sz w:val="12"/>
          <w:szCs w:val="12"/>
          <w:color w:val="auto"/>
        </w:rPr>
        <w:t>(Registrant)</w:t>
      </w:r>
    </w:p>
    <w:p>
      <w:pPr>
        <w:spacing w:after="0" w:line="195"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color w:val="auto"/>
        </w:rPr>
        <w:t>March 4, 2020</w:t>
      </w:r>
      <w:r>
        <w:rPr>
          <w:sz w:val="20"/>
          <w:szCs w:val="20"/>
          <w:color w:val="auto"/>
        </w:rPr>
        <w:tab/>
      </w:r>
      <w:r>
        <w:rPr>
          <w:rFonts w:ascii="Arial" w:cs="Arial" w:eastAsia="Arial" w:hAnsi="Arial"/>
          <w:sz w:val="11"/>
          <w:szCs w:val="11"/>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26670</wp:posOffset>
            </wp:positionV>
            <wp:extent cx="359727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0">
                      <a:extLst>
                        <a:ext uri="{28A0092B-C50C-407E-A947-70E740481C1C}"/>
                      </a:extLst>
                    </a:blip>
                    <a:srcRect/>
                    <a:stretch>
                      <a:fillRect/>
                    </a:stretch>
                  </pic:blipFill>
                  <pic:spPr bwMode="auto">
                    <a:xfrm>
                      <a:off x="0" y="0"/>
                      <a:ext cx="3597275" cy="5715"/>
                    </a:xfrm>
                    <a:prstGeom prst="rect">
                      <a:avLst/>
                    </a:prstGeom>
                    <a:noFill/>
                  </pic:spPr>
                </pic:pic>
              </a:graphicData>
            </a:graphic>
          </wp:anchor>
        </w:drawing>
      </w:r>
    </w:p>
    <w:p>
      <w:pPr>
        <w:spacing w:after="0" w:line="49"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0"/>
          <w:szCs w:val="10"/>
          <w:color w:val="auto"/>
        </w:rPr>
        <w:t>Betty R. Johnson</w:t>
      </w:r>
    </w:p>
    <w:p>
      <w:pPr>
        <w:spacing w:after="0" w:line="60"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i w:val="1"/>
          <w:iCs w:val="1"/>
          <w:color w:val="auto"/>
        </w:rPr>
        <w:t>Senior Vice President, Chief Financial</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2"/>
          <w:szCs w:val="12"/>
          <w:i w:val="1"/>
          <w:iCs w:val="1"/>
          <w:color w:val="auto"/>
        </w:rPr>
        <w:t>Officer and Treasurer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460"/>
          </w:cols>
          <w:pgMar w:left="220" w:top="134" w:right="219" w:bottom="1440" w:gutter="0" w:footer="0" w:header="0"/>
        </w:sectPr>
      </w:pPr>
    </w:p>
    <w:p>
      <w:pPr>
        <w:spacing w:after="0" w:line="192" w:lineRule="exact"/>
        <w:rPr>
          <w:sz w:val="20"/>
          <w:szCs w:val="20"/>
          <w:color w:val="auto"/>
        </w:rPr>
      </w:pPr>
    </w:p>
    <w:p>
      <w:pPr>
        <w:jc w:val="center"/>
        <w:ind w:left="560"/>
        <w:spacing w:after="0"/>
        <w:rPr>
          <w:sz w:val="20"/>
          <w:szCs w:val="20"/>
          <w:color w:val="auto"/>
        </w:rPr>
      </w:pPr>
      <w:r>
        <w:rPr>
          <w:rFonts w:ascii="Arial" w:cs="Arial" w:eastAsia="Arial" w:hAnsi="Arial"/>
          <w:sz w:val="8"/>
          <w:szCs w:val="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228219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1">
                      <a:extLst>
                        <a:ext uri="{28A0092B-C50C-407E-A947-70E740481C1C}"/>
                      </a:extLst>
                    </a:blip>
                    <a:srcRect/>
                    <a:stretch>
                      <a:fillRect/>
                    </a:stretch>
                  </pic:blipFill>
                  <pic:spPr bwMode="auto">
                    <a:xfrm>
                      <a:off x="0" y="0"/>
                      <a:ext cx="2282190" cy="571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2">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Richard S. Swartz</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3">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Betty R. Johnson</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4">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Kenneth M. Hartwick</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5">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Larry F. Altenbaumer</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6">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Bradley T. Favreau</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7">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William A. Koertner</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8">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Jennifer E. Lowry</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9">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Donald C.I. Lucky</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0">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Maurice E. Moore</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227076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1">
                      <a:extLst>
                        <a:ext uri="{28A0092B-C50C-407E-A947-70E740481C1C}"/>
                      </a:extLst>
                    </a:blip>
                    <a:srcRect/>
                    <a:stretch>
                      <a:fillRect/>
                    </a:stretch>
                  </pic:blipFill>
                  <pic:spPr bwMode="auto">
                    <a:xfrm>
                      <a:off x="0" y="0"/>
                      <a:ext cx="2270760" cy="57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William D. Patterson</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*By:/s/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15240</wp:posOffset>
            </wp:positionV>
            <wp:extent cx="18186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2">
                      <a:extLst>
                        <a:ext uri="{28A0092B-C50C-407E-A947-70E740481C1C}"/>
                      </a:extLst>
                    </a:blip>
                    <a:srcRect/>
                    <a:stretch>
                      <a:fillRect/>
                    </a:stretch>
                  </pic:blipFill>
                  <pic:spPr bwMode="auto">
                    <a:xfrm>
                      <a:off x="0" y="0"/>
                      <a:ext cx="1818640" cy="5715"/>
                    </a:xfrm>
                    <a:prstGeom prst="rect">
                      <a:avLst/>
                    </a:prstGeom>
                    <a:noFill/>
                  </pic:spPr>
                </pic:pic>
              </a:graphicData>
            </a:graphic>
          </wp:anchor>
        </w:drawing>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(Betty R. Johnson)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(Attorney-in-fact)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5100" w:type="dxa"/>
            <w:vAlign w:val="bottom"/>
            <w:tcBorders>
              <w:bottom w:val="single" w:sz="8" w:color="auto"/>
            </w:tcBorders>
          </w:tcPr>
          <w:p>
            <w:pPr>
              <w:ind w:left="2460"/>
              <w:spacing w:after="0"/>
              <w:rPr>
                <w:sz w:val="20"/>
                <w:szCs w:val="20"/>
                <w:color w:val="auto"/>
              </w:rPr>
            </w:pPr>
            <w:r>
              <w:rPr>
                <w:rFonts w:ascii="Arial" w:cs="Arial" w:eastAsia="Arial" w:hAnsi="Arial"/>
                <w:sz w:val="10"/>
                <w:szCs w:val="10"/>
                <w:b w:val="1"/>
                <w:bCs w:val="1"/>
                <w:color w:val="auto"/>
              </w:rPr>
              <w:t>Title</w:t>
            </w:r>
          </w:p>
        </w:tc>
        <w:tc>
          <w:tcPr>
            <w:tcW w:w="160" w:type="dxa"/>
            <w:vAlign w:val="bottom"/>
          </w:tcPr>
          <w:p>
            <w:pPr>
              <w:spacing w:after="0"/>
              <w:rPr>
                <w:sz w:val="11"/>
                <w:szCs w:val="1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0" w:type="dxa"/>
            <w:vAlign w:val="bottom"/>
          </w:tcPr>
          <w:p>
            <w:pPr>
              <w:spacing w:after="0"/>
              <w:rPr>
                <w:sz w:val="1"/>
                <w:szCs w:val="1"/>
                <w:color w:val="auto"/>
              </w:rPr>
            </w:pPr>
          </w:p>
        </w:tc>
      </w:tr>
      <w:tr>
        <w:trPr>
          <w:trHeight w:val="250"/>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President, Chief Executive Officer and Director (Principal Executive Officer)</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288"/>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Senior Vice President, Chief Financial Officer</w:t>
            </w:r>
          </w:p>
        </w:tc>
        <w:tc>
          <w:tcPr>
            <w:tcW w:w="2480" w:type="dxa"/>
            <w:vAlign w:val="bottom"/>
            <w:vMerge w:val="restart"/>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81"/>
        </w:trPr>
        <w:tc>
          <w:tcPr>
            <w:tcW w:w="5260" w:type="dxa"/>
            <w:vAlign w:val="bottom"/>
            <w:gridSpan w:val="2"/>
            <w:vMerge w:val="restart"/>
          </w:tcPr>
          <w:p>
            <w:pPr>
              <w:ind w:left="20"/>
              <w:spacing w:after="0"/>
              <w:rPr>
                <w:sz w:val="20"/>
                <w:szCs w:val="20"/>
                <w:color w:val="auto"/>
              </w:rPr>
            </w:pPr>
            <w:r>
              <w:rPr>
                <w:rFonts w:ascii="Arial" w:cs="Arial" w:eastAsia="Arial" w:hAnsi="Arial"/>
                <w:sz w:val="12"/>
                <w:szCs w:val="12"/>
                <w:color w:val="auto"/>
              </w:rPr>
              <w:t>and Treasurer (Principal Financial Officer and Principal Accounting Officer)</w:t>
            </w: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260" w:type="dxa"/>
            <w:vAlign w:val="bottom"/>
            <w:gridSpan w:val="2"/>
            <w:vMerge w:val="continue"/>
          </w:tcPr>
          <w:p>
            <w:pPr>
              <w:spacing w:after="0"/>
              <w:rPr>
                <w:sz w:val="6"/>
                <w:szCs w:val="6"/>
                <w:color w:val="auto"/>
              </w:rPr>
            </w:pP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Chairman of the Board of Directors</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369"/>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369"/>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369"/>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369"/>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369"/>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369"/>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369"/>
        </w:trPr>
        <w:tc>
          <w:tcPr>
            <w:tcW w:w="526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r>
        <w:trPr>
          <w:trHeight w:val="594"/>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2"/>
                <w:szCs w:val="12"/>
                <w:color w:val="auto"/>
                <w:w w:val="93"/>
              </w:rPr>
              <w:t>March 4, 2020</w:t>
            </w:r>
          </w:p>
        </w:tc>
        <w:tc>
          <w:tcPr>
            <w:tcW w:w="0" w:type="dxa"/>
            <w:vAlign w:val="bottom"/>
          </w:tcPr>
          <w:p>
            <w:pPr>
              <w:spacing w:after="0"/>
              <w:rPr>
                <w:sz w:val="1"/>
                <w:szCs w:val="1"/>
                <w:color w:val="auto"/>
              </w:rPr>
            </w:pPr>
          </w:p>
        </w:tc>
      </w:tr>
    </w:tbl>
    <w:p>
      <w:pPr>
        <w:spacing w:after="0" w:line="527" w:lineRule="exact"/>
        <w:rPr>
          <w:sz w:val="20"/>
          <w:szCs w:val="20"/>
          <w:color w:val="auto"/>
        </w:rPr>
      </w:pPr>
    </w:p>
    <w:p>
      <w:pPr>
        <w:sectPr>
          <w:pgSz w:w="11900" w:h="16838" w:orient="portrait"/>
          <w:cols w:equalWidth="0" w:num="2">
            <w:col w:w="3000" w:space="720"/>
            <w:col w:w="7740"/>
          </w:cols>
          <w:pgMar w:left="220" w:top="134" w:right="219" w:bottom="1440" w:gutter="0" w:footer="0" w:header="0"/>
          <w:type w:val="continuous"/>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177165</wp:posOffset>
            </wp:positionV>
            <wp:extent cx="7317740" cy="368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2"/>
          <w:szCs w:val="12"/>
          <w:b w:val="1"/>
          <w:bCs w:val="1"/>
          <w:color w:val="auto"/>
        </w:rPr>
        <w:t>Exhibit 4.2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THE REGISTRANT’S SECURITIES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141"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The following description sets forth certain material terms and provisions of the securities of MYR Group Inc. (the “Company”) that are registered under Section 12 of the Securities Exchange Act of 1934 (the “Exchange Act”). This description also summarizes relevant provisions of the Delaware General Corporation Law (the “DGCL”). The following description is a summary and does not purport to be complete. It is subject to, and qualified in its entirety by reference to, the applicable provisions of the DGCL and our Restated Certificate of Incorporation (the “Certificate of Incorporation”) and our Amended and Restated By-Laws (the “By-Laws”), each of which is incorporated by reference as an exhibit to the Annual Report on Form 10-K of which this Exhibit 4.2 is a part. We encourage you to read the Certificate of Incorporation and By-Laws and the applicable provisions of the DGCL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Authorized Capital Stock</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are authorized to issue 100,000,000 shares of common stock, par value $0.01 per share, and 4,000,000 shares of preferred stock, par value $0.01 per share.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54"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Each share of our common stock entitles the holder to one vote on all matters submitted to a vote of stockholders, including the election of directors. The By-Laws provide that, except as otherwise provided by law, the Certificate of Incorporation, or the By-Laws, or permitted by the rules of the stock exchange on which our shares are listed or traded, any question brought before any meeting of the stockholders, other than the election of directors, shall be decided by the vote of the holders of a majority of the total number of votes of the Company’s capital stock represented at the meeting and entitled to vote, voting as a single class. Directors shall be elected by the majority of the votes cast, except that, if the number of nominees for election at any such meeting exceeds the number of directors to be elected at such meeting, each director shall be elected by a plurality of the votes cast. Holders of shares of our common stock do not have cumulative voting rights.</w:t>
      </w:r>
    </w:p>
    <w:p>
      <w:pPr>
        <w:spacing w:after="0" w:line="126"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Subject to any preference rights of holders of preferred stock, holders of our common stock are entitled to receive dividends, if any, when, as and if declared by the Board of Directors of the Company (the “Board”) from time to time out of assets or funds legally available for such purposes. In the event of our liquidation, dissolution or winding up (either voluntary or involuntary), the holders of common stock are entitled to share ratably in all assets and funds remaining after the payment of liabilities, subject to any rights of holders of preferred stock to prior distribution.</w:t>
      </w:r>
    </w:p>
    <w:p>
      <w:pPr>
        <w:spacing w:after="0" w:line="123"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Our common stock has no preemptive or conversion rights or other subscription rights. There are no redemption or sinking fund provisions applicable to the common stock. Our common stock is not liable to further call or assessment by the Company or subject to any restriction on alienability, except as required by law.</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54"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The Board, without further action by the holders of common stock, is authorized to issue up to 4,000,000 shares of preferred stock. The Board is vested with authority to fix by resolution the designations and the powers, preferences and relative, participating, optional or other special rights, and qualifications, limitations or restrictions thereof, including, without limitation, the dividend rate, conversion or exchange rights, redemption price and liquidation preference of any class or series of shares of preferred stock, and to fix the number of shares constituting any such class or series.</w:t>
      </w:r>
    </w:p>
    <w:p>
      <w:pPr>
        <w:spacing w:after="0" w:line="123" w:lineRule="exact"/>
        <w:rPr>
          <w:sz w:val="20"/>
          <w:szCs w:val="20"/>
          <w:color w:val="auto"/>
        </w:rPr>
      </w:pPr>
    </w:p>
    <w:p>
      <w:pPr>
        <w:ind w:right="40" w:firstLine="432"/>
        <w:spacing w:after="0" w:line="323" w:lineRule="auto"/>
        <w:rPr>
          <w:sz w:val="20"/>
          <w:szCs w:val="20"/>
          <w:color w:val="auto"/>
        </w:rPr>
      </w:pPr>
      <w:r>
        <w:rPr>
          <w:rFonts w:ascii="Arial" w:cs="Arial" w:eastAsia="Arial" w:hAnsi="Arial"/>
          <w:sz w:val="11"/>
          <w:szCs w:val="11"/>
          <w:color w:val="auto"/>
        </w:rPr>
        <w:t>The authority possessed by the Board to issue preferred stock could potentially be used to discourage attempts by others to obtain control of the Company through a merger, tender offer, proxy contest, or otherwise by making such attempts more difficult to achieve or more costly. The Board may issue preferred stock with voting and conversion rights that could adversely affect the voting power of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258445</wp:posOffset>
            </wp:positionV>
            <wp:extent cx="729234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b w:val="1"/>
          <w:bCs w:val="1"/>
          <w:color w:val="auto"/>
        </w:rPr>
        <w:t>Certain Anti-Takeover Effects of Provisions of the Certificate of Incorporation, By-Laws and the DGCL</w:t>
      </w:r>
    </w:p>
    <w:p>
      <w:pPr>
        <w:spacing w:after="0" w:line="154" w:lineRule="exact"/>
        <w:rPr>
          <w:sz w:val="20"/>
          <w:szCs w:val="20"/>
          <w:color w:val="auto"/>
        </w:rPr>
      </w:pPr>
    </w:p>
    <w:p>
      <w:pPr>
        <w:ind w:right="460" w:firstLine="432"/>
        <w:spacing w:after="0" w:line="276" w:lineRule="auto"/>
        <w:rPr>
          <w:sz w:val="20"/>
          <w:szCs w:val="20"/>
          <w:color w:val="auto"/>
        </w:rPr>
      </w:pPr>
      <w:r>
        <w:rPr>
          <w:rFonts w:ascii="Arial" w:cs="Arial" w:eastAsia="Arial" w:hAnsi="Arial"/>
          <w:sz w:val="12"/>
          <w:szCs w:val="12"/>
          <w:color w:val="auto"/>
        </w:rPr>
        <w:t>Certain provisions of the Certificate of Incorporation, By-Laws and the DGCL, summarized below, may be deemed to have an anti-takeover effect and may delay, defer or prevent a tender offer or takeover attempt that a stockholder might consider in such stockholder’s best interest, including those attempts that might result in a premium over the market price for the shares held by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Newly Created Directorships, Vacancies and Removal</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Certificate of Incorporation and By-Laws provide that newly created directorships resulting from any increase in the number of directors may be filled by a majority of the Board then in office, provided that a quorum is present, and any other vacancy occurring on the Board may be filled by a majority of the Board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will have the same remaining term as that of his or her predecessor.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Classified Board of Directors</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The Certificate of Incorporation and By-Laws provide that the Board is divided into three classes of directors serving staggered three-year terms. As a result, approximately one-third of the Board will be elected each year. These provisions, when coupled with the provision in the Certificate of Incorporation authorizing the Board to fill vacant directorships or increase the size of the Board, may deter a stockholder from removing incumbent directors and simultaneously gaining control of the Board by filling the vacancies created by such removal with its own nominees.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Meetings of Stockholders</w:t>
      </w:r>
    </w:p>
    <w:p>
      <w:pPr>
        <w:spacing w:after="0" w:line="15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Certificate of Incorporation and By-Laws provide that special meetings of stockholders may be called by the chairman of the Board, the president, any vice president, the secretary or any assistant secretary, the Board, any committee thereof that has been authorized to call such special meeting and stockholders owning a majority of the outstanding voting stock entitled to vote.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Stockholder Action by Written Consent</w:t>
      </w:r>
    </w:p>
    <w:p>
      <w:pPr>
        <w:spacing w:after="0" w:line="150"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The Certificate of Incorporation provides that any action required or permitted to be taken by our stockholders must be effected at a duly called annual or special meeting of stockholders and may not be taken or effected by a written consent of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Advance Notice of Stockholder-Proposed Business at Annual Meetings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By-Laws contain advance notice procedures with respect to stockholder proposals and the nomination of candidates for election as directors (other than nominations made by or at the direction of the Board).</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DGCL Section 203 – Business Combinations with Interested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29234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00"/>
          </w:cols>
          <w:pgMar w:left="220" w:top="649" w:right="279" w:bottom="1440" w:gutter="0" w:footer="0" w:header="0"/>
        </w:sectPr>
      </w:pPr>
    </w:p>
    <w:bookmarkStart w:id="109" w:name="page110"/>
    <w:bookmarkEnd w:id="109"/>
    <w:p>
      <w:pPr>
        <w:ind w:right="460" w:firstLine="432"/>
        <w:spacing w:after="0" w:line="276" w:lineRule="auto"/>
        <w:rPr>
          <w:sz w:val="20"/>
          <w:szCs w:val="20"/>
          <w:color w:val="auto"/>
        </w:rPr>
      </w:pPr>
      <w:r>
        <w:rPr>
          <w:rFonts w:ascii="Arial" w:cs="Arial" w:eastAsia="Arial" w:hAnsi="Arial"/>
          <w:sz w:val="12"/>
          <w:szCs w:val="12"/>
          <w:color w:val="auto"/>
        </w:rPr>
        <w:t>We are subject to the provisions of Section 203 of the DGCL, regulating corporate takeovers.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115" w:lineRule="exact"/>
        <w:rPr>
          <w:sz w:val="20"/>
          <w:szCs w:val="20"/>
          <w:color w:val="auto"/>
        </w:rPr>
      </w:pPr>
    </w:p>
    <w:p>
      <w:pPr>
        <w:ind w:left="640" w:hanging="216"/>
        <w:spacing w:after="0"/>
        <w:tabs>
          <w:tab w:leader="none" w:pos="6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prior to the time that the person became an interested stockholder, the Board approved either the business combination or the transaction which resulted in the stockholder becoming an interested stockholder;</w:t>
      </w:r>
    </w:p>
    <w:p>
      <w:pPr>
        <w:spacing w:after="0" w:line="161" w:lineRule="exact"/>
        <w:rPr>
          <w:rFonts w:ascii="Arial" w:cs="Arial" w:eastAsia="Arial" w:hAnsi="Arial"/>
          <w:sz w:val="11"/>
          <w:szCs w:val="11"/>
          <w:color w:val="auto"/>
        </w:rPr>
      </w:pPr>
    </w:p>
    <w:p>
      <w:pPr>
        <w:ind w:left="640" w:right="20" w:hanging="216"/>
        <w:spacing w:after="0" w:line="298" w:lineRule="auto"/>
        <w:tabs>
          <w:tab w:leader="none" w:pos="6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upon consummation of the transaction that resulted in the stockholder becoming an interested stockholder, the interested stockholder owned at least 85% of the voting stock of the Company outstanding at the time the transaction commenced, excluding for the purpose of determining the number of shares outstanding (but not the outstanding voting stock owned by the interested stockholder) those shares owned by (i) the Company’s officers and directors and (ii) employee stock plans in which employee participants do not have the right to determine confidentially whether shares held subject to the plan will be tendered in a tender or exchange offer; or</w:t>
      </w:r>
    </w:p>
    <w:p>
      <w:pPr>
        <w:spacing w:after="0" w:line="105" w:lineRule="exact"/>
        <w:rPr>
          <w:rFonts w:ascii="Arial" w:cs="Arial" w:eastAsia="Arial" w:hAnsi="Arial"/>
          <w:sz w:val="11"/>
          <w:szCs w:val="11"/>
          <w:color w:val="auto"/>
        </w:rPr>
      </w:pPr>
    </w:p>
    <w:p>
      <w:pPr>
        <w:ind w:left="640" w:right="140" w:hanging="216"/>
        <w:spacing w:after="0" w:line="276" w:lineRule="auto"/>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at or subsequent to the time the business combination is approved by the Board and authorized at an annual or special meeting of its stockholders, and not by written consent, by the affirmative vote of at least 66-2/3% of its outstanding voting stock that is not owned by the interested stockholder.</w:t>
      </w:r>
    </w:p>
    <w:p>
      <w:pPr>
        <w:spacing w:after="0" w:line="115"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The term “business combination” is broadly defined to include mergers, consolidations, and sales and other dispositions of assets having an aggregate market value equal to 10% or more of the consolidated assets of the Company, and other specified transactions resulting in financial benefits to the interested stockholder. An “interested stockholder” is a person who, together with affiliates and associates, owns (or within the immediately preceding three years did own) 15% or more of the Company’s voting stock.</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restrictions on business combinations with interested stockholders contained in Section 203 of the DGCL do not apply to a corporation whose certificate of incorporation or bylaws contains a provision expressly electing not to be governed by the statute. Neither the Certificate of Incorporation nor the By-Laws contains a provision electing to “opt-out” of Section 203. Section 203 of the DGCL could prohibit or delay mergers or other takeover or change in control attempts and, accordingly, may discourage attempts to acquire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29234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0"/>
          </w:cols>
          <w:pgMar w:left="220" w:top="653"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2"/>
          <w:szCs w:val="12"/>
          <w:b w:val="1"/>
          <w:bCs w:val="1"/>
          <w:color w:val="auto"/>
        </w:rPr>
        <w:t>Exhibit 21.1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Subsidiaries of the Registrant</w:t>
      </w:r>
    </w:p>
    <w:p>
      <w:pPr>
        <w:spacing w:after="0" w:line="100" w:lineRule="exact"/>
        <w:rPr>
          <w:sz w:val="20"/>
          <w:szCs w:val="20"/>
          <w:color w:val="auto"/>
        </w:rPr>
      </w:pPr>
    </w:p>
    <w:p>
      <w:pPr>
        <w:ind w:right="240" w:firstLine="240"/>
        <w:spacing w:after="0" w:line="276" w:lineRule="auto"/>
        <w:rPr>
          <w:sz w:val="20"/>
          <w:szCs w:val="20"/>
          <w:color w:val="auto"/>
        </w:rPr>
      </w:pPr>
      <w:r>
        <w:rPr>
          <w:rFonts w:ascii="Arial" w:cs="Arial" w:eastAsia="Arial" w:hAnsi="Arial"/>
          <w:sz w:val="12"/>
          <w:szCs w:val="12"/>
          <w:color w:val="auto"/>
        </w:rPr>
        <w:t>Pursuant to Item 601(b)(21)(ii) of Regulation S-K, the names of certain subsidiaries of the Company have been omitted because such unnamed subsidiaries, considered in the aggregate as a single subsidiary, would not constitute a significant subsidiary as of December 31,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060" w:type="dxa"/>
            <w:vAlign w:val="bottom"/>
            <w:gridSpan w:val="2"/>
          </w:tcPr>
          <w:p>
            <w:pPr>
              <w:spacing w:after="0"/>
              <w:rPr>
                <w:sz w:val="20"/>
                <w:szCs w:val="20"/>
                <w:color w:val="auto"/>
              </w:rPr>
            </w:pPr>
            <w:r>
              <w:rPr>
                <w:rFonts w:ascii="Arial" w:cs="Arial" w:eastAsia="Arial" w:hAnsi="Arial"/>
                <w:sz w:val="10"/>
                <w:szCs w:val="10"/>
                <w:b w:val="1"/>
                <w:bCs w:val="1"/>
                <w:color w:val="auto"/>
              </w:rPr>
              <w:t>Subsidiary</w:t>
            </w:r>
          </w:p>
        </w:tc>
        <w:tc>
          <w:tcPr>
            <w:tcW w:w="2960" w:type="dxa"/>
            <w:vAlign w:val="bottom"/>
            <w:gridSpan w:val="2"/>
          </w:tcPr>
          <w:p>
            <w:pPr>
              <w:ind w:left="140"/>
              <w:spacing w:after="0"/>
              <w:rPr>
                <w:sz w:val="20"/>
                <w:szCs w:val="20"/>
                <w:color w:val="auto"/>
              </w:rPr>
            </w:pPr>
            <w:r>
              <w:rPr>
                <w:rFonts w:ascii="Arial" w:cs="Arial" w:eastAsia="Arial" w:hAnsi="Arial"/>
                <w:sz w:val="10"/>
                <w:szCs w:val="10"/>
                <w:b w:val="1"/>
                <w:bCs w:val="1"/>
                <w:color w:val="auto"/>
              </w:rPr>
              <w:t>Jurisdiction of Incorporation</w:t>
            </w:r>
          </w:p>
        </w:tc>
      </w:tr>
      <w:tr>
        <w:trPr>
          <w:trHeight w:val="169"/>
        </w:trPr>
        <w:tc>
          <w:tcPr>
            <w:tcW w:w="1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w:t>
            </w:r>
          </w:p>
        </w:tc>
        <w:tc>
          <w:tcPr>
            <w:tcW w:w="788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CSI Electrical Contractors, Inc.</w:t>
            </w:r>
          </w:p>
        </w:tc>
        <w:tc>
          <w:tcPr>
            <w:tcW w:w="140" w:type="dxa"/>
            <w:vAlign w:val="bottom"/>
          </w:tcPr>
          <w:p>
            <w:pPr>
              <w:spacing w:after="0"/>
              <w:rPr>
                <w:sz w:val="14"/>
                <w:szCs w:val="14"/>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rPr>
              <w:t>2.</w:t>
            </w:r>
          </w:p>
        </w:tc>
        <w:tc>
          <w:tcPr>
            <w:tcW w:w="7880" w:type="dxa"/>
            <w:vAlign w:val="bottom"/>
          </w:tcPr>
          <w:p>
            <w:pPr>
              <w:ind w:left="60"/>
              <w:spacing w:after="0"/>
              <w:rPr>
                <w:sz w:val="20"/>
                <w:szCs w:val="20"/>
                <w:color w:val="auto"/>
              </w:rPr>
            </w:pPr>
            <w:r>
              <w:rPr>
                <w:rFonts w:ascii="Arial" w:cs="Arial" w:eastAsia="Arial" w:hAnsi="Arial"/>
                <w:sz w:val="12"/>
                <w:szCs w:val="12"/>
                <w:color w:val="auto"/>
              </w:rPr>
              <w:t>E.S. Boulos Company</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rPr>
              <w:t>3.</w:t>
            </w:r>
          </w:p>
        </w:tc>
        <w:tc>
          <w:tcPr>
            <w:tcW w:w="7880" w:type="dxa"/>
            <w:vAlign w:val="bottom"/>
          </w:tcPr>
          <w:p>
            <w:pPr>
              <w:ind w:left="60"/>
              <w:spacing w:after="0"/>
              <w:rPr>
                <w:sz w:val="20"/>
                <w:szCs w:val="20"/>
                <w:color w:val="auto"/>
              </w:rPr>
            </w:pPr>
            <w:r>
              <w:rPr>
                <w:rFonts w:ascii="Arial" w:cs="Arial" w:eastAsia="Arial" w:hAnsi="Arial"/>
                <w:sz w:val="12"/>
                <w:szCs w:val="12"/>
                <w:color w:val="auto"/>
              </w:rPr>
              <w:t>Great Southwestern Construction, Inc.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Colorado,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rPr>
              <w:t>4.</w:t>
            </w:r>
          </w:p>
        </w:tc>
        <w:tc>
          <w:tcPr>
            <w:tcW w:w="7880" w:type="dxa"/>
            <w:vAlign w:val="bottom"/>
          </w:tcPr>
          <w:p>
            <w:pPr>
              <w:ind w:left="60"/>
              <w:spacing w:after="0"/>
              <w:rPr>
                <w:sz w:val="20"/>
                <w:szCs w:val="20"/>
                <w:color w:val="auto"/>
              </w:rPr>
            </w:pPr>
            <w:r>
              <w:rPr>
                <w:rFonts w:ascii="Arial" w:cs="Arial" w:eastAsia="Arial" w:hAnsi="Arial"/>
                <w:sz w:val="12"/>
                <w:szCs w:val="12"/>
                <w:color w:val="auto"/>
              </w:rPr>
              <w:t>GSW Integrated Services, LLC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rPr>
              <w:t>5.</w:t>
            </w:r>
          </w:p>
        </w:tc>
        <w:tc>
          <w:tcPr>
            <w:tcW w:w="7880" w:type="dxa"/>
            <w:vAlign w:val="bottom"/>
          </w:tcPr>
          <w:p>
            <w:pPr>
              <w:ind w:left="60"/>
              <w:spacing w:after="0"/>
              <w:rPr>
                <w:sz w:val="20"/>
                <w:szCs w:val="20"/>
                <w:color w:val="auto"/>
              </w:rPr>
            </w:pPr>
            <w:r>
              <w:rPr>
                <w:rFonts w:ascii="Arial" w:cs="Arial" w:eastAsia="Arial" w:hAnsi="Arial"/>
                <w:sz w:val="12"/>
                <w:szCs w:val="12"/>
                <w:color w:val="auto"/>
              </w:rPr>
              <w:t>Harlan Electric Company</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4"/>
              </w:rPr>
              <w:t>Michigan,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rPr>
              <w:t>6.</w:t>
            </w:r>
          </w:p>
        </w:tc>
        <w:tc>
          <w:tcPr>
            <w:tcW w:w="7880" w:type="dxa"/>
            <w:vAlign w:val="bottom"/>
          </w:tcPr>
          <w:p>
            <w:pPr>
              <w:ind w:left="60"/>
              <w:spacing w:after="0"/>
              <w:rPr>
                <w:sz w:val="20"/>
                <w:szCs w:val="20"/>
                <w:color w:val="auto"/>
              </w:rPr>
            </w:pPr>
            <w:r>
              <w:rPr>
                <w:rFonts w:ascii="Arial" w:cs="Arial" w:eastAsia="Arial" w:hAnsi="Arial"/>
                <w:sz w:val="12"/>
                <w:szCs w:val="12"/>
                <w:color w:val="auto"/>
              </w:rPr>
              <w:t>High Country Line Construction, Inc.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Nevada,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rPr>
              <w:t>7.</w:t>
            </w:r>
          </w:p>
        </w:tc>
        <w:tc>
          <w:tcPr>
            <w:tcW w:w="7880" w:type="dxa"/>
            <w:vAlign w:val="bottom"/>
          </w:tcPr>
          <w:p>
            <w:pPr>
              <w:ind w:left="60"/>
              <w:spacing w:after="0"/>
              <w:rPr>
                <w:sz w:val="20"/>
                <w:szCs w:val="20"/>
                <w:color w:val="auto"/>
              </w:rPr>
            </w:pPr>
            <w:r>
              <w:rPr>
                <w:rFonts w:ascii="Arial" w:cs="Arial" w:eastAsia="Arial" w:hAnsi="Arial"/>
                <w:sz w:val="12"/>
                <w:szCs w:val="12"/>
                <w:color w:val="auto"/>
              </w:rPr>
              <w:t>Huen Electric, Inc.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rPr>
              <w:t>8.</w:t>
            </w:r>
          </w:p>
        </w:tc>
        <w:tc>
          <w:tcPr>
            <w:tcW w:w="7880" w:type="dxa"/>
            <w:vAlign w:val="bottom"/>
          </w:tcPr>
          <w:p>
            <w:pPr>
              <w:ind w:left="60"/>
              <w:spacing w:after="0"/>
              <w:rPr>
                <w:sz w:val="20"/>
                <w:szCs w:val="20"/>
                <w:color w:val="auto"/>
              </w:rPr>
            </w:pPr>
            <w:r>
              <w:rPr>
                <w:rFonts w:ascii="Arial" w:cs="Arial" w:eastAsia="Arial" w:hAnsi="Arial"/>
                <w:sz w:val="12"/>
                <w:szCs w:val="12"/>
                <w:color w:val="auto"/>
              </w:rPr>
              <w:t>MYR Equipment, LLC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rPr>
              <w:t>9.</w:t>
            </w:r>
          </w:p>
        </w:tc>
        <w:tc>
          <w:tcPr>
            <w:tcW w:w="7880" w:type="dxa"/>
            <w:vAlign w:val="bottom"/>
          </w:tcPr>
          <w:p>
            <w:pPr>
              <w:ind w:left="60"/>
              <w:spacing w:after="0"/>
              <w:rPr>
                <w:sz w:val="20"/>
                <w:szCs w:val="20"/>
                <w:color w:val="auto"/>
              </w:rPr>
            </w:pPr>
            <w:r>
              <w:rPr>
                <w:rFonts w:ascii="Arial" w:cs="Arial" w:eastAsia="Arial" w:hAnsi="Arial"/>
                <w:sz w:val="12"/>
                <w:szCs w:val="12"/>
                <w:color w:val="auto"/>
              </w:rPr>
              <w:t>MYR Group Construction Canada, Ltd.</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2"/>
              </w:rPr>
              <w:t>British Columbia, Canada</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10.</w:t>
            </w:r>
          </w:p>
        </w:tc>
        <w:tc>
          <w:tcPr>
            <w:tcW w:w="7880" w:type="dxa"/>
            <w:vAlign w:val="bottom"/>
          </w:tcPr>
          <w:p>
            <w:pPr>
              <w:ind w:left="60"/>
              <w:spacing w:after="0"/>
              <w:rPr>
                <w:sz w:val="20"/>
                <w:szCs w:val="20"/>
                <w:color w:val="auto"/>
              </w:rPr>
            </w:pPr>
            <w:r>
              <w:rPr>
                <w:rFonts w:ascii="Arial" w:cs="Arial" w:eastAsia="Arial" w:hAnsi="Arial"/>
                <w:sz w:val="12"/>
                <w:szCs w:val="12"/>
                <w:color w:val="auto"/>
              </w:rPr>
              <w:t>MYR Real Estate Holdings, LLC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11.</w:t>
            </w:r>
          </w:p>
        </w:tc>
        <w:tc>
          <w:tcPr>
            <w:tcW w:w="7880" w:type="dxa"/>
            <w:vAlign w:val="bottom"/>
          </w:tcPr>
          <w:p>
            <w:pPr>
              <w:ind w:left="60"/>
              <w:spacing w:after="0"/>
              <w:rPr>
                <w:sz w:val="20"/>
                <w:szCs w:val="20"/>
                <w:color w:val="auto"/>
              </w:rPr>
            </w:pPr>
            <w:r>
              <w:rPr>
                <w:rFonts w:ascii="Arial" w:cs="Arial" w:eastAsia="Arial" w:hAnsi="Arial"/>
                <w:sz w:val="12"/>
                <w:szCs w:val="12"/>
                <w:color w:val="auto"/>
              </w:rPr>
              <w:t>MYR Real Estate Holdings Alaska, LLC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12.</w:t>
            </w:r>
          </w:p>
        </w:tc>
        <w:tc>
          <w:tcPr>
            <w:tcW w:w="7880" w:type="dxa"/>
            <w:vAlign w:val="bottom"/>
          </w:tcPr>
          <w:p>
            <w:pPr>
              <w:ind w:left="60"/>
              <w:spacing w:after="0"/>
              <w:rPr>
                <w:sz w:val="20"/>
                <w:szCs w:val="20"/>
                <w:color w:val="auto"/>
              </w:rPr>
            </w:pPr>
            <w:r>
              <w:rPr>
                <w:rFonts w:ascii="Arial" w:cs="Arial" w:eastAsia="Arial" w:hAnsi="Arial"/>
                <w:sz w:val="12"/>
                <w:szCs w:val="12"/>
                <w:color w:val="auto"/>
              </w:rPr>
              <w:t>MYR Transmission Services, Inc.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13.</w:t>
            </w:r>
          </w:p>
        </w:tc>
        <w:tc>
          <w:tcPr>
            <w:tcW w:w="7880" w:type="dxa"/>
            <w:vAlign w:val="bottom"/>
          </w:tcPr>
          <w:p>
            <w:pPr>
              <w:ind w:left="60"/>
              <w:spacing w:after="0"/>
              <w:rPr>
                <w:sz w:val="20"/>
                <w:szCs w:val="20"/>
                <w:color w:val="auto"/>
              </w:rPr>
            </w:pPr>
            <w:r>
              <w:rPr>
                <w:rFonts w:ascii="Arial" w:cs="Arial" w:eastAsia="Arial" w:hAnsi="Arial"/>
                <w:sz w:val="12"/>
                <w:szCs w:val="12"/>
                <w:color w:val="auto"/>
              </w:rPr>
              <w:t>MYR Transmission Services Canada, Ltd.</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2"/>
              </w:rPr>
              <w:t>British Columbia, Canada</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14.</w:t>
            </w:r>
          </w:p>
        </w:tc>
        <w:tc>
          <w:tcPr>
            <w:tcW w:w="7880" w:type="dxa"/>
            <w:vAlign w:val="bottom"/>
          </w:tcPr>
          <w:p>
            <w:pPr>
              <w:ind w:left="60"/>
              <w:spacing w:after="0"/>
              <w:rPr>
                <w:sz w:val="20"/>
                <w:szCs w:val="20"/>
                <w:color w:val="auto"/>
              </w:rPr>
            </w:pPr>
            <w:r>
              <w:rPr>
                <w:rFonts w:ascii="Arial" w:cs="Arial" w:eastAsia="Arial" w:hAnsi="Arial"/>
                <w:sz w:val="12"/>
                <w:szCs w:val="12"/>
                <w:color w:val="auto"/>
              </w:rPr>
              <w:t>Northern Transmission Services, Ltd.</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2"/>
              </w:rPr>
              <w:t>British Columbia, Canada</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15.</w:t>
            </w:r>
          </w:p>
        </w:tc>
        <w:tc>
          <w:tcPr>
            <w:tcW w:w="7880" w:type="dxa"/>
            <w:vAlign w:val="bottom"/>
          </w:tcPr>
          <w:p>
            <w:pPr>
              <w:ind w:left="60"/>
              <w:spacing w:after="0"/>
              <w:rPr>
                <w:sz w:val="20"/>
                <w:szCs w:val="20"/>
                <w:color w:val="auto"/>
              </w:rPr>
            </w:pPr>
            <w:r>
              <w:rPr>
                <w:rFonts w:ascii="Arial" w:cs="Arial" w:eastAsia="Arial" w:hAnsi="Arial"/>
                <w:sz w:val="12"/>
                <w:szCs w:val="12"/>
                <w:color w:val="auto"/>
              </w:rPr>
              <w:t>Sturgeon Electric Company, Inc.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4"/>
              </w:rPr>
              <w:t>Michigan,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16.</w:t>
            </w:r>
          </w:p>
        </w:tc>
        <w:tc>
          <w:tcPr>
            <w:tcW w:w="7880" w:type="dxa"/>
            <w:vAlign w:val="bottom"/>
          </w:tcPr>
          <w:p>
            <w:pPr>
              <w:ind w:left="60"/>
              <w:spacing w:after="0"/>
              <w:rPr>
                <w:sz w:val="20"/>
                <w:szCs w:val="20"/>
                <w:color w:val="auto"/>
              </w:rPr>
            </w:pPr>
            <w:r>
              <w:rPr>
                <w:rFonts w:ascii="Arial" w:cs="Arial" w:eastAsia="Arial" w:hAnsi="Arial"/>
                <w:sz w:val="12"/>
                <w:szCs w:val="12"/>
                <w:color w:val="auto"/>
              </w:rPr>
              <w:t>Sturgeon Electric California, LLC</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17.</w:t>
            </w:r>
          </w:p>
        </w:tc>
        <w:tc>
          <w:tcPr>
            <w:tcW w:w="7880" w:type="dxa"/>
            <w:vAlign w:val="bottom"/>
          </w:tcPr>
          <w:p>
            <w:pPr>
              <w:ind w:left="60"/>
              <w:spacing w:after="0"/>
              <w:rPr>
                <w:sz w:val="20"/>
                <w:szCs w:val="20"/>
                <w:color w:val="auto"/>
              </w:rPr>
            </w:pPr>
            <w:r>
              <w:rPr>
                <w:rFonts w:ascii="Arial" w:cs="Arial" w:eastAsia="Arial" w:hAnsi="Arial"/>
                <w:sz w:val="12"/>
                <w:szCs w:val="12"/>
                <w:color w:val="auto"/>
              </w:rPr>
              <w:t>The L. E. Myers Co.</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1"/>
              </w:rPr>
              <w:t>Delaware, U.S.</w:t>
            </w:r>
          </w:p>
        </w:tc>
      </w:t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5"/>
              </w:rPr>
              <w:t>18.</w:t>
            </w:r>
          </w:p>
        </w:tc>
        <w:tc>
          <w:tcPr>
            <w:tcW w:w="7880" w:type="dxa"/>
            <w:vAlign w:val="bottom"/>
          </w:tcPr>
          <w:p>
            <w:pPr>
              <w:ind w:left="60"/>
              <w:spacing w:after="0"/>
              <w:rPr>
                <w:sz w:val="20"/>
                <w:szCs w:val="20"/>
                <w:color w:val="auto"/>
              </w:rPr>
            </w:pPr>
            <w:r>
              <w:rPr>
                <w:rFonts w:ascii="Arial" w:cs="Arial" w:eastAsia="Arial" w:hAnsi="Arial"/>
                <w:sz w:val="12"/>
                <w:szCs w:val="12"/>
                <w:color w:val="auto"/>
              </w:rPr>
              <w:t>Western Pacific Enterprises Ltd.</w:t>
            </w:r>
          </w:p>
        </w:tc>
        <w:tc>
          <w:tcPr>
            <w:tcW w:w="1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2"/>
              </w:rPr>
              <w:t>British Columbia, 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784" w:right="1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00" w:lineRule="exact"/>
        <w:rPr>
          <w:sz w:val="20"/>
          <w:szCs w:val="20"/>
          <w:color w:val="auto"/>
        </w:rPr>
      </w:pPr>
    </w:p>
    <w:p>
      <w:pPr>
        <w:ind w:right="140" w:firstLine="240"/>
        <w:spacing w:after="0" w:line="323" w:lineRule="auto"/>
        <w:rPr>
          <w:sz w:val="20"/>
          <w:szCs w:val="20"/>
          <w:color w:val="auto"/>
        </w:rPr>
      </w:pPr>
      <w:r>
        <w:rPr>
          <w:rFonts w:ascii="Arial" w:cs="Arial" w:eastAsia="Arial" w:hAnsi="Arial"/>
          <w:sz w:val="11"/>
          <w:szCs w:val="11"/>
          <w:color w:val="auto"/>
        </w:rPr>
        <w:t>We consent to the incorporation by reference in Registration Statements on Form S-8 (Nos 333-217559, 333-196110, 333-174152, and 333-156501) of MYR Group Inc. of our report dated March 4, 2020 relating to the consolidated financial statements and effectiveness of internal control over financial reporting as of December 31, 2019 appearing in the Annual Report on Form 10-K of MYR Group Inc. for the year ended December 31, 2019.</w:t>
      </w:r>
    </w:p>
    <w:p>
      <w:pPr>
        <w:spacing w:after="0" w:line="47"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/s/ Crowe LLP</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Oak Brook, Illinois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784" w:right="1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2"/>
          <w:szCs w:val="12"/>
          <w:b w:val="1"/>
          <w:bCs w:val="1"/>
          <w:color w:val="auto"/>
        </w:rPr>
        <w:t>Exhibit 24.1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 RESOLUTION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 AUTHORITY 2019 FORM 10-K</w:t>
      </w:r>
    </w:p>
    <w:p>
      <w:pPr>
        <w:spacing w:after="0" w:line="100" w:lineRule="exact"/>
        <w:rPr>
          <w:sz w:val="20"/>
          <w:szCs w:val="20"/>
          <w:color w:val="auto"/>
        </w:rPr>
      </w:pPr>
    </w:p>
    <w:p>
      <w:pPr>
        <w:ind w:right="80" w:firstLine="240"/>
        <w:spacing w:after="0" w:line="276" w:lineRule="auto"/>
        <w:rPr>
          <w:sz w:val="20"/>
          <w:szCs w:val="20"/>
          <w:color w:val="auto"/>
        </w:rPr>
      </w:pPr>
      <w:r>
        <w:rPr>
          <w:rFonts w:ascii="Arial" w:cs="Arial" w:eastAsia="Arial" w:hAnsi="Arial"/>
          <w:sz w:val="12"/>
          <w:szCs w:val="12"/>
          <w:color w:val="auto"/>
        </w:rPr>
        <w:t>WHEREAS, MYR Group Inc., a Delaware corporation (the “Company”), is required to file with the Securities and Exchange Commission pursuant to Section 13 or 15(d) under the provisions of the Securities Act of 1934 a Form 10-K for the fiscal year ended December 31, 2019; and</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WHEREAS, each of the undersigned holds the office or offices in the Company herein below set opposite his or her name.</w:t>
      </w:r>
    </w:p>
    <w:p>
      <w:pPr>
        <w:spacing w:after="0" w:line="105" w:lineRule="exact"/>
        <w:rPr>
          <w:sz w:val="20"/>
          <w:szCs w:val="20"/>
          <w:color w:val="auto"/>
        </w:rPr>
      </w:pPr>
    </w:p>
    <w:p>
      <w:pPr>
        <w:ind w:right="80" w:firstLine="240"/>
        <w:spacing w:after="0" w:line="259" w:lineRule="auto"/>
        <w:rPr>
          <w:sz w:val="20"/>
          <w:szCs w:val="20"/>
          <w:color w:val="auto"/>
        </w:rPr>
      </w:pPr>
      <w:r>
        <w:rPr>
          <w:rFonts w:ascii="Arial" w:cs="Arial" w:eastAsia="Arial" w:hAnsi="Arial"/>
          <w:sz w:val="12"/>
          <w:szCs w:val="12"/>
          <w:color w:val="auto"/>
        </w:rPr>
        <w:t>NOW, THEREFORE, each of the undersigned hereby constitutes and appoints Richard S. Swartz, Betty R. Johnson, and William F. Fry, and each of them individually, his or her true and lawful attorney, with full power to act for him or her 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 in connection with the filing of the Form 10-K and any and all amendments thereof with the Securities and Exchange Commission and hereby ratifies and confirms all that said attorney may or shall lawfully do or cause to be done by virtue hereof.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784" w:right="199" w:bottom="1440" w:gutter="0" w:footer="0" w:header="0"/>
        </w:sectPr>
      </w:pPr>
    </w:p>
    <w:bookmarkStart w:id="113" w:name="page114"/>
    <w:bookmarkEnd w:id="113"/>
    <w:p>
      <w:pPr>
        <w:ind w:left="240"/>
        <w:spacing w:after="0"/>
        <w:rPr>
          <w:sz w:val="20"/>
          <w:szCs w:val="20"/>
          <w:color w:val="auto"/>
        </w:rPr>
      </w:pPr>
      <w:r>
        <w:rPr>
          <w:rFonts w:ascii="Arial" w:cs="Arial" w:eastAsia="Arial" w:hAnsi="Arial"/>
          <w:sz w:val="10"/>
          <w:szCs w:val="10"/>
          <w:color w:val="auto"/>
        </w:rPr>
        <w:t>IN WITNESS WHEREOF, the undersigned have hereunto set their hands this 28</w:t>
      </w:r>
      <w:r>
        <w:rPr>
          <w:rFonts w:ascii="Arial" w:cs="Arial" w:eastAsia="Arial" w:hAnsi="Arial"/>
          <w:sz w:val="15"/>
          <w:szCs w:val="15"/>
          <w:color w:val="auto"/>
          <w:vertAlign w:val="superscript"/>
        </w:rPr>
        <w:t>th</w:t>
      </w:r>
      <w:r>
        <w:rPr>
          <w:rFonts w:ascii="Arial" w:cs="Arial" w:eastAsia="Arial" w:hAnsi="Arial"/>
          <w:sz w:val="10"/>
          <w:szCs w:val="10"/>
          <w:color w:val="auto"/>
        </w:rPr>
        <w:t xml:space="preserve"> day of February 2020.</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0">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Richard S. Swartz</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1">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Betty R. Johnson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/s/ LARRY F. ALTENBAUMER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2">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Larry F. Altenbaumer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/s/ BRADLEY T. FAVREAU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3">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Bradley T. Favreau</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/s/ KENNETH M. HARTWICK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4">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Kenneth M. Hartwick</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/s/ WILLIAM A. KOERTNER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5">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William A. Koertner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/s/ JENNIFER E.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6">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Jennifer E. Lowry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/s/ DONALD C. I. LUCKY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7">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Donald C. I. Lucky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/s/ MAURICE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8">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Maurice E. Moore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/s/ WILLIAM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366014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9">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William D. Patterson</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President, Chief Executive Officer, Director (Principal Executive Officer)</w:t>
      </w:r>
    </w:p>
    <w:p>
      <w:pPr>
        <w:spacing w:after="0" w:line="29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Senior Vice President, Chief Financial Officer and Treasurer (Principal Financial Officer and Principal Accounting Officer)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Director (Chairman)</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416" w:lineRule="exact"/>
        <w:rPr>
          <w:sz w:val="20"/>
          <w:szCs w:val="20"/>
          <w:color w:val="auto"/>
        </w:rPr>
      </w:pPr>
    </w:p>
    <w:p>
      <w:pPr>
        <w:sectPr>
          <w:pgSz w:w="11900" w:h="16838" w:orient="portrait"/>
          <w:cols w:equalWidth="0" w:num="2">
            <w:col w:w="5280" w:space="620"/>
            <w:col w:w="5520"/>
          </w:cols>
          <w:pgMar w:left="220" w:top="76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177165</wp:posOffset>
            </wp:positionV>
            <wp:extent cx="7317740" cy="368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763" w:right="25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I, Richard S. Swartz, certify that:</w:t>
      </w:r>
    </w:p>
    <w:p>
      <w:pPr>
        <w:spacing w:after="0" w:line="105" w:lineRule="exact"/>
        <w:rPr>
          <w:sz w:val="20"/>
          <w:szCs w:val="20"/>
          <w:color w:val="auto"/>
        </w:rPr>
      </w:pPr>
    </w:p>
    <w:p>
      <w:pPr>
        <w:ind w:left="480" w:hanging="248"/>
        <w:spacing w:after="0"/>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MYR Group Inc.;</w:t>
      </w:r>
    </w:p>
    <w:p>
      <w:pPr>
        <w:spacing w:after="0" w:line="105" w:lineRule="exact"/>
        <w:rPr>
          <w:rFonts w:ascii="Arial" w:cs="Arial" w:eastAsia="Arial" w:hAnsi="Arial"/>
          <w:sz w:val="12"/>
          <w:szCs w:val="12"/>
          <w:color w:val="auto"/>
        </w:rPr>
      </w:pPr>
    </w:p>
    <w:p>
      <w:pPr>
        <w:ind w:left="480" w:right="900" w:hanging="248"/>
        <w:spacing w:after="0" w:line="276" w:lineRule="auto"/>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2"/>
          <w:szCs w:val="12"/>
          <w:color w:val="auto"/>
        </w:rPr>
      </w:pPr>
    </w:p>
    <w:p>
      <w:pPr>
        <w:ind w:left="480" w:right="940" w:hanging="248"/>
        <w:spacing w:after="0" w:line="276" w:lineRule="auto"/>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480" w:right="920" w:hanging="248"/>
        <w:spacing w:after="0" w:line="276" w:lineRule="auto"/>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720" w:right="1180" w:hanging="248"/>
        <w:spacing w:after="0" w:line="323" w:lineRule="auto"/>
        <w:tabs>
          <w:tab w:leader="none" w:pos="720" w:val="left"/>
        </w:tabs>
        <w:numPr>
          <w:ilvl w:val="1"/>
          <w:numId w:val="31"/>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Arial" w:cs="Arial" w:eastAsia="Arial" w:hAnsi="Arial"/>
          <w:sz w:val="11"/>
          <w:szCs w:val="11"/>
          <w:color w:val="auto"/>
        </w:rPr>
      </w:pPr>
    </w:p>
    <w:p>
      <w:pPr>
        <w:ind w:left="720" w:right="1380" w:hanging="248"/>
        <w:spacing w:after="0" w:line="323" w:lineRule="auto"/>
        <w:tabs>
          <w:tab w:leader="none" w:pos="720" w:val="left"/>
        </w:tabs>
        <w:numPr>
          <w:ilvl w:val="1"/>
          <w:numId w:val="3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1"/>
          <w:szCs w:val="11"/>
          <w:color w:val="auto"/>
        </w:rPr>
      </w:pPr>
    </w:p>
    <w:p>
      <w:pPr>
        <w:ind w:left="720" w:right="1180" w:hanging="248"/>
        <w:spacing w:after="0" w:line="276" w:lineRule="auto"/>
        <w:tabs>
          <w:tab w:leader="none" w:pos="7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720" w:right="1240" w:hanging="248"/>
        <w:spacing w:after="0" w:line="276" w:lineRule="auto"/>
        <w:tabs>
          <w:tab w:leader="none" w:pos="7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2"/>
          <w:szCs w:val="12"/>
          <w:color w:val="auto"/>
        </w:rPr>
      </w:pPr>
    </w:p>
    <w:p>
      <w:pPr>
        <w:ind w:left="480" w:right="920" w:hanging="248"/>
        <w:spacing w:after="0" w:line="276" w:lineRule="auto"/>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2"/>
          <w:szCs w:val="12"/>
          <w:color w:val="auto"/>
        </w:rPr>
      </w:pPr>
    </w:p>
    <w:p>
      <w:pPr>
        <w:ind w:left="720" w:right="1100" w:hanging="248"/>
        <w:spacing w:after="0" w:line="276" w:lineRule="auto"/>
        <w:tabs>
          <w:tab w:leader="none" w:pos="7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720" w:hanging="248"/>
        <w:spacing w:after="0"/>
        <w:tabs>
          <w:tab w:leader="none" w:pos="7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color w:val="auto"/>
        </w:rPr>
        <w:t>March 4, 2020</w:t>
      </w:r>
      <w:r>
        <w:rPr>
          <w:sz w:val="20"/>
          <w:szCs w:val="20"/>
          <w:color w:val="auto"/>
        </w:rPr>
        <w:tab/>
      </w:r>
      <w:r>
        <w:rPr>
          <w:rFonts w:ascii="Arial" w:cs="Arial" w:eastAsia="Arial" w:hAnsi="Arial"/>
          <w:sz w:val="11"/>
          <w:szCs w:val="11"/>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32385</wp:posOffset>
            </wp:positionV>
            <wp:extent cx="359727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1">
                      <a:extLst>
                        <a:ext uri="{28A0092B-C50C-407E-A947-70E740481C1C}"/>
                      </a:extLst>
                    </a:blip>
                    <a:srcRect/>
                    <a:stretch>
                      <a:fillRect/>
                    </a:stretch>
                  </pic:blipFill>
                  <pic:spPr bwMode="auto">
                    <a:xfrm>
                      <a:off x="0" y="0"/>
                      <a:ext cx="3597275" cy="5715"/>
                    </a:xfrm>
                    <a:prstGeom prst="rect">
                      <a:avLst/>
                    </a:prstGeom>
                    <a:noFill/>
                  </pic:spPr>
                </pic:pic>
              </a:graphicData>
            </a:graphic>
          </wp:anchor>
        </w:drawing>
      </w:r>
    </w:p>
    <w:p>
      <w:pPr>
        <w:spacing w:after="0" w:line="58" w:lineRule="exact"/>
        <w:rPr>
          <w:sz w:val="20"/>
          <w:szCs w:val="20"/>
          <w:color w:val="auto"/>
        </w:rPr>
      </w:pPr>
    </w:p>
    <w:p>
      <w:pPr>
        <w:ind w:left="5800"/>
        <w:spacing w:after="0"/>
        <w:rPr>
          <w:sz w:val="20"/>
          <w:szCs w:val="20"/>
          <w:color w:val="auto"/>
        </w:rPr>
      </w:pPr>
      <w:r>
        <w:rPr>
          <w:rFonts w:ascii="Arial" w:cs="Arial" w:eastAsia="Arial" w:hAnsi="Arial"/>
          <w:sz w:val="12"/>
          <w:szCs w:val="12"/>
          <w:color w:val="auto"/>
        </w:rPr>
        <w:t>(Principal Executive Officer)</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2"/>
          <w:szCs w:val="12"/>
          <w:color w:val="auto"/>
        </w:rPr>
        <w:t>Chief Executive Officer and President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784" w:right="1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I, Betty R. Johnson, certify that:</w:t>
      </w:r>
    </w:p>
    <w:p>
      <w:pPr>
        <w:spacing w:after="0" w:line="105" w:lineRule="exact"/>
        <w:rPr>
          <w:sz w:val="20"/>
          <w:szCs w:val="20"/>
          <w:color w:val="auto"/>
        </w:rPr>
      </w:pPr>
    </w:p>
    <w:p>
      <w:pPr>
        <w:ind w:left="480" w:hanging="248"/>
        <w:spacing w:after="0"/>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MYR Group Inc.;</w:t>
      </w:r>
    </w:p>
    <w:p>
      <w:pPr>
        <w:spacing w:after="0" w:line="96" w:lineRule="exact"/>
        <w:rPr>
          <w:rFonts w:ascii="Arial" w:cs="Arial" w:eastAsia="Arial" w:hAnsi="Arial"/>
          <w:sz w:val="12"/>
          <w:szCs w:val="12"/>
          <w:color w:val="auto"/>
        </w:rPr>
      </w:pPr>
    </w:p>
    <w:p>
      <w:pPr>
        <w:ind w:left="480" w:right="900" w:hanging="248"/>
        <w:spacing w:after="0" w:line="276" w:lineRule="auto"/>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2"/>
          <w:szCs w:val="12"/>
          <w:color w:val="auto"/>
        </w:rPr>
      </w:pPr>
    </w:p>
    <w:p>
      <w:pPr>
        <w:ind w:left="480" w:right="940" w:hanging="248"/>
        <w:spacing w:after="0" w:line="276" w:lineRule="auto"/>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2"/>
          <w:szCs w:val="12"/>
          <w:color w:val="auto"/>
        </w:rPr>
      </w:pPr>
    </w:p>
    <w:p>
      <w:pPr>
        <w:ind w:left="480" w:right="920" w:hanging="248"/>
        <w:spacing w:after="0" w:line="276" w:lineRule="auto"/>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720" w:right="1180" w:hanging="248"/>
        <w:spacing w:after="0" w:line="323" w:lineRule="auto"/>
        <w:tabs>
          <w:tab w:leader="none" w:pos="720" w:val="left"/>
        </w:tabs>
        <w:numPr>
          <w:ilvl w:val="1"/>
          <w:numId w:val="32"/>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Arial" w:cs="Arial" w:eastAsia="Arial" w:hAnsi="Arial"/>
          <w:sz w:val="11"/>
          <w:szCs w:val="11"/>
          <w:color w:val="auto"/>
        </w:rPr>
      </w:pPr>
    </w:p>
    <w:p>
      <w:pPr>
        <w:ind w:left="720" w:right="1380" w:hanging="248"/>
        <w:spacing w:after="0" w:line="323" w:lineRule="auto"/>
        <w:tabs>
          <w:tab w:leader="none" w:pos="720" w:val="left"/>
        </w:tabs>
        <w:numPr>
          <w:ilvl w:val="1"/>
          <w:numId w:val="3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1"/>
          <w:szCs w:val="11"/>
          <w:color w:val="auto"/>
        </w:rPr>
      </w:pPr>
    </w:p>
    <w:p>
      <w:pPr>
        <w:ind w:left="720" w:right="1180" w:hanging="248"/>
        <w:spacing w:after="0" w:line="276" w:lineRule="auto"/>
        <w:tabs>
          <w:tab w:leader="none" w:pos="7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2"/>
          <w:szCs w:val="12"/>
          <w:color w:val="auto"/>
        </w:rPr>
      </w:pPr>
    </w:p>
    <w:p>
      <w:pPr>
        <w:ind w:left="720" w:right="1240" w:hanging="248"/>
        <w:spacing w:after="0" w:line="276" w:lineRule="auto"/>
        <w:tabs>
          <w:tab w:leader="none" w:pos="7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480" w:right="920" w:hanging="248"/>
        <w:spacing w:after="0" w:line="276" w:lineRule="auto"/>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2"/>
          <w:szCs w:val="12"/>
          <w:color w:val="auto"/>
        </w:rPr>
      </w:pPr>
    </w:p>
    <w:p>
      <w:pPr>
        <w:ind w:left="720" w:right="1100" w:hanging="248"/>
        <w:spacing w:after="0" w:line="276" w:lineRule="auto"/>
        <w:tabs>
          <w:tab w:leader="none" w:pos="7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720" w:hanging="248"/>
        <w:spacing w:after="0"/>
        <w:tabs>
          <w:tab w:leader="none" w:pos="7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color w:val="auto"/>
        </w:rPr>
        <w:t>March 4, 2020</w:t>
      </w:r>
      <w:r>
        <w:rPr>
          <w:sz w:val="20"/>
          <w:szCs w:val="20"/>
          <w:color w:val="auto"/>
        </w:rPr>
        <w:tab/>
      </w:r>
      <w:r>
        <w:rPr>
          <w:rFonts w:ascii="Arial" w:cs="Arial" w:eastAsia="Arial" w:hAnsi="Arial"/>
          <w:sz w:val="11"/>
          <w:szCs w:val="11"/>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32385</wp:posOffset>
            </wp:positionV>
            <wp:extent cx="359727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3">
                      <a:extLst>
                        <a:ext uri="{28A0092B-C50C-407E-A947-70E740481C1C}"/>
                      </a:extLst>
                    </a:blip>
                    <a:srcRect/>
                    <a:stretch>
                      <a:fillRect/>
                    </a:stretch>
                  </pic:blipFill>
                  <pic:spPr bwMode="auto">
                    <a:xfrm>
                      <a:off x="0" y="0"/>
                      <a:ext cx="3597275" cy="5715"/>
                    </a:xfrm>
                    <a:prstGeom prst="rect">
                      <a:avLst/>
                    </a:prstGeom>
                    <a:noFill/>
                  </pic:spPr>
                </pic:pic>
              </a:graphicData>
            </a:graphic>
          </wp:anchor>
        </w:drawing>
      </w:r>
    </w:p>
    <w:p>
      <w:pPr>
        <w:spacing w:after="0" w:line="49" w:lineRule="exact"/>
        <w:rPr>
          <w:sz w:val="20"/>
          <w:szCs w:val="20"/>
          <w:color w:val="auto"/>
        </w:rPr>
      </w:pPr>
    </w:p>
    <w:p>
      <w:pPr>
        <w:ind w:left="5800"/>
        <w:spacing w:after="0"/>
        <w:rPr>
          <w:sz w:val="20"/>
          <w:szCs w:val="20"/>
          <w:color w:val="auto"/>
        </w:rPr>
      </w:pPr>
      <w:r>
        <w:rPr>
          <w:rFonts w:ascii="Arial" w:cs="Arial" w:eastAsia="Arial" w:hAnsi="Arial"/>
          <w:sz w:val="12"/>
          <w:szCs w:val="12"/>
          <w:color w:val="auto"/>
        </w:rPr>
        <w:t>(Principal Financial Officer)</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2"/>
          <w:szCs w:val="12"/>
          <w:color w:val="auto"/>
        </w:rPr>
        <w:t>Senior Vice President, Chief Financial Officer and Treasurer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168275</wp:posOffset>
            </wp:positionV>
            <wp:extent cx="7317740" cy="368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784" w:right="1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CERTIFICATION OF THE CHIEF EXECUTIVE OFFICER,</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 Richard S. Swartz, Chief Executive Officer and President of MYR Group Inc. (the “Company”), certify, pursuant to 18 U.S.C. § 1350, as adopted pursuant to § 906 of the Sarbanes-Oxley Act of 2002, that:</w:t>
      </w:r>
    </w:p>
    <w:p>
      <w:pPr>
        <w:spacing w:after="0" w:line="105" w:lineRule="exact"/>
        <w:rPr>
          <w:sz w:val="20"/>
          <w:szCs w:val="20"/>
          <w:color w:val="auto"/>
        </w:rPr>
      </w:pPr>
    </w:p>
    <w:p>
      <w:pPr>
        <w:ind w:left="480" w:hanging="248"/>
        <w:spacing w:after="0"/>
        <w:tabs>
          <w:tab w:leader="none" w:pos="4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Annual Report on Form 10-K for the year ended December 31, 2019 of the Company fully complies with the requirements of section 13(a) or 15(d) of the Securities Exchange Act of 1934; and</w:t>
      </w:r>
    </w:p>
    <w:p>
      <w:pPr>
        <w:spacing w:after="0" w:line="105" w:lineRule="exact"/>
        <w:rPr>
          <w:rFonts w:ascii="Arial" w:cs="Arial" w:eastAsia="Arial" w:hAnsi="Arial"/>
          <w:sz w:val="12"/>
          <w:szCs w:val="12"/>
          <w:color w:val="auto"/>
        </w:rPr>
      </w:pPr>
    </w:p>
    <w:p>
      <w:pPr>
        <w:ind w:left="480" w:hanging="248"/>
        <w:spacing w:after="0"/>
        <w:tabs>
          <w:tab w:leader="none" w:pos="4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information contained in such report fairly presents, in all material respects, the financial condition and results of operations of the Company.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00" w:type="dxa"/>
            <w:vAlign w:val="bottom"/>
          </w:tcPr>
          <w:p>
            <w:pPr>
              <w:spacing w:after="0"/>
              <w:rPr>
                <w:sz w:val="20"/>
                <w:szCs w:val="20"/>
                <w:color w:val="auto"/>
              </w:rPr>
            </w:pPr>
            <w:r>
              <w:rPr>
                <w:rFonts w:ascii="Arial" w:cs="Arial" w:eastAsia="Arial" w:hAnsi="Arial"/>
                <w:sz w:val="12"/>
                <w:szCs w:val="12"/>
                <w:color w:val="auto"/>
              </w:rPr>
              <w:t>March 4, 2020</w:t>
            </w:r>
          </w:p>
        </w:tc>
        <w:tc>
          <w:tcPr>
            <w:tcW w:w="5660" w:type="dxa"/>
            <w:vAlign w:val="bottom"/>
          </w:tcPr>
          <w:p>
            <w:pPr>
              <w:spacing w:after="0"/>
              <w:rPr>
                <w:sz w:val="20"/>
                <w:szCs w:val="20"/>
                <w:color w:val="auto"/>
              </w:rPr>
            </w:pPr>
            <w:r>
              <w:rPr>
                <w:rFonts w:ascii="Arial" w:cs="Arial" w:eastAsia="Arial" w:hAnsi="Arial"/>
                <w:sz w:val="12"/>
                <w:szCs w:val="12"/>
                <w:color w:val="auto"/>
              </w:rPr>
              <w:t>/s/ RICHARD S. SWARTZ</w:t>
            </w:r>
          </w:p>
        </w:tc>
      </w:tr>
      <w:tr>
        <w:trPr>
          <w:trHeight w:val="36"/>
        </w:trPr>
        <w:tc>
          <w:tcPr>
            <w:tcW w:w="5800" w:type="dxa"/>
            <w:vAlign w:val="bottom"/>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r>
      <w:tr>
        <w:trPr>
          <w:trHeight w:val="160"/>
        </w:trPr>
        <w:tc>
          <w:tcPr>
            <w:tcW w:w="580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2"/>
                <w:szCs w:val="12"/>
                <w:i w:val="1"/>
                <w:iCs w:val="1"/>
                <w:color w:val="auto"/>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784" w:right="1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CERTIFICATION OF THE CHIEF FINANCIAL OFFICER</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PURSUANT SECTION 906 OF THE SARBANES-OXLEY ACT OF 2002</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I, Betty R. Johnson, Senior Vice President, Chief Financial Officer and Treasurer of MYR Group, Inc.(the “Company”), certify, pursuant to 18 U.S.C. § 1350, as adopted pursuant to § 906 of the Sarbanes-Oxley Act of 2002, that:</w:t>
      </w:r>
    </w:p>
    <w:p>
      <w:pPr>
        <w:spacing w:after="0" w:line="117" w:lineRule="exact"/>
        <w:rPr>
          <w:sz w:val="20"/>
          <w:szCs w:val="20"/>
          <w:color w:val="auto"/>
        </w:rPr>
      </w:pPr>
    </w:p>
    <w:p>
      <w:pPr>
        <w:ind w:left="480" w:hanging="248"/>
        <w:spacing w:after="0"/>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Annual Report on Form 10-K for the year ended December 31, 2019 of the Company fully complies with the requirements of section 13(a) or 15(d) of the Securities Exchange Act of 1934; and</w:t>
      </w:r>
    </w:p>
    <w:p>
      <w:pPr>
        <w:spacing w:after="0" w:line="105" w:lineRule="exact"/>
        <w:rPr>
          <w:rFonts w:ascii="Arial" w:cs="Arial" w:eastAsia="Arial" w:hAnsi="Arial"/>
          <w:sz w:val="12"/>
          <w:szCs w:val="12"/>
          <w:color w:val="auto"/>
        </w:rPr>
      </w:pPr>
    </w:p>
    <w:p>
      <w:pPr>
        <w:ind w:left="480" w:hanging="248"/>
        <w:spacing w:after="0"/>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00" w:type="dxa"/>
            <w:vAlign w:val="bottom"/>
          </w:tcPr>
          <w:p>
            <w:pPr>
              <w:spacing w:after="0"/>
              <w:rPr>
                <w:sz w:val="20"/>
                <w:szCs w:val="20"/>
                <w:color w:val="auto"/>
              </w:rPr>
            </w:pPr>
            <w:r>
              <w:rPr>
                <w:rFonts w:ascii="Arial" w:cs="Arial" w:eastAsia="Arial" w:hAnsi="Arial"/>
                <w:sz w:val="12"/>
                <w:szCs w:val="12"/>
                <w:color w:val="auto"/>
              </w:rPr>
              <w:t>March 4, 2020</w:t>
            </w:r>
          </w:p>
        </w:tc>
        <w:tc>
          <w:tcPr>
            <w:tcW w:w="5660" w:type="dxa"/>
            <w:vAlign w:val="bottom"/>
          </w:tcPr>
          <w:p>
            <w:pPr>
              <w:spacing w:after="0"/>
              <w:rPr>
                <w:sz w:val="20"/>
                <w:szCs w:val="20"/>
                <w:color w:val="auto"/>
              </w:rPr>
            </w:pPr>
            <w:r>
              <w:rPr>
                <w:rFonts w:ascii="Arial" w:cs="Arial" w:eastAsia="Arial" w:hAnsi="Arial"/>
                <w:sz w:val="12"/>
                <w:szCs w:val="12"/>
                <w:color w:val="auto"/>
              </w:rPr>
              <w:t>/s/ BETTY R. JOHNSON</w:t>
            </w:r>
          </w:p>
        </w:tc>
      </w:tr>
      <w:tr>
        <w:trPr>
          <w:trHeight w:val="36"/>
        </w:trPr>
        <w:tc>
          <w:tcPr>
            <w:tcW w:w="5800" w:type="dxa"/>
            <w:vAlign w:val="bottom"/>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r>
      <w:tr>
        <w:trPr>
          <w:trHeight w:val="160"/>
        </w:trPr>
        <w:tc>
          <w:tcPr>
            <w:tcW w:w="580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2"/>
                <w:szCs w:val="12"/>
                <w:i w:val="1"/>
                <w:iCs w:val="1"/>
                <w:color w:val="auto"/>
              </w:rPr>
              <w:t>Senior Vice President,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7317740" cy="368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sectPr>
      <w:pgSz w:w="11900" w:h="16838" w:orient="portrait"/>
      <w:cols w:equalWidth="0" w:num="1">
        <w:col w:w="11480"/>
      </w:cols>
      <w:pgMar w:left="220" w:top="78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5"/>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222"/>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2"/>
    </w:lvl>
  </w:abstractNum>
  <w:abstractNum w:abstractNumId="26">
    <w:nsid w:val="1E7FF52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83" Type="http://schemas.openxmlformats.org/officeDocument/2006/relationships/image" Target="media/image454.png"/><Relationship Id="rId496" Type="http://schemas.openxmlformats.org/officeDocument/2006/relationships/image" Target="media/image455.png"/><Relationship Id="rId497" Type="http://schemas.openxmlformats.org/officeDocument/2006/relationships/image" Target="media/image456.png"/><Relationship Id="rId498" Type="http://schemas.openxmlformats.org/officeDocument/2006/relationships/image" Target="media/image457.png"/><Relationship Id="rId499" Type="http://schemas.openxmlformats.org/officeDocument/2006/relationships/image" Target="media/image458.png"/><Relationship Id="rId500" Type="http://schemas.openxmlformats.org/officeDocument/2006/relationships/image" Target="media/image459.png"/><Relationship Id="rId501" Type="http://schemas.openxmlformats.org/officeDocument/2006/relationships/image" Target="media/image460.png"/><Relationship Id="rId502" Type="http://schemas.openxmlformats.org/officeDocument/2006/relationships/image" Target="media/image461.png"/><Relationship Id="rId503" Type="http://schemas.openxmlformats.org/officeDocument/2006/relationships/image" Target="media/image462.png"/><Relationship Id="rId504" Type="http://schemas.openxmlformats.org/officeDocument/2006/relationships/image" Target="media/image463.png"/><Relationship Id="rId505" Type="http://schemas.openxmlformats.org/officeDocument/2006/relationships/image" Target="media/image464.png"/><Relationship Id="rId506" Type="http://schemas.openxmlformats.org/officeDocument/2006/relationships/image" Target="media/image465.png"/><Relationship Id="rId507" Type="http://schemas.openxmlformats.org/officeDocument/2006/relationships/image" Target="media/image466.png"/><Relationship Id="rId508" Type="http://schemas.openxmlformats.org/officeDocument/2006/relationships/image" Target="media/image467.png"/><Relationship Id="rId509" Type="http://schemas.openxmlformats.org/officeDocument/2006/relationships/image" Target="media/image468.png"/><Relationship Id="rId510" Type="http://schemas.openxmlformats.org/officeDocument/2006/relationships/image" Target="media/image469.png"/><Relationship Id="rId511" Type="http://schemas.openxmlformats.org/officeDocument/2006/relationships/image" Target="media/image470.png"/><Relationship Id="rId512" Type="http://schemas.openxmlformats.org/officeDocument/2006/relationships/image" Target="media/image471.png"/><Relationship Id="rId513" Type="http://schemas.openxmlformats.org/officeDocument/2006/relationships/image" Target="media/image472.png"/><Relationship Id="rId514" Type="http://schemas.openxmlformats.org/officeDocument/2006/relationships/image" Target="media/image473.png"/><Relationship Id="rId515" Type="http://schemas.openxmlformats.org/officeDocument/2006/relationships/image" Target="media/image474.png"/><Relationship Id="rId516" Type="http://schemas.openxmlformats.org/officeDocument/2006/relationships/image" Target="media/image475.png"/><Relationship Id="rId517" Type="http://schemas.openxmlformats.org/officeDocument/2006/relationships/image" Target="media/image476.png"/><Relationship Id="rId518" Type="http://schemas.openxmlformats.org/officeDocument/2006/relationships/image" Target="media/image477.png"/><Relationship Id="rId519" Type="http://schemas.openxmlformats.org/officeDocument/2006/relationships/image" Target="media/image478.png"/><Relationship Id="rId520" Type="http://schemas.openxmlformats.org/officeDocument/2006/relationships/image" Target="media/image479.png"/><Relationship Id="rId521" Type="http://schemas.openxmlformats.org/officeDocument/2006/relationships/image" Target="media/image480.png"/><Relationship Id="rId522" Type="http://schemas.openxmlformats.org/officeDocument/2006/relationships/image" Target="media/image481.png"/><Relationship Id="rId523" Type="http://schemas.openxmlformats.org/officeDocument/2006/relationships/image" Target="media/image482.png"/><Relationship Id="rId524" Type="http://schemas.openxmlformats.org/officeDocument/2006/relationships/image" Target="media/image483.png"/><Relationship Id="rId525" Type="http://schemas.openxmlformats.org/officeDocument/2006/relationships/image" Target="media/image484.png"/><Relationship Id="rId526" Type="http://schemas.openxmlformats.org/officeDocument/2006/relationships/image" Target="media/image485.png"/><Relationship Id="rId527" Type="http://schemas.openxmlformats.org/officeDocument/2006/relationships/image" Target="media/image486.png"/><Relationship Id="rId528" Type="http://schemas.openxmlformats.org/officeDocument/2006/relationships/image" Target="media/image487.png"/><Relationship Id="rId529" Type="http://schemas.openxmlformats.org/officeDocument/2006/relationships/image" Target="media/image488.png"/><Relationship Id="rId530" Type="http://schemas.openxmlformats.org/officeDocument/2006/relationships/image" Target="media/image489.png"/><Relationship Id="rId531" Type="http://schemas.openxmlformats.org/officeDocument/2006/relationships/image" Target="media/image490.png"/><Relationship Id="rId532" Type="http://schemas.openxmlformats.org/officeDocument/2006/relationships/image" Target="media/image491.png"/><Relationship Id="rId533" Type="http://schemas.openxmlformats.org/officeDocument/2006/relationships/image" Target="media/image492.png"/><Relationship Id="rId534" Type="http://schemas.openxmlformats.org/officeDocument/2006/relationships/image" Target="media/image493.png"/><Relationship Id="rId535" Type="http://schemas.openxmlformats.org/officeDocument/2006/relationships/image" Target="media/image494.png"/><Relationship Id="rId536" Type="http://schemas.openxmlformats.org/officeDocument/2006/relationships/image" Target="media/image495.png"/><Relationship Id="rId458" Type="http://schemas.openxmlformats.org/officeDocument/2006/relationships/hyperlink" Target="http://www.sec.gov/Archives/edgar/data/700923/000110465914035790/a14-12029_1ex3d1.htm" TargetMode="External"/><Relationship Id="rId459" Type="http://schemas.openxmlformats.org/officeDocument/2006/relationships/hyperlink" Target="http://www.sec.gov/Archives/edgar/data/700923/000114420415072248/v427606_ex3-1.htm" TargetMode="External"/><Relationship Id="rId460" Type="http://schemas.openxmlformats.org/officeDocument/2006/relationships/hyperlink" Target="http://www.sec.gov/Archives/edgar/data/700923/000104746908008139/a2186750zex-4_2.htm" TargetMode="External"/><Relationship Id="rId461" Type="http://schemas.openxmlformats.org/officeDocument/2006/relationships/hyperlink" Target="http://www.sec.gov/Archives/edgar/data/700923/000110465914035790/a14-12029_1ex10d1.htm" TargetMode="External"/><Relationship Id="rId462" Type="http://schemas.openxmlformats.org/officeDocument/2006/relationships/hyperlink" Target="http://www.sec.gov/Archives/edgar/data/700923/000104746910005042/a2198591zex-10_1.htm" TargetMode="External"/><Relationship Id="rId463" Type="http://schemas.openxmlformats.org/officeDocument/2006/relationships/hyperlink" Target="http://www.sec.gov/Archives/edgar/data/700923/000104746910005042/a2198591zex-10_5.htm" TargetMode="External"/><Relationship Id="rId464" Type="http://schemas.openxmlformats.org/officeDocument/2006/relationships/hyperlink" Target="http://www.sec.gov/Archives/edgar/data/700923/000110465911028039/a11-11956_1ex10d1.htm" TargetMode="External"/><Relationship Id="rId468" Type="http://schemas.openxmlformats.org/officeDocument/2006/relationships/hyperlink" Target="http://www.sec.gov/Archives/edgar/data/700923/000110465914035790/a14-12029_1ex10d2.htm" TargetMode="External"/><Relationship Id="rId469" Type="http://schemas.openxmlformats.org/officeDocument/2006/relationships/hyperlink" Target="http://www.sec.gov/Archives/edgar/data/700923/000104746914001830/a2218624zex-10_15.htm" TargetMode="External"/><Relationship Id="rId470" Type="http://schemas.openxmlformats.org/officeDocument/2006/relationships/hyperlink" Target="http://www.sec.gov/Archives/edgar/data/700923/000104746914001830/a2218624zex-10_16.htm" TargetMode="External"/><Relationship Id="rId471" Type="http://schemas.openxmlformats.org/officeDocument/2006/relationships/hyperlink" Target="http://www.sec.gov/Archives/edgar/data/700923/000104746914001830/a2218624zex-10_17.htm" TargetMode="External"/><Relationship Id="rId472" Type="http://schemas.openxmlformats.org/officeDocument/2006/relationships/hyperlink" Target="http://www.sec.gov/Archives/edgar/data/700923/000114420415046498/v414043_ex10-1.htm" TargetMode="External"/><Relationship Id="rId473" Type="http://schemas.openxmlformats.org/officeDocument/2006/relationships/hyperlink" Target="http://www.sec.gov/Archives/edgar/data/700923/000114420415062760/v422039_ex10-1.htm" TargetMode="External"/><Relationship Id="rId474" Type="http://schemas.openxmlformats.org/officeDocument/2006/relationships/hyperlink" Target="http://www.sec.gov/Archives/edgar/data/700923/000114420416085692/v427195_ex10-21.htm" TargetMode="External"/><Relationship Id="rId475" Type="http://schemas.openxmlformats.org/officeDocument/2006/relationships/hyperlink" Target="http://www.sec.gov/Archives/edgar/data/700923/000114420416089668/v434890_ex10-1.htm" TargetMode="External"/><Relationship Id="rId476" Type="http://schemas.openxmlformats.org/officeDocument/2006/relationships/hyperlink" Target="http://www.sec.gov/Archives/edgar/data/700923/000114420417013721/v455820_ex10-24.htm" TargetMode="External"/><Relationship Id="rId477" Type="http://schemas.openxmlformats.org/officeDocument/2006/relationships/hyperlink" Target="http://www.sec.gov/Archives/edgar/data/700923/000114420417013721/v455820_ex10-25.htm" TargetMode="External"/><Relationship Id="rId478" Type="http://schemas.openxmlformats.org/officeDocument/2006/relationships/hyperlink" Target="http://www.sec.gov/Archives/edgar/data/700923/000114420417013721/v455820_ex10-26.htm" TargetMode="External"/><Relationship Id="rId479" Type="http://schemas.openxmlformats.org/officeDocument/2006/relationships/hyperlink" Target="http://www.sec.gov/Archives/edgar/data/700923/000114420417013721/v455820_ex10-27.htm" TargetMode="External"/><Relationship Id="rId480" Type="http://schemas.openxmlformats.org/officeDocument/2006/relationships/hyperlink" Target="http://www.sec.gov/Archives/edgar/data/700923/000114420417013721/v455820_ex10-28.htm" TargetMode="External"/><Relationship Id="rId481" Type="http://schemas.openxmlformats.org/officeDocument/2006/relationships/hyperlink" Target="http://www.sec.gov/Archives/edgar/data/700923/000114420417023048/v465531_ex10-1.htm" TargetMode="External"/><Relationship Id="rId482" Type="http://schemas.openxmlformats.org/officeDocument/2006/relationships/hyperlink" Target="http://www.sec.gov/Archives/edgar/data/700923/000114420417023048/v465531_ex10-2.htm" TargetMode="External"/><Relationship Id="rId484" Type="http://schemas.openxmlformats.org/officeDocument/2006/relationships/hyperlink" Target="http://www.sec.gov/Archives/edgar/data/700923/000114420417023048/v465531_ex10-3.htm" TargetMode="External"/><Relationship Id="rId485" Type="http://schemas.openxmlformats.org/officeDocument/2006/relationships/hyperlink" Target="http://www.sec.gov/Archives/edgar/data/700923/000114420417023048/v465531_ex10-4.htm" TargetMode="External"/><Relationship Id="rId486" Type="http://schemas.openxmlformats.org/officeDocument/2006/relationships/hyperlink" Target="http://www.sec.gov/Archives/edgar/data/700923/000114420417024199/v464187_ex10-1.htm" TargetMode="External"/><Relationship Id="rId487" Type="http://schemas.openxmlformats.org/officeDocument/2006/relationships/hyperlink" Target="http://www.sec.gov/Archives/edgar/data/700923/000114420418024754/tv491002_ex10-1.htm" TargetMode="External"/><Relationship Id="rId488" Type="http://schemas.openxmlformats.org/officeDocument/2006/relationships/hyperlink" Target="http://www.sec.gov/Archives/edgar/data/700923/000114420418024754/tv491002_ex10-2.htm" TargetMode="External"/><Relationship Id="rId489" Type="http://schemas.openxmlformats.org/officeDocument/2006/relationships/hyperlink" Target="http://www.sec.gov/Archives/edgar/data/700923/000114420418041366/tv498391_ex10-1.htm" TargetMode="External"/><Relationship Id="rId490" Type="http://schemas.openxmlformats.org/officeDocument/2006/relationships/hyperlink" Target="http://www.sec.gov/Archives/edgar/data/700923/000114420419012547/v511680_exh10x33.htm" TargetMode="External"/><Relationship Id="rId491" Type="http://schemas.openxmlformats.org/officeDocument/2006/relationships/hyperlink" Target="http://www.sec.gov/Archives/edgar/data/700923/000114420419022959/tv516669_ex10-1.htm" TargetMode="External"/><Relationship Id="rId492" Type="http://schemas.openxmlformats.org/officeDocument/2006/relationships/hyperlink" Target="http://www.sec.gov/Archives/edgar/data/700923/000114420419036885/tv521718_ex10-1.htm" TargetMode="External"/><Relationship Id="rId493" Type="http://schemas.openxmlformats.org/officeDocument/2006/relationships/hyperlink" Target="http://www.sec.gov/Archives/edgar/data/700923/000114420419036885/tv521718_ex10-2.htm" TargetMode="External"/><Relationship Id="rId494" Type="http://schemas.openxmlformats.org/officeDocument/2006/relationships/hyperlink" Target="http://www.sec.gov/Archives/edgar/data/700923/000114420419036885/tv521718_ex10-3.htm" TargetMode="External"/><Relationship Id="rId495" Type="http://schemas.openxmlformats.org/officeDocument/2006/relationships/hyperlink" Target="http://www.sec.gov/Archives/edgar/data/700923/000110465919057799/tm191955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2020-03-04T16:19:55Z</dcterms:created>
  <dcterms:modified xsi:type="dcterms:W3CDTF">2020-03-04T16:19:55Z</dcterms:modified>
</cp:coreProperties>
</file>