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October 25, 2024, there were 16,121,901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20" w:type="dxa"/>
            <w:vAlign w:val="bottom"/>
            <w:gridSpan w:val="12"/>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6"/>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0000FF"/>
            </w:tcBorders>
            <w:gridSpan w:val="17"/>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w w:val="98"/>
              </w:rPr>
              <w:t>Consolidated Balance Sheets as of September 30, 2024 (unaudited) and December 31, 2023</w:t>
            </w:r>
          </w:p>
        </w:tc>
        <w:tc>
          <w:tcPr>
            <w:tcW w:w="1400" w:type="dxa"/>
            <w:vAlign w:val="bottom"/>
            <w:tcBorders>
              <w:bottom w:val="single" w:sz="8" w:color="CCEEFF"/>
            </w:tcBorders>
            <w:gridSpan w:val="4"/>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0000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w w:val="79"/>
              </w:rPr>
              <w:t>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and Nine</w:t>
            </w: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Months Ended September 30, 2024 and 2023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and Nine Months Ended</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7820" w:type="dxa"/>
            <w:vAlign w:val="bottom"/>
            <w:tcBorders>
              <w:top w:val="single" w:sz="8" w:color="0000FF"/>
            </w:tcBorders>
            <w:gridSpan w:val="1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September 30, 2024 and 2023</w:t>
            </w:r>
          </w:p>
        </w:tc>
        <w:tc>
          <w:tcPr>
            <w:tcW w:w="380" w:type="dxa"/>
            <w:vAlign w:val="bottom"/>
            <w:tcBorders>
              <w:top w:val="single" w:sz="8" w:color="CCEEFF"/>
            </w:tcBorders>
            <w:gridSpan w:val="2"/>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1"/>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Nine Months Ended September 30, 2024 and</w:t>
            </w:r>
          </w:p>
        </w:tc>
        <w:tc>
          <w:tcPr>
            <w:tcW w:w="14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2023</w:t>
            </w:r>
          </w:p>
        </w:tc>
        <w:tc>
          <w:tcPr>
            <w:tcW w:w="28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1"/>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1"/>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10"/>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4"/>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21"/>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1"/>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$977 and $1,987,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571,342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521,893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$582 and $610,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420,616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46,535</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1,031,622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1,026,244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$388,180 and $380,465,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268,978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116,953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$34,036 and $30,534,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83,516</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8,707</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1,593,059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8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10"/>
        </w:trPr>
        <w:tc>
          <w:tcPr>
            <w:tcW w:w="852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359,363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100,593</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747,202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88,822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51,796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25,775</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1,004,550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927,544</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September 30, 2024 and</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16,121,901 and 16,684,492 shares issued and outstanding at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156,799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162,386</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492,529</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588,509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651,202</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1,593,059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1,578,746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2,639,708</w:t>
            </w:r>
          </w:p>
        </w:tc>
      </w:tr>
      <w:tr>
        <w:trPr>
          <w:trHeight w:val="270"/>
        </w:trPr>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810,755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847,093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2,328,121</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2,372,806</w:t>
            </w:r>
          </w:p>
        </w:tc>
      </w:tr>
      <w:tr>
        <w:trPr>
          <w:trHeight w:val="243"/>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266,902</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174,618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w:t>
            </w: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89,511</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r>
      <w:tr>
        <w:trPr>
          <w:trHeight w:val="23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66,948</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5"/>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r>
      <w:tr>
        <w:trPr>
          <w:trHeight w:val="270"/>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16,821</w:t>
            </w:r>
          </w:p>
        </w:tc>
      </w:tr>
      <w:tr>
        <w:trPr>
          <w:trHeight w:val="256"/>
        </w:trPr>
        <w:tc>
          <w:tcPr>
            <w:tcW w:w="5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r>
      <w:tr>
        <w:trPr>
          <w:trHeight w:val="27"/>
        </w:trPr>
        <w:tc>
          <w:tcPr>
            <w:tcW w:w="5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7"/>
        </w:trPr>
        <w:tc>
          <w:tcPr>
            <w:tcW w:w="5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64"/>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66,613</w:t>
            </w:r>
          </w:p>
        </w:tc>
      </w:tr>
      <w:tr>
        <w:trPr>
          <w:trHeight w:val="20"/>
        </w:trPr>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9"/>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0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7"/>
        </w:trPr>
        <w:tc>
          <w:tcPr>
            <w:tcW w:w="32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560,200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23,163</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(7,936)</w:t>
            </w:r>
          </w:p>
        </w:tc>
      </w:tr>
      <w:tr>
        <w:trPr>
          <w:trHeight w:val="23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7"/>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427,329</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577,565</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r>
      <w:tr>
        <w:trPr>
          <w:trHeight w:val="230"/>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158,555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449,602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604,300</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21,512</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r>
      <w:tr>
        <w:trPr>
          <w:trHeight w:val="246"/>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471,114</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625,459</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492,529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651,202</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 stock-based compensation</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30"/>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158,791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511,114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663,720</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(15,277)</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r>
      <w:tr>
        <w:trPr>
          <w:trHeight w:val="20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(16,259)</w:t>
            </w:r>
          </w:p>
        </w:tc>
      </w:tr>
      <w:tr>
        <w:trPr>
          <w:trHeight w:val="25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r>
      <w:tr>
        <w:trPr>
          <w:trHeight w:val="230"/>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160,001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480,700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633,342</w:t>
            </w: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10,649</w:t>
            </w:r>
          </w:p>
        </w:tc>
      </w:tr>
      <w:tr>
        <w:trPr>
          <w:trHeight w:val="23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2"/>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(58,741)</w:t>
            </w:r>
          </w:p>
        </w:tc>
      </w:tr>
      <w:tr>
        <w:trPr>
          <w:trHeight w:val="236"/>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6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588,509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66,948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45,131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(109,803)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62,276</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28,392</w:t>
            </w:r>
          </w:p>
        </w:tc>
        <w:tc>
          <w:tcPr>
            <w:tcW w:w="0" w:type="dxa"/>
            <w:vAlign w:val="bottom"/>
          </w:tcPr>
          <w:p>
            <w:pPr>
              <w:spacing w:after="0"/>
              <w:rPr>
                <w:sz w:val="1"/>
                <w:szCs w:val="1"/>
                <w:color w:val="auto"/>
              </w:rPr>
            </w:pPr>
          </w:p>
        </w:tc>
      </w:tr>
      <w:tr>
        <w:trPr>
          <w:trHeight w:val="21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(63,791)</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(59,793)</w:t>
            </w:r>
          </w:p>
        </w:tc>
        <w:tc>
          <w:tcPr>
            <w:tcW w:w="0" w:type="dxa"/>
            <w:vAlign w:val="bottom"/>
          </w:tcPr>
          <w:p>
            <w:pPr>
              <w:spacing w:after="0"/>
              <w:rPr>
                <w:sz w:val="1"/>
                <w:szCs w:val="1"/>
                <w:color w:val="auto"/>
              </w:rPr>
            </w:pPr>
          </w:p>
        </w:tc>
      </w:tr>
      <w:tr>
        <w:trPr>
          <w:trHeight w:val="21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584,070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354,467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(328,085)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refinancing costs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(26,038)</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10,868</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24,899</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51,040</w:t>
            </w:r>
          </w:p>
        </w:tc>
        <w:tc>
          <w:tcPr>
            <w:tcW w:w="0" w:type="dxa"/>
            <w:vAlign w:val="bottom"/>
          </w:tcPr>
          <w:p>
            <w:pPr>
              <w:spacing w:after="0"/>
              <w:rPr>
                <w:sz w:val="1"/>
                <w:szCs w:val="1"/>
                <w:color w:val="auto"/>
              </w:rPr>
            </w:pPr>
          </w:p>
        </w:tc>
      </w:tr>
      <w:tr>
        <w:trPr>
          <w:trHeight w:val="24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25" w:lineRule="exact"/>
        <w:rPr>
          <w:sz w:val="20"/>
          <w:szCs w:val="20"/>
          <w:color w:val="auto"/>
        </w:rPr>
      </w:pPr>
    </w:p>
    <w:p>
      <w:pPr>
        <w:ind w:right="726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6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The consolidated balance sheet as of December 31, 2023 has been derived from the audited financial statements as of that date. The results of operations and comprehensive income (loss) are not necessarily indicative of the results for the full year or the results for any future periods. These financial statements should be read in conjunction with the audited financial statements and related notes for the year ended December 31, 2023, included in the Company’s Annual Report on Form 10-K, which was filed with the SEC on February 28, 2024 (the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As of September 30, 2024, the Company did not have a controlling interest in any current joint venture partnerships. Under the proportionate consolidation method, joint venture activity is allocated to the appropriate line items found on the consolidated statements of operations in proportion to the percentage of participation the Company has in the joint venture.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joint ventures in which the Company does not have a controlling interest, the Company’s share of any profits and assets and its share of any losses and liabilities are recognized based on the Company’s stated percentage partnership interest in the joint venture and are typically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nine months ended September 30, 2024 and 2023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recognized revenues of $80.4 million and $76.5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September 30, 2024, changes in estimates pertaining to certain projects decreased consolidated gross margin by 3.9%, which resulted in decreases in operating income of $34.9 million, net income of $22.3 million and diluted earnings per common share of $1.37. During the nine months ended September 30, 2024, changes in estimates pertaining to certain projects decreased consolidated gross margin by 4.4% and resulted in decreases in operating income of $112.7 million, net income of $70.5 million and diluted earnings per common share of $4.24. Additional discussion on the impact of these estimate changes can be found in Item 2, “Management’s Discussion and Analysis of Financial Condition and Results of Operations - Consolidated Results of Operations.”</w:t>
      </w:r>
    </w:p>
    <w:p>
      <w:pPr>
        <w:spacing w:after="0" w:line="18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2023, changes in estimates pertaining to certain projects decreased consolidated gross margin by 1.3%, which resulted in decreases in operating income of $11.5 million, net income of $8.0 million and diluted earnings per common share of $0.47. During the nine months ended September 30, 2023, changes in estimates pertaining to certain projects decreased consolidated gross margin by 1.2% and resulted in decreases in operating income of $32.2 million, net income of $22.4 million and diluted earnings per common share of $1.33.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spacing w:after="0" w:line="17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reportable segment expenses and other disclosure requirements. The update is effective for annual reporting periods beginning after December 15, 2023, with early adoption permitted. The guidance requires application on a retrospective basis. The Company is currently evaluating the impact of the new standard on its consolidated financial statements and disclosures.</w:t>
      </w:r>
    </w:p>
    <w:p>
      <w:pPr>
        <w:spacing w:after="0" w:line="18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$0.6 million as of September 30, 2024 and December 31,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36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411,843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420,616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9"/>
              </w:rPr>
              <w:t>(262,557)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color w:val="auto"/>
                <w:w w:val="99"/>
              </w:rPr>
              <w:t>(240,411)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rPr>
              <w:t>149,286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180,205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were $60.4 million and $137.0 million for the three and nine months ended September 30, 2024. The amounts of revenue recognized in the period that were included in the opening contract liability balances were $16.3 million and $114.0 million for the three and nine months ended September 30, 2023, respectively. This revenue consists primarily of work performed on previous billings to customers.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7,301,084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6,716,990</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7,335,184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6,731,511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(34,100)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2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217,083</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(231,604)</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nine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September 30, 2024,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7"/>
                <w:szCs w:val="17"/>
                <w:color w:val="auto"/>
              </w:rPr>
            </w:pP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4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44,395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4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4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31,841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52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tcBorders>
              <w:bottom w:val="single" w:sz="8" w:color="CCEEFF"/>
            </w:tcBorders>
            <w:gridSpan w:val="3"/>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 years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years</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 years</w:t>
            </w: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years</w:t>
            </w:r>
          </w:p>
        </w:tc>
        <w:tc>
          <w:tcPr>
            <w:tcW w:w="0" w:type="dxa"/>
            <w:vAlign w:val="bottom"/>
          </w:tcPr>
          <w:p>
            <w:pPr>
              <w:spacing w:after="0"/>
              <w:rPr>
                <w:sz w:val="1"/>
                <w:szCs w:val="1"/>
                <w:color w:val="auto"/>
              </w:rPr>
            </w:pPr>
          </w:p>
        </w:tc>
      </w:tr>
      <w:tr>
        <w:trPr>
          <w:trHeight w:val="27"/>
        </w:trPr>
        <w:tc>
          <w:tcPr>
            <w:tcW w:w="826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8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
                <w:szCs w:val="2"/>
                <w:color w:val="auto"/>
              </w:rPr>
            </w:pPr>
          </w:p>
        </w:tc>
        <w:tc>
          <w:tcPr>
            <w:tcW w:w="1380" w:type="dxa"/>
            <w:vAlign w:val="bottom"/>
            <w:gridSpan w:val="3"/>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576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3,956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September 30, 2024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5"/>
                <w:szCs w:val="15"/>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5"/>
                <w:szCs w:val="15"/>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3"/>
        </w:trPr>
        <w:tc>
          <w:tcPr>
            <w:tcW w:w="6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37"/>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0" w:type="dxa"/>
            <w:vAlign w:val="bottom"/>
          </w:tcPr>
          <w:p>
            <w:pPr>
              <w:spacing w:after="0"/>
              <w:rPr>
                <w:sz w:val="1"/>
                <w:szCs w:val="1"/>
                <w:color w:val="auto"/>
              </w:rPr>
            </w:pP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0" w:type="dxa"/>
            <w:vAlign w:val="bottom"/>
          </w:tcPr>
          <w:p>
            <w:pPr>
              <w:spacing w:after="0"/>
              <w:rPr>
                <w:sz w:val="1"/>
                <w:szCs w:val="1"/>
                <w:color w:val="auto"/>
              </w:rPr>
            </w:pP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0" w:type="dxa"/>
            <w:vAlign w:val="bottom"/>
          </w:tcPr>
          <w:p>
            <w:pPr>
              <w:spacing w:after="0"/>
              <w:rPr>
                <w:sz w:val="1"/>
                <w:szCs w:val="1"/>
                <w:color w:val="auto"/>
              </w:rPr>
            </w:pP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or below market rental rates. Lease expense associated with these leases was $0.6 million and $1.9 million for the three and nine months ended September 30, 2024 and $0.6 million and $1.8 million for the three and nine months ended 2023. As of September 30, 2024, the minimum lease payments required under these leases totaled $10.9 million, which are due over the next 4.9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firstLine="648"/>
        <w:spacing w:after="0" w:line="277" w:lineRule="auto"/>
        <w:rPr>
          <w:sz w:val="20"/>
          <w:szCs w:val="20"/>
          <w:color w:val="auto"/>
        </w:rPr>
      </w:pPr>
      <w:r>
        <w:rPr>
          <w:rFonts w:ascii="Times New Roman" w:cs="Times New Roman" w:eastAsia="Times New Roman" w:hAnsi="Times New Roman"/>
          <w:sz w:val="17"/>
          <w:szCs w:val="17"/>
          <w:color w:val="auto"/>
        </w:rPr>
        <w:t>As of September 30, 2024 and December 31, 2023, the Company determined that the carrying value of cash and cash equivalents approximated fair value based on Level 1 inputs. As of September 30, 2024 and December 31, 2023, the fair value of the Company’s long-term debt and finance lease obligations was based on Level 2 inputs. The Company’s long-term debt was based on variable and fixed interest rates at September 30, 2024 and December 31, 2023,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16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2024, the fair value of the Company’s contingent earn-out consideration liability associated with the acquisition of Powerline Plus Ltd. and its affiliate PLP Redimix Ltd. (collectively, the “Powerline Plus Companies") on January 4, 2022, was based on Level 3 inputs. The contingent earn-out consideration recorded represents the estimated fair value of future amounts potentially payable to the former owners of the acquired Powerline Plus Companies, if the Powerline Plus Companies achieve certain performance targets over a three-year post-acquisition period. The fair value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 As of the acquisition date, the fair value of the contingent earn-out consideration was $0.9 million. As of September 30, 2024 and December 31, 2023, the fair value of the contingent earn-out consideration was zero.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$16.6 million. There were no changes in contingent earn-out consideration during the three and nine months ended September 30, 2024 and 2023. Any changes in contingent earn-out consideration are recorded in other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5/31/2023</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10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8"/>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tcPr>
          <w:p>
            <w:pPr>
              <w:spacing w:after="0"/>
              <w:rPr>
                <w:sz w:val="19"/>
                <w:szCs w:val="19"/>
                <w:color w:val="auto"/>
              </w:rPr>
            </w:pPr>
          </w:p>
        </w:tc>
        <w:tc>
          <w:tcPr>
            <w:tcW w:w="14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8"/>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30"/>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8"/>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gridSpan w:val="3"/>
            <w:vMerge w:val="restart"/>
          </w:tcPr>
          <w:p>
            <w:pPr>
              <w:jc w:val="right"/>
              <w:ind w:right="11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7.03% and 6.96%, per annum, for the nine months ended September 30, 2024 and 2023, respectively.</w:t>
      </w:r>
    </w:p>
    <w:p>
      <w:pPr>
        <w:spacing w:after="0" w:line="13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2024.</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had $77.2 million of borrowings outstanding under the Facility and letters of credit outstanding under the Facility of $37.3 million, including $32.6 million related to the Company's payment obligation under its insurance programs and $4.7 million related to contract performance obligations.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$13.2 million of borrowings outstanding under the Facility and letters of credit outstanding under the Facility of $34.4 million, including $27.1 million related to the Company's payment obligation under its insurance programs and $7.3 million related to contract performance obligations.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related to the Facility totaling $1.9 million and $2.4 million as of September 30, 2024 and 2023, respectively. As permitted, debt issuance costs have been deferred and are presented as an asset within other assets, which is amortized as interest expense over the term of the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one Equipment Note outstanding under the Master Loan Agreements that is collateralized by equipment and vehicles owned by the Company. As of September 30, 2024, the Company had one other equipment note outstanding that is collateralized by a vehicle owned by the Company. The following table sets forth our remaining principal payments for all of the Company’s outstanding equipment notes as of September 30,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6"/>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September 30, 2024 and 2023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331,103</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23,849</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406,167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4"/>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319,546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44,436</w:t>
            </w:r>
          </w:p>
        </w:tc>
        <w:tc>
          <w:tcPr>
            <w:tcW w:w="14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nine months ended September 30, 2024 and 2023 were as follows: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40" w:type="dxa"/>
            <w:vAlign w:val="bottom"/>
          </w:tcPr>
          <w:p>
            <w:pPr>
              <w:spacing w:after="0"/>
              <w:rPr>
                <w:sz w:val="16"/>
                <w:szCs w:val="16"/>
                <w:color w:val="auto"/>
              </w:rPr>
            </w:pPr>
          </w:p>
        </w:tc>
        <w:tc>
          <w:tcPr>
            <w:tcW w:w="170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1,430,480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left="694"/>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1,497,655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September 30, 2024 and 2023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40" w:type="dxa"/>
            <w:vAlign w:val="bottom"/>
          </w:tcPr>
          <w:p>
            <w:pPr>
              <w:spacing w:after="0"/>
              <w:rPr>
                <w:sz w:val="16"/>
                <w:szCs w:val="16"/>
                <w:color w:val="auto"/>
              </w:rPr>
            </w:pPr>
          </w:p>
        </w:tc>
        <w:tc>
          <w:tcPr>
            <w:tcW w:w="38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4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Borders>
              <w:top w:val="single" w:sz="8" w:color="auto"/>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276,663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357,708</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3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205,213</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23.1</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190,887</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20.3</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406,167</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45.7</w:t>
            </w:r>
          </w:p>
        </w:tc>
        <w:tc>
          <w:tcPr>
            <w:tcW w:w="14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41.6</w:t>
            </w:r>
          </w:p>
        </w:tc>
        <w:tc>
          <w:tcPr>
            <w:tcW w:w="136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nine months ended September 30, 2024 and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40" w:type="dxa"/>
            <w:vAlign w:val="bottom"/>
          </w:tcPr>
          <w:p>
            <w:pPr>
              <w:spacing w:after="0"/>
              <w:rPr>
                <w:sz w:val="16"/>
                <w:szCs w:val="16"/>
                <w:color w:val="auto"/>
              </w:rPr>
            </w:pPr>
          </w:p>
        </w:tc>
        <w:tc>
          <w:tcPr>
            <w:tcW w:w="38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37"/>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6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37"/>
        </w:trPr>
        <w:tc>
          <w:tcPr>
            <w:tcW w:w="2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873,077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36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43"/>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557,403</w:t>
            </w:r>
          </w:p>
        </w:tc>
        <w:tc>
          <w:tcPr>
            <w:tcW w:w="10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22.0</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519,577</w:t>
            </w:r>
          </w:p>
        </w:tc>
        <w:tc>
          <w:tcPr>
            <w:tcW w:w="120" w:type="dxa"/>
            <w:vAlign w:val="bottom"/>
          </w:tcPr>
          <w:p>
            <w:pPr>
              <w:spacing w:after="0"/>
              <w:rPr>
                <w:sz w:val="21"/>
                <w:szCs w:val="21"/>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19.7</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1,102,015</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43.5</w:t>
            </w: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1,142,053</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43.3</w:t>
            </w:r>
          </w:p>
        </w:tc>
        <w:tc>
          <w:tcPr>
            <w:tcW w:w="1360" w:type="dxa"/>
            <w:vAlign w:val="bottom"/>
            <w:tcBorders>
              <w:bottom w:val="single" w:sz="8" w:color="CCEEFF"/>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6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2,639,708</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$2.36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180"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September 30, 2024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20" w:type="dxa"/>
            <w:vAlign w:val="bottom"/>
            <w:gridSpan w:val="6"/>
          </w:tcPr>
          <w:p>
            <w:pPr>
              <w:jc w:val="center"/>
              <w:ind w:left="101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September 30, 2024</w:t>
            </w:r>
          </w:p>
        </w:tc>
        <w:tc>
          <w:tcPr>
            <w:tcW w:w="164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7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190"/>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62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1,776,724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1,263,534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513,190</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2,358,754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1,839,713</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95% or more 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and nine months ended September 30, 2024 and 2023. The Company’s effective tax rate for the three and nine months ended September 30, 2024 was 42.5% and 26.6%, respectively, of pretax income compared to the effective tax rate for the three and nine months ended September 30, 2023 of 30.3% and 25.2%, respectively.</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September 30, 2024, was primarily due to permanent difference items, largely related to deductibility limits of certain compensation including contingent compensation associated with a prior acquisition and U.S. taxes on Canadian income, as well as state income taxes.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September 30, 2023, was primarily due to state income taxes, Canadian taxes and other permanent difference items.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nine months ended September 30, 2024, was primarily due to permanent difference items, largely related to deductibility limits of certain compensation including contingent compensation associated with a prior acquisition and U.S. taxes on Canadian income, as well as state income taxes, partially offset by a favorable impact from stock compensation excess tax benefits.</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 for the nine months ended September 30, 2023, was primarily due to state income taxes, Canadian taxes and other permanent difference items partially offset by a favorable impact from stock compensation excess tax benefits.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$0.4 million and $0.5 million as of September 30, 2024 and December 31, 2023, respectively, which were included in other liabilities in the accompanying consolidated balance sheets.</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and nine months ended September 30, 2024 and 2023.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2020 through 2022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2019 through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$5.5 million in outstanding purchase orders for certain construction equipment, with cash payments scheduled to occur in 2024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September 30, 2024, an aggregate of approximately $2.83 billion in original face amount of bonds issued by the Company’s sureties were outstanding. The Company estimated the remaining cost to complete these bonded projects was approximately $741.6 million as of September 30, 2024.</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time-vested stock awards covering 40,723 shares of common stock under the LTIP, which vest ratably over three years for employee awards and after one year for non-employee director awards, at a weighted average grant date fair value of $171.55. During the nine months ended September 30, 2024, time-vested stock awards covering 42,554 shares of common stock vested at a weighted average grant date fair value of $99.52.</w:t>
      </w:r>
    </w:p>
    <w:p>
      <w:pPr>
        <w:spacing w:after="0" w:line="18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29,566 performance share awards under the LTIP at target, which will cliff vest, if earned, on December 31, 2026, at a weighted average grant date fair value of $197.89. The number of shares ultimately earned under a performance award may vary from zero to 200% of the target shares granted, based upon the Company’s performance compared to certain financial and other metrics. 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and management fees. The accounting policies of the segments are the same as those described in the Note 1–Organization, Business and Significant Accounting Policies to the 2023 Annual Report.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37"/>
        </w:trPr>
        <w:tc>
          <w:tcPr>
            <w:tcW w:w="552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0"/>
                <w:szCs w:val="20"/>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548,595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1,497,655</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1,142,053</w:t>
            </w:r>
          </w:p>
        </w:tc>
      </w:tr>
      <w:tr>
        <w:trPr>
          <w:trHeight w:val="237"/>
        </w:trPr>
        <w:tc>
          <w:tcPr>
            <w:tcW w:w="5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2,639,708</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106,817</w:t>
            </w: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w:t>
            </w: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(52,108)</w:t>
            </w: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5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8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8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36,397 shares of stock, for approximately $5.9 million, from its employees to satisfy tax obligations on shares vested under the LTIP. During the nine months ended September 30, 2023 the Company repurchased 76,150 shares of stock, for approximately $7.9 million, from its employees to satisfy tax obligations on shares vested under the LTIP.</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On May 6, 2024, the Company announced that its Board of Directors had authorized a new $75.0 million share repurchase program (the "Repurchase Program"), which became effective on May 9, 2024. The Repurchase Program will expire on November 8, 2024, or when the authorized funds are exhausted, whichever is earlier. The Company’s prior $75.0 million repurchase program commenced on November 9, 2023 and expired on May 8,</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2024. During the nine months ended September 30, 2024, the Company repurchased 643,549 shares of its common stock under the Repurchase Program at a weighted-average price of $116.54 per share. As of September 30, 2024, the Company had exhausted substantially all of the funds available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2023 (the “2023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2023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 We strive to maintain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as a preferred provider to our T&amp;D and C&amp;I customers.</w:t>
      </w:r>
    </w:p>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we expect our financial results, in both of our segments, to continue to be affected by delays and cost volatility through 2024, due to supply chain disruptions, inflationary pressures, tariffs and regulatory slowdowns. These factors will cause us to carry impacted projects at lower margins until their completion and may result in decelerations in project opportunities and awards.</w:t>
      </w:r>
    </w:p>
    <w:p>
      <w:pPr>
        <w:spacing w:after="0" w:line="137" w:lineRule="exact"/>
        <w:rPr>
          <w:sz w:val="20"/>
          <w:szCs w:val="20"/>
          <w:color w:val="auto"/>
        </w:rPr>
      </w:pPr>
    </w:p>
    <w:p>
      <w:pPr>
        <w:ind w:right="40" w:firstLine="648"/>
        <w:spacing w:after="0" w:line="231" w:lineRule="auto"/>
        <w:rPr>
          <w:sz w:val="20"/>
          <w:szCs w:val="20"/>
          <w:color w:val="auto"/>
        </w:rPr>
      </w:pPr>
      <w:r>
        <w:rPr>
          <w:rFonts w:ascii="Times New Roman" w:cs="Times New Roman" w:eastAsia="Times New Roman" w:hAnsi="Times New Roman"/>
          <w:sz w:val="18"/>
          <w:szCs w:val="18"/>
          <w:color w:val="auto"/>
        </w:rPr>
        <w:t>We had consolidated revenues for the nine months ended September 30, 2024 of $2.53 billion, of which 56.5% was attributable to our T&amp;D customers and 43.5% was attributable to our C&amp;I customers. Our consolidated revenues for the nine months ended September 30, 2023 were $2.64 billion. For the nine months ended September 30, 2024,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$14.3 million and $72.3 million, respectively, compared to $66.9 million and $135.4 million, respectively, for the nine months ended September 30, 2023.</w:t>
      </w:r>
    </w:p>
    <w:p>
      <w:pPr>
        <w:spacing w:after="0" w:line="16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connect to new clean energy sources and support future load growth. Consequently, we believe that we will continue to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2024 will not likely begin until 2025. Bidding and construction activity for small to medium-size transmission projects and upgrades remain active, and we expect this trend to continue.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need for further investment by utilities on their distribution systems to properly maintain or meet reliability requirements. We continue to see strong bidding activity in some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the rest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0"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Although our C&amp;I bidding opportunities remain strong, we may see impacts due to continued market disruptions and overall market volatility which could result in slower growth of our C&amp;I segment. We believe that the primary markets we serve such as transportation, data centers, health care, clean energy and warehousing, may be somewhat less vulnerable to an economic slowdown.</w:t>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4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maintained a strong balance sheet, while also supporting our organic growth with capital expenditures and working capital and repurchasing our shares. During the nine months ended September 30, 2024, the Company repurchased 643,549 shares of its common stock under our repurchase program at a weighted-average price of $116.54 per share, exhausting substantially all of the authorized funds under our share repurchase program. We believe the borrowing availability under our $490 million revolving credit facility and future cash flow from operations will enable us to support the organic growth of our business, pursue acquisitions and opportunistically repurchase shares.</w:t>
      </w:r>
    </w:p>
    <w:p>
      <w:pPr>
        <w:spacing w:after="0" w:line="14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backlog was $2.60 billion at September 30, 2024, compared to $2.51 billion at December 31, 2023 and $2.62 billion at September 30, 2023. Our backlog at September 30, 2024 increased $54.4 million from June 30, 2024. Backlog in the T&amp;D segment decreased $32.0 million and C&amp;I backlog increased $86.3 million compared to June 30, 2024. Our backlog as of September 30, 2024 included our proportionate share of joint venture backlog totaling $186.2 million, compared to $188.7 million at June 30,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Backlog at September 30, 2024</w:t>
            </w: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9"/>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34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jc w:val="center"/>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340" w:type="dxa"/>
            <w:vAlign w:val="bottom"/>
          </w:tcPr>
          <w:p>
            <w:pPr>
              <w:spacing w:after="0"/>
              <w:rPr>
                <w:sz w:val="17"/>
                <w:szCs w:val="17"/>
                <w:color w:val="auto"/>
              </w:rPr>
            </w:pPr>
          </w:p>
        </w:tc>
        <w:tc>
          <w:tcPr>
            <w:tcW w:w="2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792,890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959,553</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1,799,452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1,552,846</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2,512,399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740" w:type="dxa"/>
            <w:vAlign w:val="bottom"/>
          </w:tcPr>
          <w:p>
            <w:pPr>
              <w:spacing w:after="0"/>
              <w:rPr>
                <w:sz w:val="12"/>
                <w:szCs w:val="12"/>
                <w:color w:val="auto"/>
              </w:rPr>
            </w:pPr>
          </w:p>
        </w:tc>
      </w:tr>
      <w:tr>
        <w:trPr>
          <w:trHeight w:val="166"/>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6"/>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740" w:type="dxa"/>
            <w:vAlign w:val="bottom"/>
          </w:tcPr>
          <w:p>
            <w:pPr>
              <w:spacing w:after="0"/>
              <w:rPr>
                <w:sz w:val="14"/>
                <w:szCs w:val="14"/>
                <w:color w:val="auto"/>
              </w:rPr>
            </w:pPr>
          </w:p>
        </w:tc>
      </w:tr>
      <w:tr>
        <w:trPr>
          <w:trHeight w:val="29"/>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4"/>
                <w:szCs w:val="14"/>
                <w:color w:val="auto"/>
              </w:rPr>
            </w:pPr>
          </w:p>
        </w:tc>
      </w:tr>
      <w:tr>
        <w:trPr>
          <w:trHeight w:val="29"/>
        </w:trPr>
        <w:tc>
          <w:tcPr>
            <w:tcW w:w="34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40" w:type="dxa"/>
            <w:vAlign w:val="bottom"/>
          </w:tcPr>
          <w:p>
            <w:pPr>
              <w:spacing w:after="0"/>
              <w:rPr>
                <w:sz w:val="14"/>
                <w:szCs w:val="14"/>
                <w:color w:val="auto"/>
              </w:rPr>
            </w:pPr>
          </w:p>
        </w:tc>
        <w:tc>
          <w:tcPr>
            <w:tcW w:w="100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Percent</w:t>
            </w:r>
          </w:p>
        </w:tc>
      </w:tr>
      <w:tr>
        <w:trPr>
          <w:trHeight w:val="29"/>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888,043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939,476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2,532,495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2,639,708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costs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810,755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847,093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2,372,806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89.9</w:t>
            </w:r>
          </w:p>
        </w:tc>
      </w:tr>
      <w:tr>
        <w:trPr>
          <w:trHeight w:val="29"/>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92,383</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266,902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10.1</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6.6</w:t>
            </w:r>
          </w:p>
        </w:tc>
      </w:tr>
      <w:tr>
        <w:trPr>
          <w:trHeight w:val="29"/>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0.1</w:t>
            </w:r>
          </w:p>
        </w:tc>
      </w:tr>
      <w:tr>
        <w:trPr>
          <w:trHeight w:val="173"/>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Gain on sale of property and equipment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30"/>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76"/>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from operations</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23,925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91,891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3.5</w:t>
            </w:r>
          </w:p>
        </w:tc>
      </w:tr>
      <w:tr>
        <w:trPr>
          <w:trHeight w:val="17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(0.1)</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34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30,843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19,489</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89,511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r>
      <w:tr>
        <w:trPr>
          <w:trHeight w:val="30"/>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0.9</w:t>
            </w:r>
          </w:p>
        </w:tc>
      </w:tr>
      <w:tr>
        <w:trPr>
          <w:trHeight w:val="195"/>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21,512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14,311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66,948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22"/>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227"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$51.5 million or 5.5%, to $888.0 million for the three months ended September 30, 2024 from $939.5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The decrease was primarily due to a decrease of $81.0 million in revenue on transmission projects, offset by an increase of $15.3 million in C&amp;I revenue, and an increase of $14.3 million in revenue on distribution projects.</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for the three months ended September 30, 2024 decreased to 8.7% compared to 9.8%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decrease in gross margin was primarily impacted by significant changes in our estimated gross profit on certain projects resulting in a net gross margin decrease of 3.9% for the three months ended September 30, 2024, compared to a net decrease of 1.3% for the three months ended September 30, 2023. During the three months ended September 30, 2024, significant estimate changes negatively impacted gross margin by 4.7%, primarily related to clean energy projects in T&amp;D, the unfavorable impact of a C&amp;I project, as well as an increase in costs associated with unfavorable job closeouts, and labor and project inefficiencies. In addition, significant estimate changes in gross profit positively impacted gross margin by 0.8% and largely related to better-than-anticipated productivity and a favorable change order.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$77.3 million for the three months ended September 30, 2024 compared to $92.4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decrease of $15.1 million, or 16.3%, was due to lower margin and lower revenues.</w:t>
      </w:r>
    </w:p>
    <w:p>
      <w:pPr>
        <w:spacing w:after="0" w:line="10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were $57.5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compared to $59.9 million for the three months ended September 30, 2023. The period-over-period decrease of $2.4 million was primarily due to a decrease in employee incentive compensation costs and a decrease of $1.1 million of contingent compensation expense related to a prior acquisition, partially offset by an increase in employee-related expenses to support future growth.</w:t>
      </w:r>
    </w:p>
    <w:p>
      <w:pPr>
        <w:spacing w:after="0" w:line="12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Gain on sale of property and equipment</w:t>
      </w:r>
      <w:r>
        <w:rPr>
          <w:rFonts w:ascii="Times New Roman" w:cs="Times New Roman" w:eastAsia="Times New Roman" w:hAnsi="Times New Roman"/>
          <w:sz w:val="18"/>
          <w:szCs w:val="18"/>
          <w:color w:val="auto"/>
        </w:rPr>
        <w:t>. Gains from the sale of property and equipment for the three months ended September 30, 2024 were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$0.8 million for the three months ended September 30, 2023. Gains from the sale of property and equipment are attributable to routine sales of property and equipment no longer useful or valuable to our ongoing operations.</w:t>
      </w:r>
    </w:p>
    <w:p>
      <w:pPr>
        <w:spacing w:after="0" w:line="119"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$2.0 million for three months ended September 30, 2024 compared to $1.3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This increase was attributable to higher average outstanding debt balances during the three months ended September 30, 2024 as compared to the three months ended September 30, 2023.</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$7.9 million for the three months ended September 30, 2024, with an effective tax rate of 42.5%,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$9.3 million for the three months ended September 30, 2023, with an effective tax rate of 30.3%. The increase in the tax rate for the three months ended September 30, 2024 was primarily due to higher permanent difference items mostly related to deductibility limits of contingent compensation, associated with a prior acquisition, which was successfully achieved during the third quarter of 2024, as well as higher U.S. taxes on Canadian income.</w:t>
      </w:r>
    </w:p>
    <w:p>
      <w:pPr>
        <w:spacing w:after="0" w:line="129"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$10.6 million for the three months ended September 30, 2024 compared to net income of $21.5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548,595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390,881</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888,043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50,194</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4"/>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three months ended September 30, 2024 were $481.9 million compared to $548.6 million for the three months ended September 30, 2023, a decrease of $66.7 million, or 12.2%. The decrease in revenue was related to a decrease of $81.0 million in revenue on transmission projects offset by an increase of $14.3 million in revenue on distribution projects. Revenues from transmission projects represented 57.4% and 65.2% of T&amp;D segment revenue for the three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income for our T&amp;D segment for the three months ended September 30, 2024 was $17.6 million, a decrease of $18.7 million, or 51.6%,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three months ended September 30, 2023. As a percentage of revenues, operating income for our T&amp;D segment was 3.6% for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compared to operating income of 6.6% for the three months ended September 30, 2023. Operating income margin was impacted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significant changes in our estimated gross profit on certain projects resulting in a net operating income margin decrease of 5.0% for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2024, compared to a net decrease of 1.9% for the three months ended September 30, 2023.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significant estimated gross profit changes negatively impacted operating income as a percentage of revenues by 5.8% with 5.5%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related to losses on certain clean energy projects. Losses on these projects were primarily related to unfavorable weather conditions, labor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inefficiencies, higher labor and contract related costs and contractual disputes. In addition, schedule extensions caused by owner-furnished panel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delays led to increased costs on two clean energy projects. Many of these projects have reached mechanical completion and the remaining projects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to reach mechanical completion in the fourth quarter of 2024. Significant estimated gross profit changes were also negatively impacted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job closeout. These decreases were partially offset by positive significant estimated gross profit changes totaling 0.8% and largely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better-than-anticipated productivity. Additionally, T&amp;D operating income margin was negatively impacted by a decrease in work in progress.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three months ended September 30, 2024 were $406.2 million compared to $390.9 million for the three months ended September 30, 2023, an increase of $15.3 million, or 3.9%. The increase in revenue was related to an increase of $11.6 million in revenue on fixed priced contracts, an increase of $6.8 million on T&amp;E contracts, offset by a decrease of $3.1 million in revenues on unit price work.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income for our C&amp;I segment for the three months ended September 30, 2024 was $20.3 million, an increase of $6.4 million, over the three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2023. As a percentage of revenues, operating income for our C&amp;I segment was 5.0%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compared to 3.6% for the three months ended September 30, 2023. Operating income margin was positively impacted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2024, by the continued benefit of higher margins on certain projects nearing completion, due to better-than-anticipated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productivity and previous favorable change orders. Operating income margin was also impacted by significant changes in our estimated gross profit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projects resulting in a net operating income margin decrease of 2.6% for the three months ended September 30, 2024, compared to a net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for the three months ended September 30, 2023. Significant estimated gross profit changes negatively impacted operating income as a percentage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3.5%, with 2.9% of the impact from a single project that is anticipated to reach substantial completion during the fourth quarter of 2024.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this project was primarily due to scope additions, increased labor costs related to schedule compression and lower productivity due to access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workflow issues. Significant estimated gross profit changes were also negatively impacted by an unfavorable job closeout and labor and project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inefficiencies. These decreases were partially offset by positive significant estimated gross profit changes totaling 0.9% and largely related to better-than-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productivity and favorable change orders.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decreased $107.2 million or 4.1%, to $2.53 billion for the nine months ended September 30, 2024 from $2.64 billion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The decrease was primarily due to a decrease of $105.0 million in revenue on transmission projects and a decrease of $40.1 million in C&amp;I revenue, partially offset by an increase of $37.8 million in revenue on distribution projects.</w:t>
      </w:r>
    </w:p>
    <w:p>
      <w:pPr>
        <w:spacing w:after="0" w:line="17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for the nine months ended September 30, 2024 decreased to 8.1% compared to 10.1%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decrease in gross margin was primarily impacted by significant changes in our estimated gross profit on certain projects resulting in a net gross margin decrease of 4.4% for the nine months ended September 30, 2024, compared to a net decrease of 1.2% for the nine months ended September 30, 2023. During the nine months ended September 30, 2024, significant estimate changes negatively impacted gross margin by 5.7%, primarily related to clean energy projects in T&amp;D, the unfavorable impact of a C&amp;I project, labor and project inefficiencies, an increase in costs associated with schedule compression on certain projects, an unfavorable change order and an unfavorable job closeout. In addition, significant estimate changes in gross profit positively impacted gross margin by 1.3% and mainly related to better-than-anticipated productivity, favorable change orders and favorable job closeouts. Gross margin also benefited by approximately 0.2% from favorable joint venture results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$204.4 million for the nine months ended September 30, 2024 compared to $266.9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decrease of $62.5 million, or 23.4% was due to lower margin and lower revenues.</w:t>
      </w:r>
    </w:p>
    <w:p>
      <w:pPr>
        <w:spacing w:after="0" w:line="15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$181.5 million for the nine months ended September 30, 2024 compared to $174.6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period-over-period increase of $6.9 million was primarily due to an increase of $4.2 million of contingent compensation expense related to a prior acquisition and an increase in employee-related expenses to support future growth, partially offset by a decrease in employee incentive compensation costs.</w:t>
      </w:r>
    </w:p>
    <w:p>
      <w:pPr>
        <w:spacing w:after="0" w:line="180"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for the nine months ended September 30, 2024 were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compared to $3.3 million for the nine months ended September 30, 2023. Gains from the sale of property and equipment are attributable to routine sales of property and equipment no longer useful or valuable to our ongoing operations.</w:t>
      </w:r>
    </w:p>
    <w:p>
      <w:pPr>
        <w:spacing w:after="0" w:line="173" w:lineRule="exact"/>
        <w:rPr>
          <w:sz w:val="20"/>
          <w:szCs w:val="20"/>
          <w:color w:val="auto"/>
        </w:rPr>
      </w:pPr>
    </w:p>
    <w:p>
      <w:pPr>
        <w:jc w:val="both"/>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$4.3 million for the nine months ended September 30, 2024 compared to $3.1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This increase was primarily attributable to higher average debt balances during the nine months ended September 30, 2024 as compared to the nine months ended September 30, 2023.</w:t>
      </w:r>
    </w:p>
    <w:p>
      <w:pPr>
        <w:spacing w:after="0" w:line="1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$5.2 million for the nine months ended September 30, 2024, with an effective tax rate of 26.6%,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expense of $22.6 million for the nine months ended September 30, 2023, with an effective tax rate of 25.2%. The change in the tax rate for the nine months ended September 30, 2024 was primarily due to lower pretax income and higher other permanent difference items, offset by lower stock compensation excess tax benefits. The increase in permanent difference items primarily related to deductibility limits of contingent compensation, associated with a prior acquisition, as well as higher U.S. taxes on Canadian income.</w:t>
      </w:r>
    </w:p>
    <w:p>
      <w:pPr>
        <w:spacing w:after="0" w:line="18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$14.3 million for the nine months ended September 30, 2024 compared to $66.9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decrease was primarily due to the reasons stated earlier.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3"/>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Revenues for our T&amp;D segment for the nine months ended September 30, 2024 were $1.43 billion compared to $1.50 billion for the nine months ended September 30, 2023, a decrease of $67.2 million. The decrease in revenue was related to a decrease of $105.0 million in revenue on transmission projects, offset by an increase of $37.8 million in revenue on distribution projects. Revenues from transmission projects represented 61.0% and 65.3% of T&amp;D segment revenue for the nine months ended September 30, 2024 and 2023, respectively.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Operating income for our T&amp;D segment for the nine months ended September 30, 2024 was $39.1 million, a decrease of $67.7 million, or 63.4%, from the nine months ended September 30, 2023. As a percentage of revenues, operating income for our T&amp;D segment was 2.7% for the nine months ended September 30, 2024 compared to 7.1% for the nine months ended September 30, 2023. Operating income margin was impacted by significant changes in our estimated gross profit on certain projects resulting in a net operating income margin decrease of 6.0% for the nine months ended September 30, 2024, compared to a net decrease of 1.1% for the nine months ended September 30, 2023. During the nine months ended September 30, 2024, significant estimated gross profit changes negatively impacted operating income as a percentage of revenues by 6.3% with 6.1% of the impact related to losses on certain clean energy projects. Losses on these projects were primarily related to contractual disputes, labor and project inefficiencies, higher labor and contract related costs and unfavorable weather conditions. In addition, schedule extensions caused by owner-furnished panel delays led to increased costs on two clean energy projects. Many of these projects have reached mechanical completion and the remaining projects are anticipated to reach mechanical completion in the fourth quarter of 2024. Significant estimated gross profit changes were also negatively impacted by an unfavorable job closeout and labor and project inefficiencies. These decreases were partially offset by positive significant estimated gross profit changes totaling 0.3% of revenues mostly related to better-than-anticipated productivity. Additionally, T&amp;D operating income margin was negatively impacted by higher fleet depreciation and maintenance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Revenues for our C&amp;I segment for the nine months ended September 30, 2024 were $1.10 billion compared to $1.14 billion for the nine months ended September 30, 2023, a decrease of $40.1 million, or 3.5%, which was primarily due to the delayed start of certain projects in 2024. The decrease in revenue was related to a decrease of $36.0 million in revenue on fixed priced contracts and a decrease of $9.1 million in revenues on unit price work, offset by an increase of $5.0 million on T&amp;E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Operating income for our C&amp;I segment for the nine months ended September 30, 2024 was $33.3 million, a decrease of $3.9 million, over the nine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2023. As a percentage of revenues, operating income for our C&amp;I segment was 3.0% for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compared to 3.3% for the nine months ended September 30, 2023. Operating income margin was impacted by significant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estimated gross profit on certain projects resulting in a net operating income margin decrease of 2.4% for the nine months ended September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a net decrease of 1.4% for the nine months ended September 30, 2023. Significant estimated gross profit changes negatively impacted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as a percentage of revenues by 5.1% with 2.3% of the impact from a single project that is anticipated to reach substantial completion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2024. The loss from this project was primarily due to scope additions, increased labor costs related to schedule compression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lower productivity due to access and workflow issues. Significant estimated gross profit changes were also negatively impacted by an increase in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labor and project inefficiencies, schedule compression on certain projects and an unfavorable change order. These decreases were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positive significant estimated gross profit changes totaling 2.7% and largely related to better-than-anticipated productivity, some of which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clean energy projects, favorable change orders and favorable job closeouts. Additionally, C&amp;I operating income margin was positively impacted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0.5% due to favorable joint venture results. This increase was partially offset by higher contingent compensation expense related to a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a decrease in work in progress and higher fleet depreciation and maintenance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24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66,948</w:t>
            </w: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6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135,364</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(47,367)</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0" w:type="dxa"/>
            <w:vAlign w:val="bottom"/>
          </w:tcPr>
          <w:p>
            <w:pPr>
              <w:spacing w:after="0"/>
              <w:rPr>
                <w:sz w:val="1"/>
                <w:szCs w:val="1"/>
                <w:color w:val="auto"/>
              </w:rPr>
            </w:pPr>
          </w:p>
        </w:tc>
      </w:tr>
      <w:tr>
        <w:trPr>
          <w:trHeight w:val="243"/>
        </w:trPr>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of September 30, 2024, we had working capital of $269.2 million. We define working capital as current assets less current liabilities. During the nine months ended September 30, 2024, operating activities of our business provided net cash of $66.0 million, compared to $28.4 million of cash provided for the nine months ended September 30, 2023. Cash flow from operations is primarily influenced by operating margins, timing of contract performance and the type of services we provide to our customers. The $37.6 million year-over-year increase in cash provided by operating activities was primarily due to favorable net changes in operating assets and liabilities of $86.5 million, offset by a decrease of $52.6 million in net income. The favorable change in operating assets and liabilities was primarily due to the net favorable year-over-year changes in various working capital accounts that relate primarily to construction activities (accounts receivable, contract assets, accounts payable and contract liabilities) of $79.6 million and the favorable change of $9.4 million in other liabilities. The net favorable changes of $79.6 million in cash provided by working capital accounts, mainly related to construction activities, was due to the timing of billings and payments under our contracts. The favorable change of $9.4 million in other liabilities was primarily due to the timing of employee related wage and tax payments.</w:t>
      </w:r>
    </w:p>
    <w:p>
      <w:pPr>
        <w:spacing w:after="0" w:line="19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2024, we used net cash of $56.8 million in investing activities consisting of $63.6 million for capital expenditures, partially offset by $6.8 million of proceeds from the sale of equipment.</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2024, financing activities used net cash of $26.0 million, consisting primarily of $75.0 million of share repurchases under our share repurchase program, $7.0 million of payments under our equipment notes and $5.9 million of shares repurchased to satisfy tax obligations under our stock compensation programs, partially offset by $64.0 million of net borrowings under our revolving line of credit.</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our $375.5 million borrowing availability under our revolving line of credit as of September 30, 2024,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September 30, 2024.</w:t>
      </w:r>
    </w:p>
    <w:p>
      <w:pPr>
        <w:spacing w:after="0" w:line="12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had $77.2 million and $13.2 million of borrowings outstanding under the Facility as of September 30, 2024 and December 31,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we had $37.3 million in letters of credit outstanding under our Credit Agreement, including $32.6 million related to the Company's payment obligation under its insurance programs and $4.7 million related to contract performance obligations. As of December 31, 2023, we had $34.4 million in letters of credit outstanding under our Credit Agreement, including $27.1 million related to the Company's payment obligations under its insurance programs and $7.3 million related to contract performance obligations.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we had one outstanding Equipment Note collateralized by equipment and vehicles owned by us. As of December 31, 2023, we had two outstanding Equipment Notes collateralized by equipment and vehicles owned by us. As of September 30, 2024 and December 31, 2023, we also had one other equipment note outstanding collateralized by a vehicle owned by us. The outstanding balance of all equipment notes was $16.0 million as of September 30, 2024 and $23.0 million as of December 31, 2023. As of September 30, 2024, we had outstanding short-term and long-term equipment notes of approximately $4.4 million and $11.6 million, respectively. As of December 31, 2023, we had outstanding short-term and long-term equipment notes of approximately $7.1 million and $16.0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nine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06"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The outstanding balance of operating lease obligations was $40.6 million as of September 30, 2024, consisting of short-term and long-term operating lease obligations of approximately $11.1 million and $29.5 million, respectively. The outstanding balance of operating lease obligations was $35.0 million as of December 31, 2023, consisting of short-term and long-term operating lease obligations of approximately $9.2 million and $25.8 million, respectively.</w:t>
      </w:r>
    </w:p>
    <w:p>
      <w:pPr>
        <w:spacing w:after="0" w:line="9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$3.5 million as of September 30, 2024, consisting of short-term and long-term finance lease obligations of approximately $1.2 million and $2.3 million, respectively. As of December 31, 2023 we had $2.3 million outstanding finance lease obligations, consisting of short-term and long-term finance lease obligations of approximately $2.0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we had approximately $5.5 million in outstanding purchase obligations for certain construction equipment to be paid with cash outlays scheduled to occur in 2024 and 2025.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September 30, 2024, an aggregate of approximately $2.83 billion in original face amount of bonds issued by our sureties were outstanding. Our estimated remaining cost to complete these bonded projects was approximately $741.6 million as of September 30, 2024.</w:t>
      </w:r>
    </w:p>
    <w:p>
      <w:pPr>
        <w:spacing w:after="0" w:line="12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September 30, 2024 and 2023,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2023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2023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on materials, interest rates and recessionary conditions have in the past and may in the future adversely impact our customers’ spending and, as a result, our operations and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2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18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34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0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income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18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0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suppliers, subcontractors and equipment manufacturers has in the past and may in the future expose us to the risk of loss in our operations.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clean energy may impact demand for our services.</w:t>
      </w:r>
    </w:p>
    <w:p>
      <w:pPr>
        <w:spacing w:after="0" w:line="63"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right="90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were not party to any derivative instruments. We did not use any material derivative financial instruments during the nine months ended September 30, 2024 and 2023, including instruments for trading, hedging, or speculating on changes in interest rates, changes in foreign currency rates or changes in commodity prices of materials used in our business.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the NYFRB overnight bank funding rate, Term CORRA, and Term SOFR Reference Rate.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September 30, 2024, we had $77.2 million of borrowings outstanding under the Facility. If market rates of interest on all our revolving debt as of September 30, 2024, which is subject to variable rates, permanently increased by 1%, the increase in interest expense on all revolving debt would decrease future income before provision for income taxes and cash flows by approximately $0.8 million annually. If market rates of interest on all our revolving debt, which is subject to variable rates as of September 30, 2024, permanently decreased by 1%, the decrease in interest expense on all debt would increase future income before provision for income taxes and cash flows by approximately $0.8 million annually. Borrowings under our equipment notes are at fixed rates established on the date the respective equipment note was executed.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2023 Annual Report. As of the date of this filing, there have been no material changes to the risk factors previously discussed in Item 1A. “Risk Factors” in our 2023 Annual Report. An investment in our common stock involves various risks. When considering an investment in the Company, you should carefully consider all of the risk factors described in our 2023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are retired and returned to authorized but unissued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04"/>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Programs (1)</w:t>
            </w:r>
          </w:p>
        </w:tc>
      </w:tr>
      <w:tr>
        <w:trPr>
          <w:trHeight w:val="37"/>
        </w:trPr>
        <w:tc>
          <w:tcPr>
            <w:tcW w:w="3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162,255</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162,255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36,847,227</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526,127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00" w:firstLine="8"/>
        <w:spacing w:after="0" w:line="255"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the Company announced that its Board of Directors had authorized a $75.0 million share repurchase program, which became effective on November 9, 2023 and expired on May 8, 2024 (the “Prior Repurchase Program”). As of the expiration date, the Company had $72.5 million of remaining availability to repurchase shares of the Company’s common stock under the Prior Repurchase Program. On May 6, 2024, the Company announced that its Board of Directors had authorized a new $75.0 million share repurchase program (the "Repurchase Program"), which replaced the Prior Repurchase Program and became effective on May 9, 2024. The Repurchase Program will expire on November 8, 2024, or when the authorized funds are exhausted, whichever is earlier. As of September 30, 2024, the Company had exhausted substantially all of the funds available to repurchase shares of the Company’s common stock under the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September 30,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20"/>
                <w:szCs w:val="20"/>
                <w:color w:val="auto"/>
              </w:rPr>
            </w:pPr>
          </w:p>
        </w:tc>
        <w:tc>
          <w:tcPr>
            <w:tcW w:w="10040" w:type="dxa"/>
            <w:vAlign w:val="bottom"/>
            <w:gridSpan w:val="5"/>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13a-14(a)/15d-14(a)†</w:t>
            </w:r>
          </w:p>
        </w:tc>
        <w:tc>
          <w:tcPr>
            <w:tcW w:w="3960" w:type="dxa"/>
            <w:vAlign w:val="bottom"/>
            <w:tcBorders>
              <w:bottom w:val="single" w:sz="8" w:color="CCEEFF"/>
            </w:tcBorders>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18 U.S.C. §1350+</w:t>
            </w:r>
          </w:p>
        </w:tc>
        <w:tc>
          <w:tcPr>
            <w:tcW w:w="496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70"/>
        </w:trPr>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960" w:type="dxa"/>
            <w:vAlign w:val="bottom"/>
            <w:shd w:val="clear" w:color="auto" w:fill="CCEEFF"/>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jc w:val="both"/>
        <w:ind w:right="9560" w:firstLine="8"/>
        <w:spacing w:after="0" w:line="260"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320" w:top="121" w:right="6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780" w:hanging="652"/>
        <w:spacing w:after="0" w:line="28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and nine months ended September 30, 2024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October 30, 2024</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2024-10-30T15:20:38Z</dcterms:created>
  <dcterms:modified xsi:type="dcterms:W3CDTF">2024-10-30T15:20:38Z</dcterms:modified>
</cp:coreProperties>
</file>